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322580</wp:posOffset>
            </wp:positionV>
            <wp:extent cx="566102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61025" cy="22860"/>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376555</wp:posOffset>
            </wp:positionV>
            <wp:extent cx="56610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102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40" w:type="dxa"/>
        <w:tblCellMar>
          <w:top w:w="0" w:type="dxa"/>
          <w:left w:w="0" w:type="dxa"/>
          <w:bottom w:w="0" w:type="dxa"/>
          <w:right w:w="0" w:type="dxa"/>
        </w:tblCellMar>
      </w:tblPr>
      <w:tr>
        <w:trPr>
          <w:trHeight w:val="299"/>
        </w:trPr>
        <w:tc>
          <w:tcPr>
            <w:tcW w:w="1900" w:type="dxa"/>
            <w:vAlign w:val="bottom"/>
          </w:tcPr>
          <w:p>
            <w:pPr>
              <w:spacing w:after="0"/>
              <w:rPr>
                <w:sz w:val="24"/>
                <w:szCs w:val="24"/>
                <w:color w:val="auto"/>
              </w:rPr>
            </w:pPr>
          </w:p>
        </w:tc>
        <w:tc>
          <w:tcPr>
            <w:tcW w:w="5020" w:type="dxa"/>
            <w:vAlign w:val="bottom"/>
          </w:tcPr>
          <w:p>
            <w:pPr>
              <w:jc w:val="center"/>
              <w:ind w:left="10"/>
              <w:spacing w:after="0"/>
              <w:rPr>
                <w:sz w:val="20"/>
                <w:szCs w:val="20"/>
                <w:color w:val="auto"/>
              </w:rPr>
            </w:pPr>
            <w:r>
              <w:rPr>
                <w:rFonts w:ascii="Times New Roman" w:cs="Times New Roman" w:eastAsia="Times New Roman" w:hAnsi="Times New Roman"/>
                <w:sz w:val="23"/>
                <w:szCs w:val="23"/>
                <w:b w:val="1"/>
                <w:bCs w:val="1"/>
                <w:color w:val="auto"/>
                <w:w w:val="95"/>
              </w:rPr>
              <w:t>UNITED STATES</w:t>
            </w:r>
          </w:p>
        </w:tc>
      </w:tr>
      <w:tr>
        <w:trPr>
          <w:trHeight w:val="350"/>
        </w:trPr>
        <w:tc>
          <w:tcPr>
            <w:tcW w:w="1900" w:type="dxa"/>
            <w:vAlign w:val="bottom"/>
          </w:tcPr>
          <w:p>
            <w:pPr>
              <w:spacing w:after="0"/>
              <w:rPr>
                <w:sz w:val="24"/>
                <w:szCs w:val="24"/>
                <w:color w:val="auto"/>
              </w:rPr>
            </w:pPr>
          </w:p>
        </w:tc>
        <w:tc>
          <w:tcPr>
            <w:tcW w:w="5020" w:type="dxa"/>
            <w:vAlign w:val="bottom"/>
          </w:tcPr>
          <w:p>
            <w:pPr>
              <w:jc w:val="center"/>
              <w:ind w:left="10"/>
              <w:spacing w:after="0"/>
              <w:rPr>
                <w:sz w:val="20"/>
                <w:szCs w:val="20"/>
                <w:color w:val="auto"/>
              </w:rPr>
            </w:pPr>
            <w:r>
              <w:rPr>
                <w:rFonts w:ascii="Times New Roman" w:cs="Times New Roman" w:eastAsia="Times New Roman" w:hAnsi="Times New Roman"/>
                <w:sz w:val="23"/>
                <w:szCs w:val="23"/>
                <w:b w:val="1"/>
                <w:bCs w:val="1"/>
                <w:color w:val="auto"/>
                <w:w w:val="97"/>
              </w:rPr>
              <w:t>SECURITIES AND EXCHANGE COMMISSION</w:t>
            </w:r>
          </w:p>
        </w:tc>
      </w:tr>
      <w:tr>
        <w:trPr>
          <w:trHeight w:val="270"/>
        </w:trPr>
        <w:tc>
          <w:tcPr>
            <w:tcW w:w="1900" w:type="dxa"/>
            <w:vAlign w:val="bottom"/>
          </w:tcPr>
          <w:p>
            <w:pPr>
              <w:spacing w:after="0"/>
              <w:rPr>
                <w:sz w:val="23"/>
                <w:szCs w:val="23"/>
                <w:color w:val="auto"/>
              </w:rPr>
            </w:pPr>
          </w:p>
        </w:tc>
        <w:tc>
          <w:tcPr>
            <w:tcW w:w="5020" w:type="dxa"/>
            <w:vAlign w:val="bottom"/>
          </w:tcPr>
          <w:p>
            <w:pPr>
              <w:jc w:val="center"/>
              <w:ind w:left="30"/>
              <w:spacing w:after="0"/>
              <w:rPr>
                <w:sz w:val="20"/>
                <w:szCs w:val="20"/>
                <w:color w:val="auto"/>
              </w:rPr>
            </w:pPr>
            <w:r>
              <w:rPr>
                <w:rFonts w:ascii="Times New Roman" w:cs="Times New Roman" w:eastAsia="Times New Roman" w:hAnsi="Times New Roman"/>
                <w:sz w:val="16"/>
                <w:szCs w:val="16"/>
                <w:b w:val="1"/>
                <w:bCs w:val="1"/>
                <w:color w:val="auto"/>
              </w:rPr>
              <w:t>Washington, DC 20549</w:t>
            </w:r>
          </w:p>
        </w:tc>
      </w:tr>
      <w:tr>
        <w:trPr>
          <w:trHeight w:val="346"/>
        </w:trPr>
        <w:tc>
          <w:tcPr>
            <w:tcW w:w="1900" w:type="dxa"/>
            <w:vAlign w:val="bottom"/>
          </w:tcPr>
          <w:p>
            <w:pPr>
              <w:spacing w:after="0"/>
              <w:rPr>
                <w:sz w:val="24"/>
                <w:szCs w:val="24"/>
                <w:color w:val="auto"/>
              </w:rPr>
            </w:pPr>
          </w:p>
        </w:tc>
        <w:tc>
          <w:tcPr>
            <w:tcW w:w="5020" w:type="dxa"/>
            <w:vAlign w:val="bottom"/>
          </w:tcPr>
          <w:p>
            <w:pPr>
              <w:jc w:val="center"/>
              <w:ind w:left="10"/>
              <w:spacing w:after="0"/>
              <w:rPr>
                <w:sz w:val="20"/>
                <w:szCs w:val="20"/>
                <w:color w:val="auto"/>
              </w:rPr>
            </w:pPr>
            <w:r>
              <w:rPr>
                <w:rFonts w:ascii="Times New Roman" w:cs="Times New Roman" w:eastAsia="Times New Roman" w:hAnsi="Times New Roman"/>
                <w:sz w:val="23"/>
                <w:szCs w:val="23"/>
                <w:b w:val="1"/>
                <w:bCs w:val="1"/>
                <w:color w:val="auto"/>
                <w:w w:val="97"/>
              </w:rPr>
              <w:t>SCHEDULE 14A</w:t>
            </w:r>
          </w:p>
        </w:tc>
      </w:tr>
      <w:tr>
        <w:trPr>
          <w:trHeight w:val="270"/>
        </w:trPr>
        <w:tc>
          <w:tcPr>
            <w:tcW w:w="1900" w:type="dxa"/>
            <w:vAlign w:val="bottom"/>
          </w:tcPr>
          <w:p>
            <w:pPr>
              <w:spacing w:after="0"/>
              <w:rPr>
                <w:sz w:val="23"/>
                <w:szCs w:val="23"/>
                <w:color w:val="auto"/>
              </w:rPr>
            </w:pPr>
          </w:p>
        </w:tc>
        <w:tc>
          <w:tcPr>
            <w:tcW w:w="5020" w:type="dxa"/>
            <w:vAlign w:val="bottom"/>
          </w:tcPr>
          <w:p>
            <w:pPr>
              <w:jc w:val="center"/>
              <w:ind w:left="10"/>
              <w:spacing w:after="0"/>
              <w:rPr>
                <w:sz w:val="20"/>
                <w:szCs w:val="20"/>
                <w:color w:val="auto"/>
              </w:rPr>
            </w:pPr>
            <w:r>
              <w:rPr>
                <w:rFonts w:ascii="Times New Roman" w:cs="Times New Roman" w:eastAsia="Times New Roman" w:hAnsi="Times New Roman"/>
                <w:sz w:val="16"/>
                <w:szCs w:val="16"/>
                <w:b w:val="1"/>
                <w:bCs w:val="1"/>
                <w:color w:val="auto"/>
                <w:w w:val="99"/>
              </w:rPr>
              <w:t>(Rule 14a-101)</w:t>
            </w:r>
          </w:p>
        </w:tc>
      </w:tr>
      <w:tr>
        <w:trPr>
          <w:trHeight w:val="277"/>
        </w:trPr>
        <w:tc>
          <w:tcPr>
            <w:tcW w:w="1900" w:type="dxa"/>
            <w:vAlign w:val="bottom"/>
          </w:tcPr>
          <w:p>
            <w:pPr>
              <w:spacing w:after="0"/>
              <w:rPr>
                <w:sz w:val="24"/>
                <w:szCs w:val="24"/>
                <w:color w:val="auto"/>
              </w:rPr>
            </w:pPr>
          </w:p>
        </w:tc>
        <w:tc>
          <w:tcPr>
            <w:tcW w:w="5020" w:type="dxa"/>
            <w:vAlign w:val="bottom"/>
          </w:tcPr>
          <w:p>
            <w:pPr>
              <w:jc w:val="center"/>
              <w:ind w:left="10"/>
              <w:spacing w:after="0"/>
              <w:rPr>
                <w:sz w:val="20"/>
                <w:szCs w:val="20"/>
                <w:color w:val="auto"/>
              </w:rPr>
            </w:pPr>
            <w:r>
              <w:rPr>
                <w:rFonts w:ascii="Times New Roman" w:cs="Times New Roman" w:eastAsia="Times New Roman" w:hAnsi="Times New Roman"/>
                <w:sz w:val="16"/>
                <w:szCs w:val="16"/>
                <w:b w:val="1"/>
                <w:bCs w:val="1"/>
                <w:color w:val="auto"/>
                <w:w w:val="99"/>
              </w:rPr>
              <w:t>INFORMATION REQUIRED IN PROXY STATEMENT</w:t>
            </w:r>
          </w:p>
        </w:tc>
      </w:tr>
      <w:tr>
        <w:trPr>
          <w:trHeight w:val="247"/>
        </w:trPr>
        <w:tc>
          <w:tcPr>
            <w:tcW w:w="1900" w:type="dxa"/>
            <w:vAlign w:val="bottom"/>
          </w:tcPr>
          <w:p>
            <w:pPr>
              <w:spacing w:after="0"/>
              <w:rPr>
                <w:sz w:val="21"/>
                <w:szCs w:val="21"/>
                <w:color w:val="auto"/>
              </w:rPr>
            </w:pPr>
          </w:p>
        </w:tc>
        <w:tc>
          <w:tcPr>
            <w:tcW w:w="5020" w:type="dxa"/>
            <w:vAlign w:val="bottom"/>
          </w:tcPr>
          <w:p>
            <w:pPr>
              <w:jc w:val="center"/>
              <w:ind w:left="30"/>
              <w:spacing w:after="0"/>
              <w:rPr>
                <w:sz w:val="20"/>
                <w:szCs w:val="20"/>
                <w:color w:val="auto"/>
              </w:rPr>
            </w:pPr>
            <w:r>
              <w:rPr>
                <w:rFonts w:ascii="Times New Roman" w:cs="Times New Roman" w:eastAsia="Times New Roman" w:hAnsi="Times New Roman"/>
                <w:sz w:val="16"/>
                <w:szCs w:val="16"/>
                <w:b w:val="1"/>
                <w:bCs w:val="1"/>
                <w:color w:val="auto"/>
                <w:w w:val="99"/>
              </w:rPr>
              <w:t>SCHEDULE 14A INFORMATION</w:t>
            </w:r>
          </w:p>
        </w:tc>
      </w:tr>
      <w:tr>
        <w:trPr>
          <w:trHeight w:val="193"/>
        </w:trPr>
        <w:tc>
          <w:tcPr>
            <w:tcW w:w="1900" w:type="dxa"/>
            <w:vAlign w:val="bottom"/>
          </w:tcPr>
          <w:p>
            <w:pPr>
              <w:spacing w:after="0"/>
              <w:rPr>
                <w:sz w:val="16"/>
                <w:szCs w:val="16"/>
                <w:color w:val="auto"/>
              </w:rPr>
            </w:pPr>
          </w:p>
        </w:tc>
        <w:tc>
          <w:tcPr>
            <w:tcW w:w="5020" w:type="dxa"/>
            <w:vAlign w:val="bottom"/>
          </w:tcPr>
          <w:p>
            <w:pPr>
              <w:jc w:val="center"/>
              <w:ind w:left="30"/>
              <w:spacing w:after="0"/>
              <w:rPr>
                <w:sz w:val="20"/>
                <w:szCs w:val="20"/>
                <w:color w:val="auto"/>
              </w:rPr>
            </w:pPr>
            <w:r>
              <w:rPr>
                <w:rFonts w:ascii="Times New Roman" w:cs="Times New Roman" w:eastAsia="Times New Roman" w:hAnsi="Times New Roman"/>
                <w:sz w:val="16"/>
                <w:szCs w:val="16"/>
                <w:b w:val="1"/>
                <w:bCs w:val="1"/>
                <w:color w:val="auto"/>
              </w:rPr>
              <w:t>Proxy Statement Pursuant to Section 14(a) of</w:t>
            </w:r>
          </w:p>
        </w:tc>
      </w:tr>
      <w:tr>
        <w:trPr>
          <w:trHeight w:val="211"/>
        </w:trPr>
        <w:tc>
          <w:tcPr>
            <w:tcW w:w="1900" w:type="dxa"/>
            <w:vAlign w:val="bottom"/>
          </w:tcPr>
          <w:p>
            <w:pPr>
              <w:spacing w:after="0"/>
              <w:rPr>
                <w:sz w:val="18"/>
                <w:szCs w:val="18"/>
                <w:color w:val="auto"/>
              </w:rPr>
            </w:pPr>
          </w:p>
        </w:tc>
        <w:tc>
          <w:tcPr>
            <w:tcW w:w="5020" w:type="dxa"/>
            <w:vAlign w:val="bottom"/>
          </w:tcPr>
          <w:p>
            <w:pPr>
              <w:jc w:val="center"/>
              <w:ind w:left="10"/>
              <w:spacing w:after="0"/>
              <w:rPr>
                <w:sz w:val="20"/>
                <w:szCs w:val="20"/>
                <w:color w:val="auto"/>
              </w:rPr>
            </w:pPr>
            <w:r>
              <w:rPr>
                <w:rFonts w:ascii="Times New Roman" w:cs="Times New Roman" w:eastAsia="Times New Roman" w:hAnsi="Times New Roman"/>
                <w:sz w:val="16"/>
                <w:szCs w:val="16"/>
                <w:b w:val="1"/>
                <w:bCs w:val="1"/>
                <w:color w:val="auto"/>
                <w:w w:val="99"/>
              </w:rPr>
              <w:t>the Securities Exchange Act of 1934</w:t>
            </w:r>
          </w:p>
        </w:tc>
      </w:tr>
      <w:tr>
        <w:trPr>
          <w:trHeight w:val="394"/>
        </w:trPr>
        <w:tc>
          <w:tcPr>
            <w:tcW w:w="190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tc>
        <w:tc>
          <w:tcPr>
            <w:tcW w:w="5020" w:type="dxa"/>
            <w:vAlign w:val="bottom"/>
          </w:tcPr>
          <w:p>
            <w:pPr>
              <w:ind w:left="2200"/>
              <w:spacing w:after="0" w:line="184" w:lineRule="exact"/>
              <w:rPr>
                <w:sz w:val="20"/>
                <w:szCs w:val="20"/>
                <w:color w:val="auto"/>
              </w:rPr>
            </w:pPr>
            <w:r>
              <w:rPr>
                <w:rFonts w:ascii="Times New Roman" w:cs="Times New Roman" w:eastAsia="Times New Roman" w:hAnsi="Times New Roman"/>
                <w:sz w:val="16"/>
                <w:szCs w:val="16"/>
                <w:color w:val="auto"/>
                <w:w w:val="98"/>
              </w:rPr>
              <w:t xml:space="preserve">Filed by a Party other than the Registrant </w:t>
            </w:r>
            <w:r>
              <w:rPr>
                <w:rFonts w:ascii="MS PGothic" w:cs="MS PGothic" w:eastAsia="MS PGothic" w:hAnsi="MS PGothic"/>
                <w:sz w:val="16"/>
                <w:szCs w:val="16"/>
                <w:color w:val="auto"/>
                <w:w w:val="98"/>
              </w:rPr>
              <w:t>☐</w:t>
            </w:r>
          </w:p>
        </w:tc>
      </w:tr>
      <w:tr>
        <w:trPr>
          <w:trHeight w:val="205"/>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Check the appropriate box:</w:t>
            </w:r>
          </w:p>
        </w:tc>
        <w:tc>
          <w:tcPr>
            <w:tcW w:w="5020" w:type="dxa"/>
            <w:vAlign w:val="bottom"/>
          </w:tcPr>
          <w:p>
            <w:pPr>
              <w:spacing w:after="0"/>
              <w:rPr>
                <w:sz w:val="17"/>
                <w:szCs w:val="17"/>
                <w:color w:val="auto"/>
              </w:rPr>
            </w:pPr>
          </w:p>
        </w:tc>
      </w:tr>
    </w:tbl>
    <w:p>
      <w:pPr>
        <w:ind w:left="640" w:hanging="593"/>
        <w:spacing w:after="0"/>
        <w:tabs>
          <w:tab w:leader="none" w:pos="6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14" w:lineRule="exact"/>
        <w:rPr>
          <w:rFonts w:ascii="MS PGothic" w:cs="MS PGothic" w:eastAsia="MS PGothic" w:hAnsi="MS PGothic"/>
          <w:sz w:val="16"/>
          <w:szCs w:val="16"/>
          <w:color w:val="auto"/>
        </w:rPr>
      </w:pPr>
    </w:p>
    <w:p>
      <w:pPr>
        <w:ind w:left="40" w:right="3119" w:firstLine="7"/>
        <w:spacing w:after="0" w:line="193" w:lineRule="exact"/>
        <w:tabs>
          <w:tab w:leader="none" w:pos="64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Confidential, for Use of the Commission Only (as permitted by Rule 14a-6(e)(2))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Definitive Proxy Statement</w:t>
      </w:r>
    </w:p>
    <w:p>
      <w:pPr>
        <w:spacing w:after="0" w:line="1" w:lineRule="exact"/>
        <w:rPr>
          <w:rFonts w:ascii="MS PGothic" w:cs="MS PGothic" w:eastAsia="MS PGothic" w:hAnsi="MS PGothic"/>
          <w:sz w:val="16"/>
          <w:szCs w:val="16"/>
          <w:color w:val="auto"/>
        </w:rPr>
      </w:pPr>
    </w:p>
    <w:p>
      <w:pPr>
        <w:ind w:left="640" w:hanging="593"/>
        <w:spacing w:after="0"/>
        <w:tabs>
          <w:tab w:leader="none" w:pos="6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9" w:lineRule="exact"/>
        <w:rPr>
          <w:rFonts w:ascii="MS PGothic" w:cs="MS PGothic" w:eastAsia="MS PGothic" w:hAnsi="MS PGothic"/>
          <w:sz w:val="16"/>
          <w:szCs w:val="16"/>
          <w:color w:val="auto"/>
        </w:rPr>
      </w:pPr>
    </w:p>
    <w:p>
      <w:pPr>
        <w:ind w:left="640" w:hanging="593"/>
        <w:spacing w:after="0"/>
        <w:tabs>
          <w:tab w:leader="none" w:pos="6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§240.14a-12</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VERTEX, INC.</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8255</wp:posOffset>
            </wp:positionV>
            <wp:extent cx="566102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61025" cy="15240"/>
                    </a:xfrm>
                    <a:prstGeom prst="rect">
                      <a:avLst/>
                    </a:prstGeom>
                    <a:noFill/>
                  </pic:spPr>
                </pic:pic>
              </a:graphicData>
            </a:graphic>
          </wp:anchor>
        </w:drawing>
      </w:r>
    </w:p>
    <w:p>
      <w:pPr>
        <w:spacing w:after="0" w:line="225"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3" w:lineRule="exact"/>
        <w:rPr>
          <w:sz w:val="24"/>
          <w:szCs w:val="24"/>
          <w:color w:val="auto"/>
        </w:rPr>
      </w:pPr>
    </w:p>
    <w:p>
      <w:pPr>
        <w:ind w:left="380" w:hanging="333"/>
        <w:spacing w:after="0"/>
        <w:tabs>
          <w:tab w:leader="none" w:pos="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9" w:lineRule="exact"/>
        <w:rPr>
          <w:sz w:val="24"/>
          <w:szCs w:val="24"/>
          <w:color w:val="auto"/>
        </w:rPr>
      </w:pPr>
    </w:p>
    <w:p>
      <w:pPr>
        <w:ind w:left="380" w:hanging="333"/>
        <w:spacing w:after="0"/>
        <w:tabs>
          <w:tab w:leader="none" w:pos="38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14" w:lineRule="exact"/>
        <w:rPr>
          <w:rFonts w:ascii="MS PGothic" w:cs="MS PGothic" w:eastAsia="MS PGothic" w:hAnsi="MS PGothic"/>
          <w:sz w:val="16"/>
          <w:szCs w:val="16"/>
          <w:color w:val="auto"/>
        </w:rPr>
      </w:pPr>
    </w:p>
    <w:p>
      <w:pPr>
        <w:ind w:left="380" w:hanging="333"/>
        <w:spacing w:after="0"/>
        <w:tabs>
          <w:tab w:leader="none" w:pos="38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993140</wp:posOffset>
            </wp:positionV>
            <wp:extent cx="566102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61025" cy="15240"/>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135255</wp:posOffset>
            </wp:positionV>
            <wp:extent cx="56610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1025" cy="7620"/>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173355</wp:posOffset>
            </wp:positionV>
            <wp:extent cx="5661025" cy="2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1025" cy="22860"/>
                    </a:xfrm>
                    <a:prstGeom prst="rect">
                      <a:avLst/>
                    </a:prstGeom>
                    <a:noFill/>
                  </pic:spPr>
                </pic:pic>
              </a:graphicData>
            </a:graphic>
          </wp:anchor>
        </w:drawing>
      </w:r>
    </w:p>
    <w:p>
      <w:pPr>
        <w:sectPr>
          <w:pgSz w:w="11900" w:h="16838" w:orient="portrait"/>
          <w:cols w:equalWidth="0" w:num="1">
            <w:col w:w="9019"/>
          </w:cols>
          <w:pgMar w:left="1440" w:top="60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360680</wp:posOffset>
            </wp:positionV>
            <wp:extent cx="5668645" cy="6403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8645" cy="6403975"/>
                    </a:xfrm>
                    <a:prstGeom prst="rect">
                      <a:avLst/>
                    </a:prstGeom>
                    <a:noFill/>
                  </pic:spPr>
                </pic:pic>
              </a:graphicData>
            </a:graphic>
          </wp:anchor>
        </w:drawing>
      </w:r>
    </w:p>
    <w:p>
      <w:pPr>
        <w:sectPr>
          <w:pgSz w:w="11900" w:h="16838" w:orient="portrait"/>
          <w:cols w:equalWidth="0" w:num="1">
            <w:col w:w="9479"/>
          </w:cols>
          <w:pgMar w:left="980" w:top="4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April 27, 2026</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To Our Stockholders:</w:t>
      </w:r>
    </w:p>
    <w:p>
      <w:pPr>
        <w:spacing w:after="0" w:line="202" w:lineRule="exact"/>
        <w:rPr>
          <w:sz w:val="20"/>
          <w:szCs w:val="20"/>
          <w:color w:val="auto"/>
        </w:rPr>
      </w:pPr>
    </w:p>
    <w:p>
      <w:pPr>
        <w:jc w:val="both"/>
        <w:ind w:left="640" w:right="179"/>
        <w:spacing w:after="0" w:line="260" w:lineRule="auto"/>
        <w:rPr>
          <w:sz w:val="20"/>
          <w:szCs w:val="20"/>
          <w:color w:val="auto"/>
        </w:rPr>
      </w:pPr>
      <w:r>
        <w:rPr>
          <w:rFonts w:ascii="Times New Roman" w:cs="Times New Roman" w:eastAsia="Times New Roman" w:hAnsi="Times New Roman"/>
          <w:sz w:val="16"/>
          <w:szCs w:val="16"/>
          <w:color w:val="auto"/>
        </w:rPr>
        <w:t>You are cordially invited to attend the 2026 Annual Meeting of Stockholders of Vertex, Inc. (the "Company") to be held on June 10, 2026. Our Annual Meeting will be a completely virtual meeting of stockholders, which will be conducted via live webcast. You will be able to attend the virtual Annual Meeting, vote your shares electronically and submit your questions during the meeting. Utilizing the latest technology and a virtual meeting format will allow stockholders to participate from any location, and which we expect will lead to increased attendance, improved communications and cost savings for our stockholders and the Company.</w:t>
      </w:r>
    </w:p>
    <w:p>
      <w:pPr>
        <w:spacing w:after="0" w:line="161" w:lineRule="exact"/>
        <w:rPr>
          <w:sz w:val="20"/>
          <w:szCs w:val="20"/>
          <w:color w:val="auto"/>
        </w:rPr>
      </w:pPr>
    </w:p>
    <w:p>
      <w:pPr>
        <w:jc w:val="both"/>
        <w:ind w:left="640" w:right="199"/>
        <w:spacing w:after="0" w:line="268" w:lineRule="auto"/>
        <w:rPr>
          <w:sz w:val="20"/>
          <w:szCs w:val="20"/>
          <w:color w:val="auto"/>
        </w:rPr>
      </w:pPr>
      <w:r>
        <w:rPr>
          <w:rFonts w:ascii="Times New Roman" w:cs="Times New Roman" w:eastAsia="Times New Roman" w:hAnsi="Times New Roman"/>
          <w:sz w:val="16"/>
          <w:szCs w:val="16"/>
          <w:color w:val="auto"/>
        </w:rPr>
        <w:t>The Notice of Annual Meeting and Proxy Statement on the following pages describe the matters to be presented at the Annual Meeting. Details regarding how to attend the meeting and the business to be conducted at the Annual Meeting are more fully described in the Notice of Annual Meeting and Proxy Statement.</w:t>
      </w:r>
    </w:p>
    <w:p>
      <w:pPr>
        <w:spacing w:after="0" w:line="156" w:lineRule="exact"/>
        <w:rPr>
          <w:sz w:val="20"/>
          <w:szCs w:val="20"/>
          <w:color w:val="auto"/>
        </w:rPr>
      </w:pPr>
    </w:p>
    <w:p>
      <w:pPr>
        <w:jc w:val="both"/>
        <w:ind w:left="640" w:right="179"/>
        <w:spacing w:after="0" w:line="257" w:lineRule="auto"/>
        <w:rPr>
          <w:sz w:val="20"/>
          <w:szCs w:val="20"/>
          <w:color w:val="auto"/>
        </w:rPr>
      </w:pPr>
      <w:r>
        <w:rPr>
          <w:rFonts w:ascii="Times New Roman" w:cs="Times New Roman" w:eastAsia="Times New Roman" w:hAnsi="Times New Roman"/>
          <w:sz w:val="16"/>
          <w:szCs w:val="16"/>
          <w:color w:val="auto"/>
        </w:rPr>
        <w:t>Whether or not you attend the Annual Meeting, it is important that your shares be represented and voted at the Annual Meeting. Therefore, I urge you to promptly vote and submit your proxy by phone, via the Internet, or, if you requested to receive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requested to receive a proxy card, then instructions regarding how you can vote are contained on the proxy card. If you decide to attend the Annual Meeting, you will be able to vote your shares electronically, even if you have previously submitted your proxy.</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Thank you for your support.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Sincerely,</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u w:val="single" w:color="auto"/>
          <w:color w:val="auto"/>
        </w:rPr>
        <w:t>Christopher Young</w:t>
      </w:r>
    </w:p>
    <w:p>
      <w:pPr>
        <w:spacing w:after="0" w:line="3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Christopher Young</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003970"/>
        </w:rPr>
        <w:t>2301 Renaissance Blvd, King of Prussia, PA 19406</w:t>
      </w:r>
    </w:p>
    <w:p>
      <w:pPr>
        <w:spacing w:after="0" w:line="25" w:lineRule="exact"/>
        <w:rPr>
          <w:sz w:val="20"/>
          <w:szCs w:val="20"/>
          <w:color w:val="auto"/>
        </w:rPr>
      </w:pPr>
    </w:p>
    <w:p>
      <w:pPr>
        <w:ind w:left="600"/>
        <w:spacing w:after="0"/>
        <w:tabs>
          <w:tab w:leader="none" w:pos="6600" w:val="left"/>
        </w:tabs>
        <w:rPr>
          <w:sz w:val="20"/>
          <w:szCs w:val="20"/>
          <w:color w:val="auto"/>
        </w:rPr>
      </w:pPr>
      <w:r>
        <w:rPr>
          <w:rFonts w:ascii="Times New Roman" w:cs="Times New Roman" w:eastAsia="Times New Roman" w:hAnsi="Times New Roman"/>
          <w:sz w:val="16"/>
          <w:szCs w:val="16"/>
          <w:color w:val="003970"/>
        </w:rPr>
        <w:t>T: 800.355.3500</w:t>
      </w:r>
      <w:r>
        <w:rPr>
          <w:sz w:val="20"/>
          <w:szCs w:val="20"/>
          <w:color w:val="auto"/>
        </w:rPr>
        <w:tab/>
      </w:r>
      <w:r>
        <w:rPr>
          <w:rFonts w:ascii="Times New Roman" w:cs="Times New Roman" w:eastAsia="Times New Roman" w:hAnsi="Times New Roman"/>
          <w:sz w:val="21"/>
          <w:szCs w:val="21"/>
          <w:b w:val="1"/>
          <w:bCs w:val="1"/>
          <w:color w:val="003970"/>
        </w:rPr>
        <w:t>vertexinc.com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980440</wp:posOffset>
            </wp:positionV>
            <wp:extent cx="630428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479"/>
          </w:cols>
          <w:pgMar w:left="980" w:top="473"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161925</wp:posOffset>
            </wp:positionV>
            <wp:extent cx="1156970" cy="2070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56970" cy="2070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552450</wp:posOffset>
            </wp:positionV>
            <wp:extent cx="63042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Notice of</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30428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 THE STOCKHOLDERS OF VERTEX, INC.</w:t>
      </w:r>
    </w:p>
    <w:p>
      <w:pPr>
        <w:spacing w:after="0" w:line="1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NOTICE IS HEREBY GIVEN </w:t>
      </w:r>
      <w:r>
        <w:rPr>
          <w:rFonts w:ascii="Times New Roman" w:cs="Times New Roman" w:eastAsia="Times New Roman" w:hAnsi="Times New Roman"/>
          <w:sz w:val="16"/>
          <w:szCs w:val="16"/>
          <w:color w:val="auto"/>
        </w:rPr>
        <w:t>that the 2026 Annual Meeting of Stockholders (the "Annual Meeting") of Vertex, Inc., a Delaware corporation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will be a completely virtual meeting, which will be conducted via live webcast at the date and time below:</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Wednesday, June 10, 2026</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9:00 a.m. EDT</w:t>
      </w:r>
    </w:p>
    <w:p>
      <w:pPr>
        <w:spacing w:after="0" w:line="1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You will be provided with instructions on registering and attending the virtual meeting as well as voting prior to and during the meeting. The Annual Meeting is called for the following purposes:</w:t>
      </w:r>
    </w:p>
    <w:p>
      <w:pPr>
        <w:spacing w:after="0" w:line="251" w:lineRule="exact"/>
        <w:rPr>
          <w:sz w:val="20"/>
          <w:szCs w:val="20"/>
          <w:color w:val="auto"/>
        </w:rPr>
      </w:pPr>
    </w:p>
    <w:p>
      <w:pPr>
        <w:ind w:left="1160" w:right="80" w:hanging="293"/>
        <w:spacing w:after="0" w:line="321" w:lineRule="auto"/>
        <w:tabs>
          <w:tab w:leader="none" w:pos="116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 elect three Directors, Eric Andersen, David DeStefano and Christopher Young, to serve until the 2029 Annual Meeting of Stockholders and/or until their respective successors shall have been duly elected and qualified; and</w:t>
      </w:r>
    </w:p>
    <w:p>
      <w:pPr>
        <w:spacing w:after="0" w:line="2" w:lineRule="exact"/>
        <w:rPr>
          <w:rFonts w:ascii="Times New Roman" w:cs="Times New Roman" w:eastAsia="Times New Roman" w:hAnsi="Times New Roman"/>
          <w:sz w:val="16"/>
          <w:szCs w:val="16"/>
          <w:b w:val="1"/>
          <w:bCs w:val="1"/>
          <w:color w:val="auto"/>
        </w:rPr>
      </w:pPr>
    </w:p>
    <w:p>
      <w:pPr>
        <w:ind w:left="1160" w:right="80" w:hanging="293"/>
        <w:spacing w:after="0" w:line="347" w:lineRule="auto"/>
        <w:tabs>
          <w:tab w:leader="none" w:pos="116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 ratify the appointment of Crowe LLP as our independent registered public accounting firm for the fiscal year ending December 31, 2026.</w:t>
      </w:r>
    </w:p>
    <w:p>
      <w:pPr>
        <w:spacing w:after="0" w:line="204" w:lineRule="exact"/>
        <w:rPr>
          <w:sz w:val="20"/>
          <w:szCs w:val="20"/>
          <w:color w:val="auto"/>
        </w:rPr>
      </w:pPr>
    </w:p>
    <w:p>
      <w:pPr>
        <w:jc w:val="both"/>
        <w:ind w:left="40" w:right="40"/>
        <w:spacing w:after="0" w:line="330" w:lineRule="auto"/>
        <w:rPr>
          <w:sz w:val="20"/>
          <w:szCs w:val="20"/>
          <w:color w:val="auto"/>
        </w:rPr>
      </w:pPr>
      <w:r>
        <w:rPr>
          <w:rFonts w:ascii="Times New Roman" w:cs="Times New Roman" w:eastAsia="Times New Roman" w:hAnsi="Times New Roman"/>
          <w:sz w:val="16"/>
          <w:szCs w:val="16"/>
          <w:color w:val="auto"/>
        </w:rPr>
        <w:t>Holders of record of our outstanding shares of capital stock, composed of Class A Common Stock and Class B Common Stock (collectively, “Common Stock”), at the close of business on April 15, 2026, are entitled to notice of and to vote at the Annual Meeting, or any continuation, postponement or adjournment of the Annual Meeting. A complete list of these stockholders will be available for examination by any stockholder during the ten (10) days prior to the Annual Meeting for a purpose germane to the meeting by sending an email to legal@vertexinc.com, stating the purpose of the request and providing proof of ownership of Company stock. This list of stockholders will also be available on the bottom panel of your screen during the meeting after entering the appropriate password included on the Notice of Internet Availability of Proxy Materials or any proxy card that you received, or on the materials provided by your bank or broker. The Annual Meeting may be continued or adjourned from time to time without notice other than by announcement at the Annual Meeting.</w:t>
      </w:r>
    </w:p>
    <w:p>
      <w:pPr>
        <w:spacing w:after="0" w:line="218" w:lineRule="exact"/>
        <w:rPr>
          <w:sz w:val="20"/>
          <w:szCs w:val="20"/>
          <w:color w:val="auto"/>
        </w:rPr>
      </w:pPr>
    </w:p>
    <w:p>
      <w:pPr>
        <w:jc w:val="both"/>
        <w:ind w:left="40" w:right="40"/>
        <w:spacing w:after="0" w:line="331" w:lineRule="auto"/>
        <w:rPr>
          <w:sz w:val="20"/>
          <w:szCs w:val="20"/>
          <w:color w:val="auto"/>
        </w:rPr>
      </w:pPr>
      <w:r>
        <w:rPr>
          <w:rFonts w:ascii="Times New Roman" w:cs="Times New Roman" w:eastAsia="Times New Roman" w:hAnsi="Times New Roman"/>
          <w:sz w:val="16"/>
          <w:szCs w:val="16"/>
          <w:b w:val="1"/>
          <w:bCs w:val="1"/>
          <w:color w:val="auto"/>
        </w:rPr>
        <w:t>IT IS IMPORTANT THAT YOUR SHARES BE REPRESENTED, REGARDLESS OF THE NUMBER OF SHARES YOU MAY HOLD. WHETHER OR NOT YOU PLAN TO ATTEND THE ANNUAL MEETING, WE URGE YOU TO VOTE YOUR SHARES VIA THE TELEPHONE NUMBER OR OVER THE INTERNET, AS DESCRIBED IN THE ENCLOSED MATERIALS. IF YOU REQUESTED TO RECEIVE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u w:val="single" w:color="auto"/>
          <w:color w:val="auto"/>
        </w:rPr>
        <w:t>John Schwab</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John Schwab</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King of Prussia, PA</w:t>
      </w:r>
    </w:p>
    <w:p>
      <w:pPr>
        <w:spacing w:after="0" w:line="1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April 27, 2026</w:t>
      </w:r>
    </w:p>
    <w:p>
      <w:pPr>
        <w:spacing w:after="0" w:line="200" w:lineRule="exact"/>
        <w:rPr>
          <w:sz w:val="20"/>
          <w:szCs w:val="20"/>
          <w:color w:val="auto"/>
        </w:rPr>
      </w:pPr>
    </w:p>
    <w:p>
      <w:pPr>
        <w:spacing w:after="0" w:line="38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479"/>
          </w:cols>
          <w:pgMar w:left="980" w:top="473"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Proxy Summary</w:t>
      </w:r>
    </w:p>
    <w:p>
      <w:pPr>
        <w:spacing w:after="0" w:line="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This summary highlights important information regarding the Annual Meeting and the Proxy Statement. It does not cover all of the information you should consider before voting, and you are encouraged to read the entire Proxy Statement before casting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30428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pacing w:after="0" w:line="380"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Meeting:</w:t>
            </w:r>
          </w:p>
        </w:tc>
        <w:tc>
          <w:tcPr>
            <w:tcW w:w="2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2026 Annual Meeting of</w:t>
            </w:r>
          </w:p>
        </w:tc>
        <w:tc>
          <w:tcPr>
            <w:tcW w:w="186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Stock Symbol:</w:t>
            </w:r>
          </w:p>
        </w:tc>
        <w:tc>
          <w:tcPr>
            <w:tcW w:w="1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VERX</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2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Stockholders</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2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Wednesday, June 10, 2026</w:t>
            </w:r>
          </w:p>
        </w:tc>
        <w:tc>
          <w:tcPr>
            <w:tcW w:w="1860" w:type="dxa"/>
            <w:vAlign w:val="bottom"/>
          </w:tcPr>
          <w:p>
            <w:pPr>
              <w:spacing w:after="0"/>
              <w:rPr>
                <w:sz w:val="24"/>
                <w:szCs w:val="2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Exchange:</w:t>
            </w:r>
          </w:p>
        </w:tc>
        <w:tc>
          <w:tcPr>
            <w:tcW w:w="1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Nasdaq</w:t>
            </w:r>
          </w:p>
        </w:tc>
        <w:tc>
          <w:tcPr>
            <w:tcW w:w="0" w:type="dxa"/>
            <w:vAlign w:val="bottom"/>
          </w:tcPr>
          <w:p>
            <w:pPr>
              <w:spacing w:after="0"/>
              <w:rPr>
                <w:sz w:val="1"/>
                <w:szCs w:val="1"/>
                <w:color w:val="auto"/>
              </w:rPr>
            </w:pPr>
          </w:p>
        </w:tc>
      </w:tr>
      <w:tr>
        <w:trPr>
          <w:trHeight w:val="386"/>
        </w:trPr>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Time:</w:t>
            </w:r>
          </w:p>
        </w:tc>
        <w:tc>
          <w:tcPr>
            <w:tcW w:w="2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9:00 a.m. EDT</w:t>
            </w:r>
          </w:p>
        </w:tc>
        <w:tc>
          <w:tcPr>
            <w:tcW w:w="32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State of Incorporation:</w:t>
            </w:r>
          </w:p>
        </w:tc>
        <w:tc>
          <w:tcPr>
            <w:tcW w:w="1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368"/>
        </w:trPr>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Virtual Meeting</w:t>
            </w:r>
          </w:p>
        </w:tc>
        <w:tc>
          <w:tcPr>
            <w:tcW w:w="32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Outstanding Common Stock as of the</w:t>
            </w:r>
          </w:p>
        </w:tc>
        <w:tc>
          <w:tcPr>
            <w:tcW w:w="1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161,737,785</w:t>
            </w:r>
          </w:p>
        </w:tc>
        <w:tc>
          <w:tcPr>
            <w:tcW w:w="0" w:type="dxa"/>
            <w:vAlign w:val="bottom"/>
          </w:tcPr>
          <w:p>
            <w:pPr>
              <w:spacing w:after="0"/>
              <w:rPr>
                <w:sz w:val="1"/>
                <w:szCs w:val="1"/>
                <w:color w:val="auto"/>
              </w:rPr>
            </w:pPr>
          </w:p>
        </w:tc>
      </w:tr>
      <w:tr>
        <w:trPr>
          <w:trHeight w:val="211"/>
        </w:trPr>
        <w:tc>
          <w:tcPr>
            <w:tcW w:w="1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2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April 15, 2026</w:t>
            </w:r>
          </w:p>
        </w:tc>
        <w:tc>
          <w:tcPr>
            <w:tcW w:w="32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Public Company Since:</w:t>
            </w:r>
          </w:p>
        </w:tc>
        <w:tc>
          <w:tcPr>
            <w:tcW w:w="1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2020</w:t>
            </w:r>
          </w:p>
        </w:tc>
        <w:tc>
          <w:tcPr>
            <w:tcW w:w="0" w:type="dxa"/>
            <w:vAlign w:val="bottom"/>
          </w:tcPr>
          <w:p>
            <w:pPr>
              <w:spacing w:after="0"/>
              <w:rPr>
                <w:sz w:val="1"/>
                <w:szCs w:val="1"/>
                <w:color w:val="auto"/>
              </w:rPr>
            </w:pPr>
          </w:p>
        </w:tc>
      </w:tr>
      <w:tr>
        <w:trPr>
          <w:trHeight w:val="350"/>
        </w:trPr>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Register To</w:t>
            </w:r>
          </w:p>
        </w:tc>
        <w:tc>
          <w:tcPr>
            <w:tcW w:w="2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7"/>
              </w:rPr>
              <w:t>Options for Voting</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7"/>
              </w:rPr>
              <w:t>Attend Virtual</w:t>
            </w:r>
          </w:p>
        </w:tc>
        <w:tc>
          <w:tcPr>
            <w:tcW w:w="2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100" w:type="dxa"/>
            <w:vAlign w:val="bottom"/>
            <w:vMerge w:val="continue"/>
          </w:tcPr>
          <w:p>
            <w:pPr>
              <w:spacing w:after="0"/>
              <w:rPr>
                <w:sz w:val="16"/>
                <w:szCs w:val="16"/>
                <w:color w:val="auto"/>
              </w:rPr>
            </w:pPr>
          </w:p>
        </w:tc>
        <w:tc>
          <w:tcPr>
            <w:tcW w:w="23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Internet:</w:t>
            </w:r>
          </w:p>
        </w:tc>
        <w:tc>
          <w:tcPr>
            <w:tcW w:w="17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8"/>
              </w:rPr>
              <w:t>www.proxydocs.com/verx</w:t>
            </w:r>
          </w:p>
        </w:tc>
        <w:tc>
          <w:tcPr>
            <w:tcW w:w="0" w:type="dxa"/>
            <w:vAlign w:val="bottom"/>
          </w:tcPr>
          <w:p>
            <w:pPr>
              <w:spacing w:after="0"/>
              <w:rPr>
                <w:sz w:val="1"/>
                <w:szCs w:val="1"/>
                <w:color w:val="auto"/>
              </w:rPr>
            </w:pPr>
          </w:p>
        </w:tc>
      </w:tr>
      <w:tr>
        <w:trPr>
          <w:trHeight w:val="193"/>
        </w:trPr>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Meeting:</w:t>
            </w:r>
          </w:p>
        </w:tc>
        <w:tc>
          <w:tcPr>
            <w:tcW w:w="23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Telephone:</w:t>
            </w:r>
          </w:p>
        </w:tc>
        <w:tc>
          <w:tcPr>
            <w:tcW w:w="1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866-883-3382</w:t>
            </w:r>
          </w:p>
        </w:tc>
        <w:tc>
          <w:tcPr>
            <w:tcW w:w="0" w:type="dxa"/>
            <w:vAlign w:val="bottom"/>
          </w:tcPr>
          <w:p>
            <w:pPr>
              <w:spacing w:after="0"/>
              <w:rPr>
                <w:sz w:val="1"/>
                <w:szCs w:val="1"/>
                <w:color w:val="auto"/>
              </w:rPr>
            </w:pPr>
          </w:p>
        </w:tc>
      </w:tr>
      <w:tr>
        <w:trPr>
          <w:trHeight w:val="211"/>
        </w:trPr>
        <w:tc>
          <w:tcPr>
            <w:tcW w:w="1100" w:type="dxa"/>
            <w:vAlign w:val="bottom"/>
          </w:tcPr>
          <w:p>
            <w:pPr>
              <w:spacing w:after="0"/>
              <w:rPr>
                <w:sz w:val="18"/>
                <w:szCs w:val="18"/>
                <w:color w:val="auto"/>
              </w:rPr>
            </w:pPr>
          </w:p>
        </w:tc>
        <w:tc>
          <w:tcPr>
            <w:tcW w:w="2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www.proxydocs.com/verx</w:t>
            </w:r>
          </w:p>
        </w:tc>
        <w:tc>
          <w:tcPr>
            <w:tcW w:w="18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Mail:</w:t>
            </w:r>
          </w:p>
        </w:tc>
        <w:tc>
          <w:tcPr>
            <w:tcW w:w="1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Proxy Card</w:t>
            </w:r>
          </w:p>
        </w:tc>
        <w:tc>
          <w:tcPr>
            <w:tcW w:w="0" w:type="dxa"/>
            <w:vAlign w:val="bottom"/>
          </w:tcPr>
          <w:p>
            <w:pPr>
              <w:spacing w:after="0"/>
              <w:rPr>
                <w:sz w:val="1"/>
                <w:szCs w:val="1"/>
                <w:color w:val="auto"/>
              </w:rPr>
            </w:pPr>
          </w:p>
        </w:tc>
      </w:tr>
    </w:tbl>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Website</w:t>
      </w:r>
      <w:r>
        <w:rPr>
          <w:rFonts w:ascii="Times New Roman" w:cs="Times New Roman" w:eastAsia="Times New Roman" w:hAnsi="Times New Roman"/>
          <w:sz w:val="16"/>
          <w:szCs w:val="16"/>
          <w:color w:val="auto"/>
        </w:rPr>
        <w:t>: www.vertexinc.com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 Website</w:t>
      </w:r>
      <w:r>
        <w:rPr>
          <w:rFonts w:ascii="Times New Roman" w:cs="Times New Roman" w:eastAsia="Times New Roman" w:hAnsi="Times New Roman"/>
          <w:sz w:val="16"/>
          <w:szCs w:val="16"/>
          <w:color w:val="auto"/>
        </w:rPr>
        <w:t>: ir.vertexinc.com</w:t>
      </w:r>
    </w:p>
    <w:p>
      <w:pPr>
        <w:spacing w:after="0" w:line="204"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6"/>
          <w:szCs w:val="16"/>
          <w:color w:val="auto"/>
        </w:rPr>
        <w:t>The information found on, or otherwise accessible through, our website is not incorporated by reference into, nor does it form a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630428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RECOMMENDATIONS OF THE BOARD</w:t>
      </w:r>
    </w:p>
    <w:p>
      <w:pPr>
        <w:spacing w:after="0" w:line="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Company’s Board of Directors (the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recommends that you vote:</w:t>
      </w:r>
    </w:p>
    <w:p>
      <w:pPr>
        <w:spacing w:after="0" w:line="16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election of three Directors: Eric Andersen, David DeStefano and Christopher Young.</w:t>
      </w:r>
    </w:p>
    <w:p>
      <w:pPr>
        <w:spacing w:after="0" w:line="106" w:lineRule="exact"/>
        <w:rPr>
          <w:sz w:val="20"/>
          <w:szCs w:val="20"/>
          <w:color w:val="auto"/>
        </w:rPr>
      </w:pPr>
    </w:p>
    <w:p>
      <w:pPr>
        <w:ind w:left="860" w:right="1000"/>
        <w:spacing w:after="0" w:line="287" w:lineRule="auto"/>
        <w:rPr>
          <w:sz w:val="20"/>
          <w:szCs w:val="20"/>
          <w:color w:val="auto"/>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ratification of the appointment of Crowe LLP as our independent registered public accounting firm for the fiscal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year ending December 31, 2026.</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WHY YOU RECEIVED THIS PROXY STATEMENT</w:t>
      </w:r>
      <w:r>
        <w:rPr>
          <w:rFonts w:ascii="Times New Roman" w:cs="Times New Roman" w:eastAsia="Times New Roman" w:hAnsi="Times New Roman"/>
          <w:sz w:val="19"/>
          <w:szCs w:val="19"/>
          <w:color w:val="auto"/>
        </w:rPr>
        <w:t>.</w:t>
      </w:r>
    </w:p>
    <w:p>
      <w:pPr>
        <w:spacing w:after="0" w:line="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You are viewing or have received these proxy materials because the Board is soliciting your proxy to vote your shares at the Annual Meeting. This Proxy Statement includes information that we are required to provide to you under the rules of the Securities and Exchange Commission and that is designed to assist you in voting your shares.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PRINTED COPIES OF OUR PROXY MATERIALS</w:t>
      </w:r>
      <w:r>
        <w:rPr>
          <w:rFonts w:ascii="Times New Roman" w:cs="Times New Roman" w:eastAsia="Times New Roman" w:hAnsi="Times New Roman"/>
          <w:sz w:val="19"/>
          <w:szCs w:val="19"/>
          <w:color w:val="auto"/>
        </w:rPr>
        <w:t>.</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If you received printed copies of our proxy materials, then instructions regarding how you can vote are contained on the proxy card included in the materials.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9"/>
          <w:szCs w:val="29"/>
          <w:b w:val="1"/>
          <w:bCs w:val="1"/>
          <w:color w:val="auto"/>
        </w:rPr>
        <w:t>TABLE OF CONTENTS</w:t>
      </w:r>
    </w:p>
    <w:p>
      <w:pPr>
        <w:spacing w:after="0" w:line="29"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3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22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149"/>
        </w:trPr>
        <w:tc>
          <w:tcPr>
            <w:tcW w:w="9000" w:type="dxa"/>
            <w:vAlign w:val="bottom"/>
            <w:tcBorders>
              <w:left w:val="single" w:sz="8" w:color="auto"/>
              <w:right w:val="single" w:sz="8" w:color="auto"/>
            </w:tcBorders>
            <w:gridSpan w:val="49"/>
          </w:tcPr>
          <w:p>
            <w:pPr>
              <w:ind w:left="20"/>
              <w:spacing w:after="0" w:line="149" w:lineRule="exact"/>
              <w:rPr>
                <w:sz w:val="20"/>
                <w:szCs w:val="20"/>
                <w:color w:val="auto"/>
              </w:rPr>
            </w:pPr>
            <w:r>
              <w:rPr>
                <w:rFonts w:ascii="Times New Roman" w:cs="Times New Roman" w:eastAsia="Times New Roman" w:hAnsi="Times New Roman"/>
                <w:sz w:val="16"/>
                <w:szCs w:val="16"/>
                <w:b w:val="1"/>
                <w:bCs w:val="1"/>
                <w:color w:val="0000EE"/>
              </w:rPr>
              <w:t>PROXY SUMMARY</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6"/>
                <w:szCs w:val="16"/>
                <w:color w:val="auto"/>
                <w:w w:val="95"/>
              </w:rPr>
              <w:t>iv</w:t>
            </w:r>
          </w:p>
        </w:tc>
        <w:tc>
          <w:tcPr>
            <w:tcW w:w="0" w:type="dxa"/>
            <w:vAlign w:val="bottom"/>
          </w:tcPr>
          <w:p>
            <w:pPr>
              <w:spacing w:after="0"/>
              <w:rPr>
                <w:sz w:val="1"/>
                <w:szCs w:val="1"/>
                <w:color w:val="auto"/>
              </w:rPr>
            </w:pPr>
          </w:p>
        </w:tc>
      </w:tr>
      <w:tr>
        <w:trPr>
          <w:trHeight w:val="20"/>
        </w:trPr>
        <w:tc>
          <w:tcPr>
            <w:tcW w:w="320" w:type="dxa"/>
            <w:vAlign w:val="bottom"/>
            <w:tcBorders>
              <w:top w:val="single" w:sz="8" w:color="0000EE"/>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0000EE"/>
              </w:rPr>
              <w:t>PROXY STATEMENT</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w w:val="99"/>
              </w:rPr>
              <w:t>1</w:t>
            </w:r>
          </w:p>
        </w:tc>
        <w:tc>
          <w:tcPr>
            <w:tcW w:w="0" w:type="dxa"/>
            <w:vAlign w:val="bottom"/>
          </w:tcPr>
          <w:p>
            <w:pPr>
              <w:spacing w:after="0"/>
              <w:rPr>
                <w:sz w:val="1"/>
                <w:szCs w:val="1"/>
                <w:color w:val="auto"/>
              </w:rPr>
            </w:pPr>
          </w:p>
        </w:tc>
      </w:tr>
      <w:tr>
        <w:trPr>
          <w:trHeight w:val="20"/>
        </w:trPr>
        <w:tc>
          <w:tcPr>
            <w:tcW w:w="320" w:type="dxa"/>
            <w:vAlign w:val="bottom"/>
            <w:tcBorders>
              <w:top w:val="single" w:sz="8" w:color="0000EE"/>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0000EE"/>
              </w:rPr>
              <w:t>QUESTIONS AND ANSWERS ABOUT THE 2026 ANNUAL MEETING OF STOCKHOLDERS</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w w:val="99"/>
              </w:rPr>
              <w:t>2</w:t>
            </w:r>
          </w:p>
        </w:tc>
        <w:tc>
          <w:tcPr>
            <w:tcW w:w="0" w:type="dxa"/>
            <w:vAlign w:val="bottom"/>
          </w:tcPr>
          <w:p>
            <w:pPr>
              <w:spacing w:after="0"/>
              <w:rPr>
                <w:sz w:val="1"/>
                <w:szCs w:val="1"/>
                <w:color w:val="auto"/>
              </w:rPr>
            </w:pPr>
          </w:p>
        </w:tc>
      </w:tr>
      <w:tr>
        <w:trPr>
          <w:trHeight w:val="20"/>
        </w:trPr>
        <w:tc>
          <w:tcPr>
            <w:tcW w:w="320" w:type="dxa"/>
            <w:vAlign w:val="bottom"/>
            <w:tcBorders>
              <w:top w:val="single" w:sz="8" w:color="0000EE"/>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9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0000EE"/>
              </w:rPr>
              <w:t>PROPOSALS TO BE VOTED ON</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w w:val="99"/>
              </w:rPr>
              <w:t>5</w:t>
            </w:r>
          </w:p>
        </w:tc>
        <w:tc>
          <w:tcPr>
            <w:tcW w:w="0" w:type="dxa"/>
            <w:vAlign w:val="bottom"/>
          </w:tcPr>
          <w:p>
            <w:pPr>
              <w:spacing w:after="0"/>
              <w:rPr>
                <w:sz w:val="1"/>
                <w:szCs w:val="1"/>
                <w:color w:val="auto"/>
              </w:rPr>
            </w:pPr>
          </w:p>
        </w:tc>
      </w:tr>
      <w:tr>
        <w:trPr>
          <w:trHeight w:val="20"/>
        </w:trPr>
        <w:tc>
          <w:tcPr>
            <w:tcW w:w="320" w:type="dxa"/>
            <w:vAlign w:val="bottom"/>
            <w:tcBorders>
              <w:top w:val="single" w:sz="8" w:color="0000EE"/>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320"/>
              <w:spacing w:after="0" w:line="145" w:lineRule="exact"/>
              <w:rPr>
                <w:sz w:val="20"/>
                <w:szCs w:val="20"/>
                <w:color w:val="auto"/>
              </w:rPr>
            </w:pPr>
            <w:r>
              <w:rPr>
                <w:rFonts w:ascii="Times New Roman" w:cs="Times New Roman" w:eastAsia="Times New Roman" w:hAnsi="Times New Roman"/>
                <w:sz w:val="16"/>
                <w:szCs w:val="16"/>
                <w:color w:val="0000EE"/>
              </w:rPr>
              <w:t>Proposal 1: Election of Directors</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320"/>
              <w:spacing w:after="0" w:line="145" w:lineRule="exact"/>
              <w:rPr>
                <w:sz w:val="20"/>
                <w:szCs w:val="20"/>
                <w:color w:val="auto"/>
              </w:rPr>
            </w:pPr>
            <w:r>
              <w:rPr>
                <w:rFonts w:ascii="Times New Roman" w:cs="Times New Roman" w:eastAsia="Times New Roman" w:hAnsi="Times New Roman"/>
                <w:sz w:val="16"/>
                <w:szCs w:val="16"/>
                <w:color w:val="0000EE"/>
              </w:rPr>
              <w:t>Proposal 2: Ratification of Appointment of Independent Registered Public Accounting Firm</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9</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9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2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0" w:type="dxa"/>
            <w:vAlign w:val="bottom"/>
            <w:tcBorders>
              <w:right w:val="single" w:sz="8" w:color="auto"/>
            </w:tcBorders>
            <w:gridSpan w:val="47"/>
          </w:tcPr>
          <w:p>
            <w:pPr>
              <w:spacing w:after="0" w:line="145" w:lineRule="exact"/>
              <w:rPr>
                <w:sz w:val="20"/>
                <w:szCs w:val="20"/>
                <w:color w:val="auto"/>
              </w:rPr>
            </w:pPr>
            <w:r>
              <w:rPr>
                <w:rFonts w:ascii="Times New Roman" w:cs="Times New Roman" w:eastAsia="Times New Roman" w:hAnsi="Times New Roman"/>
                <w:sz w:val="16"/>
                <w:szCs w:val="16"/>
                <w:color w:val="0000EE"/>
              </w:rPr>
              <w:t>Independent Auditor Fees and Other Matters</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9</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2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0" w:type="dxa"/>
            <w:vAlign w:val="bottom"/>
            <w:tcBorders>
              <w:right w:val="single" w:sz="8" w:color="auto"/>
            </w:tcBorders>
            <w:gridSpan w:val="47"/>
          </w:tcPr>
          <w:p>
            <w:pPr>
              <w:spacing w:after="0" w:line="145" w:lineRule="exact"/>
              <w:rPr>
                <w:sz w:val="20"/>
                <w:szCs w:val="20"/>
                <w:color w:val="auto"/>
              </w:rPr>
            </w:pPr>
            <w:r>
              <w:rPr>
                <w:rFonts w:ascii="Times New Roman" w:cs="Times New Roman" w:eastAsia="Times New Roman" w:hAnsi="Times New Roman"/>
                <w:sz w:val="16"/>
                <w:szCs w:val="16"/>
                <w:color w:val="0000EE"/>
              </w:rPr>
              <w:t>Report of the Audit Committee of the Board of Directors</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10</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0000EE"/>
              </w:rPr>
              <w:t>CORPORATE GOVERNANCE</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w w:val="99"/>
              </w:rPr>
              <w:t>11</w:t>
            </w:r>
          </w:p>
        </w:tc>
        <w:tc>
          <w:tcPr>
            <w:tcW w:w="0" w:type="dxa"/>
            <w:vAlign w:val="bottom"/>
          </w:tcPr>
          <w:p>
            <w:pPr>
              <w:spacing w:after="0"/>
              <w:rPr>
                <w:sz w:val="1"/>
                <w:szCs w:val="1"/>
                <w:color w:val="auto"/>
              </w:rPr>
            </w:pPr>
          </w:p>
        </w:tc>
      </w:tr>
      <w:tr>
        <w:trPr>
          <w:trHeight w:val="20"/>
        </w:trPr>
        <w:tc>
          <w:tcPr>
            <w:tcW w:w="320" w:type="dxa"/>
            <w:vAlign w:val="bottom"/>
            <w:tcBorders>
              <w:top w:val="single" w:sz="8" w:color="0000EE"/>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320"/>
              <w:spacing w:after="0" w:line="145" w:lineRule="exact"/>
              <w:rPr>
                <w:sz w:val="20"/>
                <w:szCs w:val="20"/>
                <w:color w:val="auto"/>
              </w:rPr>
            </w:pPr>
            <w:r>
              <w:rPr>
                <w:rFonts w:ascii="Times New Roman" w:cs="Times New Roman" w:eastAsia="Times New Roman" w:hAnsi="Times New Roman"/>
                <w:sz w:val="16"/>
                <w:szCs w:val="16"/>
                <w:color w:val="0000EE"/>
              </w:rPr>
              <w:t>Board of Directors</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11</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2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0" w:type="dxa"/>
            <w:vAlign w:val="bottom"/>
            <w:tcBorders>
              <w:right w:val="single" w:sz="8" w:color="auto"/>
            </w:tcBorders>
            <w:gridSpan w:val="47"/>
          </w:tcPr>
          <w:p>
            <w:pPr>
              <w:spacing w:after="0" w:line="145" w:lineRule="exact"/>
              <w:rPr>
                <w:sz w:val="20"/>
                <w:szCs w:val="20"/>
                <w:color w:val="auto"/>
              </w:rPr>
            </w:pPr>
            <w:r>
              <w:rPr>
                <w:rFonts w:ascii="Times New Roman" w:cs="Times New Roman" w:eastAsia="Times New Roman" w:hAnsi="Times New Roman"/>
                <w:sz w:val="16"/>
                <w:szCs w:val="16"/>
                <w:color w:val="0000EE"/>
              </w:rPr>
              <w:t>Independence</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11</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2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0" w:type="dxa"/>
            <w:vAlign w:val="bottom"/>
            <w:tcBorders>
              <w:right w:val="single" w:sz="8" w:color="auto"/>
            </w:tcBorders>
            <w:gridSpan w:val="47"/>
          </w:tcPr>
          <w:p>
            <w:pPr>
              <w:spacing w:after="0" w:line="145" w:lineRule="exact"/>
              <w:rPr>
                <w:sz w:val="20"/>
                <w:szCs w:val="20"/>
                <w:color w:val="auto"/>
              </w:rPr>
            </w:pPr>
            <w:r>
              <w:rPr>
                <w:rFonts w:ascii="Times New Roman" w:cs="Times New Roman" w:eastAsia="Times New Roman" w:hAnsi="Times New Roman"/>
                <w:sz w:val="16"/>
                <w:szCs w:val="16"/>
                <w:color w:val="0000EE"/>
              </w:rPr>
              <w:t>Corporate Policies</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11</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2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0" w:type="dxa"/>
            <w:vAlign w:val="bottom"/>
            <w:tcBorders>
              <w:right w:val="single" w:sz="8" w:color="auto"/>
            </w:tcBorders>
            <w:gridSpan w:val="47"/>
          </w:tcPr>
          <w:p>
            <w:pPr>
              <w:spacing w:after="0" w:line="145" w:lineRule="exact"/>
              <w:rPr>
                <w:sz w:val="20"/>
                <w:szCs w:val="20"/>
                <w:color w:val="auto"/>
              </w:rPr>
            </w:pPr>
            <w:r>
              <w:rPr>
                <w:rFonts w:ascii="Times New Roman" w:cs="Times New Roman" w:eastAsia="Times New Roman" w:hAnsi="Times New Roman"/>
                <w:sz w:val="16"/>
                <w:szCs w:val="16"/>
                <w:color w:val="0000EE"/>
              </w:rPr>
              <w:t>Board Leadership Structure and Role in Risk Oversight</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12</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2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0" w:type="dxa"/>
            <w:vAlign w:val="bottom"/>
            <w:tcBorders>
              <w:right w:val="single" w:sz="8" w:color="auto"/>
            </w:tcBorders>
            <w:gridSpan w:val="47"/>
          </w:tcPr>
          <w:p>
            <w:pPr>
              <w:spacing w:after="0" w:line="145" w:lineRule="exact"/>
              <w:rPr>
                <w:sz w:val="20"/>
                <w:szCs w:val="20"/>
                <w:color w:val="auto"/>
              </w:rPr>
            </w:pPr>
            <w:r>
              <w:rPr>
                <w:rFonts w:ascii="Times New Roman" w:cs="Times New Roman" w:eastAsia="Times New Roman" w:hAnsi="Times New Roman"/>
                <w:sz w:val="16"/>
                <w:szCs w:val="16"/>
                <w:color w:val="0000EE"/>
              </w:rPr>
              <w:t>Attendance by Members of the Board at Meetings</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12</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2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0" w:type="dxa"/>
            <w:vAlign w:val="bottom"/>
            <w:tcBorders>
              <w:right w:val="single" w:sz="8" w:color="auto"/>
            </w:tcBorders>
            <w:gridSpan w:val="47"/>
          </w:tcPr>
          <w:p>
            <w:pPr>
              <w:spacing w:after="0" w:line="145" w:lineRule="exact"/>
              <w:rPr>
                <w:sz w:val="20"/>
                <w:szCs w:val="20"/>
                <w:color w:val="auto"/>
              </w:rPr>
            </w:pPr>
            <w:r>
              <w:rPr>
                <w:rFonts w:ascii="Times New Roman" w:cs="Times New Roman" w:eastAsia="Times New Roman" w:hAnsi="Times New Roman"/>
                <w:sz w:val="16"/>
                <w:szCs w:val="16"/>
                <w:color w:val="0000EE"/>
              </w:rPr>
              <w:t>Executive Sessions</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13</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2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0" w:type="dxa"/>
            <w:vAlign w:val="bottom"/>
            <w:tcBorders>
              <w:right w:val="single" w:sz="8" w:color="auto"/>
            </w:tcBorders>
            <w:gridSpan w:val="47"/>
          </w:tcPr>
          <w:p>
            <w:pPr>
              <w:spacing w:after="0" w:line="145" w:lineRule="exact"/>
              <w:rPr>
                <w:sz w:val="20"/>
                <w:szCs w:val="20"/>
                <w:color w:val="auto"/>
              </w:rPr>
            </w:pPr>
            <w:r>
              <w:rPr>
                <w:rFonts w:ascii="Times New Roman" w:cs="Times New Roman" w:eastAsia="Times New Roman" w:hAnsi="Times New Roman"/>
                <w:sz w:val="16"/>
                <w:szCs w:val="16"/>
                <w:color w:val="0000EE"/>
              </w:rPr>
              <w:t>Committees of the Board</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13</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2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100" w:type="dxa"/>
            <w:vAlign w:val="bottom"/>
            <w:tcBorders>
              <w:right w:val="single" w:sz="8" w:color="auto"/>
            </w:tcBorders>
            <w:gridSpan w:val="46"/>
          </w:tcPr>
          <w:p>
            <w:pPr>
              <w:spacing w:after="0" w:line="145" w:lineRule="exact"/>
              <w:rPr>
                <w:sz w:val="20"/>
                <w:szCs w:val="20"/>
                <w:color w:val="auto"/>
              </w:rPr>
            </w:pPr>
            <w:r>
              <w:rPr>
                <w:rFonts w:ascii="Times New Roman" w:cs="Times New Roman" w:eastAsia="Times New Roman" w:hAnsi="Times New Roman"/>
                <w:sz w:val="16"/>
                <w:szCs w:val="16"/>
                <w:color w:val="0000EE"/>
              </w:rPr>
              <w:t>Audit Committee</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13</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2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100" w:type="dxa"/>
            <w:vAlign w:val="bottom"/>
            <w:tcBorders>
              <w:right w:val="single" w:sz="8" w:color="auto"/>
            </w:tcBorders>
            <w:gridSpan w:val="46"/>
          </w:tcPr>
          <w:p>
            <w:pPr>
              <w:spacing w:after="0" w:line="145" w:lineRule="exact"/>
              <w:rPr>
                <w:sz w:val="20"/>
                <w:szCs w:val="20"/>
                <w:color w:val="auto"/>
              </w:rPr>
            </w:pPr>
            <w:r>
              <w:rPr>
                <w:rFonts w:ascii="Times New Roman" w:cs="Times New Roman" w:eastAsia="Times New Roman" w:hAnsi="Times New Roman"/>
                <w:sz w:val="16"/>
                <w:szCs w:val="16"/>
                <w:color w:val="0000EE"/>
              </w:rPr>
              <w:t>Human Capital Committee</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13</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2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100" w:type="dxa"/>
            <w:vAlign w:val="bottom"/>
            <w:tcBorders>
              <w:right w:val="single" w:sz="8" w:color="auto"/>
            </w:tcBorders>
            <w:gridSpan w:val="46"/>
          </w:tcPr>
          <w:p>
            <w:pPr>
              <w:spacing w:after="0" w:line="145" w:lineRule="exact"/>
              <w:rPr>
                <w:sz w:val="20"/>
                <w:szCs w:val="20"/>
                <w:color w:val="auto"/>
              </w:rPr>
            </w:pPr>
            <w:r>
              <w:rPr>
                <w:rFonts w:ascii="Times New Roman" w:cs="Times New Roman" w:eastAsia="Times New Roman" w:hAnsi="Times New Roman"/>
                <w:sz w:val="16"/>
                <w:szCs w:val="16"/>
                <w:color w:val="0000EE"/>
              </w:rPr>
              <w:t>Nominating and Governance Committee</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14</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2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0" w:type="dxa"/>
            <w:vAlign w:val="bottom"/>
            <w:tcBorders>
              <w:right w:val="single" w:sz="8" w:color="auto"/>
            </w:tcBorders>
            <w:gridSpan w:val="47"/>
          </w:tcPr>
          <w:p>
            <w:pPr>
              <w:spacing w:after="0" w:line="145" w:lineRule="exact"/>
              <w:rPr>
                <w:sz w:val="20"/>
                <w:szCs w:val="20"/>
                <w:color w:val="auto"/>
              </w:rPr>
            </w:pPr>
            <w:r>
              <w:rPr>
                <w:rFonts w:ascii="Times New Roman" w:cs="Times New Roman" w:eastAsia="Times New Roman" w:hAnsi="Times New Roman"/>
                <w:sz w:val="16"/>
                <w:szCs w:val="16"/>
                <w:color w:val="0000EE"/>
              </w:rPr>
              <w:t>Human Capital Committee Interlocks and Insider Participation</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14</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2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0" w:type="dxa"/>
            <w:vAlign w:val="bottom"/>
            <w:tcBorders>
              <w:right w:val="single" w:sz="8" w:color="auto"/>
            </w:tcBorders>
            <w:gridSpan w:val="47"/>
          </w:tcPr>
          <w:p>
            <w:pPr>
              <w:spacing w:after="0" w:line="145" w:lineRule="exact"/>
              <w:rPr>
                <w:sz w:val="20"/>
                <w:szCs w:val="20"/>
                <w:color w:val="auto"/>
              </w:rPr>
            </w:pPr>
            <w:r>
              <w:rPr>
                <w:rFonts w:ascii="Times New Roman" w:cs="Times New Roman" w:eastAsia="Times New Roman" w:hAnsi="Times New Roman"/>
                <w:sz w:val="16"/>
                <w:szCs w:val="16"/>
                <w:color w:val="0000EE"/>
              </w:rPr>
              <w:t>Director Candidates</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14</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320"/>
              <w:spacing w:after="0" w:line="145" w:lineRule="exact"/>
              <w:rPr>
                <w:sz w:val="20"/>
                <w:szCs w:val="20"/>
                <w:color w:val="auto"/>
              </w:rPr>
            </w:pPr>
            <w:r>
              <w:rPr>
                <w:rFonts w:ascii="Times New Roman" w:cs="Times New Roman" w:eastAsia="Times New Roman" w:hAnsi="Times New Roman"/>
                <w:sz w:val="16"/>
                <w:szCs w:val="16"/>
                <w:color w:val="0000EE"/>
              </w:rPr>
              <w:t>Sustainability</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15</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320"/>
              <w:spacing w:after="0" w:line="145" w:lineRule="exact"/>
              <w:rPr>
                <w:sz w:val="20"/>
                <w:szCs w:val="20"/>
                <w:color w:val="auto"/>
              </w:rPr>
            </w:pPr>
            <w:r>
              <w:rPr>
                <w:rFonts w:ascii="Times New Roman" w:cs="Times New Roman" w:eastAsia="Times New Roman" w:hAnsi="Times New Roman"/>
                <w:sz w:val="16"/>
                <w:szCs w:val="16"/>
                <w:color w:val="0000EE"/>
              </w:rPr>
              <w:t>Security and Data Privacy</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16</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320"/>
              <w:spacing w:after="0" w:line="145" w:lineRule="exact"/>
              <w:rPr>
                <w:sz w:val="20"/>
                <w:szCs w:val="20"/>
                <w:color w:val="auto"/>
              </w:rPr>
            </w:pPr>
            <w:r>
              <w:rPr>
                <w:rFonts w:ascii="Times New Roman" w:cs="Times New Roman" w:eastAsia="Times New Roman" w:hAnsi="Times New Roman"/>
                <w:sz w:val="16"/>
                <w:szCs w:val="16"/>
                <w:color w:val="0000EE"/>
              </w:rPr>
              <w:t>Total Rewards</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16</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320"/>
              <w:spacing w:after="0" w:line="145" w:lineRule="exact"/>
              <w:rPr>
                <w:sz w:val="20"/>
                <w:szCs w:val="20"/>
                <w:color w:val="auto"/>
              </w:rPr>
            </w:pPr>
            <w:r>
              <w:rPr>
                <w:rFonts w:ascii="Times New Roman" w:cs="Times New Roman" w:eastAsia="Times New Roman" w:hAnsi="Times New Roman"/>
                <w:sz w:val="16"/>
                <w:szCs w:val="16"/>
                <w:color w:val="0000EE"/>
              </w:rPr>
              <w:t>Stockholders’ Agreement</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17</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320"/>
              <w:spacing w:after="0" w:line="145" w:lineRule="exact"/>
              <w:rPr>
                <w:sz w:val="20"/>
                <w:szCs w:val="20"/>
                <w:color w:val="auto"/>
              </w:rPr>
            </w:pPr>
            <w:r>
              <w:rPr>
                <w:rFonts w:ascii="Times New Roman" w:cs="Times New Roman" w:eastAsia="Times New Roman" w:hAnsi="Times New Roman"/>
                <w:sz w:val="16"/>
                <w:szCs w:val="16"/>
                <w:color w:val="0000EE"/>
              </w:rPr>
              <w:t>Controlled Company Exemption</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17</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320"/>
              <w:spacing w:after="0" w:line="145" w:lineRule="exact"/>
              <w:rPr>
                <w:sz w:val="20"/>
                <w:szCs w:val="20"/>
                <w:color w:val="auto"/>
              </w:rPr>
            </w:pPr>
            <w:r>
              <w:rPr>
                <w:rFonts w:ascii="Times New Roman" w:cs="Times New Roman" w:eastAsia="Times New Roman" w:hAnsi="Times New Roman"/>
                <w:sz w:val="16"/>
                <w:szCs w:val="16"/>
                <w:color w:val="0000EE"/>
              </w:rPr>
              <w:t>Communications from Interested Parties</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17</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320"/>
              <w:spacing w:after="0" w:line="145" w:lineRule="exact"/>
              <w:rPr>
                <w:sz w:val="20"/>
                <w:szCs w:val="20"/>
                <w:color w:val="auto"/>
              </w:rPr>
            </w:pPr>
            <w:r>
              <w:rPr>
                <w:rFonts w:ascii="Times New Roman" w:cs="Times New Roman" w:eastAsia="Times New Roman" w:hAnsi="Times New Roman"/>
                <w:sz w:val="16"/>
                <w:szCs w:val="16"/>
                <w:color w:val="0000EE"/>
              </w:rPr>
              <w:t>Executive Officers</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18</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0000EE"/>
              </w:rPr>
              <w:t>COMPENSATION DISCUSSION AND ANALYSIS</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w w:val="99"/>
              </w:rPr>
              <w:t>19</w:t>
            </w:r>
          </w:p>
        </w:tc>
        <w:tc>
          <w:tcPr>
            <w:tcW w:w="0" w:type="dxa"/>
            <w:vAlign w:val="bottom"/>
          </w:tcPr>
          <w:p>
            <w:pPr>
              <w:spacing w:after="0"/>
              <w:rPr>
                <w:sz w:val="1"/>
                <w:szCs w:val="1"/>
                <w:color w:val="auto"/>
              </w:rPr>
            </w:pPr>
          </w:p>
        </w:tc>
      </w:tr>
      <w:tr>
        <w:trPr>
          <w:trHeight w:val="20"/>
        </w:trPr>
        <w:tc>
          <w:tcPr>
            <w:tcW w:w="320" w:type="dxa"/>
            <w:vAlign w:val="bottom"/>
            <w:tcBorders>
              <w:top w:val="single" w:sz="8" w:color="0000EE"/>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320"/>
              <w:spacing w:after="0" w:line="145" w:lineRule="exact"/>
              <w:rPr>
                <w:sz w:val="20"/>
                <w:szCs w:val="20"/>
                <w:color w:val="auto"/>
              </w:rPr>
            </w:pPr>
            <w:r>
              <w:rPr>
                <w:rFonts w:ascii="Times New Roman" w:cs="Times New Roman" w:eastAsia="Times New Roman" w:hAnsi="Times New Roman"/>
                <w:sz w:val="16"/>
                <w:szCs w:val="16"/>
                <w:color w:val="0000EE"/>
              </w:rPr>
              <w:t>Executive Summary</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19</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20" w:type="dxa"/>
            <w:vAlign w:val="bottom"/>
            <w:tcBorders>
              <w:left w:val="single" w:sz="8" w:color="auto"/>
            </w:tcBorders>
            <w:vMerge w:val="restart"/>
          </w:tcPr>
          <w:p>
            <w:pPr>
              <w:spacing w:after="0"/>
              <w:rPr>
                <w:sz w:val="12"/>
                <w:szCs w:val="12"/>
                <w:color w:val="auto"/>
              </w:rPr>
            </w:pPr>
          </w:p>
        </w:tc>
        <w:tc>
          <w:tcPr>
            <w:tcW w:w="4280" w:type="dxa"/>
            <w:vAlign w:val="bottom"/>
            <w:tcBorders>
              <w:bottom w:val="single" w:sz="8" w:color="0000EE"/>
            </w:tcBorders>
            <w:gridSpan w:val="42"/>
          </w:tcPr>
          <w:p>
            <w:pPr>
              <w:spacing w:after="0" w:line="137" w:lineRule="exact"/>
              <w:rPr>
                <w:sz w:val="20"/>
                <w:szCs w:val="20"/>
                <w:color w:val="auto"/>
              </w:rPr>
            </w:pPr>
            <w:r>
              <w:rPr>
                <w:rFonts w:ascii="Times New Roman" w:cs="Times New Roman" w:eastAsia="Times New Roman" w:hAnsi="Times New Roman"/>
                <w:sz w:val="15"/>
                <w:szCs w:val="15"/>
                <w:color w:val="0000EE"/>
              </w:rPr>
              <w:t>Report of the Human Capital Committee of the Board of Directors</w:t>
            </w:r>
          </w:p>
        </w:tc>
        <w:tc>
          <w:tcPr>
            <w:tcW w:w="700" w:type="dxa"/>
            <w:vAlign w:val="bottom"/>
            <w:gridSpan w:val="2"/>
            <w:vMerge w:val="restart"/>
          </w:tcPr>
          <w:p>
            <w:pPr>
              <w:spacing w:after="0"/>
              <w:rPr>
                <w:sz w:val="12"/>
                <w:szCs w:val="12"/>
                <w:color w:val="auto"/>
              </w:rPr>
            </w:pPr>
          </w:p>
        </w:tc>
        <w:tc>
          <w:tcPr>
            <w:tcW w:w="1060" w:type="dxa"/>
            <w:vAlign w:val="bottom"/>
            <w:gridSpan w:val="2"/>
            <w:vMerge w:val="restart"/>
          </w:tcPr>
          <w:p>
            <w:pPr>
              <w:spacing w:after="0"/>
              <w:rPr>
                <w:sz w:val="12"/>
                <w:szCs w:val="12"/>
                <w:color w:val="auto"/>
              </w:rPr>
            </w:pPr>
          </w:p>
        </w:tc>
        <w:tc>
          <w:tcPr>
            <w:tcW w:w="2640" w:type="dxa"/>
            <w:vAlign w:val="bottom"/>
            <w:tcBorders>
              <w:right w:val="single" w:sz="8" w:color="auto"/>
            </w:tcBorders>
            <w:gridSpan w:val="2"/>
            <w:vMerge w:val="restart"/>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c>
          <w:tcPr>
            <w:tcW w:w="0" w:type="dxa"/>
            <w:vAlign w:val="bottom"/>
          </w:tcPr>
          <w:p>
            <w:pPr>
              <w:spacing w:after="0"/>
              <w:rPr>
                <w:sz w:val="1"/>
                <w:szCs w:val="1"/>
                <w:color w:val="auto"/>
              </w:rPr>
            </w:pPr>
          </w:p>
        </w:tc>
      </w:tr>
      <w:tr>
        <w:trPr>
          <w:trHeight w:val="52"/>
        </w:trPr>
        <w:tc>
          <w:tcPr>
            <w:tcW w:w="320" w:type="dxa"/>
            <w:vAlign w:val="bottom"/>
            <w:tcBorders>
              <w:left w:val="single" w:sz="8" w:color="auto"/>
              <w:bottom w:val="single" w:sz="8" w:color="auto"/>
            </w:tcBorders>
            <w:vMerge w:val="continue"/>
          </w:tcPr>
          <w:p>
            <w:pPr>
              <w:spacing w:after="0"/>
              <w:rPr>
                <w:sz w:val="4"/>
                <w:szCs w:val="4"/>
                <w:color w:val="auto"/>
              </w:rPr>
            </w:pPr>
          </w:p>
        </w:tc>
        <w:tc>
          <w:tcPr>
            <w:tcW w:w="1100" w:type="dxa"/>
            <w:vAlign w:val="bottom"/>
            <w:tcBorders>
              <w:bottom w:val="single" w:sz="8" w:color="auto"/>
            </w:tcBorders>
            <w:gridSpan w:val="5"/>
          </w:tcPr>
          <w:p>
            <w:pPr>
              <w:spacing w:after="0"/>
              <w:rPr>
                <w:sz w:val="4"/>
                <w:szCs w:val="4"/>
                <w:color w:val="auto"/>
              </w:rPr>
            </w:pPr>
          </w:p>
        </w:tc>
        <w:tc>
          <w:tcPr>
            <w:tcW w:w="340" w:type="dxa"/>
            <w:vAlign w:val="bottom"/>
            <w:tcBorders>
              <w:bottom w:val="single" w:sz="8" w:color="auto"/>
            </w:tcBorders>
            <w:gridSpan w:val="5"/>
          </w:tcPr>
          <w:p>
            <w:pPr>
              <w:spacing w:after="0"/>
              <w:rPr>
                <w:sz w:val="4"/>
                <w:szCs w:val="4"/>
                <w:color w:val="auto"/>
              </w:rPr>
            </w:pPr>
          </w:p>
        </w:tc>
        <w:tc>
          <w:tcPr>
            <w:tcW w:w="10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gridSpan w:val="5"/>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gridSpan w:val="3"/>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gridSpan w:val="3"/>
          </w:tcPr>
          <w:p>
            <w:pPr>
              <w:spacing w:after="0"/>
              <w:rPr>
                <w:sz w:val="4"/>
                <w:szCs w:val="4"/>
                <w:color w:val="auto"/>
              </w:rPr>
            </w:pPr>
          </w:p>
        </w:tc>
        <w:tc>
          <w:tcPr>
            <w:tcW w:w="1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gridSpan w:val="2"/>
            <w:vMerge w:val="continue"/>
          </w:tcPr>
          <w:p>
            <w:pPr>
              <w:spacing w:after="0"/>
              <w:rPr>
                <w:sz w:val="4"/>
                <w:szCs w:val="4"/>
                <w:color w:val="auto"/>
              </w:rPr>
            </w:pPr>
          </w:p>
        </w:tc>
        <w:tc>
          <w:tcPr>
            <w:tcW w:w="1060" w:type="dxa"/>
            <w:vAlign w:val="bottom"/>
            <w:tcBorders>
              <w:bottom w:val="single" w:sz="8" w:color="auto"/>
            </w:tcBorders>
            <w:gridSpan w:val="2"/>
            <w:vMerge w:val="continue"/>
          </w:tcPr>
          <w:p>
            <w:pPr>
              <w:spacing w:after="0"/>
              <w:rPr>
                <w:sz w:val="4"/>
                <w:szCs w:val="4"/>
                <w:color w:val="auto"/>
              </w:rPr>
            </w:pPr>
          </w:p>
        </w:tc>
        <w:tc>
          <w:tcPr>
            <w:tcW w:w="2640" w:type="dxa"/>
            <w:vAlign w:val="bottom"/>
            <w:tcBorders>
              <w:bottom w:val="single" w:sz="8" w:color="auto"/>
              <w:right w:val="single" w:sz="8" w:color="auto"/>
            </w:tcBorders>
            <w:gridSpan w:val="2"/>
            <w:vMerge w:val="continue"/>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9000" w:type="dxa"/>
            <w:vAlign w:val="bottom"/>
            <w:tcBorders>
              <w:left w:val="single" w:sz="8" w:color="auto"/>
              <w:right w:val="single" w:sz="8" w:color="auto"/>
            </w:tcBorders>
            <w:gridSpan w:val="49"/>
          </w:tcPr>
          <w:p>
            <w:pPr>
              <w:ind w:left="320"/>
              <w:spacing w:after="0" w:line="149" w:lineRule="exact"/>
              <w:rPr>
                <w:sz w:val="20"/>
                <w:szCs w:val="20"/>
                <w:color w:val="auto"/>
              </w:rPr>
            </w:pPr>
            <w:r>
              <w:rPr>
                <w:rFonts w:ascii="Times New Roman" w:cs="Times New Roman" w:eastAsia="Times New Roman" w:hAnsi="Times New Roman"/>
                <w:sz w:val="16"/>
                <w:szCs w:val="16"/>
                <w:color w:val="0000EE"/>
              </w:rPr>
              <w:t>2025 Summary Compensation Table</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6"/>
                <w:szCs w:val="16"/>
                <w:color w:val="auto"/>
                <w:w w:val="99"/>
              </w:rPr>
              <w:t>29</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320"/>
              <w:spacing w:after="0" w:line="145" w:lineRule="exact"/>
              <w:rPr>
                <w:sz w:val="20"/>
                <w:szCs w:val="20"/>
                <w:color w:val="auto"/>
              </w:rPr>
            </w:pPr>
            <w:r>
              <w:rPr>
                <w:rFonts w:ascii="Times New Roman" w:cs="Times New Roman" w:eastAsia="Times New Roman" w:hAnsi="Times New Roman"/>
                <w:sz w:val="16"/>
                <w:szCs w:val="16"/>
                <w:color w:val="0000EE"/>
              </w:rPr>
              <w:t>Grants of Plan-Based Awards in Fiscal 2025</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31</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320"/>
              <w:spacing w:after="0" w:line="145" w:lineRule="exact"/>
              <w:rPr>
                <w:sz w:val="20"/>
                <w:szCs w:val="20"/>
                <w:color w:val="auto"/>
              </w:rPr>
            </w:pPr>
            <w:r>
              <w:rPr>
                <w:rFonts w:ascii="Times New Roman" w:cs="Times New Roman" w:eastAsia="Times New Roman" w:hAnsi="Times New Roman"/>
                <w:sz w:val="16"/>
                <w:szCs w:val="16"/>
                <w:color w:val="0000EE"/>
              </w:rPr>
              <w:t>Outstanding Equity Awards at Fiscal Year End Table</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32</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320"/>
              <w:spacing w:after="0" w:line="145" w:lineRule="exact"/>
              <w:rPr>
                <w:sz w:val="20"/>
                <w:szCs w:val="20"/>
                <w:color w:val="auto"/>
              </w:rPr>
            </w:pPr>
            <w:r>
              <w:rPr>
                <w:rFonts w:ascii="Times New Roman" w:cs="Times New Roman" w:eastAsia="Times New Roman" w:hAnsi="Times New Roman"/>
                <w:sz w:val="16"/>
                <w:szCs w:val="16"/>
                <w:color w:val="0000EE"/>
              </w:rPr>
              <w:t>Option Exercises and Stock Vested in Fiscal 2025</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33</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320"/>
              <w:spacing w:after="0" w:line="145" w:lineRule="exact"/>
              <w:rPr>
                <w:sz w:val="20"/>
                <w:szCs w:val="20"/>
                <w:color w:val="auto"/>
              </w:rPr>
            </w:pPr>
            <w:r>
              <w:rPr>
                <w:rFonts w:ascii="Times New Roman" w:cs="Times New Roman" w:eastAsia="Times New Roman" w:hAnsi="Times New Roman"/>
                <w:sz w:val="16"/>
                <w:szCs w:val="16"/>
                <w:color w:val="0000EE"/>
              </w:rPr>
              <w:t>Potential Payments Upon Termination or Change in Control</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33</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320"/>
              <w:spacing w:after="0" w:line="145" w:lineRule="exact"/>
              <w:rPr>
                <w:sz w:val="20"/>
                <w:szCs w:val="20"/>
                <w:color w:val="auto"/>
              </w:rPr>
            </w:pPr>
            <w:r>
              <w:rPr>
                <w:rFonts w:ascii="Times New Roman" w:cs="Times New Roman" w:eastAsia="Times New Roman" w:hAnsi="Times New Roman"/>
                <w:sz w:val="16"/>
                <w:szCs w:val="16"/>
                <w:color w:val="0000EE"/>
              </w:rPr>
              <w:t>CEO Pay Ratio Disclosure</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35</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320"/>
              <w:spacing w:after="0" w:line="145" w:lineRule="exact"/>
              <w:rPr>
                <w:sz w:val="20"/>
                <w:szCs w:val="20"/>
                <w:color w:val="auto"/>
              </w:rPr>
            </w:pPr>
            <w:r>
              <w:rPr>
                <w:rFonts w:ascii="Times New Roman" w:cs="Times New Roman" w:eastAsia="Times New Roman" w:hAnsi="Times New Roman"/>
                <w:sz w:val="16"/>
                <w:szCs w:val="16"/>
                <w:color w:val="0000EE"/>
              </w:rPr>
              <w:t>Pay versus Performance</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36</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0000EE"/>
              </w:rPr>
              <w:t>DIRECTOR COMPENSATION</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w w:val="99"/>
              </w:rPr>
              <w:t>40</w:t>
            </w:r>
          </w:p>
        </w:tc>
        <w:tc>
          <w:tcPr>
            <w:tcW w:w="0" w:type="dxa"/>
            <w:vAlign w:val="bottom"/>
          </w:tcPr>
          <w:p>
            <w:pPr>
              <w:spacing w:after="0"/>
              <w:rPr>
                <w:sz w:val="1"/>
                <w:szCs w:val="1"/>
                <w:color w:val="auto"/>
              </w:rPr>
            </w:pPr>
          </w:p>
        </w:tc>
      </w:tr>
      <w:tr>
        <w:trPr>
          <w:trHeight w:val="20"/>
        </w:trPr>
        <w:tc>
          <w:tcPr>
            <w:tcW w:w="320" w:type="dxa"/>
            <w:vAlign w:val="bottom"/>
            <w:tcBorders>
              <w:top w:val="single" w:sz="8" w:color="0000EE"/>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320"/>
              <w:spacing w:after="0" w:line="145" w:lineRule="exact"/>
              <w:rPr>
                <w:sz w:val="20"/>
                <w:szCs w:val="20"/>
                <w:color w:val="auto"/>
              </w:rPr>
            </w:pPr>
            <w:r>
              <w:rPr>
                <w:rFonts w:ascii="Times New Roman" w:cs="Times New Roman" w:eastAsia="Times New Roman" w:hAnsi="Times New Roman"/>
                <w:sz w:val="16"/>
                <w:szCs w:val="16"/>
                <w:color w:val="0000EE"/>
              </w:rPr>
              <w:t>Non-Employee Director Compensation Program</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40</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0000EE"/>
              </w:rPr>
              <w:t>EQUITY COMPENSATION PLAN INFORMATION</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w w:val="99"/>
              </w:rPr>
              <w:t>42</w:t>
            </w:r>
          </w:p>
        </w:tc>
        <w:tc>
          <w:tcPr>
            <w:tcW w:w="0" w:type="dxa"/>
            <w:vAlign w:val="bottom"/>
          </w:tcPr>
          <w:p>
            <w:pPr>
              <w:spacing w:after="0"/>
              <w:rPr>
                <w:sz w:val="1"/>
                <w:szCs w:val="1"/>
                <w:color w:val="auto"/>
              </w:rPr>
            </w:pPr>
          </w:p>
        </w:tc>
      </w:tr>
      <w:tr>
        <w:trPr>
          <w:trHeight w:val="20"/>
        </w:trPr>
        <w:tc>
          <w:tcPr>
            <w:tcW w:w="320" w:type="dxa"/>
            <w:vAlign w:val="bottom"/>
            <w:tcBorders>
              <w:top w:val="single" w:sz="8" w:color="0000EE"/>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0000EE"/>
              </w:rPr>
              <w:t>SECURITY OWNERSHIP OF CERTAIN BENEFICIAL OWNERS AND MANAGEMENT</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43</w:t>
            </w:r>
          </w:p>
        </w:tc>
        <w:tc>
          <w:tcPr>
            <w:tcW w:w="0" w:type="dxa"/>
            <w:vAlign w:val="bottom"/>
          </w:tcPr>
          <w:p>
            <w:pPr>
              <w:spacing w:after="0"/>
              <w:rPr>
                <w:sz w:val="1"/>
                <w:szCs w:val="1"/>
                <w:color w:val="auto"/>
              </w:rPr>
            </w:pPr>
          </w:p>
        </w:tc>
      </w:tr>
      <w:tr>
        <w:trPr>
          <w:trHeight w:val="20"/>
        </w:trPr>
        <w:tc>
          <w:tcPr>
            <w:tcW w:w="320" w:type="dxa"/>
            <w:vAlign w:val="bottom"/>
            <w:tcBorders>
              <w:top w:val="single" w:sz="8" w:color="0000EE"/>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9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0000EE"/>
              </w:rPr>
              <w:t>CERTAIN RELATIONSHIPS AND RELATED PERSON TRANSACTIONS</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w w:val="99"/>
              </w:rPr>
              <w:t>45</w:t>
            </w:r>
          </w:p>
        </w:tc>
        <w:tc>
          <w:tcPr>
            <w:tcW w:w="0" w:type="dxa"/>
            <w:vAlign w:val="bottom"/>
          </w:tcPr>
          <w:p>
            <w:pPr>
              <w:spacing w:after="0"/>
              <w:rPr>
                <w:sz w:val="1"/>
                <w:szCs w:val="1"/>
                <w:color w:val="auto"/>
              </w:rPr>
            </w:pPr>
          </w:p>
        </w:tc>
      </w:tr>
      <w:tr>
        <w:trPr>
          <w:trHeight w:val="20"/>
        </w:trPr>
        <w:tc>
          <w:tcPr>
            <w:tcW w:w="320" w:type="dxa"/>
            <w:vAlign w:val="bottom"/>
            <w:tcBorders>
              <w:top w:val="single" w:sz="8" w:color="0000EE"/>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320"/>
              <w:spacing w:after="0" w:line="145" w:lineRule="exact"/>
              <w:rPr>
                <w:sz w:val="20"/>
                <w:szCs w:val="20"/>
                <w:color w:val="auto"/>
              </w:rPr>
            </w:pPr>
            <w:r>
              <w:rPr>
                <w:rFonts w:ascii="Times New Roman" w:cs="Times New Roman" w:eastAsia="Times New Roman" w:hAnsi="Times New Roman"/>
                <w:sz w:val="16"/>
                <w:szCs w:val="16"/>
                <w:color w:val="0000EE"/>
              </w:rPr>
              <w:t>Policies and Procedures for Related Person Transactions</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45</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0000EE"/>
              </w:rPr>
              <w:t>OTHER MATTERS</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w w:val="99"/>
              </w:rPr>
              <w:t>46</w:t>
            </w:r>
          </w:p>
        </w:tc>
        <w:tc>
          <w:tcPr>
            <w:tcW w:w="0" w:type="dxa"/>
            <w:vAlign w:val="bottom"/>
          </w:tcPr>
          <w:p>
            <w:pPr>
              <w:spacing w:after="0"/>
              <w:rPr>
                <w:sz w:val="1"/>
                <w:szCs w:val="1"/>
                <w:color w:val="auto"/>
              </w:rPr>
            </w:pPr>
          </w:p>
        </w:tc>
      </w:tr>
      <w:tr>
        <w:trPr>
          <w:trHeight w:val="20"/>
        </w:trPr>
        <w:tc>
          <w:tcPr>
            <w:tcW w:w="320" w:type="dxa"/>
            <w:vAlign w:val="bottom"/>
            <w:tcBorders>
              <w:top w:val="single" w:sz="8" w:color="0000EE"/>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320"/>
              <w:spacing w:after="0" w:line="145" w:lineRule="exact"/>
              <w:rPr>
                <w:sz w:val="20"/>
                <w:szCs w:val="20"/>
                <w:color w:val="auto"/>
              </w:rPr>
            </w:pPr>
            <w:r>
              <w:rPr>
                <w:rFonts w:ascii="Times New Roman" w:cs="Times New Roman" w:eastAsia="Times New Roman" w:hAnsi="Times New Roman"/>
                <w:sz w:val="16"/>
                <w:szCs w:val="16"/>
                <w:color w:val="0000EE"/>
              </w:rPr>
              <w:t>Delinquent Section 16(a) Reports</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46</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320"/>
              <w:spacing w:after="0" w:line="145" w:lineRule="exact"/>
              <w:rPr>
                <w:sz w:val="20"/>
                <w:szCs w:val="20"/>
                <w:color w:val="auto"/>
              </w:rPr>
            </w:pPr>
            <w:r>
              <w:rPr>
                <w:rFonts w:ascii="Times New Roman" w:cs="Times New Roman" w:eastAsia="Times New Roman" w:hAnsi="Times New Roman"/>
                <w:sz w:val="16"/>
                <w:szCs w:val="16"/>
                <w:color w:val="0000EE"/>
              </w:rPr>
              <w:t>Stockholders’ Proposals</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46</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320"/>
              <w:spacing w:after="0" w:line="145" w:lineRule="exact"/>
              <w:rPr>
                <w:sz w:val="20"/>
                <w:szCs w:val="20"/>
                <w:color w:val="auto"/>
              </w:rPr>
            </w:pPr>
            <w:r>
              <w:rPr>
                <w:rFonts w:ascii="Times New Roman" w:cs="Times New Roman" w:eastAsia="Times New Roman" w:hAnsi="Times New Roman"/>
                <w:sz w:val="16"/>
                <w:szCs w:val="16"/>
                <w:color w:val="0000EE"/>
              </w:rPr>
              <w:t>Other Matters at the Annual Meeting</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47</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320"/>
              <w:spacing w:after="0" w:line="145" w:lineRule="exact"/>
              <w:rPr>
                <w:sz w:val="20"/>
                <w:szCs w:val="20"/>
                <w:color w:val="auto"/>
              </w:rPr>
            </w:pPr>
            <w:r>
              <w:rPr>
                <w:rFonts w:ascii="Times New Roman" w:cs="Times New Roman" w:eastAsia="Times New Roman" w:hAnsi="Times New Roman"/>
                <w:sz w:val="16"/>
                <w:szCs w:val="16"/>
                <w:color w:val="0000EE"/>
              </w:rPr>
              <w:t>Solicitation of Proxies</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47</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000" w:type="dxa"/>
            <w:vAlign w:val="bottom"/>
            <w:tcBorders>
              <w:left w:val="single" w:sz="8" w:color="auto"/>
              <w:right w:val="single" w:sz="8" w:color="auto"/>
            </w:tcBorders>
            <w:gridSpan w:val="49"/>
          </w:tcPr>
          <w:p>
            <w:pPr>
              <w:ind w:left="320"/>
              <w:spacing w:after="0" w:line="145" w:lineRule="exact"/>
              <w:rPr>
                <w:sz w:val="20"/>
                <w:szCs w:val="20"/>
                <w:color w:val="auto"/>
              </w:rPr>
            </w:pPr>
            <w:r>
              <w:rPr>
                <w:rFonts w:ascii="Times New Roman" w:cs="Times New Roman" w:eastAsia="Times New Roman" w:hAnsi="Times New Roman"/>
                <w:sz w:val="16"/>
                <w:szCs w:val="16"/>
                <w:color w:val="0000EE"/>
              </w:rPr>
              <w:t>Vertex’s Annual Report on Form 10-K</w:t>
            </w:r>
          </w:p>
        </w:tc>
        <w:tc>
          <w:tcPr>
            <w:tcW w:w="2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48</w:t>
            </w:r>
          </w:p>
        </w:tc>
        <w:tc>
          <w:tcPr>
            <w:tcW w:w="0" w:type="dxa"/>
            <w:vAlign w:val="bottom"/>
          </w:tcPr>
          <w:p>
            <w:pPr>
              <w:spacing w:after="0"/>
              <w:rPr>
                <w:sz w:val="1"/>
                <w:szCs w:val="1"/>
                <w:color w:val="auto"/>
              </w:rPr>
            </w:pP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322580</wp:posOffset>
            </wp:positionV>
            <wp:extent cx="6304280" cy="22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40"/>
          </w:cols>
          <w:pgMar w:left="960" w:top="47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1156970" cy="214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5697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35"/>
          <w:szCs w:val="35"/>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630428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04280" cy="762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b w:val="1"/>
          <w:bCs w:val="1"/>
          <w:color w:val="auto"/>
        </w:rPr>
        <w:t>Information Concerning Voting and Solicitation</w:t>
      </w:r>
    </w:p>
    <w:p>
      <w:pPr>
        <w:spacing w:after="0" w:line="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This Proxy Statement is furnished in connection with the solicitation by the Board of Directors of Vertex, Inc. (the “Board”) of proxies to be voted at our Annual Meeting of Stockholders to be held on June 10, 2026 (the "Annual Meeting"), at 9:00 a.m. EDT, and at any continuation, postponement, or adjournment of the Annual Meeting. The Annual Meeting will be a completely virtual meeting, which will be conducted via live webcast. In order to attend the Annual Meeting, you must register at www.proxydocs.com/verx. Upon completing your registration, you will receive further instructions via email, including a unique link that will allow you access to the Annual Meeting and to vote and submit questions during the Annual Meeting. As part of the registration process, you must enter the control number located on your proxy card, voting instruction form, or Notice of Internet Availability. If you are a beneficial owner of shares registered in the name of a broker, bank or other nominee, you will also need to provide the registered name on your account and the name of your broker, bank or other nominee as part of the registration process.</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Holders of record of outstanding shares of capital stock, composed of Class A Common Stock and Class B Common Stock, at the close of business on April 15, 2026 (the "Record Date"), will be entitled to notice of and to vote at the Annual Meeting and any continuation, postponement, or adjournment of the Annual Meeting, and will vote together as a single class on all matters presented at the Annual Meeting. Each share of our Class A Common Stock entitles its holders to one vote per share on all matters presented to our stockholders at the Annual Meeting. Our Class B Common Stock entitles its holders to ten (10) votes per share on all matters presented to a vote of our stockholders at the Annual Meeting. At the close of business on the Record Date, there were 79,582,144 shares of Class A Common Stock, and 82,155,641 shares of Class B Common Stock issued and outstanding and entitled to vote at the Annual Meeting, representing 8.8% and 91.2% of the combined voting power of our Common Stock,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Proxy Statement will be released on or about April 27, 2026 to our stockholders on the Record Date.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this Proxy Statement, "we," "us," "our," the "Company," and "Vertex" refer to Vertex, Inc., and, unless otherwise stated, all of its subsidiaries.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b w:val="1"/>
          <w:bCs w:val="1"/>
          <w:color w:val="auto"/>
        </w:rPr>
        <w:t>IMPORTANT NOTICE REGARDING THE AVAILABILITY OF PROXY MATERIALS FOR THE STOCKHOLDER MEETING TO BE HELD ON WEDNESDAY, JUNE 10, 2026.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This Proxy Statement is available at www.proxydocs.com/verx.</w:t>
      </w:r>
    </w:p>
    <w:p>
      <w:pPr>
        <w:spacing w:after="0" w:line="20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b w:val="1"/>
          <w:bCs w:val="1"/>
          <w:color w:val="auto"/>
        </w:rPr>
        <w:t>Why you received the Notice of Internet Availability of this Proxy Statement</w:t>
      </w:r>
      <w:r>
        <w:rPr>
          <w:rFonts w:ascii="Times New Roman" w:cs="Times New Roman" w:eastAsia="Times New Roman" w:hAnsi="Times New Roman"/>
          <w:sz w:val="16"/>
          <w:szCs w:val="16"/>
          <w:color w:val="auto"/>
        </w:rPr>
        <w:t>. You are viewing or have received these proxy materials because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Vertex’s Board is soliciting your proxy to vote your shares at the Annual Meeting. This Proxy Statement includes information that we are required to provide to you under the rules of the Securities and Exchange Commission (the "SEC") and that is designed to assist you in voting your shares.</w:t>
      </w:r>
    </w:p>
    <w:p>
      <w:pPr>
        <w:spacing w:after="0" w:line="15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b w:val="1"/>
          <w:bCs w:val="1"/>
          <w:color w:val="auto"/>
        </w:rPr>
        <w:t>Printed Copies of Our Proxy Materials</w:t>
      </w:r>
      <w:r>
        <w:rPr>
          <w:rFonts w:ascii="Times New Roman" w:cs="Times New Roman" w:eastAsia="Times New Roman" w:hAnsi="Times New Roman"/>
          <w:sz w:val="16"/>
          <w:szCs w:val="16"/>
          <w:color w:val="auto"/>
        </w:rPr>
        <w:t>. If you received printed copies of our proxy materials, then instructions regarding how you can vote are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contained on the proxy card included in the materials.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6"/>
          <w:szCs w:val="26"/>
          <w:b w:val="1"/>
          <w:bCs w:val="1"/>
          <w:color w:val="auto"/>
        </w:rPr>
        <w:t>QUESTIONS AND ANSWERS ABOUT THE 2026 ANNUAL MEETING OF STOCKHOLDERS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 IS ENTITLED TO VOTE AT THE ANNUAL MEETING?</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Record Date for the Annual Meeting is April 15, 2026. You are entitled to vote at the Annual Meeting only if you were a stockholder of record at the close of business on that date, or if you hold a valid proxy for the Annual Meeting. You will need to obtain your own Internet access if you choose to attend the Annual Meeting and/or vote over the Internet. Each share of our Class A Common Stock entitles its holders to one (1) vote per share on all matters presented to our stockholders at the Annual Meeting. Each share of our Class B Common Stock entitles its holders to ten (10) votes on all matters presented to our stockholders at the Annual Meeting.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IS THE DIFFERENCE BETWEEN BEING A "RECORD HOLDER" AND HOLDING SHARES IN "STREET NAME"?</w:t>
      </w:r>
    </w:p>
    <w:p>
      <w:pPr>
        <w:spacing w:after="0" w:line="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 record holder holds shares in his or her name. Shares held in "street name" means shares that are held in the name of a bank or broker on a person’s behalf.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 I ENTITLED TO VOTE IF MY SHARES ARE HELD IN "STREET NAME"?</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Yes. If your shares are held by a bank or a broker, you are considered the "beneficial owner" of those shares held in "street name." If your shares are held in street name, our proxy materials are being provided to you by your bank or broker, along with a voting instruction card if you received printed copies of our proxy materials. As the beneficial owner, you have the right to direct your bank or broker how to vote your shares, and the bank or broker is required to vote your shares in accordance with your instructions. If you have not received information on how to attend the Annual Meeting, you should contact your bank or broker to obtain your control number or otherwise vote through the bank or broker.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MANY SHARES MUST BE PRESENT TO HOLD THE ANNUAL MEETING?</w:t>
      </w:r>
    </w:p>
    <w:p>
      <w:pPr>
        <w:spacing w:after="0" w:line="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 quorum must be present at the Annual Meeting for any business to be conducted. The presence at the Annual Meeting, present electronically or represented by proxy, of the holders of a majority in voting power of Common Stock issued and outstanding and entitled to vote on the Record Date will constitute a quorum.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 CAN ATTEND THE 2026 ANNUAL MEETING OF STOCKHOLDERS?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You may attend the Annual Meeting only if you are a Vertex stockholder who is entitled to vote at the Annual Meeting, or if you hold a valid proxy for the Annual Meeting. The Annual Meeting will be held entirely online to allow greater participation. In order to attend the Annual Meeting, you must register at www.proxydocs.com/verx. Upon completing your registration, you will receive further instructions via email, including a unique link that will allow you access to the Annual Meeting and to vote and submit questions during the Annual Meeting. As part of the registration process, you must enter the control number located on your proxy card, voting instruction form, or Notice of Internet Availability. If you are a beneficial owner of shares registered in the name of a broker, bank or other nominee, you will also need to provide the registered name on your account and the name of your broker, bank or other nominee as part of the registration process.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WHY A VIRTUAL MEETING?</w:t>
      </w:r>
    </w:p>
    <w:p>
      <w:pPr>
        <w:spacing w:after="0" w:line="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believe the virtual meeting will enable increased stockholder attendance and participation since stockholders can participate from any location around the world. By embracing the latest technology, we are able to provide expanded access, improved communications and cost savings for us and our stockholders.</w:t>
      </w:r>
    </w:p>
    <w:p>
      <w:pPr>
        <w:spacing w:after="0" w:line="163"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b w:val="1"/>
          <w:bCs w:val="1"/>
          <w:color w:val="auto"/>
        </w:rPr>
        <w:t>WHAT IF DURING THE CHECK-IN TIME OR DURING THE ANNUAL MEETING I HAVE TECHNICAL DIFFICULTIES OR TROUBLE ACCESSING THE VIRTUAL MEETING WEBSITE?</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will have technicians ready to assist you with any technical difficulties you may have accessing the virtual meeting website. If you are having trouble registering online, please use the link “Having trouble registering” at the bottom of the registration page to access the FAQ or email DSMSupport@mediantonline.com.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IF A QUORUM IS NOT PRESENT AT THE ANNUAL MEETING?</w:t>
      </w:r>
    </w:p>
    <w:p>
      <w:pPr>
        <w:spacing w:after="0" w:line="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If a quorum is not present at the scheduled time of the Annual Meeting, then either (i) the chairperson of the Annual Meeting or (ii) a majority in voting power of the stockholders entitled to vote at the Annual Meeting, present electronically or represented by proxy, may adjourn the Annual Meeting until a quorum is present or represented.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b w:val="1"/>
          <w:bCs w:val="1"/>
          <w:color w:val="auto"/>
        </w:rPr>
        <w:t>WHAT DOES IT MEAN IF I RECEIVE MORE THAN ONE NOTICE OF INTERNET AVAILABILITY OR MORE THAN ONE SET OF PROXY MATERIALS?</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It means that your shares are held in more than one account at the transfer agent and/or with banks or brokers. Please vote all of your shares. To ensure that all of your shares are voted, for each Notice of Internet Availability or set of proxy materials, please submit your proxy by phone, via the Internet, or, if you received printed copies of the proxy materials, by signing, dating and returning the enclosed proxy card in the enclosed envelope.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HOW DO I VOTE?</w:t>
      </w:r>
    </w:p>
    <w:p>
      <w:pPr>
        <w:spacing w:after="0" w:line="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recommend that stockholders vote by proxy even if they plan to participate in the Annual Meeting and vote electronically during the meeting. If you are a stockholder of record, there are three ways to vote by proxy:</w:t>
      </w:r>
    </w:p>
    <w:p>
      <w:pPr>
        <w:spacing w:after="0" w:line="160" w:lineRule="exact"/>
        <w:rPr>
          <w:sz w:val="20"/>
          <w:szCs w:val="20"/>
          <w:color w:val="auto"/>
        </w:rPr>
      </w:pPr>
    </w:p>
    <w:p>
      <w:pPr>
        <w:ind w:left="620" w:hanging="284"/>
        <w:spacing w:after="0" w:line="262" w:lineRule="auto"/>
        <w:tabs>
          <w:tab w:leader="none" w:pos="6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Internet—You can vote over the Internet at www.proxydocs.com/verx by following the instructions on the Notice of Internet Availability or proxy card;</w:t>
      </w:r>
    </w:p>
    <w:p>
      <w:pPr>
        <w:ind w:left="620" w:hanging="284"/>
        <w:spacing w:after="0"/>
        <w:tabs>
          <w:tab w:leader="none" w:pos="6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Telephone—You can vote by telephone by calling 866-883-3382 and following the instructions on the proxy card; or</w:t>
      </w:r>
    </w:p>
    <w:p>
      <w:pPr>
        <w:spacing w:after="0" w:line="9" w:lineRule="exact"/>
        <w:rPr>
          <w:rFonts w:ascii="Times New Roman" w:cs="Times New Roman" w:eastAsia="Times New Roman" w:hAnsi="Times New Roman"/>
          <w:sz w:val="16"/>
          <w:szCs w:val="16"/>
          <w:color w:val="auto"/>
        </w:rPr>
      </w:pPr>
    </w:p>
    <w:p>
      <w:pPr>
        <w:ind w:left="620" w:hanging="284"/>
        <w:spacing w:after="0"/>
        <w:tabs>
          <w:tab w:leader="none" w:pos="6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Mail—You can vote by mail by signing, dating and mailing the proxy card, which you may have requested to receive by mail.</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Internet and telephone voting facilities for stockholders of record will be available 24 hours a day and will close at 11:59 p.m. EDT, on June 9, 2026. In order to attend the Annual Meeting, you must register at www.proxydocs.com/verx. Upon completing your registration, you will receive further instructions via email, including a unique link that will allow you access to the Annual Meeting and to vote and submit questions during the Annual Meeting. As part of the registration process, you must enter the control number located on your proxy card, voting instruction form, or Notice of Internet Availability. If you are a beneficial owner of shares registered in the name of a broker, bank or other nominee, you will also need to provide the registered name on your account and the name of your broker, bank or other nominee as part of the registration process.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Annual Meeting webcast will begin promptly at 9:00 a.m. EDT, on June 10, 2026.</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If your shares are held in street name through a bank or broker, you will receive instructions on how to vote from the bank or broker. You must follow their instructions in order for your shares to be voted. Internet and telephone voting also may be offered to stockholders owning shares through certain banks and brokers. If your shares are not registered in your own name and you would like to vote your shares at the Annual Meeting, you may register to participate and enter the appropriate password included in the voting instruction card provided to you by your bank or broker. If you hold your shares in street name and you do not receive an appropriate password, you may need to log in to your bank or broker’s website and select the stockholder communications mailbox to access the Annual Meeting and vote. Instructions should also be provided on the voting instruction card provided by your bank or broker.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CAN I CHANGE MY VOTE AFTER I SUBMIT MY PROXY?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you are a registered stockholder, you may revoke your proxy and change your vote by:</w:t>
      </w:r>
    </w:p>
    <w:p>
      <w:pPr>
        <w:spacing w:after="0" w:line="202" w:lineRule="exact"/>
        <w:rPr>
          <w:sz w:val="20"/>
          <w:szCs w:val="20"/>
          <w:color w:val="auto"/>
        </w:rPr>
      </w:pPr>
    </w:p>
    <w:p>
      <w:pPr>
        <w:ind w:left="620" w:hanging="284"/>
        <w:spacing w:after="0"/>
        <w:tabs>
          <w:tab w:leader="none" w:pos="6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submitting a duly executed proxy bearing a later date;</w:t>
      </w:r>
    </w:p>
    <w:p>
      <w:pPr>
        <w:spacing w:after="0" w:line="25" w:lineRule="exact"/>
        <w:rPr>
          <w:rFonts w:ascii="Times New Roman" w:cs="Times New Roman" w:eastAsia="Times New Roman" w:hAnsi="Times New Roman"/>
          <w:sz w:val="16"/>
          <w:szCs w:val="16"/>
          <w:color w:val="auto"/>
        </w:rPr>
      </w:pPr>
    </w:p>
    <w:p>
      <w:pPr>
        <w:ind w:left="620" w:hanging="284"/>
        <w:spacing w:after="0"/>
        <w:tabs>
          <w:tab w:leader="none" w:pos="6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granting a subsequent proxy through the Internet or telephone;</w:t>
      </w:r>
    </w:p>
    <w:p>
      <w:pPr>
        <w:spacing w:after="0" w:line="9" w:lineRule="exact"/>
        <w:rPr>
          <w:rFonts w:ascii="Times New Roman" w:cs="Times New Roman" w:eastAsia="Times New Roman" w:hAnsi="Times New Roman"/>
          <w:sz w:val="16"/>
          <w:szCs w:val="16"/>
          <w:color w:val="auto"/>
        </w:rPr>
      </w:pPr>
    </w:p>
    <w:p>
      <w:pPr>
        <w:ind w:left="620" w:hanging="284"/>
        <w:spacing w:after="0"/>
        <w:tabs>
          <w:tab w:leader="none" w:pos="6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giving written notice of revocation to the Secretary of Vertex prior to the Annual Meeting until 11:59 p.m. EDT on Tuesday, June 9, 2026; or</w:t>
      </w:r>
    </w:p>
    <w:p>
      <w:pPr>
        <w:spacing w:after="0" w:line="9" w:lineRule="exact"/>
        <w:rPr>
          <w:rFonts w:ascii="Times New Roman" w:cs="Times New Roman" w:eastAsia="Times New Roman" w:hAnsi="Times New Roman"/>
          <w:sz w:val="16"/>
          <w:szCs w:val="16"/>
          <w:color w:val="auto"/>
        </w:rPr>
      </w:pPr>
    </w:p>
    <w:p>
      <w:pPr>
        <w:ind w:left="620" w:hanging="284"/>
        <w:spacing w:after="0"/>
        <w:tabs>
          <w:tab w:leader="none" w:pos="6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voting electronically at the Annual Meeting.</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Your most recent proxy card or Internet or telephone proxy is the one that is counted. Your virtual attendance at the Annual Meeting by itself will not revoke your proxy unless you give written notice of revocation to the Secretary before your proxy is voted or you vote electronically during the Annual Meeting.</w:t>
      </w:r>
    </w:p>
    <w:p>
      <w:pPr>
        <w:spacing w:after="0" w:line="15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If your shares are held in street name, you may change or revoke your voting instructions by following the specific directions provided to you by your bank or broker, or you may vote electronically during the Annual Meeting.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 WILL COUNT THE VOTES?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representative of Equiniti Trust Company, our inspector of election, will tabulate and certify the votes.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IF I DO NOT SPECIFY HOW MY SHARES ARE TO BE VOTED?</w:t>
      </w:r>
    </w:p>
    <w:p>
      <w:pPr>
        <w:spacing w:after="0" w:line="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If you submit a proxy but do not indicate any voting instructions, the persons named as proxies will vote in accordance with the recommendations of the Board. The Board’s recommendations are indicated in the Proxy Summary section of this Proxy Statement, as well as with the description of each proposal in this Proxy Statement.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WILL ANY OTHER BUSINESS BE CONDUCTED AT THE ANNUAL MEETING?</w:t>
      </w:r>
    </w:p>
    <w:p>
      <w:pPr>
        <w:spacing w:after="0" w:line="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5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color w:val="auto"/>
        </w:rPr>
        <w:t>HOW MANY VOTES ARE REQUIRED FOR THE APPROVAL OF THE PROPOSALS TO BE VOTED UPON AND HOW WILL ABSTENTIONS AND BROKER NON-VOTES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6296660</wp:posOffset>
            </wp:positionH>
            <wp:positionV relativeFrom="paragraph">
              <wp:posOffset>-11430</wp:posOffset>
            </wp:positionV>
            <wp:extent cx="7620" cy="22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20" cy="22860"/>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-11430</wp:posOffset>
            </wp:positionV>
            <wp:extent cx="7620" cy="22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20" cy="2286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-11430</wp:posOffset>
            </wp:positionV>
            <wp:extent cx="7620" cy="22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20" cy="22860"/>
                    </a:xfrm>
                    <a:prstGeom prst="rect">
                      <a:avLst/>
                    </a:prstGeom>
                    <a:noFill/>
                  </pic:spPr>
                </pic:pic>
              </a:graphicData>
            </a:graphic>
          </wp:anchor>
        </w:drawing>
        <w:drawing>
          <wp:anchor simplePos="0" relativeHeight="251657728" behindDoc="1" locked="0" layoutInCell="0" allowOverlap="1">
            <wp:simplePos x="0" y="0"/>
            <wp:positionH relativeFrom="column">
              <wp:posOffset>2290445</wp:posOffset>
            </wp:positionH>
            <wp:positionV relativeFrom="paragraph">
              <wp:posOffset>-11430</wp:posOffset>
            </wp:positionV>
            <wp:extent cx="7620" cy="22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20"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-11430</wp:posOffset>
            </wp:positionV>
            <wp:extent cx="7620" cy="22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20" cy="22860"/>
                    </a:xfrm>
                    <a:prstGeom prst="rect">
                      <a:avLst/>
                    </a:prstGeom>
                    <a:noFill/>
                  </pic:spPr>
                </pic:pic>
              </a:graphicData>
            </a:graphic>
          </wp:anchor>
        </w:drawing>
        <w:drawing>
          <wp:anchor simplePos="0" relativeHeight="251657728" behindDoc="1" locked="0" layoutInCell="0" allowOverlap="1">
            <wp:simplePos x="0" y="0"/>
            <wp:positionH relativeFrom="column">
              <wp:posOffset>2137410</wp:posOffset>
            </wp:positionH>
            <wp:positionV relativeFrom="paragraph">
              <wp:posOffset>-11430</wp:posOffset>
            </wp:positionV>
            <wp:extent cx="7620" cy="22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20" cy="2286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69"/>
        </w:trPr>
        <w:tc>
          <w:tcPr>
            <w:tcW w:w="740" w:type="dxa"/>
            <w:vAlign w:val="bottom"/>
            <w:tcBorders>
              <w:top w:val="single" w:sz="8" w:color="auto"/>
              <w:left w:val="single" w:sz="8" w:color="auto"/>
            </w:tcBorders>
          </w:tcPr>
          <w:p>
            <w:pPr>
              <w:spacing w:after="0"/>
              <w:rPr>
                <w:sz w:val="23"/>
                <w:szCs w:val="23"/>
                <w:color w:val="auto"/>
              </w:rPr>
            </w:pPr>
          </w:p>
        </w:tc>
        <w:tc>
          <w:tcPr>
            <w:tcW w:w="2640" w:type="dxa"/>
            <w:vAlign w:val="bottom"/>
            <w:tcBorders>
              <w:top w:val="single" w:sz="8" w:color="auto"/>
              <w:right w:val="single" w:sz="8" w:color="auto"/>
            </w:tcBorders>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240" w:type="dxa"/>
            <w:vAlign w:val="bottom"/>
            <w:tcBorders>
              <w:top w:val="single" w:sz="8" w:color="auto"/>
              <w:right w:val="single" w:sz="8" w:color="auto"/>
            </w:tcBorders>
          </w:tcPr>
          <w:p>
            <w:pPr>
              <w:spacing w:after="0"/>
              <w:rPr>
                <w:sz w:val="23"/>
                <w:szCs w:val="23"/>
                <w:color w:val="auto"/>
              </w:rPr>
            </w:pPr>
          </w:p>
        </w:tc>
        <w:tc>
          <w:tcPr>
            <w:tcW w:w="3380" w:type="dxa"/>
            <w:vAlign w:val="bottom"/>
            <w:tcBorders>
              <w:top w:val="single" w:sz="8" w:color="auto"/>
              <w:right w:val="single" w:sz="8" w:color="auto"/>
            </w:tcBorders>
            <w:vMerge w:val="restart"/>
          </w:tcPr>
          <w:p>
            <w:pPr>
              <w:ind w:left="1160"/>
              <w:spacing w:after="0"/>
              <w:rPr>
                <w:sz w:val="20"/>
                <w:szCs w:val="20"/>
                <w:color w:val="auto"/>
              </w:rPr>
            </w:pPr>
            <w:r>
              <w:rPr>
                <w:rFonts w:ascii="Times New Roman" w:cs="Times New Roman" w:eastAsia="Times New Roman" w:hAnsi="Times New Roman"/>
                <w:sz w:val="16"/>
                <w:szCs w:val="16"/>
                <w:b w:val="1"/>
                <w:bCs w:val="1"/>
                <w:color w:val="auto"/>
              </w:rPr>
              <w:t>Votes Required</w:t>
            </w:r>
          </w:p>
        </w:tc>
        <w:tc>
          <w:tcPr>
            <w:tcW w:w="240" w:type="dxa"/>
            <w:vAlign w:val="bottom"/>
            <w:tcBorders>
              <w:top w:val="single" w:sz="8" w:color="auto"/>
              <w:right w:val="single" w:sz="8" w:color="auto"/>
            </w:tcBorders>
          </w:tcPr>
          <w:p>
            <w:pPr>
              <w:spacing w:after="0"/>
              <w:rPr>
                <w:sz w:val="23"/>
                <w:szCs w:val="23"/>
                <w:color w:val="auto"/>
              </w:rPr>
            </w:pPr>
          </w:p>
        </w:tc>
        <w:tc>
          <w:tcPr>
            <w:tcW w:w="2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Effect of Votes Withheld/Abstention</w:t>
            </w:r>
          </w:p>
        </w:tc>
        <w:tc>
          <w:tcPr>
            <w:tcW w:w="0" w:type="dxa"/>
            <w:vAlign w:val="bottom"/>
          </w:tcPr>
          <w:p>
            <w:pPr>
              <w:spacing w:after="0"/>
              <w:rPr>
                <w:sz w:val="1"/>
                <w:szCs w:val="1"/>
                <w:color w:val="auto"/>
              </w:rPr>
            </w:pPr>
          </w:p>
        </w:tc>
      </w:tr>
      <w:tr>
        <w:trPr>
          <w:trHeight w:val="115"/>
        </w:trPr>
        <w:tc>
          <w:tcPr>
            <w:tcW w:w="740" w:type="dxa"/>
            <w:vAlign w:val="bottom"/>
            <w:tcBorders>
              <w:left w:val="single" w:sz="8" w:color="auto"/>
            </w:tcBorders>
          </w:tcPr>
          <w:p>
            <w:pPr>
              <w:spacing w:after="0"/>
              <w:rPr>
                <w:sz w:val="9"/>
                <w:szCs w:val="9"/>
                <w:color w:val="auto"/>
              </w:rPr>
            </w:pPr>
          </w:p>
        </w:tc>
        <w:tc>
          <w:tcPr>
            <w:tcW w:w="2640" w:type="dxa"/>
            <w:vAlign w:val="bottom"/>
            <w:tcBorders>
              <w:right w:val="single" w:sz="8" w:color="auto"/>
            </w:tcBorders>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3380" w:type="dxa"/>
            <w:vAlign w:val="bottom"/>
            <w:tcBorders>
              <w:right w:val="single" w:sz="8" w:color="auto"/>
            </w:tcBorders>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and Broker Non-Votes</w:t>
            </w:r>
          </w:p>
        </w:tc>
        <w:tc>
          <w:tcPr>
            <w:tcW w:w="0" w:type="dxa"/>
            <w:vAlign w:val="bottom"/>
          </w:tcPr>
          <w:p>
            <w:pPr>
              <w:spacing w:after="0"/>
              <w:rPr>
                <w:sz w:val="1"/>
                <w:szCs w:val="1"/>
                <w:color w:val="auto"/>
              </w:rPr>
            </w:pPr>
          </w:p>
        </w:tc>
      </w:tr>
      <w:tr>
        <w:trPr>
          <w:trHeight w:val="97"/>
        </w:trPr>
        <w:tc>
          <w:tcPr>
            <w:tcW w:w="740" w:type="dxa"/>
            <w:vAlign w:val="bottom"/>
            <w:tcBorders>
              <w:left w:val="single" w:sz="8" w:color="auto"/>
            </w:tcBorders>
          </w:tcPr>
          <w:p>
            <w:pPr>
              <w:spacing w:after="0"/>
              <w:rPr>
                <w:sz w:val="8"/>
                <w:szCs w:val="8"/>
                <w:color w:val="auto"/>
              </w:rPr>
            </w:pPr>
          </w:p>
        </w:tc>
        <w:tc>
          <w:tcPr>
            <w:tcW w:w="2640" w:type="dxa"/>
            <w:vAlign w:val="bottom"/>
            <w:tcBorders>
              <w:right w:val="single" w:sz="8" w:color="auto"/>
            </w:tcBorders>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3380" w:type="dxa"/>
            <w:vAlign w:val="bottom"/>
            <w:tcBorders>
              <w:right w:val="single" w:sz="8" w:color="auto"/>
            </w:tcBorders>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27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40" w:type="dxa"/>
            <w:vAlign w:val="bottom"/>
            <w:tcBorders>
              <w:left w:val="single" w:sz="8" w:color="auto"/>
              <w:bottom w:val="single" w:sz="8" w:color="auto"/>
            </w:tcBorders>
          </w:tcPr>
          <w:p>
            <w:pPr>
              <w:spacing w:after="0"/>
              <w:rPr>
                <w:sz w:val="8"/>
                <w:szCs w:val="8"/>
                <w:color w:val="auto"/>
              </w:rPr>
            </w:pPr>
          </w:p>
        </w:tc>
        <w:tc>
          <w:tcPr>
            <w:tcW w:w="2640" w:type="dxa"/>
            <w:vAlign w:val="bottom"/>
            <w:tcBorders>
              <w:bottom w:val="single" w:sz="8" w:color="auto"/>
              <w:right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3380" w:type="dxa"/>
            <w:vAlign w:val="bottom"/>
            <w:tcBorders>
              <w:bottom w:val="single" w:sz="8" w:color="auto"/>
              <w:right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2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380" w:type="dxa"/>
            <w:vAlign w:val="bottom"/>
            <w:tcBorders>
              <w:left w:val="single" w:sz="8" w:color="auto"/>
              <w:right w:val="single" w:sz="8" w:color="auto"/>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6"/>
                <w:szCs w:val="16"/>
                <w:b w:val="1"/>
                <w:bCs w:val="1"/>
                <w:color w:val="auto"/>
              </w:rPr>
              <w:t>Proposal 1</w:t>
            </w:r>
            <w:r>
              <w:rPr>
                <w:rFonts w:ascii="Times New Roman" w:cs="Times New Roman" w:eastAsia="Times New Roman" w:hAnsi="Times New Roman"/>
                <w:sz w:val="16"/>
                <w:szCs w:val="16"/>
                <w:color w:val="auto"/>
              </w:rPr>
              <w:t>: Election of Eric Andersen, David</w:t>
            </w:r>
          </w:p>
        </w:tc>
        <w:tc>
          <w:tcPr>
            <w:tcW w:w="240" w:type="dxa"/>
            <w:vAlign w:val="bottom"/>
            <w:tcBorders>
              <w:right w:val="single" w:sz="8" w:color="auto"/>
            </w:tcBorders>
            <w:shd w:val="clear" w:color="auto" w:fill="CCEEFF"/>
          </w:tcPr>
          <w:p>
            <w:pPr>
              <w:spacing w:after="0"/>
              <w:rPr>
                <w:sz w:val="12"/>
                <w:szCs w:val="12"/>
                <w:color w:val="auto"/>
              </w:rPr>
            </w:pPr>
          </w:p>
        </w:tc>
        <w:tc>
          <w:tcPr>
            <w:tcW w:w="3380" w:type="dxa"/>
            <w:vAlign w:val="bottom"/>
            <w:tcBorders>
              <w:right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6"/>
                <w:szCs w:val="16"/>
                <w:color w:val="auto"/>
              </w:rPr>
              <w:t>The plurality of the votes cast. This means that the</w:t>
            </w:r>
          </w:p>
        </w:tc>
        <w:tc>
          <w:tcPr>
            <w:tcW w:w="240" w:type="dxa"/>
            <w:vAlign w:val="bottom"/>
            <w:tcBorders>
              <w:right w:val="single" w:sz="8" w:color="auto"/>
            </w:tcBorders>
            <w:shd w:val="clear" w:color="auto" w:fill="CCEEFF"/>
          </w:tcPr>
          <w:p>
            <w:pPr>
              <w:spacing w:after="0"/>
              <w:rPr>
                <w:sz w:val="12"/>
                <w:szCs w:val="12"/>
                <w:color w:val="auto"/>
              </w:rPr>
            </w:pPr>
          </w:p>
        </w:tc>
        <w:tc>
          <w:tcPr>
            <w:tcW w:w="2700" w:type="dxa"/>
            <w:vAlign w:val="bottom"/>
            <w:tcBorders>
              <w:right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6"/>
                <w:szCs w:val="16"/>
                <w:color w:val="auto"/>
                <w:w w:val="99"/>
              </w:rPr>
              <w:t>Votes withheld and broker non-votes will</w:t>
            </w:r>
          </w:p>
        </w:tc>
        <w:tc>
          <w:tcPr>
            <w:tcW w:w="0" w:type="dxa"/>
            <w:vAlign w:val="bottom"/>
          </w:tcPr>
          <w:p>
            <w:pPr>
              <w:spacing w:after="0"/>
              <w:rPr>
                <w:sz w:val="1"/>
                <w:szCs w:val="1"/>
                <w:color w:val="auto"/>
              </w:rPr>
            </w:pPr>
          </w:p>
        </w:tc>
      </w:tr>
      <w:tr>
        <w:trPr>
          <w:trHeight w:val="20"/>
        </w:trPr>
        <w:tc>
          <w:tcPr>
            <w:tcW w:w="740" w:type="dxa"/>
            <w:vAlign w:val="bottom"/>
            <w:tcBorders>
              <w:left w:val="single" w:sz="8" w:color="auto"/>
            </w:tcBorders>
            <w:shd w:val="clear" w:color="auto" w:fill="000000"/>
          </w:tcPr>
          <w:p>
            <w:pPr>
              <w:spacing w:after="0" w:line="20" w:lineRule="exact"/>
              <w:rPr>
                <w:sz w:val="1"/>
                <w:szCs w:val="1"/>
                <w:color w:val="auto"/>
              </w:rPr>
            </w:pPr>
          </w:p>
        </w:tc>
        <w:tc>
          <w:tcPr>
            <w:tcW w:w="26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338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70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380" w:type="dxa"/>
            <w:vAlign w:val="bottom"/>
            <w:tcBorders>
              <w:left w:val="single" w:sz="8" w:color="auto"/>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DeStefano and Christopher Young</w:t>
            </w:r>
          </w:p>
        </w:tc>
        <w:tc>
          <w:tcPr>
            <w:tcW w:w="240" w:type="dxa"/>
            <w:vAlign w:val="bottom"/>
            <w:tcBorders>
              <w:right w:val="single" w:sz="8" w:color="auto"/>
            </w:tcBorders>
            <w:shd w:val="clear" w:color="auto" w:fill="CCEEFF"/>
          </w:tcPr>
          <w:p>
            <w:pPr>
              <w:spacing w:after="0"/>
              <w:rPr>
                <w:sz w:val="16"/>
                <w:szCs w:val="16"/>
                <w:color w:val="auto"/>
              </w:rPr>
            </w:pPr>
          </w:p>
        </w:tc>
        <w:tc>
          <w:tcPr>
            <w:tcW w:w="33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three nominees receiving the highest number of</w:t>
            </w:r>
          </w:p>
        </w:tc>
        <w:tc>
          <w:tcPr>
            <w:tcW w:w="240" w:type="dxa"/>
            <w:vAlign w:val="bottom"/>
            <w:tcBorders>
              <w:right w:val="single" w:sz="8" w:color="auto"/>
            </w:tcBorders>
            <w:shd w:val="clear" w:color="auto" w:fill="CCEEFF"/>
          </w:tcPr>
          <w:p>
            <w:pPr>
              <w:spacing w:after="0"/>
              <w:rPr>
                <w:sz w:val="16"/>
                <w:szCs w:val="16"/>
                <w:color w:val="auto"/>
              </w:rPr>
            </w:pPr>
          </w:p>
        </w:tc>
        <w:tc>
          <w:tcPr>
            <w:tcW w:w="270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have no effect.</w:t>
            </w:r>
          </w:p>
        </w:tc>
        <w:tc>
          <w:tcPr>
            <w:tcW w:w="0" w:type="dxa"/>
            <w:vAlign w:val="bottom"/>
          </w:tcPr>
          <w:p>
            <w:pPr>
              <w:spacing w:after="0"/>
              <w:rPr>
                <w:sz w:val="1"/>
                <w:szCs w:val="1"/>
                <w:color w:val="auto"/>
              </w:rPr>
            </w:pPr>
          </w:p>
        </w:tc>
      </w:tr>
      <w:tr>
        <w:trPr>
          <w:trHeight w:val="193"/>
        </w:trPr>
        <w:tc>
          <w:tcPr>
            <w:tcW w:w="740" w:type="dxa"/>
            <w:vAlign w:val="bottom"/>
            <w:tcBorders>
              <w:left w:val="single" w:sz="8" w:color="auto"/>
            </w:tcBorders>
            <w:shd w:val="clear" w:color="auto" w:fill="CCEEFF"/>
          </w:tcPr>
          <w:p>
            <w:pPr>
              <w:spacing w:after="0"/>
              <w:rPr>
                <w:sz w:val="16"/>
                <w:szCs w:val="16"/>
                <w:color w:val="auto"/>
              </w:rPr>
            </w:pPr>
          </w:p>
        </w:tc>
        <w:tc>
          <w:tcPr>
            <w:tcW w:w="2640" w:type="dxa"/>
            <w:vAlign w:val="bottom"/>
            <w:tcBorders>
              <w:right w:val="single" w:sz="8" w:color="auto"/>
            </w:tcBorders>
            <w:shd w:val="clear" w:color="auto" w:fill="CCEEFF"/>
          </w:tcPr>
          <w:p>
            <w:pPr>
              <w:spacing w:after="0"/>
              <w:rPr>
                <w:sz w:val="16"/>
                <w:szCs w:val="16"/>
                <w:color w:val="auto"/>
              </w:rPr>
            </w:pPr>
          </w:p>
        </w:tc>
        <w:tc>
          <w:tcPr>
            <w:tcW w:w="240" w:type="dxa"/>
            <w:vAlign w:val="bottom"/>
            <w:tcBorders>
              <w:right w:val="single" w:sz="8" w:color="auto"/>
            </w:tcBorders>
            <w:shd w:val="clear" w:color="auto" w:fill="CCEEFF"/>
          </w:tcPr>
          <w:p>
            <w:pPr>
              <w:spacing w:after="0"/>
              <w:rPr>
                <w:sz w:val="16"/>
                <w:szCs w:val="16"/>
                <w:color w:val="auto"/>
              </w:rPr>
            </w:pPr>
          </w:p>
        </w:tc>
        <w:tc>
          <w:tcPr>
            <w:tcW w:w="33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affirmative "FOR" votes will be elected as</w:t>
            </w:r>
          </w:p>
        </w:tc>
        <w:tc>
          <w:tcPr>
            <w:tcW w:w="240" w:type="dxa"/>
            <w:vAlign w:val="bottom"/>
            <w:tcBorders>
              <w:right w:val="single" w:sz="8" w:color="auto"/>
            </w:tcBorders>
            <w:shd w:val="clear" w:color="auto" w:fill="CCEEFF"/>
          </w:tcPr>
          <w:p>
            <w:pPr>
              <w:spacing w:after="0"/>
              <w:rPr>
                <w:sz w:val="16"/>
                <w:szCs w:val="16"/>
                <w:color w:val="auto"/>
              </w:rPr>
            </w:pPr>
          </w:p>
        </w:tc>
        <w:tc>
          <w:tcPr>
            <w:tcW w:w="27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40" w:type="dxa"/>
            <w:vAlign w:val="bottom"/>
            <w:tcBorders>
              <w:left w:val="single" w:sz="8" w:color="auto"/>
              <w:bottom w:val="single" w:sz="8" w:color="auto"/>
            </w:tcBorders>
            <w:shd w:val="clear" w:color="auto" w:fill="CCEEFF"/>
          </w:tcPr>
          <w:p>
            <w:pPr>
              <w:spacing w:after="0"/>
              <w:rPr>
                <w:sz w:val="18"/>
                <w:szCs w:val="18"/>
                <w:color w:val="auto"/>
              </w:rPr>
            </w:pPr>
          </w:p>
        </w:tc>
        <w:tc>
          <w:tcPr>
            <w:tcW w:w="2640" w:type="dxa"/>
            <w:vAlign w:val="bottom"/>
            <w:tcBorders>
              <w:bottom w:val="single" w:sz="8" w:color="auto"/>
              <w:right w:val="single" w:sz="8" w:color="auto"/>
            </w:tcBorders>
            <w:shd w:val="clear" w:color="auto" w:fill="CCEEFF"/>
          </w:tcPr>
          <w:p>
            <w:pPr>
              <w:spacing w:after="0"/>
              <w:rPr>
                <w:sz w:val="18"/>
                <w:szCs w:val="18"/>
                <w:color w:val="auto"/>
              </w:rPr>
            </w:pPr>
          </w:p>
        </w:tc>
        <w:tc>
          <w:tcPr>
            <w:tcW w:w="240" w:type="dxa"/>
            <w:vAlign w:val="bottom"/>
            <w:tcBorders>
              <w:bottom w:val="single" w:sz="8" w:color="auto"/>
              <w:right w:val="single" w:sz="8" w:color="auto"/>
            </w:tcBorders>
            <w:shd w:val="clear" w:color="auto" w:fill="CCEEFF"/>
          </w:tcPr>
          <w:p>
            <w:pPr>
              <w:spacing w:after="0"/>
              <w:rPr>
                <w:sz w:val="18"/>
                <w:szCs w:val="18"/>
                <w:color w:val="auto"/>
              </w:rPr>
            </w:pPr>
          </w:p>
        </w:tc>
        <w:tc>
          <w:tcPr>
            <w:tcW w:w="33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Directors.</w:t>
            </w:r>
          </w:p>
        </w:tc>
        <w:tc>
          <w:tcPr>
            <w:tcW w:w="240" w:type="dxa"/>
            <w:vAlign w:val="bottom"/>
            <w:tcBorders>
              <w:bottom w:val="single" w:sz="8" w:color="auto"/>
              <w:right w:val="single" w:sz="8" w:color="auto"/>
            </w:tcBorders>
            <w:shd w:val="clear" w:color="auto" w:fill="CCEEFF"/>
          </w:tcPr>
          <w:p>
            <w:pPr>
              <w:spacing w:after="0"/>
              <w:rPr>
                <w:sz w:val="18"/>
                <w:szCs w:val="18"/>
                <w:color w:val="auto"/>
              </w:rPr>
            </w:pPr>
          </w:p>
        </w:tc>
        <w:tc>
          <w:tcPr>
            <w:tcW w:w="27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380" w:type="dxa"/>
            <w:vAlign w:val="bottom"/>
            <w:tcBorders>
              <w:left w:val="single" w:sz="8" w:color="auto"/>
              <w:right w:val="single" w:sz="8" w:color="auto"/>
            </w:tcBorders>
            <w:gridSpan w:val="2"/>
          </w:tcPr>
          <w:p>
            <w:pPr>
              <w:ind w:left="20"/>
              <w:spacing w:after="0" w:line="149" w:lineRule="exact"/>
              <w:rPr>
                <w:sz w:val="20"/>
                <w:szCs w:val="20"/>
                <w:color w:val="auto"/>
              </w:rPr>
            </w:pPr>
            <w:r>
              <w:rPr>
                <w:rFonts w:ascii="Times New Roman" w:cs="Times New Roman" w:eastAsia="Times New Roman" w:hAnsi="Times New Roman"/>
                <w:sz w:val="16"/>
                <w:szCs w:val="16"/>
                <w:b w:val="1"/>
                <w:bCs w:val="1"/>
                <w:color w:val="auto"/>
              </w:rPr>
              <w:t>Proposal 2</w:t>
            </w:r>
            <w:r>
              <w:rPr>
                <w:rFonts w:ascii="Times New Roman" w:cs="Times New Roman" w:eastAsia="Times New Roman" w:hAnsi="Times New Roman"/>
                <w:sz w:val="16"/>
                <w:szCs w:val="16"/>
                <w:color w:val="auto"/>
              </w:rPr>
              <w:t>: Ratification of Appointment of</w:t>
            </w:r>
          </w:p>
        </w:tc>
        <w:tc>
          <w:tcPr>
            <w:tcW w:w="240" w:type="dxa"/>
            <w:vAlign w:val="bottom"/>
            <w:tcBorders>
              <w:right w:val="single" w:sz="8" w:color="auto"/>
            </w:tcBorders>
          </w:tcPr>
          <w:p>
            <w:pPr>
              <w:spacing w:after="0"/>
              <w:rPr>
                <w:sz w:val="12"/>
                <w:szCs w:val="12"/>
                <w:color w:val="auto"/>
              </w:rPr>
            </w:pPr>
          </w:p>
        </w:tc>
        <w:tc>
          <w:tcPr>
            <w:tcW w:w="338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6"/>
                <w:szCs w:val="16"/>
                <w:color w:val="auto"/>
              </w:rPr>
              <w:t>The affirmative vote of the holders of a majority in</w:t>
            </w:r>
          </w:p>
        </w:tc>
        <w:tc>
          <w:tcPr>
            <w:tcW w:w="240" w:type="dxa"/>
            <w:vAlign w:val="bottom"/>
            <w:tcBorders>
              <w:right w:val="single" w:sz="8" w:color="auto"/>
            </w:tcBorders>
          </w:tcPr>
          <w:p>
            <w:pPr>
              <w:spacing w:after="0"/>
              <w:rPr>
                <w:sz w:val="12"/>
                <w:szCs w:val="12"/>
                <w:color w:val="auto"/>
              </w:rPr>
            </w:pPr>
          </w:p>
        </w:tc>
        <w:tc>
          <w:tcPr>
            <w:tcW w:w="270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6"/>
                <w:szCs w:val="16"/>
                <w:color w:val="auto"/>
              </w:rPr>
              <w:t>Abstentions and broker non-votes will</w:t>
            </w:r>
          </w:p>
        </w:tc>
        <w:tc>
          <w:tcPr>
            <w:tcW w:w="0" w:type="dxa"/>
            <w:vAlign w:val="bottom"/>
          </w:tcPr>
          <w:p>
            <w:pPr>
              <w:spacing w:after="0"/>
              <w:rPr>
                <w:sz w:val="1"/>
                <w:szCs w:val="1"/>
                <w:color w:val="auto"/>
              </w:rPr>
            </w:pPr>
          </w:p>
        </w:tc>
      </w:tr>
      <w:tr>
        <w:trPr>
          <w:trHeight w:val="20"/>
        </w:trPr>
        <w:tc>
          <w:tcPr>
            <w:tcW w:w="740" w:type="dxa"/>
            <w:vAlign w:val="bottom"/>
            <w:tcBorders>
              <w:left w:val="single" w:sz="8" w:color="auto"/>
            </w:tcBorders>
            <w:shd w:val="clear" w:color="auto" w:fill="000000"/>
          </w:tcPr>
          <w:p>
            <w:pPr>
              <w:spacing w:after="0" w:line="20" w:lineRule="exact"/>
              <w:rPr>
                <w:sz w:val="1"/>
                <w:szCs w:val="1"/>
                <w:color w:val="auto"/>
              </w:rPr>
            </w:pPr>
          </w:p>
        </w:tc>
        <w:tc>
          <w:tcPr>
            <w:tcW w:w="264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38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7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38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Independent Registered Public Accounting Firm</w:t>
            </w:r>
          </w:p>
        </w:tc>
        <w:tc>
          <w:tcPr>
            <w:tcW w:w="24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voting power of the votes cast.</w:t>
            </w:r>
          </w:p>
        </w:tc>
        <w:tc>
          <w:tcPr>
            <w:tcW w:w="240" w:type="dxa"/>
            <w:vAlign w:val="bottom"/>
            <w:tcBorders>
              <w:right w:val="single" w:sz="8" w:color="auto"/>
            </w:tcBorders>
          </w:tcPr>
          <w:p>
            <w:pPr>
              <w:spacing w:after="0"/>
              <w:rPr>
                <w:sz w:val="16"/>
                <w:szCs w:val="16"/>
                <w:color w:val="auto"/>
              </w:rPr>
            </w:pPr>
          </w:p>
        </w:tc>
        <w:tc>
          <w:tcPr>
            <w:tcW w:w="2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have no effect. We do not expect any</w:t>
            </w:r>
          </w:p>
        </w:tc>
        <w:tc>
          <w:tcPr>
            <w:tcW w:w="0" w:type="dxa"/>
            <w:vAlign w:val="bottom"/>
          </w:tcPr>
          <w:p>
            <w:pPr>
              <w:spacing w:after="0"/>
              <w:rPr>
                <w:sz w:val="1"/>
                <w:szCs w:val="1"/>
                <w:color w:val="auto"/>
              </w:rPr>
            </w:pPr>
          </w:p>
        </w:tc>
      </w:tr>
      <w:tr>
        <w:trPr>
          <w:trHeight w:val="209"/>
        </w:trPr>
        <w:tc>
          <w:tcPr>
            <w:tcW w:w="740" w:type="dxa"/>
            <w:vAlign w:val="bottom"/>
            <w:tcBorders>
              <w:left w:val="single" w:sz="8" w:color="auto"/>
              <w:bottom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broker non-votes on this proposal.</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IS AN ABSTENTION AND HOW WILL VOTES WITHHELD AND ABSTENTIONS BE TREATED?</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 "vote withheld," in the case of the proposal regarding the election of directors, or an "abstention," in the case of the proposal regarding the ratification of our independent registered public accounting firm, represents a stockholder’s affirmative choice to decline to vote on a proposal. Votes withheld and abstentions are counted as present and entitled to vote for purposes of determining a quorum. Votes withheld have no effect on Proposal 1. Abstentions have no effect on Proposal 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WHAT ARE BROKER NON-VOTES AND DO THEY COUNT FOR DETERMINING A QUORUM?</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Generally, broker non-votes occur when shares held by a broker in "street name" for a beneficial owner are not voted with respect to a particular proposal because the broker (i) has not received voting instructions from the beneficial owner and (ii) lacks discretionary voting power to vote those shares. A broker is entitled to vote shares held for a beneficial owner on routine matters, such as the ratification of the appointment of Crowe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Broker non-votes count for purposes of determining whether a quorum is present.</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Brokerage firms or other nominees may not vote your shares on Proposal 1 in the absence of your specific instructions as to how to vote. </w:t>
      </w:r>
      <w:r>
        <w:rPr>
          <w:rFonts w:ascii="Times New Roman" w:cs="Times New Roman" w:eastAsia="Times New Roman" w:hAnsi="Times New Roman"/>
          <w:sz w:val="16"/>
          <w:szCs w:val="16"/>
          <w:b w:val="1"/>
          <w:bCs w:val="1"/>
          <w:color w:val="auto"/>
        </w:rPr>
        <w:t>We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color w:val="auto"/>
        </w:rPr>
        <w:t xml:space="preserve">encourage you to provide instructions to your brokerage firm or other nominee regarding the voting of your shares. </w:t>
      </w:r>
      <w:r>
        <w:rPr>
          <w:rFonts w:ascii="Times New Roman" w:cs="Times New Roman" w:eastAsia="Times New Roman" w:hAnsi="Times New Roman"/>
          <w:sz w:val="16"/>
          <w:szCs w:val="16"/>
          <w:i w:val="1"/>
          <w:iCs w:val="1"/>
          <w:color w:val="auto"/>
        </w:rPr>
        <w:t>If you do not instruct your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 xml:space="preserve">brokerage firm or other nominee how to vote with respect to Proposal 1, your brokerage firm or other nominee may not vote with respect to this proposal and your vote will be counted as a “broker/nominee non-vote.” </w:t>
      </w:r>
      <w:r>
        <w:rPr>
          <w:rFonts w:ascii="Times New Roman" w:cs="Times New Roman" w:eastAsia="Times New Roman" w:hAnsi="Times New Roman"/>
          <w:sz w:val="16"/>
          <w:szCs w:val="16"/>
          <w:color w:val="auto"/>
        </w:rPr>
        <w:t>“Broker/nominee non-votes” are non-votes by a brokerage firm or other nominee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shares held in a client’s account for which the brokerage firm or other nominee does not have discretionary authority to vote on a particular matter and has not received instructions from the client. How we treat broker/nominee non-votes is separately described in the table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WHERE CAN I FIND THE VOTING RESULTS OF THE 2026 ANNUAL MEETING OF STOCKHOLDERS?</w:t>
      </w:r>
    </w:p>
    <w:p>
      <w:pPr>
        <w:spacing w:after="0" w:line="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plan to announce preliminary voting results at the Annual Meeting and we will report the final results in a Current Report on Form 8-K, which we intend to file with the SEC shortly after the Annual Meeting.</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b w:val="1"/>
          <w:bCs w:val="1"/>
          <w:color w:val="auto"/>
        </w:rPr>
        <w:t>PROPOSALS TO BE VOTED 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Proposal 1: Election of Directors</w:t>
      </w:r>
    </w:p>
    <w:p>
      <w:pPr>
        <w:spacing w:after="0" w:line="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Our Board, after consultation with the Nominating and Governance Committee, has nominated Eric Andersen, David DeStefano and Christopher Young as Class III Director nominees to be elected to hold office until the annual meeting of stockholders to be held in 2029 and until such director’s successor is elected and qualified or until such director’s earlier death, resignation or removal.</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proposal regarding the election of directors requires the approval of a plurality of the votes cast. This means that the three nominees receiving the highest number of affirmative “FOR” votes will be elected as Class III Directors. Votes withheld and broker non-votes will have no effect on the outcome of the vote on this proposal.</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Our Board currently consists of nine members, which includes one employee director, our President and Chief Executive Officer, Christopher Young. Our Amended and Restated Certificate of Incorporation (“Charter”) and Second Amended and Restated Bylaws (“Bylaws”) provide that the authorized number of directors shall be fixed from time to time by a resolution of the majority of our Board. Our current non-employee directors are:</w:t>
      </w:r>
    </w:p>
    <w:p>
      <w:pPr>
        <w:spacing w:after="0" w:line="152" w:lineRule="exact"/>
        <w:rPr>
          <w:sz w:val="20"/>
          <w:szCs w:val="20"/>
          <w:color w:val="auto"/>
        </w:rPr>
      </w:pPr>
    </w:p>
    <w:tbl>
      <w:tblPr>
        <w:tblLayout w:type="fixed"/>
        <w:tblInd w:w="850" w:type="dxa"/>
        <w:tblCellMar>
          <w:top w:w="0" w:type="dxa"/>
          <w:left w:w="0" w:type="dxa"/>
          <w:bottom w:w="0" w:type="dxa"/>
          <w:right w:w="0" w:type="dxa"/>
        </w:tblCellMar>
      </w:tblPr>
      <w:tr>
        <w:trPr>
          <w:trHeight w:val="226"/>
        </w:trPr>
        <w:tc>
          <w:tcPr>
            <w:tcW w:w="7200" w:type="dxa"/>
            <w:vAlign w:val="bottom"/>
            <w:tcBorders>
              <w:top w:val="single" w:sz="8" w:color="auto"/>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8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r>
      <w:tr>
        <w:trPr>
          <w:trHeight w:val="208"/>
        </w:trPr>
        <w:tc>
          <w:tcPr>
            <w:tcW w:w="7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Eric Andersen</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r>
      <w:tr>
        <w:trPr>
          <w:trHeight w:val="209"/>
        </w:trPr>
        <w:tc>
          <w:tcPr>
            <w:tcW w:w="7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David DeStefano</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r>
      <w:tr>
        <w:trPr>
          <w:trHeight w:val="209"/>
        </w:trPr>
        <w:tc>
          <w:tcPr>
            <w:tcW w:w="7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Bradley M. Gayton</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r>
      <w:tr>
        <w:trPr>
          <w:trHeight w:val="209"/>
        </w:trPr>
        <w:tc>
          <w:tcPr>
            <w:tcW w:w="7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Mark J. Mendola</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r>
      <w:tr>
        <w:trPr>
          <w:trHeight w:val="209"/>
        </w:trPr>
        <w:tc>
          <w:tcPr>
            <w:tcW w:w="7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Amanda Westphal Radcliffe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209"/>
        </w:trPr>
        <w:tc>
          <w:tcPr>
            <w:tcW w:w="7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Philip Saunders</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r>
      <w:tr>
        <w:trPr>
          <w:trHeight w:val="209"/>
        </w:trPr>
        <w:tc>
          <w:tcPr>
            <w:tcW w:w="7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J. Richard Stamm</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70</w:t>
            </w:r>
          </w:p>
        </w:tc>
      </w:tr>
      <w:tr>
        <w:trPr>
          <w:trHeight w:val="217"/>
        </w:trPr>
        <w:tc>
          <w:tcPr>
            <w:tcW w:w="7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Stefanie Westphal Thompson</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r>
    </w:tbl>
    <w:p>
      <w:pPr>
        <w:spacing w:after="0" w:line="3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Board is divided into three staggered classes of directors of the same or nearly the same number. At each annual meeting of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2026 for the Class III Directors, 2027 for the Class I Directors and 2028 for the Class II Directors.</w:t>
      </w:r>
    </w:p>
    <w:p>
      <w:pPr>
        <w:spacing w:after="0" w:line="1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Any additional directorships resulting from an increase in the number of directors will be distributed among the three classes so that, as nearly as possible, each class shall consist of one-third of the directors. The division of our Board into three classes with staggered three-year terms may delay or prevent a change of our management or a change in control.</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If you submit a proxy but do not indicate any voting instructions, the persons named as proxies will vote the shares of Common Stock represented by the proxy for the election as Class III Directors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the Board or the Board may elect to reduce its size. The Board has no reason to believe the nominees named below will be unable to serve if elected. Each of the nominees has consented to being named in this Proxy Statement and to serve if elected.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Nominees for Class III Directors (terms to expire at the 2029 Annual Meeting</w:t>
      </w:r>
      <w:r>
        <w:rPr>
          <w:rFonts w:ascii="Times New Roman" w:cs="Times New Roman" w:eastAsia="Times New Roman" w:hAnsi="Times New Roman"/>
          <w:sz w:val="16"/>
          <w:szCs w:val="16"/>
          <w:b w:val="1"/>
          <w:bCs w:val="1"/>
          <w:u w:val="single" w:color="auto"/>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nominees for Class III Directors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0" w:type="dxa"/>
            <w:vAlign w:val="bottom"/>
            <w:tcBorders>
              <w:right w:val="single" w:sz="8" w:color="auto"/>
            </w:tcBorders>
          </w:tcPr>
          <w:p>
            <w:pPr>
              <w:spacing w:after="0"/>
              <w:rPr>
                <w:sz w:val="19"/>
                <w:szCs w:val="19"/>
                <w:color w:val="auto"/>
              </w:rPr>
            </w:pPr>
          </w:p>
        </w:tc>
        <w:tc>
          <w:tcPr>
            <w:tcW w:w="3400" w:type="dxa"/>
            <w:vAlign w:val="bottom"/>
            <w:tcBorders>
              <w:top w:val="single" w:sz="8" w:color="auto"/>
              <w:right w:val="single" w:sz="8" w:color="auto"/>
            </w:tcBorders>
            <w:shd w:val="clear" w:color="auto" w:fill="CCEEFF"/>
          </w:tcPr>
          <w:p>
            <w:pPr>
              <w:spacing w:after="0"/>
              <w:rPr>
                <w:sz w:val="19"/>
                <w:szCs w:val="19"/>
                <w:color w:val="auto"/>
              </w:rPr>
            </w:pPr>
          </w:p>
        </w:tc>
        <w:tc>
          <w:tcPr>
            <w:tcW w:w="640" w:type="dxa"/>
            <w:vAlign w:val="bottom"/>
            <w:tcBorders>
              <w:top w:val="single" w:sz="8" w:color="auto"/>
              <w:right w:val="single" w:sz="8" w:color="auto"/>
            </w:tcBorders>
            <w:shd w:val="clear" w:color="auto" w:fill="CCEEFF"/>
          </w:tcPr>
          <w:p>
            <w:pPr>
              <w:spacing w:after="0"/>
              <w:rPr>
                <w:sz w:val="19"/>
                <w:szCs w:val="19"/>
                <w:color w:val="auto"/>
              </w:rPr>
            </w:pPr>
          </w:p>
        </w:tc>
        <w:tc>
          <w:tcPr>
            <w:tcW w:w="1520" w:type="dxa"/>
            <w:vAlign w:val="bottom"/>
            <w:tcBorders>
              <w:top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Served as a</w:t>
            </w:r>
          </w:p>
        </w:tc>
        <w:tc>
          <w:tcPr>
            <w:tcW w:w="2620" w:type="dxa"/>
            <w:vAlign w:val="bottom"/>
            <w:tcBorders>
              <w:top w:val="single" w:sz="8" w:color="auto"/>
              <w:right w:val="single" w:sz="8" w:color="auto"/>
            </w:tcBorders>
            <w:shd w:val="clear" w:color="auto" w:fill="CCEEFF"/>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900" w:type="dxa"/>
            <w:vAlign w:val="bottom"/>
            <w:tcBorders>
              <w:right w:val="single" w:sz="8" w:color="auto"/>
            </w:tcBorders>
          </w:tcPr>
          <w:p>
            <w:pPr>
              <w:spacing w:after="0"/>
              <w:rPr>
                <w:sz w:val="19"/>
                <w:szCs w:val="19"/>
                <w:color w:val="auto"/>
              </w:rPr>
            </w:pPr>
          </w:p>
        </w:tc>
        <w:tc>
          <w:tcPr>
            <w:tcW w:w="340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1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Director Since</w:t>
            </w:r>
          </w:p>
        </w:tc>
        <w:tc>
          <w:tcPr>
            <w:tcW w:w="262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Positions with Vertex</w:t>
            </w:r>
          </w:p>
        </w:tc>
        <w:tc>
          <w:tcPr>
            <w:tcW w:w="840" w:type="dxa"/>
            <w:vAlign w:val="bottom"/>
          </w:tcPr>
          <w:p>
            <w:pPr>
              <w:spacing w:after="0"/>
              <w:rPr>
                <w:sz w:val="19"/>
                <w:szCs w:val="19"/>
                <w:color w:val="auto"/>
              </w:rPr>
            </w:pPr>
          </w:p>
        </w:tc>
      </w:tr>
      <w:tr>
        <w:trPr>
          <w:trHeight w:val="207"/>
        </w:trPr>
        <w:tc>
          <w:tcPr>
            <w:tcW w:w="900" w:type="dxa"/>
            <w:vAlign w:val="bottom"/>
            <w:tcBorders>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Eric Andersen</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2008</w:t>
            </w:r>
          </w:p>
        </w:tc>
        <w:tc>
          <w:tcPr>
            <w:tcW w:w="2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840" w:type="dxa"/>
            <w:vAlign w:val="bottom"/>
          </w:tcPr>
          <w:p>
            <w:pPr>
              <w:spacing w:after="0"/>
              <w:rPr>
                <w:sz w:val="18"/>
                <w:szCs w:val="18"/>
                <w:color w:val="auto"/>
              </w:rPr>
            </w:pPr>
          </w:p>
        </w:tc>
      </w:tr>
      <w:tr>
        <w:trPr>
          <w:trHeight w:val="209"/>
        </w:trPr>
        <w:tc>
          <w:tcPr>
            <w:tcW w:w="900" w:type="dxa"/>
            <w:vAlign w:val="bottom"/>
            <w:tcBorders>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David DeStefano</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2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Chairperson of the Board</w:t>
            </w:r>
          </w:p>
        </w:tc>
        <w:tc>
          <w:tcPr>
            <w:tcW w:w="840" w:type="dxa"/>
            <w:vAlign w:val="bottom"/>
          </w:tcPr>
          <w:p>
            <w:pPr>
              <w:spacing w:after="0"/>
              <w:rPr>
                <w:sz w:val="18"/>
                <w:szCs w:val="18"/>
                <w:color w:val="auto"/>
              </w:rPr>
            </w:pPr>
          </w:p>
        </w:tc>
      </w:tr>
      <w:tr>
        <w:trPr>
          <w:trHeight w:val="176"/>
        </w:trPr>
        <w:tc>
          <w:tcPr>
            <w:tcW w:w="900" w:type="dxa"/>
            <w:vAlign w:val="bottom"/>
            <w:tcBorders>
              <w:right w:val="single" w:sz="8" w:color="auto"/>
            </w:tcBorders>
          </w:tcPr>
          <w:p>
            <w:pPr>
              <w:spacing w:after="0"/>
              <w:rPr>
                <w:sz w:val="15"/>
                <w:szCs w:val="15"/>
                <w:color w:val="auto"/>
              </w:rPr>
            </w:pPr>
          </w:p>
        </w:tc>
        <w:tc>
          <w:tcPr>
            <w:tcW w:w="3400" w:type="dxa"/>
            <w:vAlign w:val="bottom"/>
            <w:tcBorders>
              <w:right w:val="single" w:sz="8" w:color="auto"/>
            </w:tcBorders>
          </w:tcPr>
          <w:p>
            <w:pPr>
              <w:ind w:left="60"/>
              <w:spacing w:after="0" w:line="177" w:lineRule="exact"/>
              <w:rPr>
                <w:sz w:val="20"/>
                <w:szCs w:val="20"/>
                <w:color w:val="auto"/>
              </w:rPr>
            </w:pPr>
            <w:r>
              <w:rPr>
                <w:rFonts w:ascii="Times New Roman" w:cs="Times New Roman" w:eastAsia="Times New Roman" w:hAnsi="Times New Roman"/>
                <w:sz w:val="16"/>
                <w:szCs w:val="16"/>
                <w:color w:val="auto"/>
              </w:rPr>
              <w:t>Christopher Young</w:t>
            </w:r>
          </w:p>
        </w:tc>
        <w:tc>
          <w:tcPr>
            <w:tcW w:w="6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54</w:t>
            </w:r>
          </w:p>
        </w:tc>
        <w:tc>
          <w:tcPr>
            <w:tcW w:w="15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2025</w:t>
            </w:r>
          </w:p>
        </w:tc>
        <w:tc>
          <w:tcPr>
            <w:tcW w:w="262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6"/>
                <w:szCs w:val="16"/>
                <w:color w:val="auto"/>
              </w:rPr>
              <w:t>President, Chief Executive Officer,</w:t>
            </w:r>
          </w:p>
        </w:tc>
        <w:tc>
          <w:tcPr>
            <w:tcW w:w="840" w:type="dxa"/>
            <w:vAlign w:val="bottom"/>
          </w:tcPr>
          <w:p>
            <w:pPr>
              <w:spacing w:after="0"/>
              <w:rPr>
                <w:sz w:val="15"/>
                <w:szCs w:val="15"/>
                <w:color w:val="auto"/>
              </w:rPr>
            </w:pPr>
          </w:p>
        </w:tc>
      </w:tr>
      <w:tr>
        <w:trPr>
          <w:trHeight w:val="209"/>
        </w:trPr>
        <w:tc>
          <w:tcPr>
            <w:tcW w:w="900" w:type="dxa"/>
            <w:vAlign w:val="bottom"/>
            <w:tcBorders>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and Director</w:t>
            </w:r>
          </w:p>
        </w:tc>
        <w:tc>
          <w:tcPr>
            <w:tcW w:w="840" w:type="dxa"/>
            <w:vAlign w:val="bottom"/>
          </w:tcPr>
          <w:p>
            <w:pPr>
              <w:spacing w:after="0"/>
              <w:rPr>
                <w:sz w:val="18"/>
                <w:szCs w:val="18"/>
                <w:color w:val="auto"/>
              </w:rPr>
            </w:pPr>
          </w:p>
        </w:tc>
      </w:tr>
      <w:tr>
        <w:trPr>
          <w:trHeight w:val="571"/>
        </w:trPr>
        <w:tc>
          <w:tcPr>
            <w:tcW w:w="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Pr>
          <w:p>
            <w:pPr>
              <w:jc w:val="right"/>
              <w:ind w:right="1384"/>
              <w:spacing w:after="0"/>
              <w:rPr>
                <w:sz w:val="20"/>
                <w:szCs w:val="20"/>
                <w:color w:val="auto"/>
              </w:rPr>
            </w:pPr>
            <w:r>
              <w:rPr>
                <w:rFonts w:ascii="Times New Roman" w:cs="Times New Roman" w:eastAsia="Times New Roman" w:hAnsi="Times New Roman"/>
                <w:sz w:val="11"/>
                <w:szCs w:val="11"/>
                <w:color w:val="auto"/>
                <w:w w:val="71"/>
              </w:rPr>
              <w:t>5</w:t>
            </w:r>
          </w:p>
        </w:tc>
        <w:tc>
          <w:tcPr>
            <w:tcW w:w="26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87"/>
        </w:trPr>
        <w:tc>
          <w:tcPr>
            <w:tcW w:w="9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7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6"/>
          <w:szCs w:val="16"/>
          <w:color w:val="auto"/>
        </w:rPr>
        <w:t>The following sets forth the names and biographical summaries as of the Record Date of the individuals who are our nominees for election as directors of the Company, all of whom are current directors of the Company.</w:t>
      </w:r>
    </w:p>
    <w:p>
      <w:pPr>
        <w:spacing w:after="0" w:line="140" w:lineRule="exact"/>
        <w:rPr>
          <w:sz w:val="20"/>
          <w:szCs w:val="20"/>
          <w:color w:val="auto"/>
        </w:rPr>
      </w:pPr>
    </w:p>
    <w:p>
      <w:pPr>
        <w:jc w:val="both"/>
        <w:ind w:right="20" w:firstLine="201"/>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Eric Andersen </w:t>
      </w:r>
      <w:r>
        <w:rPr>
          <w:rFonts w:ascii="Times New Roman" w:cs="Times New Roman" w:eastAsia="Times New Roman" w:hAnsi="Times New Roman"/>
          <w:sz w:val="16"/>
          <w:szCs w:val="16"/>
          <w:color w:val="auto"/>
        </w:rPr>
        <w:t>has served on our Board since January 2008 and currently serves as our lead independent director. He began his career with 25 years 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IBM, PricewaterhouseCoopers LLP (“PwC”), and PwC Consulting, where he held roles as a senior partner and executive, managing various businesses in the US, Asia, and globally. Over the past 15 years, he has specialized in private equity investing, serving as Managing Partner at two middle-market PE firms—Peak Equity and Milestone Partners—and as Managing Director at Silver Lake, a major technology-focused firm. Additionally, Mr. Andersen has recently served as an Adjunct Professor at the Villanova School of Business. He has been a board member for several private and public companies, including serving as Chairman of the Board for American Public Education Inc., a publicly traded online university system. Mr. Andersen earned his MBA from the Wharton School at the University of Pennsylvania and holds a BS from Bucknell University. We believe that Mr. Andersen is qualified to serve on our Board because of his extensive experience in building and leading companies, as well as his public company experience and significant operational and strategic expertise.</w:t>
      </w:r>
    </w:p>
    <w:p>
      <w:pPr>
        <w:spacing w:after="0" w:line="164" w:lineRule="exact"/>
        <w:rPr>
          <w:sz w:val="20"/>
          <w:szCs w:val="20"/>
          <w:color w:val="auto"/>
        </w:rPr>
      </w:pPr>
    </w:p>
    <w:p>
      <w:pPr>
        <w:jc w:val="both"/>
        <w:ind w:firstLine="213"/>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David DeStefano </w:t>
      </w:r>
      <w:r>
        <w:rPr>
          <w:rFonts w:ascii="Times New Roman" w:cs="Times New Roman" w:eastAsia="Times New Roman" w:hAnsi="Times New Roman"/>
          <w:sz w:val="16"/>
          <w:szCs w:val="16"/>
          <w:color w:val="auto"/>
        </w:rPr>
        <w:t>has been Chairperson of our Board since 2020. Mr. DeStefano previously served as the President and Chief Executive Officer from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November 2016 to November 2025. Between 2015 and 2016 he was an Executive Vice President and a member of the Company’s Executive Council, which monitored our long-term strategic and financial viability, corporate brand, and culture. Mr. DeStefano previously served as our Vice President, Chief Financial Officer and Executive Vice President. Prior to joining the Company, Mr. DeStefano was Principal and Vice President at The Mid Atlantic Companies Ltd. Mr. DeStefano is also on the Board of Trustees of the Joseph Fund in Camden, New Jersey, and is a member of the National Association of Corporate Directors (“NACD”). Mr. DeStefano received a BS in Finance from Lehigh University. We believe that Mr. DeStefano is qualified to serve on our Board because of his perspective and knowledge of our Company and our business.</w:t>
      </w:r>
    </w:p>
    <w:p>
      <w:pPr>
        <w:spacing w:after="0" w:line="160" w:lineRule="exact"/>
        <w:rPr>
          <w:sz w:val="20"/>
          <w:szCs w:val="20"/>
          <w:color w:val="auto"/>
        </w:rPr>
      </w:pPr>
    </w:p>
    <w:p>
      <w:pPr>
        <w:jc w:val="both"/>
        <w:ind w:right="20" w:firstLine="237"/>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Christopher Young </w:t>
      </w:r>
      <w:r>
        <w:rPr>
          <w:rFonts w:ascii="Times New Roman" w:cs="Times New Roman" w:eastAsia="Times New Roman" w:hAnsi="Times New Roman"/>
          <w:sz w:val="16"/>
          <w:szCs w:val="16"/>
          <w:color w:val="auto"/>
        </w:rPr>
        <w:t>became our President and Chief Executive Officer and was appointed as a member of our Board in November 2025. Mr. Young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was previously the Executive Vice President – Business Development, Strategy and Ventures of Microsoft Corp. from 2020 to 2025. From 2017 to 2020, he was the Chief Executive Officer (“CEO”) of McAfee, LLC, one of the world’s leading independent cybersecurity companies. Prior to that, Mr. Young was a Senior Vice President and General Manager at Intel Security Group, where he led the initiative to spin out McAfee. Previously, he led cybersecurity efforts at Cisco, RSA (a division of Dell EMC) and AOL. Mr. Young also led end-user computing at VMware and co-founded the company Cyveillance.</w:t>
      </w:r>
    </w:p>
    <w:p>
      <w:pPr>
        <w:spacing w:after="0" w:line="16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Mr. Young currently serves on the board of directors of American Express and has previously served on the board of Qualcomm Incorporated, Snap Inc. and Rapid7, Inc. He is a former member of the Cybersecurity &amp; Infrastructure Security Agency Cybersecurity Advisory Committee and a former member of the President’s National Security Telecommunications Advisory Committee. He is a former director for the non-profit Cyber Threat Alliance and a former member of the Board of Trustees of Princeton University. Mr. Young received his Bachelor of Arts from Princeton University and his Master of Business Administration from Harvard University. We believe that Mr. Young is qualified to serve on our Board because of the perspective and experience he brings as our Chief Executive Officer and his knowledge of our Company and our business.</w:t>
      </w:r>
    </w:p>
    <w:p>
      <w:pPr>
        <w:spacing w:after="0" w:line="16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b w:val="1"/>
          <w:bCs w:val="1"/>
          <w:color w:val="auto"/>
        </w:rPr>
        <w:t xml:space="preserve">A VOTE IS REQUIRED FOR THIS PROPOSAL. </w:t>
      </w:r>
      <w:r>
        <w:rPr>
          <w:rFonts w:ascii="Times New Roman" w:cs="Times New Roman" w:eastAsia="Times New Roman" w:hAnsi="Times New Roman"/>
          <w:sz w:val="16"/>
          <w:szCs w:val="16"/>
          <w:color w:val="auto"/>
        </w:rPr>
        <w:t>This proposal regarding the election of directors requires the approval of a plurality of the votes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cast. This means that the three nominees receiving the highest number of affirmative “FOR” votes will be elected as directors. Votes withheld and broker non-votes will have no effect on the outcome of the vote on this proposal.</w:t>
      </w:r>
    </w:p>
    <w:p>
      <w:pPr>
        <w:spacing w:after="0" w:line="15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u w:val="single" w:color="auto"/>
          <w:color w:val="auto"/>
        </w:rPr>
        <w:t>RECOMMENDATION OF THE BOARD</w:t>
      </w:r>
      <w:r>
        <w:rPr>
          <w:rFonts w:ascii="Times New Roman" w:cs="Times New Roman" w:eastAsia="Times New Roman" w:hAnsi="Times New Roman"/>
          <w:sz w:val="16"/>
          <w:szCs w:val="16"/>
          <w:b w:val="1"/>
          <w:bCs w:val="1"/>
          <w:color w:val="auto"/>
        </w:rPr>
        <w:t>:</w:t>
      </w:r>
    </w:p>
    <w:p>
      <w:pPr>
        <w:spacing w:after="0" w:line="2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6"/>
          <w:szCs w:val="16"/>
          <w:color w:val="auto"/>
        </w:rPr>
        <w:t>The Board unanimously recommends a vote</w:t>
      </w:r>
    </w:p>
    <w:p>
      <w:pPr>
        <w:spacing w:after="0" w:line="9"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election of Eric Andersen, David DeStefano and Christopher Young.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Continuing Members of the Board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Class I Directors (terms to expire at the 2027 Annual Meeting)</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current members of the Board who are Class I Directors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0" w:type="dxa"/>
            <w:vAlign w:val="bottom"/>
            <w:tcBorders>
              <w:right w:val="single" w:sz="8" w:color="auto"/>
            </w:tcBorders>
          </w:tcPr>
          <w:p>
            <w:pPr>
              <w:spacing w:after="0"/>
              <w:rPr>
                <w:sz w:val="19"/>
                <w:szCs w:val="19"/>
                <w:color w:val="auto"/>
              </w:rPr>
            </w:pPr>
          </w:p>
        </w:tc>
        <w:tc>
          <w:tcPr>
            <w:tcW w:w="3480" w:type="dxa"/>
            <w:vAlign w:val="bottom"/>
            <w:tcBorders>
              <w:top w:val="single" w:sz="8" w:color="auto"/>
              <w:right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right w:val="single" w:sz="8" w:color="auto"/>
            </w:tcBorders>
            <w:shd w:val="clear" w:color="auto" w:fill="CCEEFF"/>
          </w:tcPr>
          <w:p>
            <w:pPr>
              <w:spacing w:after="0"/>
              <w:rPr>
                <w:sz w:val="19"/>
                <w:szCs w:val="19"/>
                <w:color w:val="auto"/>
              </w:rPr>
            </w:pPr>
          </w:p>
        </w:tc>
        <w:tc>
          <w:tcPr>
            <w:tcW w:w="1500" w:type="dxa"/>
            <w:vAlign w:val="bottom"/>
            <w:tcBorders>
              <w:top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Served as a</w:t>
            </w:r>
          </w:p>
        </w:tc>
        <w:tc>
          <w:tcPr>
            <w:tcW w:w="2640" w:type="dxa"/>
            <w:vAlign w:val="bottom"/>
            <w:tcBorders>
              <w:top w:val="single" w:sz="8" w:color="auto"/>
              <w:right w:val="single" w:sz="8" w:color="auto"/>
            </w:tcBorders>
            <w:shd w:val="clear" w:color="auto" w:fill="CCEEFF"/>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840" w:type="dxa"/>
            <w:vAlign w:val="bottom"/>
            <w:tcBorders>
              <w:right w:val="single" w:sz="8" w:color="auto"/>
            </w:tcBorders>
          </w:tcPr>
          <w:p>
            <w:pPr>
              <w:spacing w:after="0"/>
              <w:rPr>
                <w:sz w:val="19"/>
                <w:szCs w:val="19"/>
                <w:color w:val="auto"/>
              </w:rPr>
            </w:pPr>
          </w:p>
        </w:tc>
        <w:tc>
          <w:tcPr>
            <w:tcW w:w="34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520" w:type="dxa"/>
            <w:vAlign w:val="bottom"/>
            <w:tcBorders>
              <w:bottom w:val="single" w:sz="8" w:color="auto"/>
            </w:tcBorders>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b w:val="1"/>
                <w:bCs w:val="1"/>
                <w:color w:val="auto"/>
              </w:rPr>
              <w:t>Age</w:t>
            </w:r>
          </w:p>
        </w:tc>
        <w:tc>
          <w:tcPr>
            <w:tcW w:w="14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Director Since</w:t>
            </w:r>
          </w:p>
        </w:tc>
        <w:tc>
          <w:tcPr>
            <w:tcW w:w="26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Positions with Vertex</w:t>
            </w:r>
          </w:p>
        </w:tc>
        <w:tc>
          <w:tcPr>
            <w:tcW w:w="800" w:type="dxa"/>
            <w:vAlign w:val="bottom"/>
          </w:tcPr>
          <w:p>
            <w:pPr>
              <w:spacing w:after="0"/>
              <w:rPr>
                <w:sz w:val="19"/>
                <w:szCs w:val="19"/>
                <w:color w:val="auto"/>
              </w:rPr>
            </w:pPr>
          </w:p>
        </w:tc>
      </w:tr>
      <w:tr>
        <w:trPr>
          <w:trHeight w:val="211"/>
        </w:trPr>
        <w:tc>
          <w:tcPr>
            <w:tcW w:w="840" w:type="dxa"/>
            <w:vAlign w:val="bottom"/>
            <w:tcBorders>
              <w:right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Amanda Westphal Radcliffe</w:t>
            </w:r>
          </w:p>
        </w:tc>
        <w:tc>
          <w:tcPr>
            <w:tcW w:w="52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6"/>
                <w:szCs w:val="16"/>
                <w:color w:val="auto"/>
                <w:w w:val="99"/>
              </w:rPr>
              <w:t>58</w:t>
            </w:r>
          </w:p>
        </w:tc>
        <w:tc>
          <w:tcPr>
            <w:tcW w:w="14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1993</w:t>
            </w:r>
          </w:p>
        </w:tc>
        <w:tc>
          <w:tcPr>
            <w:tcW w:w="2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800" w:type="dxa"/>
            <w:vAlign w:val="bottom"/>
          </w:tcPr>
          <w:p>
            <w:pPr>
              <w:spacing w:after="0"/>
              <w:rPr>
                <w:sz w:val="18"/>
                <w:szCs w:val="18"/>
                <w:color w:val="auto"/>
              </w:rPr>
            </w:pPr>
          </w:p>
        </w:tc>
      </w:tr>
      <w:tr>
        <w:trPr>
          <w:trHeight w:val="209"/>
        </w:trPr>
        <w:tc>
          <w:tcPr>
            <w:tcW w:w="840" w:type="dxa"/>
            <w:vAlign w:val="bottom"/>
            <w:tcBorders>
              <w:right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Stefanie Westphal Thompson</w:t>
            </w:r>
          </w:p>
        </w:tc>
        <w:tc>
          <w:tcPr>
            <w:tcW w:w="52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6"/>
                <w:szCs w:val="16"/>
                <w:color w:val="auto"/>
                <w:w w:val="99"/>
              </w:rPr>
              <w:t>63</w:t>
            </w:r>
          </w:p>
        </w:tc>
        <w:tc>
          <w:tcPr>
            <w:tcW w:w="14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1991</w:t>
            </w:r>
          </w:p>
        </w:tc>
        <w:tc>
          <w:tcPr>
            <w:tcW w:w="2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800" w:type="dxa"/>
            <w:vAlign w:val="bottom"/>
          </w:tcPr>
          <w:p>
            <w:pPr>
              <w:spacing w:after="0"/>
              <w:rPr>
                <w:sz w:val="18"/>
                <w:szCs w:val="18"/>
                <w:color w:val="auto"/>
              </w:rPr>
            </w:pPr>
          </w:p>
        </w:tc>
      </w:tr>
      <w:tr>
        <w:trPr>
          <w:trHeight w:val="575"/>
        </w:trPr>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gridSpan w:val="2"/>
          </w:tcPr>
          <w:p>
            <w:pPr>
              <w:jc w:val="right"/>
              <w:ind w:right="1400"/>
              <w:spacing w:after="0"/>
              <w:rPr>
                <w:sz w:val="20"/>
                <w:szCs w:val="20"/>
                <w:color w:val="auto"/>
              </w:rPr>
            </w:pPr>
            <w:r>
              <w:rPr>
                <w:rFonts w:ascii="Times New Roman" w:cs="Times New Roman" w:eastAsia="Times New Roman" w:hAnsi="Times New Roman"/>
                <w:sz w:val="16"/>
                <w:szCs w:val="16"/>
                <w:color w:val="auto"/>
              </w:rPr>
              <w:t>6</w:t>
            </w:r>
          </w:p>
        </w:tc>
        <w:tc>
          <w:tcPr>
            <w:tcW w:w="26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87"/>
        </w:trPr>
        <w:tc>
          <w:tcPr>
            <w:tcW w:w="8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473" w:right="9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tbl>
      <w:tblPr>
        <w:tblLayout w:type="fixed"/>
        <w:tblInd w:w="830" w:type="dxa"/>
        <w:tblCellMar>
          <w:top w:w="0" w:type="dxa"/>
          <w:left w:w="0" w:type="dxa"/>
          <w:bottom w:w="0" w:type="dxa"/>
          <w:right w:w="0" w:type="dxa"/>
        </w:tblCellMar>
      </w:tblPr>
      <w:tr>
        <w:trPr>
          <w:trHeight w:val="225"/>
        </w:trPr>
        <w:tc>
          <w:tcPr>
            <w:tcW w:w="350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Bradley M. Gayton</w:t>
            </w:r>
          </w:p>
        </w:tc>
        <w:tc>
          <w:tcPr>
            <w:tcW w:w="660" w:type="dxa"/>
            <w:vAlign w:val="bottom"/>
            <w:tcBorders>
              <w:top w:val="single" w:sz="8" w:color="auto"/>
              <w:bottom w:val="single" w:sz="8" w:color="auto"/>
              <w:right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63</w:t>
            </w:r>
          </w:p>
        </w:tc>
        <w:tc>
          <w:tcPr>
            <w:tcW w:w="1500" w:type="dxa"/>
            <w:vAlign w:val="bottom"/>
            <w:tcBorders>
              <w:top w:val="single" w:sz="8" w:color="auto"/>
              <w:bottom w:val="single" w:sz="8" w:color="auto"/>
              <w:right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color w:val="auto"/>
              </w:rPr>
              <w:t>2021</w:t>
            </w:r>
          </w:p>
        </w:tc>
        <w:tc>
          <w:tcPr>
            <w:tcW w:w="264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Director</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principal occupations and business experience, for at least the past five years, of each Class I Director are as follows:</w:t>
      </w:r>
    </w:p>
    <w:p>
      <w:pPr>
        <w:spacing w:after="0" w:line="198" w:lineRule="exact"/>
        <w:rPr>
          <w:sz w:val="20"/>
          <w:szCs w:val="20"/>
          <w:color w:val="auto"/>
        </w:rPr>
      </w:pPr>
    </w:p>
    <w:p>
      <w:pPr>
        <w:jc w:val="both"/>
        <w:ind w:firstLine="29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Amanda Westphal Radcliffe </w:t>
      </w:r>
      <w:r>
        <w:rPr>
          <w:rFonts w:ascii="Times New Roman" w:cs="Times New Roman" w:eastAsia="Times New Roman" w:hAnsi="Times New Roman"/>
          <w:sz w:val="16"/>
          <w:szCs w:val="16"/>
          <w:color w:val="auto"/>
        </w:rPr>
        <w:t>has served on our Board since 1993. Prior to joining our Board, Ms. Radcliffe served in a variety of roles at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Company, from technical software instructor, to finance, production, and middle market product teams. Prior to joining the Company, she was a Managing Director at Rosenbluth International, since acquired by American Express. Ms. Radcliffe is a Board member of Melmark, Inc., founding Board Member and Emeritus President of the Neurodiversity Employment Network of Philadelphia, Chair Emeritus of the Children’s Hospital of Philadelphia Foundation Board of Advisors, and past Trustee, Chair Emeritus of the Drexel University, A.J. Drexel Autism Institute Board, and Chair Emeritus of Breastcancer.org. Ms. Radcliffe is also a member of the Philadelphia Chapter of Women Corporate Directors and NACD. Ms. Radcliffe holds a BA from Moravian University. We believe that Ms. Radcliffe is qualified to serve on our Board because of her extensive knowledge of our Company and our business derived from her longtime service with the Company.</w:t>
      </w:r>
    </w:p>
    <w:p>
      <w:pPr>
        <w:spacing w:after="0" w:line="161" w:lineRule="exact"/>
        <w:rPr>
          <w:sz w:val="20"/>
          <w:szCs w:val="20"/>
          <w:color w:val="auto"/>
        </w:rPr>
      </w:pPr>
    </w:p>
    <w:p>
      <w:pPr>
        <w:jc w:val="both"/>
        <w:ind w:firstLine="290"/>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Stefanie Westphal Thompson </w:t>
      </w:r>
      <w:r>
        <w:rPr>
          <w:rFonts w:ascii="Times New Roman" w:cs="Times New Roman" w:eastAsia="Times New Roman" w:hAnsi="Times New Roman"/>
          <w:sz w:val="16"/>
          <w:szCs w:val="16"/>
          <w:color w:val="auto"/>
        </w:rPr>
        <w:t>has served on our Board since 1993. She joined the Company in 1991 and has served in a variety of roles, including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Treasurer. Prior to joining the Company, Ms. Thompson was a Vice President at Chemical Bank (now part of Chase), where she specialized in managing the banking relationship for middle market companies. Ms. Thompson sat on Bryn Mawr Hospital’s Foundation Board for eight years, serving as Head of their Trustee Committee and as Vice-Chair and is a member of NACD. Ms. Thompson also served on the Board of the Agnes Irwin School in Rosemont, Pennsylvania, for ten years, heading its Trustees Committee. Ms. Thompson earned an MBA in Finance from Fordham University and has a dual BA in Engineering and Economics from Lafayette College. We believe that Ms. Thompson is qualified to serve on our Board because of her corporate finance experience as well as her knowledge of our Company and our business derived from her longtime service with the Company.</w:t>
      </w:r>
    </w:p>
    <w:p>
      <w:pPr>
        <w:spacing w:after="0" w:line="160" w:lineRule="exact"/>
        <w:rPr>
          <w:sz w:val="20"/>
          <w:szCs w:val="20"/>
          <w:color w:val="auto"/>
        </w:rPr>
      </w:pPr>
    </w:p>
    <w:p>
      <w:pPr>
        <w:jc w:val="both"/>
        <w:ind w:firstLine="29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Bradley M. Gayton </w:t>
      </w:r>
      <w:r>
        <w:rPr>
          <w:rFonts w:ascii="Times New Roman" w:cs="Times New Roman" w:eastAsia="Times New Roman" w:hAnsi="Times New Roman"/>
          <w:sz w:val="16"/>
          <w:szCs w:val="16"/>
          <w:color w:val="auto"/>
        </w:rPr>
        <w:t>joined our Board in 2021. Mr. Gayton previously served as the Senior Vice President, General Counsel of the Coca-Cola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Company. Prior to joining The Coca-Cola Company, Mr. Gayton spent 29 years in various leadership positions at Ford Motor Company and most recently as Group Vice President, Chief Administrative Officer and General Counsel. Mr. Gayton has deep experience in law, governance, tax and technology. He brings a global perspective in terms of the tax obligations for multinational enterprises and has experience in developing solutions through organizational innovation. While at Ford, he led explorations to see how artificial intelligence could be used for different business applications and collaborated with Vertex on the company’s tax compliance solutions worldwide. Mr. Gayton is a member of NACD. Mr. Gayton has a BS in Business Administration from the State University of New York at Buffalo, School of Management in 1986 and a JD from the State University of New York at Buffalo, Law School. We believe Mr. Gayton is qualified to serve on our Board because of his expertise in the legal field and his significant public company experience.</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Ms. Radcliffe and Ms. Thompson are siblings. In connection with the initial public offering (“IPO”) of our Class A Common Stock in July 2020, we entered into a Stockholders’ Agreement with Amanda Westphal Radcliffe, Stefanie Westphal Thompson and Jeffrey Westphal, with Ms. Radcliffe and Ms. Thompson serving as members of our Board, and their affiliated trust entities and family members (the “Stockholders’ Agreement”). Under the Stockholders’ Agreement, Mr. Westphal nominated Bradley M. Gayton and Ms. Radcliffe and Ms. Thompson nominated themselves and were elected to our Board as Class I Directors at the Vertex 2021 Annual Meeting. There are no other family relationships among any of our other executive officers or directors.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Class II Directors (terms to expire at the 2028 Annual Meeting</w:t>
      </w:r>
      <w:r>
        <w:rPr>
          <w:rFonts w:ascii="Times New Roman" w:cs="Times New Roman" w:eastAsia="Times New Roman" w:hAnsi="Times New Roman"/>
          <w:sz w:val="16"/>
          <w:szCs w:val="16"/>
          <w:b w:val="1"/>
          <w:bCs w:val="1"/>
          <w:u w:val="single" w:color="auto"/>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nominees for Class II Directors are as follows:</w:t>
      </w:r>
    </w:p>
    <w:p>
      <w:pPr>
        <w:spacing w:after="0" w:line="211" w:lineRule="exact"/>
        <w:rPr>
          <w:sz w:val="20"/>
          <w:szCs w:val="20"/>
          <w:color w:val="auto"/>
        </w:rPr>
      </w:pPr>
    </w:p>
    <w:tbl>
      <w:tblPr>
        <w:tblLayout w:type="fixed"/>
        <w:tblInd w:w="890" w:type="dxa"/>
        <w:tblCellMar>
          <w:top w:w="0" w:type="dxa"/>
          <w:left w:w="0" w:type="dxa"/>
          <w:bottom w:w="0" w:type="dxa"/>
          <w:right w:w="0" w:type="dxa"/>
        </w:tblCellMar>
      </w:tblPr>
      <w:tr>
        <w:trPr>
          <w:trHeight w:val="223"/>
        </w:trPr>
        <w:tc>
          <w:tcPr>
            <w:tcW w:w="3420" w:type="dxa"/>
            <w:vAlign w:val="bottom"/>
            <w:tcBorders>
              <w:top w:val="single" w:sz="8" w:color="auto"/>
              <w:left w:val="single" w:sz="8" w:color="auto"/>
              <w:right w:val="single" w:sz="8" w:color="auto"/>
            </w:tcBorders>
            <w:shd w:val="clear" w:color="auto" w:fill="CCEEFF"/>
          </w:tcPr>
          <w:p>
            <w:pPr>
              <w:spacing w:after="0"/>
              <w:rPr>
                <w:sz w:val="19"/>
                <w:szCs w:val="19"/>
                <w:color w:val="auto"/>
              </w:rPr>
            </w:pPr>
          </w:p>
        </w:tc>
        <w:tc>
          <w:tcPr>
            <w:tcW w:w="640" w:type="dxa"/>
            <w:vAlign w:val="bottom"/>
            <w:tcBorders>
              <w:top w:val="single" w:sz="8" w:color="auto"/>
              <w:right w:val="single" w:sz="8" w:color="auto"/>
            </w:tcBorders>
            <w:shd w:val="clear" w:color="auto" w:fill="CCEEFF"/>
          </w:tcPr>
          <w:p>
            <w:pPr>
              <w:spacing w:after="0"/>
              <w:rPr>
                <w:sz w:val="19"/>
                <w:szCs w:val="19"/>
                <w:color w:val="auto"/>
              </w:rPr>
            </w:pPr>
          </w:p>
        </w:tc>
        <w:tc>
          <w:tcPr>
            <w:tcW w:w="1500" w:type="dxa"/>
            <w:vAlign w:val="bottom"/>
            <w:tcBorders>
              <w:top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Served as a</w:t>
            </w:r>
          </w:p>
        </w:tc>
        <w:tc>
          <w:tcPr>
            <w:tcW w:w="2620" w:type="dxa"/>
            <w:vAlign w:val="bottom"/>
            <w:tcBorders>
              <w:top w:val="single" w:sz="8" w:color="auto"/>
              <w:right w:val="single" w:sz="8" w:color="auto"/>
            </w:tcBorders>
            <w:shd w:val="clear" w:color="auto" w:fill="CCEEFF"/>
          </w:tcPr>
          <w:p>
            <w:pPr>
              <w:spacing w:after="0"/>
              <w:rPr>
                <w:sz w:val="19"/>
                <w:szCs w:val="19"/>
                <w:color w:val="auto"/>
              </w:rPr>
            </w:pPr>
          </w:p>
        </w:tc>
      </w:tr>
      <w:tr>
        <w:trPr>
          <w:trHeight w:val="229"/>
        </w:trPr>
        <w:tc>
          <w:tcPr>
            <w:tcW w:w="342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Director Since</w:t>
            </w:r>
          </w:p>
        </w:tc>
        <w:tc>
          <w:tcPr>
            <w:tcW w:w="262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Positions with Vertex</w:t>
            </w:r>
          </w:p>
        </w:tc>
      </w:tr>
      <w:tr>
        <w:trPr>
          <w:trHeight w:val="211"/>
        </w:trPr>
        <w:tc>
          <w:tcPr>
            <w:tcW w:w="3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Philip Saunders</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2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Director</w:t>
            </w:r>
          </w:p>
        </w:tc>
      </w:tr>
      <w:tr>
        <w:trPr>
          <w:trHeight w:val="209"/>
        </w:trPr>
        <w:tc>
          <w:tcPr>
            <w:tcW w:w="3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J. Richard Stamm</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2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Director</w:t>
            </w:r>
          </w:p>
        </w:tc>
      </w:tr>
      <w:tr>
        <w:trPr>
          <w:trHeight w:val="209"/>
        </w:trPr>
        <w:tc>
          <w:tcPr>
            <w:tcW w:w="3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Mark J. Mendola</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2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Director</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principal occupations and business experience, for at least the past five years, of each Class II Director are as follows:</w:t>
      </w:r>
    </w:p>
    <w:p>
      <w:pPr>
        <w:spacing w:after="0" w:line="198" w:lineRule="exact"/>
        <w:rPr>
          <w:sz w:val="20"/>
          <w:szCs w:val="20"/>
          <w:color w:val="auto"/>
        </w:rPr>
      </w:pPr>
    </w:p>
    <w:p>
      <w:pPr>
        <w:jc w:val="both"/>
        <w:ind w:firstLine="29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 xml:space="preserve">Philip Saunders </w:t>
      </w:r>
      <w:r>
        <w:rPr>
          <w:rFonts w:ascii="Times New Roman" w:cs="Times New Roman" w:eastAsia="Times New Roman" w:hAnsi="Times New Roman"/>
          <w:sz w:val="16"/>
          <w:szCs w:val="16"/>
          <w:color w:val="auto"/>
        </w:rPr>
        <w:t>joined our Board in June 2022. Mr. Saunders has been the Chief Executive Officer of Relativity since December 2022. He was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recently the Chief Executive Officer and member of the board of directors of Cornerstone OnDemand, a market leading talent management Software as a Service (SaaS) company. Mr. Saunders successfully implemented a company transformation initiative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resulting in a return to growth, expansion of profitability, and increased customer retention. Mr. Saunders ultimately executed a successful sales process of the company via a public-to-private transaction in October 2021 with the acquisition by Clearlake Capital. This followed Cornerstone’s acquisition in April 2020 of Saba Software, Inc., where Mr. Saunders was a member of Saba’s board of directors, and served as Chief Executive Officer, where he was responsible for leading the transformation of the business, executed on multiple acquisitions, and accelerated growth and EBITDA expansion. Prior to joining Saba in 2015, Mr. Saunders was President and a member of the board of directors of SafeNet, Inc. (acquired by Gemalto N.V.). Mr. Saunders is a member of the NACD. Mr. Saunders holds an MBA with an International Finance concentration from Seton Hall University’s W. Paul Stillman School of Business. Mr. Saunders has been recognized by Comparably as one of the top 100 Best CEO’s in 2021. We believe that Mr. Saunders is qualified to serve on our Board because of his intimate knowledge of the global Software and SaaS markets by virtue of his multiple roles as Chief Executive Officer of various software companies, operational expertise, and industry knowledge and experience.</w:t>
      </w:r>
    </w:p>
    <w:p>
      <w:pPr>
        <w:spacing w:after="0" w:line="167" w:lineRule="exact"/>
        <w:rPr>
          <w:sz w:val="20"/>
          <w:szCs w:val="20"/>
          <w:color w:val="auto"/>
        </w:rPr>
      </w:pPr>
    </w:p>
    <w:p>
      <w:pPr>
        <w:jc w:val="both"/>
        <w:ind w:firstLine="290"/>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J. Richard Stamm </w:t>
      </w:r>
      <w:r>
        <w:rPr>
          <w:rFonts w:ascii="Times New Roman" w:cs="Times New Roman" w:eastAsia="Times New Roman" w:hAnsi="Times New Roman"/>
          <w:sz w:val="16"/>
          <w:szCs w:val="16"/>
          <w:color w:val="auto"/>
        </w:rPr>
        <w:t>joined our Board in January 2019. Prior to joining our Board, Mr. Stamm was a partner with PricewaterhouseCoopers LLP</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(“PwC’) for 30 years, during which time he served a long list of domestic and international clients and held numerous leadership positions. Over the final 12 years of his career with PwC, Mr. Stamm was the firm’s Vice Chairman and U.S. Tax Leader and then progressed to PwC’s Vice Chairman of Global Tax. Mr. Stamm is Vice President and Chief Financial Officer of Stamm Development Group LLC, a Philadelphia and South Florida area real-estate developer. Mr. Stamm is a member emeritus of the Board of Advisors for the Leventhal School of Accounting at the University of Southern California and was formerly a member of the Boards of Germantown Academy and Lycoming College. Mr. Stamm received a BA in Accounting from Lycoming College. We believe that Mr. Stamm is qualified to serve on our Board because of his significant industry and corporate finance experience.</w:t>
      </w:r>
    </w:p>
    <w:p>
      <w:pPr>
        <w:spacing w:after="0" w:line="160" w:lineRule="exact"/>
        <w:rPr>
          <w:sz w:val="20"/>
          <w:szCs w:val="20"/>
          <w:color w:val="auto"/>
        </w:rPr>
      </w:pPr>
    </w:p>
    <w:p>
      <w:pPr>
        <w:jc w:val="both"/>
        <w:ind w:firstLine="290"/>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Mark J. Mendola </w:t>
      </w:r>
      <w:r>
        <w:rPr>
          <w:rFonts w:ascii="Times New Roman" w:cs="Times New Roman" w:eastAsia="Times New Roman" w:hAnsi="Times New Roman"/>
          <w:sz w:val="16"/>
          <w:szCs w:val="16"/>
          <w:color w:val="auto"/>
        </w:rPr>
        <w:t>joined our Board in June 2025. Mr. Mendola was previously the US Vice Chair and Managing Partner, US Leadership Team, 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PwC from 2016 until 2024. During his tenure he grew revenue significantly and drove profitability and share value to record levels through the transformation to digital and global delivery. Mr. Mendola led PwC’s businesses, developed and executed firmwide growth strategies, and led PwC’s efforts to transform business models and service offerings through technology and had overall responsibility for the firm’s people and digital transformation strategies. Mr. Mendola also held the position of PwC US Tax Leader, US Leadership Team, Global Tax Leadership Team from 2011 – 2016, PwC US Tax Managing Partner from 2009 – 2011, PwC Leader, Canadian Tax Practice from 2007 – 2009, and PwC Office Managing Partner, Detroit, US Automotive Sector Leader and Global Tax Automotive Sector Leader from 2003 – 2007. Mr. Mendola is a member of the Detroit Economic Club Board of Directors and Oakland University, School of Business Administration Board of Visitors (Emeritus). Mr. Mendola received an MBA from the University of Notre Dame, and a BA in Accounting from Oakland University. We believe that Mr. Mendola is qualified to serve on our Board because of his extensive industry and corporate finance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Proposal 2: Ratification of Appointment of Independent Registered Public Accounting Firm</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Audit Committee has appointed Crowe LLP as our independent registered public accounting firm (“Independent Auditor”) for the fiscal year ending December 31, 2026. Our Board has directed that this appointment be submitted to our stockholders for ratification. Although ratification of our appointment of Crowe LLP is not required, we value the opinions of our stockholders and believe that stockholder ratification of our appointment is a good corporate governance practice.</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On April 15, 2026, our Audit Committee approved the engagement of Crowe LLP as the Company’s Independent Auditor to serve as our Independent Auditor for the fiscal year ending December 31, 2026. Neither Crowe LLP nor any of its members has any direct or indirect financial interest in or any connection with us in any capacity other than as our auditors, providing audit and non-audit related services. A representative of Crowe LLP is expected to attend the Annual Meeting, have an opportunity to make a statement if he or she desires to do so, and be available to respond to appropriate questions from stockholders.</w:t>
      </w:r>
    </w:p>
    <w:p>
      <w:pPr>
        <w:spacing w:after="0" w:line="1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In the event that the appointment of Crowe LLP is not ratified by the stockholders, the Audit Committee will consider this fact when it appoints the Independent Auditors for the fiscal year ending December 31, 2027. Even if the appointment of Crowe LLP is ratified, the Audit Committee retains the discretion to appoint a different Independent Auditor at any time if it determines that such a change is in the interests of Vertex.</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Independent Auditor Fees and Other Matters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Set forth below are the fees paid to our Independent Auditor, Crowe LLP, for the fiscal years ended December 31, 2025 and 2024:</w:t>
      </w:r>
    </w:p>
    <w:p>
      <w:pPr>
        <w:spacing w:after="0" w:line="375" w:lineRule="exact"/>
        <w:rPr>
          <w:sz w:val="20"/>
          <w:szCs w:val="20"/>
          <w:color w:val="auto"/>
        </w:rPr>
      </w:pPr>
    </w:p>
    <w:tbl>
      <w:tblPr>
        <w:tblLayout w:type="fixed"/>
        <w:tblInd w:w="510" w:type="dxa"/>
        <w:tblCellMar>
          <w:top w:w="0" w:type="dxa"/>
          <w:left w:w="0" w:type="dxa"/>
          <w:bottom w:w="0" w:type="dxa"/>
          <w:right w:w="0" w:type="dxa"/>
        </w:tblCellMar>
      </w:tblPr>
      <w:tr>
        <w:trPr>
          <w:trHeight w:val="223"/>
        </w:trPr>
        <w:tc>
          <w:tcPr>
            <w:tcW w:w="6820" w:type="dxa"/>
            <w:vAlign w:val="bottom"/>
            <w:tcBorders>
              <w:top w:val="single" w:sz="8" w:color="auto"/>
              <w:left w:val="single" w:sz="8" w:color="auto"/>
              <w:right w:val="single" w:sz="8" w:color="auto"/>
            </w:tcBorders>
            <w:shd w:val="clear" w:color="auto" w:fill="CCEEFF"/>
          </w:tcPr>
          <w:p>
            <w:pPr>
              <w:spacing w:after="0"/>
              <w:rPr>
                <w:sz w:val="19"/>
                <w:szCs w:val="19"/>
                <w:color w:val="auto"/>
              </w:rPr>
            </w:pPr>
          </w:p>
        </w:tc>
        <w:tc>
          <w:tcPr>
            <w:tcW w:w="1060" w:type="dxa"/>
            <w:vAlign w:val="bottom"/>
            <w:tcBorders>
              <w:top w:val="single" w:sz="8" w:color="auto"/>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Fiscal 2025</w:t>
            </w:r>
          </w:p>
        </w:tc>
        <w:tc>
          <w:tcPr>
            <w:tcW w:w="1060" w:type="dxa"/>
            <w:vAlign w:val="bottom"/>
            <w:tcBorders>
              <w:top w:val="single" w:sz="8" w:color="auto"/>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Fiscal 2024</w:t>
            </w:r>
          </w:p>
        </w:tc>
      </w:tr>
      <w:tr>
        <w:trPr>
          <w:trHeight w:val="229"/>
        </w:trPr>
        <w:tc>
          <w:tcPr>
            <w:tcW w:w="68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Fee Category</w:t>
            </w:r>
          </w:p>
        </w:tc>
        <w:tc>
          <w:tcPr>
            <w:tcW w:w="960" w:type="dxa"/>
            <w:vAlign w:val="bottom"/>
            <w:tcBorders>
              <w:bottom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right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11"/>
        </w:trPr>
        <w:tc>
          <w:tcPr>
            <w:tcW w:w="68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Audit Fees</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1,398,933</w:t>
            </w:r>
          </w:p>
        </w:tc>
        <w:tc>
          <w:tcPr>
            <w:tcW w:w="10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1,512,481</w:t>
            </w:r>
          </w:p>
        </w:tc>
      </w:tr>
      <w:tr>
        <w:trPr>
          <w:trHeight w:val="209"/>
        </w:trPr>
        <w:tc>
          <w:tcPr>
            <w:tcW w:w="68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Audit-Related Fees</w:t>
            </w:r>
          </w:p>
        </w:tc>
        <w:tc>
          <w:tcPr>
            <w:tcW w:w="5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15,000</w:t>
            </w:r>
          </w:p>
        </w:tc>
      </w:tr>
      <w:tr>
        <w:trPr>
          <w:trHeight w:val="209"/>
        </w:trPr>
        <w:tc>
          <w:tcPr>
            <w:tcW w:w="68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Tax Fees</w:t>
            </w:r>
          </w:p>
        </w:tc>
        <w:tc>
          <w:tcPr>
            <w:tcW w:w="5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65"/>
        </w:trPr>
        <w:tc>
          <w:tcPr>
            <w:tcW w:w="6820" w:type="dxa"/>
            <w:vAlign w:val="bottom"/>
            <w:tcBorders>
              <w:left w:val="single" w:sz="8" w:color="auto"/>
              <w:right w:val="single" w:sz="8" w:color="auto"/>
            </w:tcBorders>
          </w:tcPr>
          <w:p>
            <w:pPr>
              <w:ind w:left="100"/>
              <w:spacing w:after="0" w:line="165" w:lineRule="exact"/>
              <w:rPr>
                <w:sz w:val="20"/>
                <w:szCs w:val="20"/>
                <w:color w:val="auto"/>
              </w:rPr>
            </w:pPr>
            <w:r>
              <w:rPr>
                <w:rFonts w:ascii="Times New Roman" w:cs="Times New Roman" w:eastAsia="Times New Roman" w:hAnsi="Times New Roman"/>
                <w:sz w:val="16"/>
                <w:szCs w:val="16"/>
                <w:color w:val="auto"/>
              </w:rPr>
              <w:t>All Other Fees</w:t>
            </w:r>
          </w:p>
        </w:tc>
        <w:tc>
          <w:tcPr>
            <w:tcW w:w="1060" w:type="dxa"/>
            <w:vAlign w:val="bottom"/>
            <w:tcBorders>
              <w:right w:val="single" w:sz="8" w:color="auto"/>
            </w:tcBorders>
            <w:gridSpan w:val="3"/>
          </w:tcPr>
          <w:p>
            <w:pPr>
              <w:jc w:val="right"/>
              <w:ind w:right="100"/>
              <w:spacing w:after="0" w:line="165" w:lineRule="exact"/>
              <w:rPr>
                <w:sz w:val="20"/>
                <w:szCs w:val="20"/>
                <w:color w:val="auto"/>
              </w:rPr>
            </w:pPr>
            <w:r>
              <w:rPr>
                <w:rFonts w:ascii="Times New Roman" w:cs="Times New Roman" w:eastAsia="Times New Roman" w:hAnsi="Times New Roman"/>
                <w:sz w:val="16"/>
                <w:szCs w:val="16"/>
                <w:color w:val="auto"/>
              </w:rPr>
              <w:t>23,268</w:t>
            </w:r>
          </w:p>
        </w:tc>
        <w:tc>
          <w:tcPr>
            <w:tcW w:w="1060" w:type="dxa"/>
            <w:vAlign w:val="bottom"/>
            <w:tcBorders>
              <w:right w:val="single" w:sz="8" w:color="auto"/>
            </w:tcBorders>
            <w:gridSpan w:val="3"/>
          </w:tcPr>
          <w:p>
            <w:pPr>
              <w:jc w:val="right"/>
              <w:ind w:right="100"/>
              <w:spacing w:after="0" w:line="165" w:lineRule="exact"/>
              <w:rPr>
                <w:sz w:val="20"/>
                <w:szCs w:val="20"/>
                <w:color w:val="auto"/>
              </w:rPr>
            </w:pPr>
            <w:r>
              <w:rPr>
                <w:rFonts w:ascii="Times New Roman" w:cs="Times New Roman" w:eastAsia="Times New Roman" w:hAnsi="Times New Roman"/>
                <w:sz w:val="16"/>
                <w:szCs w:val="16"/>
                <w:color w:val="auto"/>
              </w:rPr>
              <w:t>21,147</w:t>
            </w:r>
          </w:p>
        </w:tc>
      </w:tr>
      <w:tr>
        <w:trPr>
          <w:trHeight w:val="28"/>
        </w:trPr>
        <w:tc>
          <w:tcPr>
            <w:tcW w:w="6820" w:type="dxa"/>
            <w:vAlign w:val="bottom"/>
            <w:tcBorders>
              <w:left w:val="single" w:sz="8" w:color="auto"/>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206"/>
        </w:trPr>
        <w:tc>
          <w:tcPr>
            <w:tcW w:w="68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Total Fees</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1,422,201</w:t>
            </w:r>
          </w:p>
        </w:tc>
        <w:tc>
          <w:tcPr>
            <w:tcW w:w="10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1,548,628</w:t>
            </w:r>
          </w:p>
        </w:tc>
      </w:tr>
    </w:tbl>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Audit Fees</w:t>
      </w:r>
    </w:p>
    <w:p>
      <w:pPr>
        <w:spacing w:after="0" w:line="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Audit fees consist of fees for the audit of our consolidated financial statements and evaluation and reporting on the effectiveness of our internal controls over financial reporting, the review of the unaudited interim financial statements included in our quarterly reports on Form 10-Q and other professional services provided in connection with statutory and regulatory filings or engagements.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Audit-Related Fees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audit-related fees paid to Crowe in 2025. Audit-related fees paid in 2024 consist of services related to strategic initiatives.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 Fees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tax fees paid to Crowe in 2025 or in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Other Fees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fees paid to Crowe in 2025 and 2024 pertained to services provided in connection with the audit of the Company’s 401(k)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Audit Committee Pre-Approval Policy and Procedures</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Audit Committee’s charter provides that the Audit Committee, or the chair of the Audit Committee, must pre-approve any audit, audit related, non-audit, or tax services provided to us by our Independent Auditor, unless the engagement is entered into pursuant to appropriate pre-approval policies established by the Audit Committee or if the service falls within available exceptions under SEC rules. Without limiting the foregoing, the Audit Committee may delegate authority to one or more independent members of the Audit Committee to grant pre-approvals of audit and permitted non-audit services, and any such pre-approvals must be presented to the full Audit Committee at its next scheduled meeting.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 of the Audit Committee of the Board of Directors</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Audit Committee has evaluated Vertex’s audited financial statements for the fiscal year ended December 31, 2025, and has discussed these financial statements with management and our Independent Auditor. The Audit Committee also discussed with our Independent Auditor the matters required to be discussed by the applicable requirements of the Public Company Accounting Oversight Board (“PCAOB”) and the SEC. The Audit Committee also received written disclosures and the letter from our Independent Auditor required by applicable requirements of the PCAOB regarding the independent auditor’s communications with the Audit Committee concerning independence, and the Audit Committee discussed with our Independent Auditor their independence.</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Based on its discussions with management and the Independent Auditor, and its review of the representations and information provided by management and the Independent Auditor, the Audit Committee recommended to the Board that the audited financial statements be included in Vertex’s Annual Report on Form 10-K for the fiscal year ended December 31, 2025.</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J. Richard Stamm</w:t>
      </w:r>
    </w:p>
    <w:p>
      <w:pPr>
        <w:spacing w:after="0" w:line="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Bradley M. Gayton</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Mark J. Mendola</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Philip Saunders</w:t>
      </w:r>
    </w:p>
    <w:p>
      <w:pPr>
        <w:spacing w:after="0" w:line="37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b w:val="1"/>
          <w:bCs w:val="1"/>
          <w:color w:val="auto"/>
        </w:rPr>
        <w:t xml:space="preserve">A VOTE IS REQUIRED FOR THIS PROPOSAL. </w:t>
      </w:r>
      <w:r>
        <w:rPr>
          <w:rFonts w:ascii="Times New Roman" w:cs="Times New Roman" w:eastAsia="Times New Roman" w:hAnsi="Times New Roman"/>
          <w:sz w:val="16"/>
          <w:szCs w:val="16"/>
          <w:color w:val="auto"/>
        </w:rPr>
        <w:t>This proposal requires the approval of the affirmative vote of the holders of a majority in voting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power of the votes cast. Abstentions will have no effect on the proposal. Because brokers have discretionary authority to vote on the ratification of the appointment of Crowe LLP, we do not expect any broker non-votes in connection with this proposal.</w:t>
      </w:r>
    </w:p>
    <w:p>
      <w:pPr>
        <w:spacing w:after="0" w:line="34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u w:val="single" w:color="auto"/>
          <w:color w:val="auto"/>
        </w:rPr>
        <w:t>RECOMMENDATION OF THE BOARD</w:t>
      </w:r>
      <w:r>
        <w:rPr>
          <w:rFonts w:ascii="Times New Roman" w:cs="Times New Roman" w:eastAsia="Times New Roman" w:hAnsi="Times New Roman"/>
          <w:sz w:val="16"/>
          <w:szCs w:val="16"/>
          <w:color w:val="auto"/>
        </w:rPr>
        <w:t>:</w:t>
      </w:r>
    </w:p>
    <w:p>
      <w:pPr>
        <w:spacing w:after="0" w:line="2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6"/>
          <w:szCs w:val="16"/>
          <w:color w:val="auto"/>
        </w:rPr>
        <w:t>The Board unanimously recommends a vote</w:t>
      </w:r>
    </w:p>
    <w:p>
      <w:pPr>
        <w:spacing w:after="0" w:line="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ratification of the appointment of Crowe LLP as our Independent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b w:val="1"/>
          <w:bCs w:val="1"/>
          <w:color w:val="auto"/>
        </w:rPr>
        <w:t>CORPORATE GOVERNANCE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31313"/>
        </w:rPr>
        <w:t>Board of Directors</w:t>
      </w:r>
    </w:p>
    <w:p>
      <w:pPr>
        <w:spacing w:after="0" w:line="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131313"/>
        </w:rPr>
        <w:t>Our Board sets high standards for Vertex’s employees, officers, and directors. Implicit in this philosophy is the importance of sound corporate governance. It is the duty of the Board to serve as a prudent fiduciary for stockholders and oversees material business matters, such as strategy, risk, and ethical behavior.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31313"/>
        </w:rPr>
        <w:t>Independence</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Our Board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has determined that Eric Andersen, Bradley M. Gayton, Mark Mendola, Amanda Radcliffe, Philip Saunders, J. Richard Stamm, and Stefanie Thompson, representing seven of our nine current directors,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Nasdaq Global Market (“Nasdaq”). In making these determinations, our Board considered the current and prior relationships that each non-employee director has with our Company and all other facts and circumstances our Board deemed relevant in determining their independence, including the beneficial ownership of our capital stock by each non-employee director. </w:t>
      </w:r>
      <w:r>
        <w:rPr>
          <w:rFonts w:ascii="Times New Roman" w:cs="Times New Roman" w:eastAsia="Times New Roman" w:hAnsi="Times New Roman"/>
          <w:sz w:val="16"/>
          <w:szCs w:val="16"/>
          <w:color w:val="131313"/>
        </w:rPr>
        <w:t>Our Audit Committee, Human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131313"/>
        </w:rPr>
        <w:t>Capital Committee, and Nominating and Governance Committee are independent. Environmental, social, and governance issues are overseen by the Nominating and Governance Committee, and risk issues are overseen by the Audit Committee. Our Board believes that the current composition provides effective oversight of the Company on behalf of our stockholders.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Policies</w:t>
      </w:r>
    </w:p>
    <w:p>
      <w:pPr>
        <w:spacing w:after="0" w:line="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Our Board has adopted Corporate Governance Guidelines, a Code of Ethics and Conduct, Insider Trading Compliance Policy, Whistleblower Policy, and charters for our Nominating and Governance Committee, Audit Committee and Human Capital Committee to assist the Board in the exercise of its responsibilities and to serve as a framework for the effective governance of Vertex.</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Insider Trading/Anti-Hedging Policy</w:t>
      </w:r>
    </w:p>
    <w:p>
      <w:pPr>
        <w:spacing w:after="0" w:line="29"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6"/>
          <w:szCs w:val="16"/>
          <w:color w:val="auto"/>
        </w:rPr>
        <w:t>The Insider Trading Compliance Policy includes our policy governing the purchase, sale, and/or other dispositions of our securities by directors, officers and employees and is reasonably designed to promote compliance with insider trading laws, rules and regulations, and Nasdaq listing standards. The policy also prohibits our directors, officers and employees and any entities they control from pledging Company securities as collateral to secure loans, and engaging in any hedging or monetization transactions, such as zero-cost collars and forward sale contracts, involving the Company’s equity securities.</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Code of Ethics and Conduct</w:t>
      </w:r>
    </w:p>
    <w:p>
      <w:pPr>
        <w:spacing w:after="0" w:line="29"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6"/>
          <w:szCs w:val="16"/>
          <w:color w:val="auto"/>
        </w:rPr>
        <w:t>The Code of Ethics and Conduct contains the ethical principles by which our directors, officers and employees are expected to conduct themselves when carrying out their duties and responsibilities. Annually, all employees are required to review and attest to their compliance with our Code of Ethics and Conduct. A copy of our Code of Ethics and Conduct is available on our website at http://ir.vertexinc.com. We will provide a copy of our Code of Ethics and Conduct to any person, without charge, upon request, by writing to: Vertex, Inc., 2301 Renaissance Blvd., King of Prussia, PA 19406 Attn: Legal (telephone number (800) 355-3500). We intend to satisfy the disclosure requirement under Item 5.05 of Form 8-K regarding an amendment to, or waiver from, a provision of our Code of Ethics and Conduct by posting such information on our website at www.vertexinc.com.</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Policy for Recovery of Erroneously Awarded Compensation</w:t>
      </w:r>
    </w:p>
    <w:p>
      <w:pPr>
        <w:spacing w:after="0" w:line="29"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6"/>
          <w:szCs w:val="16"/>
          <w:color w:val="auto"/>
        </w:rPr>
        <w:t>At a regularly scheduled board meeting, our Board adopted a Policy for Recovery of Erroneously Awarded Compensation (“Clawback Policy”) in July 2023. Our Clawback Policy is in accordance with Rule 10D-1 of the Exchange Act and the corresponding listing standards of Nasdaq (together, the “Clawback Rules”). Pursuant to the Clawback Policy, and subject to certain limited exceptions in the Clawback Rules, in certain events where we are required to restate our financial statements, we are required to recoup erroneously awarded incentive-based compensation (as defined in the Clawback Policy) paid to any current or former executive officer during the three completed fiscal years immediately prior to the date the accounting restatement was required. The amount recoverable is the amount of any incentive-based compensation received by the executive officer based on the financial statements prior to the restatement that exceeds the amount that such executive officer would have received had the incentive-based compensation been determined based on the financial restatement.</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Stock Ownership Policy</w:t>
      </w:r>
    </w:p>
    <w:p>
      <w:pPr>
        <w:spacing w:after="0" w:line="29" w:lineRule="exact"/>
        <w:rPr>
          <w:sz w:val="20"/>
          <w:szCs w:val="20"/>
          <w:color w:val="auto"/>
        </w:rPr>
      </w:pPr>
    </w:p>
    <w:p>
      <w:pPr>
        <w:jc w:val="both"/>
        <w:ind w:left="580"/>
        <w:spacing w:after="0" w:line="257" w:lineRule="auto"/>
        <w:rPr>
          <w:sz w:val="20"/>
          <w:szCs w:val="20"/>
          <w:color w:val="auto"/>
        </w:rPr>
      </w:pPr>
      <w:r>
        <w:rPr>
          <w:rFonts w:ascii="Times New Roman" w:cs="Times New Roman" w:eastAsia="Times New Roman" w:hAnsi="Times New Roman"/>
          <w:sz w:val="16"/>
          <w:szCs w:val="16"/>
          <w:color w:val="auto"/>
        </w:rPr>
        <w:t>The Stock Ownership Policy was adopted by the Board on December 7, 2022, and requires certain officers of the Company, including the named executive officers, to maintain a level of beneficial ownership of the Company’s Common Stock (“Minimum Ownership”) to ensure investment in the performance of the Company and to align the interests of those officers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jc w:val="both"/>
        <w:ind w:left="580"/>
        <w:spacing w:after="0" w:line="262" w:lineRule="auto"/>
        <w:rPr>
          <w:sz w:val="20"/>
          <w:szCs w:val="20"/>
          <w:color w:val="auto"/>
        </w:rPr>
      </w:pPr>
      <w:r>
        <w:rPr>
          <w:rFonts w:ascii="Times New Roman" w:cs="Times New Roman" w:eastAsia="Times New Roman" w:hAnsi="Times New Roman"/>
          <w:sz w:val="16"/>
          <w:szCs w:val="16"/>
          <w:color w:val="auto"/>
        </w:rPr>
        <w:t>with the interest of the Company’s stockholders. Under the policy, all covered executives are required to obtain by the later of June 1, 2024 or the fifth anniversary such officer becomes subject to this policy, and thereafter maintain, the corresponding Minimum Ownership assigned to such executive. The Chief Executive Officer is required to maintain a Minimum Ownership of four times their annual salary and all other officers subject to the policy are required to maintain a Minimum Ownership of one- and one-half times their annual salary.</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Policies and Practices Relating to the Timing of Equity Awards</w:t>
      </w:r>
    </w:p>
    <w:p>
      <w:pPr>
        <w:spacing w:after="0" w:line="206" w:lineRule="exact"/>
        <w:rPr>
          <w:sz w:val="20"/>
          <w:szCs w:val="20"/>
          <w:color w:val="auto"/>
        </w:rPr>
      </w:pPr>
    </w:p>
    <w:p>
      <w:pPr>
        <w:jc w:val="both"/>
        <w:ind w:left="580"/>
        <w:spacing w:after="0" w:line="260" w:lineRule="auto"/>
        <w:rPr>
          <w:sz w:val="20"/>
          <w:szCs w:val="20"/>
          <w:color w:val="auto"/>
        </w:rPr>
      </w:pPr>
      <w:r>
        <w:rPr>
          <w:rFonts w:ascii="Times New Roman" w:cs="Times New Roman" w:eastAsia="Times New Roman" w:hAnsi="Times New Roman"/>
          <w:sz w:val="16"/>
          <w:szCs w:val="16"/>
          <w:color w:val="auto"/>
        </w:rPr>
        <w:t>Our general practice is to not grant equity awards in anticipation of the release of material nonpublic information or time the release of material nonpublic information for the purpose of affecting the value of executive compensation. The Human Capital Committee uses its business judgment to determine the size of our equity awards and would consider any material nonpublic information that is known to the Human Capital Committee before granting an award. Although we do not have a formal policy with respect to the timing of our equity award grants, the Human Capital Committee has historically granted awards on a predetermined annual schedule.</w:t>
      </w:r>
    </w:p>
    <w:p>
      <w:pPr>
        <w:spacing w:after="0" w:line="161" w:lineRule="exact"/>
        <w:rPr>
          <w:sz w:val="20"/>
          <w:szCs w:val="20"/>
          <w:color w:val="auto"/>
        </w:rPr>
      </w:pPr>
    </w:p>
    <w:p>
      <w:pPr>
        <w:jc w:val="both"/>
        <w:ind w:left="580"/>
        <w:spacing w:after="0" w:line="284" w:lineRule="auto"/>
        <w:rPr>
          <w:sz w:val="20"/>
          <w:szCs w:val="20"/>
          <w:color w:val="auto"/>
        </w:rPr>
      </w:pPr>
      <w:r>
        <w:rPr>
          <w:rFonts w:ascii="Times New Roman" w:cs="Times New Roman" w:eastAsia="Times New Roman" w:hAnsi="Times New Roman"/>
          <w:sz w:val="16"/>
          <w:szCs w:val="16"/>
          <w:color w:val="auto"/>
        </w:rPr>
        <w:t>During 2025, we did not grant stock options to our named executive officers during the four business days prior to or the one business day following the filing of our periodic reports or the filing or furnishing of a Form 8-K that discloses material nonpublic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Leadership Structure and Role in Risk Oversight</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Board maintains discretion in determining whether to combine or separate the roles of Chairperson of the Board and Chief Executive Officer, adapting the leadership structure to best meet current needs. Like many U.S. companies, we value the flexibility this approach provides. Following Mr. DeStefano’s retirement as CEO, he continues to serve as Chairperson of the Board, while Mr. Young has assumed the role of CEO, thereby separating these positions. The Board has determined that Mr. DeStefano’s continued service as Chairperson ensures continuity of leadership due to his significant knowledge and experience, which serves the best interests of the Company and its stockholders at this time. This governance framework fosters an effective balance between the oversight provided by the Board and the executive management of daily operations by the CEO and his team. Our Board is comprised of individuals with substantial expertise in finance, the technology sector, and public company management. Accordingly, and in light of Mr. DeStefano’s strong leadership as Chairperson, the Board believes that our current leadership structure is well-suited to our present circumstances.</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Our Corporate Governance Guidelines provide that, if the Chairperson of the Board is also our Chief Executive Officer or is a director that does not otherwise qualify as an independent director, the independent directors may elect a lead independent director whose responsibilities include presiding over all meetings of the Board at which the Chairperson is not present, including any executive sessions of the independent directors; approving meeting schedules and agendas; and acting as the liaison between the independent directors and the Chairperson of the Board, as appropriate. The full list of responsibilities of our lead independent director may be found in our Corporate Governance Guidelines. Our Chairperson of the Board, Mr. DeStefano, does not qualify as an independent director due to his recent role as CEO, as a result, Mr. Andersen will continue to serve as lead independent director.</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Risk assessment and oversight are an integral part of our governance and management processes. Our management is responsible for our day-to-day risk management activities. Our Board oversees the implementation of risk mitigation strategies by management and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we face, including cybersecurity risks.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 Our Board is apprised of particular risk management matters in connection with its general oversight and approval of corporate matters and significant transactions. Our Board administers this oversight function, including the oversight of cybersecurity risks, directly through the Board as a whole, as well as through various standing committees of the Board that address risks inherent in their respective areas of oversight. In addition, Board members receive presentations on cybersecurity topics from our General Counsel, internal security staff, or external experts as a part of the Board’s continuing education.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Attendance By Members of the Board at Meetings</w:t>
      </w:r>
    </w:p>
    <w:p>
      <w:pPr>
        <w:spacing w:after="0" w:line="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There were five (5) meetings of the Board during the fiscal year ended December 31, 2025. During the fiscal year ended December 31, 2025, each director attended at least 75% of the aggregate of (i) all meetings of the Board and (ii) all meetings of the committees on which the director served during the period in which he or she served as a director.</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Under our Corporate Governance Guidelines, which are available on our website at http://ir.vertexinc.com,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Chairperson of the Board or the Chairperson of the appropriate committee in advance of such meeting, and, whenever possible, participate in such meeting via teleconference in the case of an in-person meeting. We do not maintain a formal policy regarding director attendance at our annual meetings; however, it is expected that, absent compelling circumstances, directors will attend. All our directors attended last year’s annual meeting.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Sessions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non-employee directors meet in regularly scheduled executive sessions. Such meetings are presided over by our lead independent director.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Committees of the Board</w:t>
      </w:r>
    </w:p>
    <w:p>
      <w:pPr>
        <w:spacing w:after="0" w:line="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Our Board has established three standing committees: an Audit Committee, a Human Capital Committee and a Nominating and Governance Committee, each of which operates under a written charter that has been approved by our Board. The committee charters are available on our website at http://ir.vertexinc.com. The members of each of the committees are set forth below:</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Audit Committee</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u w:val="single" w:color="auto"/>
          <w:color w:val="auto"/>
        </w:rPr>
        <w:t>Members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J. Richard Stamm (Chair)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Bradley M. Gayton</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Mark J. Mendola</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Philip Saunders</w:t>
      </w:r>
    </w:p>
    <w:p>
      <w:pPr>
        <w:spacing w:after="0" w:line="186" w:lineRule="exact"/>
        <w:rPr>
          <w:sz w:val="20"/>
          <w:szCs w:val="20"/>
          <w:color w:val="auto"/>
        </w:rPr>
      </w:pPr>
    </w:p>
    <w:p>
      <w:pPr>
        <w:ind w:left="580"/>
        <w:spacing w:after="0" w:line="284" w:lineRule="auto"/>
        <w:rPr>
          <w:sz w:val="20"/>
          <w:szCs w:val="20"/>
          <w:color w:val="auto"/>
        </w:rPr>
      </w:pPr>
      <w:r>
        <w:rPr>
          <w:rFonts w:ascii="Times New Roman" w:cs="Times New Roman" w:eastAsia="Times New Roman" w:hAnsi="Times New Roman"/>
          <w:sz w:val="16"/>
          <w:szCs w:val="16"/>
          <w:color w:val="auto"/>
        </w:rPr>
        <w:t>Our Audit Committee oversees a broad range of issues surrounding our accounting and financial reporting processes and audits of our financial statements, and performs the following functions:</w:t>
      </w:r>
    </w:p>
    <w:p>
      <w:pPr>
        <w:spacing w:after="0" w:line="47" w:lineRule="exact"/>
        <w:rPr>
          <w:sz w:val="20"/>
          <w:szCs w:val="20"/>
          <w:color w:val="auto"/>
        </w:rPr>
      </w:pPr>
    </w:p>
    <w:p>
      <w:pPr>
        <w:jc w:val="both"/>
        <w:ind w:left="900" w:hanging="299"/>
        <w:spacing w:after="0" w:line="257" w:lineRule="auto"/>
        <w:tabs>
          <w:tab w:leader="none" w:pos="9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monitors the integrity of our financial statements, our compliance with legal and regulatory requirements, our Independent Auditor’s qualifications and independence, and the status of our Independent Auditor; assumes direct responsibility for the appointment, compensation, retention and oversight of the work of any accounting firm engaged for the purpose of performing any audit, review or attest services;</w:t>
      </w:r>
    </w:p>
    <w:p>
      <w:pPr>
        <w:ind w:left="900" w:hanging="299"/>
        <w:spacing w:after="0"/>
        <w:tabs>
          <w:tab w:leader="none" w:pos="9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provides a medium for consideration of matters relating to any audit issues;</w:t>
      </w:r>
    </w:p>
    <w:p>
      <w:pPr>
        <w:spacing w:after="0" w:line="9"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prepares the Audit Committee report that the rules require be included in our filings with the SEC; and</w:t>
      </w:r>
    </w:p>
    <w:p>
      <w:pPr>
        <w:spacing w:after="0" w:line="9"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oversees our enterprise and cybersecurity risk management program.</w:t>
      </w:r>
    </w:p>
    <w:p>
      <w:pPr>
        <w:spacing w:after="0" w:line="89" w:lineRule="exact"/>
        <w:rPr>
          <w:sz w:val="20"/>
          <w:szCs w:val="20"/>
          <w:color w:val="auto"/>
        </w:rPr>
      </w:pPr>
    </w:p>
    <w:p>
      <w:pPr>
        <w:jc w:val="both"/>
        <w:ind w:left="580"/>
        <w:spacing w:after="0" w:line="262" w:lineRule="auto"/>
        <w:rPr>
          <w:sz w:val="20"/>
          <w:szCs w:val="20"/>
          <w:color w:val="auto"/>
        </w:rPr>
      </w:pPr>
      <w:r>
        <w:rPr>
          <w:rFonts w:ascii="Times New Roman" w:cs="Times New Roman" w:eastAsia="Times New Roman" w:hAnsi="Times New Roman"/>
          <w:sz w:val="16"/>
          <w:szCs w:val="16"/>
          <w:color w:val="auto"/>
        </w:rPr>
        <w:t>The composition of our Audit Committee complies with all applicable SEC and Nasdaq rules, including the requirement that at least one member of the Audit Committee have accounting or related financial management experience. All four members of the Audit Committee are considered to be independent directors. J. Richard Stamm and Mark Mendola each qualifies as an "Audit Committee financial expert," as such term is defined in Item 407(d)(5) of Regulation S-K. The Audit Committee conducted eleven (11) meetings in 2025.</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Human Capital Committee</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u w:val="single" w:color="auto"/>
          <w:color w:val="auto"/>
        </w:rPr>
        <w:t>Members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Philip Saunders (Chair)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Eric Andersen</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Stefanie Westphal Thompson</w:t>
      </w:r>
    </w:p>
    <w:p>
      <w:pPr>
        <w:spacing w:after="0" w:line="186" w:lineRule="exact"/>
        <w:rPr>
          <w:sz w:val="20"/>
          <w:szCs w:val="20"/>
          <w:color w:val="auto"/>
        </w:rPr>
      </w:pPr>
    </w:p>
    <w:p>
      <w:pPr>
        <w:jc w:val="both"/>
        <w:ind w:left="580"/>
        <w:spacing w:after="0" w:line="262" w:lineRule="auto"/>
        <w:rPr>
          <w:sz w:val="20"/>
          <w:szCs w:val="20"/>
          <w:color w:val="auto"/>
        </w:rPr>
      </w:pPr>
      <w:r>
        <w:rPr>
          <w:rFonts w:ascii="Times New Roman" w:cs="Times New Roman" w:eastAsia="Times New Roman" w:hAnsi="Times New Roman"/>
          <w:sz w:val="16"/>
          <w:szCs w:val="16"/>
          <w:color w:val="auto"/>
        </w:rPr>
        <w:t>Our Human Capital Committee reviews and recommends policy relating to compensation and benefits of our officers and employees, and performs the following functions:</w:t>
      </w:r>
    </w:p>
    <w:p>
      <w:pPr>
        <w:spacing w:after="0" w:line="1" w:lineRule="exact"/>
        <w:rPr>
          <w:sz w:val="20"/>
          <w:szCs w:val="20"/>
          <w:color w:val="auto"/>
        </w:rPr>
      </w:pPr>
    </w:p>
    <w:p>
      <w:pPr>
        <w:ind w:left="900" w:hanging="299"/>
        <w:spacing w:after="0"/>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and approves corporate goals and objectives relevant to the compensation of our Chief Executive Officer and other senior officers;</w:t>
      </w:r>
    </w:p>
    <w:p>
      <w:pPr>
        <w:spacing w:after="0" w:line="9"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evaluates the performance of these officers in light of those goals and objectives;</w:t>
      </w:r>
    </w:p>
    <w:p>
      <w:pPr>
        <w:spacing w:after="0" w:line="9"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reviews succession planning and talent development; and</w:t>
      </w:r>
    </w:p>
    <w:p>
      <w:pPr>
        <w:spacing w:after="0" w:line="9"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sets compensation of these officers based on such evaluations.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580"/>
        <w:spacing w:after="0" w:line="284" w:lineRule="auto"/>
        <w:rPr>
          <w:sz w:val="20"/>
          <w:szCs w:val="20"/>
          <w:color w:val="auto"/>
        </w:rPr>
      </w:pPr>
      <w:r>
        <w:rPr>
          <w:rFonts w:ascii="Times New Roman" w:cs="Times New Roman" w:eastAsia="Times New Roman" w:hAnsi="Times New Roman"/>
          <w:sz w:val="16"/>
          <w:szCs w:val="16"/>
          <w:color w:val="auto"/>
        </w:rPr>
        <w:t>The composition of our Human Capital Committee complies with all applicable SEC and Nasdaq rules. The Human Capital Committee conducted six (6) meetings in 2025.</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Nominating and Governance Committee</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u w:val="single" w:color="auto"/>
          <w:color w:val="auto"/>
        </w:rPr>
        <w:t>Members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Bradley M. Gayton (Chair)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Eric Andersen</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Amanda Westphal Radcliffe</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Nominating and Governance Committee:</w:t>
      </w:r>
    </w:p>
    <w:p>
      <w:pPr>
        <w:spacing w:after="0" w:line="25" w:lineRule="exact"/>
        <w:rPr>
          <w:sz w:val="20"/>
          <w:szCs w:val="20"/>
          <w:color w:val="auto"/>
        </w:rPr>
      </w:pPr>
    </w:p>
    <w:p>
      <w:pPr>
        <w:ind w:left="900" w:hanging="299"/>
        <w:spacing w:after="0"/>
        <w:tabs>
          <w:tab w:leader="none" w:pos="9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oversees and assists our Board in identifying, reviewing and recommending nominees for election as directors;</w:t>
      </w:r>
    </w:p>
    <w:p>
      <w:pPr>
        <w:spacing w:after="0" w:line="9" w:lineRule="exact"/>
        <w:rPr>
          <w:rFonts w:ascii="Times New Roman" w:cs="Times New Roman" w:eastAsia="Times New Roman" w:hAnsi="Times New Roman"/>
          <w:sz w:val="16"/>
          <w:szCs w:val="16"/>
          <w:color w:val="auto"/>
        </w:rPr>
      </w:pPr>
    </w:p>
    <w:p>
      <w:pPr>
        <w:ind w:left="900" w:hanging="299"/>
        <w:spacing w:after="0" w:line="251" w:lineRule="auto"/>
        <w:tabs>
          <w:tab w:leader="none" w:pos="9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evaluates our Board and our management; develops, reviews, and recommends corporate governance guidelines and a corporate code of business conduct and ethics;</w:t>
      </w:r>
    </w:p>
    <w:p>
      <w:pPr>
        <w:spacing w:after="0" w:line="1"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generally advises our Board on corporate governance and related matters; and</w:t>
      </w:r>
    </w:p>
    <w:p>
      <w:pPr>
        <w:spacing w:after="0" w:line="9"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oversees succession planning.</w:t>
      </w:r>
    </w:p>
    <w:p>
      <w:pPr>
        <w:spacing w:after="0" w:line="186" w:lineRule="exact"/>
        <w:rPr>
          <w:sz w:val="20"/>
          <w:szCs w:val="20"/>
          <w:color w:val="auto"/>
        </w:rPr>
      </w:pPr>
    </w:p>
    <w:p>
      <w:pPr>
        <w:ind w:left="580" w:right="440"/>
        <w:spacing w:after="0" w:line="284" w:lineRule="auto"/>
        <w:rPr>
          <w:sz w:val="20"/>
          <w:szCs w:val="20"/>
          <w:color w:val="auto"/>
        </w:rPr>
      </w:pPr>
      <w:r>
        <w:rPr>
          <w:rFonts w:ascii="Times New Roman" w:cs="Times New Roman" w:eastAsia="Times New Roman" w:hAnsi="Times New Roman"/>
          <w:sz w:val="16"/>
          <w:szCs w:val="16"/>
          <w:color w:val="auto"/>
        </w:rPr>
        <w:t>The composition of our Nominating and Governance Committee complies with all applicable SEC and Nasdaq rules. The Nominating and Governance Committee conducted six (6) meetings in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 Committee Interlocks and Insider Participation</w:t>
      </w:r>
    </w:p>
    <w:p>
      <w:pPr>
        <w:spacing w:after="0" w:line="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None of the members of our Human Capital Committee is, nor has at any time during the past year been, one of our officers or employees. None of our executive officers currently serves, or in the past year has served, as a member of the board of directors or compensation committee, an equivalent committee, or any other relevant committee, of any entity that has one or more executive officers serving on our Board or Human Capital Committee.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Candidates</w:t>
      </w:r>
    </w:p>
    <w:p>
      <w:pPr>
        <w:spacing w:after="0" w:line="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Nominating and Governance Committee is responsible for identifying and reviewing the qualifications of potential director candidates and recommending to the Board those candidates to be nominated for election to the Board, subject to any obligations and procedures governing the nomination of directors to the Board that may be included in the Stockholders’ Agreement and any other stockholders’ agreement to which we are a party.</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To facilitate the search process for director candidates, the Nominating and Governance Committee may solicit our current directors and executives for the names of potentially qualified candidates or may ask directors and executives to pursue their own business contacts for the names of potentially qualified candidates. The Nominating and Governance Committee may also consult with outside advisors or retain search firms to assist in the search for qualified candidates or consider director candidates recommended by our stockholders. Once potential candidates are identified, the Nominating and Governance Committee reviews the backgrounds of those candidates, evaluates candidates’ independence from us and potential conflicts of interest, and determines whether candidates meet the qualifications desired by the Nominating and Governance Committee of candidates for election as director.</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In accordance with our Corporate Governance Guidelines, in evaluating the suitability of individual candidates, the Nominating and Governance Committee will consider minimum individual qualifications, including a high level of personal and professional integrity, strong ethics and values and the ability to make mature business judgments and all other factors it considers appropriate, which may include experience in corporate management, experience as a board member of other public companies, relevant professional or academic experience, leadership skills, financial and accounting background, executive compensation background and whether the candidate has the time required to fully participate as a director of the Company. Our Corporate Governance Guidelines provide that the Board should monitor the mix of specific experience, qualifications, and skills of its directors in order to assure that the Board, as a whole, has the necessary tools to perform its oversight function effectively in light of the Company’s business and structure. Our Nominating and Governance Committee has a formal policy with respect to diversity and believes that our Board, taken as a whole, should embody a range of skills, experiences, demographics and backgrounds.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number of directors as of April 27, 2026: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2185035</wp:posOffset>
            </wp:positionV>
            <wp:extent cx="630428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042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140335</wp:posOffset>
            </wp:positionV>
            <wp:extent cx="5254625" cy="17773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54625" cy="1777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Stockholders may recommend individuals to the Nominating and Governance Committee for consideration as potential director candidates by submitting the names of the recommended individuals, together with appropriate biographical information and background materials, to the Nominating and Governance Committee, c/o Secretary, Vertex, Inc., 2301 Renaissance Blvd., King of Prussia, PA 19406. In the event there is a vacancy, and assuming that appropriate biographical and background material has been provided on a timely basis, the Nominating and Governance Committee will evaluate stockholder-recommended candidates by following substantially the same process, and applying substantially the same criteria, as it follows for candidates submitted by others.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Sustainability</w:t>
      </w:r>
    </w:p>
    <w:p>
      <w:pPr>
        <w:spacing w:after="0" w:line="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131313"/>
        </w:rPr>
        <w:t>Our sustainability practices align with operational efficiency goals and support risk mitigation in our facilities and infrastructure. By transitioning to a hybrid, work-from-home environment and utilizing cloud services, we have already made significant progress toward being more efficient and mitigating risks.</w:t>
      </w:r>
    </w:p>
    <w:p>
      <w:pPr>
        <w:spacing w:after="0" w:line="165" w:lineRule="exact"/>
        <w:rPr>
          <w:sz w:val="20"/>
          <w:szCs w:val="20"/>
          <w:color w:val="auto"/>
        </w:rPr>
      </w:pPr>
    </w:p>
    <w:p>
      <w:pPr>
        <w:jc w:val="both"/>
        <w:ind w:left="600" w:hanging="288"/>
        <w:spacing w:after="0" w:line="262" w:lineRule="auto"/>
        <w:tabs>
          <w:tab w:leader="none" w:pos="600" w:val="left"/>
        </w:tabs>
        <w:numPr>
          <w:ilvl w:val="0"/>
          <w:numId w:val="10"/>
        </w:numPr>
        <w:rPr>
          <w:rFonts w:ascii="Times New Roman" w:cs="Times New Roman" w:eastAsia="Times New Roman" w:hAnsi="Times New Roman"/>
          <w:sz w:val="16"/>
          <w:szCs w:val="16"/>
          <w:color w:val="131313"/>
        </w:rPr>
      </w:pPr>
      <w:r>
        <w:rPr>
          <w:rFonts w:ascii="Times New Roman" w:cs="Times New Roman" w:eastAsia="Times New Roman" w:hAnsi="Times New Roman"/>
          <w:sz w:val="16"/>
          <w:szCs w:val="16"/>
          <w:color w:val="131313"/>
        </w:rPr>
        <w:t>Our remote-first approach to work helps significantly reduce our carbon footprint. We remain committed to offering flexible work-from-home options and actively coach our team on ways to minimize power usage while working remotely. We partner with Amazon Web Services (AWS) to evaluate our power use effectiveness and are proud that our AWS Power Use Effectiveness rating is 1.15, indicating high energy efficiency in its data centers. We are committed to using providers who have a goal to achieve 100% renewable energy usage for their global infrastructure.</w:t>
      </w:r>
    </w:p>
    <w:p>
      <w:pPr>
        <w:spacing w:after="0" w:line="161" w:lineRule="exact"/>
        <w:rPr>
          <w:rFonts w:ascii="Times New Roman" w:cs="Times New Roman" w:eastAsia="Times New Roman" w:hAnsi="Times New Roman"/>
          <w:sz w:val="16"/>
          <w:szCs w:val="16"/>
          <w:color w:val="131313"/>
        </w:rPr>
      </w:pPr>
    </w:p>
    <w:p>
      <w:pPr>
        <w:ind w:left="600" w:hanging="288"/>
        <w:spacing w:after="0" w:line="284" w:lineRule="auto"/>
        <w:tabs>
          <w:tab w:leader="none" w:pos="600" w:val="left"/>
        </w:tabs>
        <w:numPr>
          <w:ilvl w:val="0"/>
          <w:numId w:val="10"/>
        </w:numPr>
        <w:rPr>
          <w:rFonts w:ascii="Times New Roman" w:cs="Times New Roman" w:eastAsia="Times New Roman" w:hAnsi="Times New Roman"/>
          <w:sz w:val="16"/>
          <w:szCs w:val="16"/>
          <w:color w:val="131313"/>
        </w:rPr>
      </w:pPr>
      <w:r>
        <w:rPr>
          <w:rFonts w:ascii="Times New Roman" w:cs="Times New Roman" w:eastAsia="Times New Roman" w:hAnsi="Times New Roman"/>
          <w:sz w:val="16"/>
          <w:szCs w:val="16"/>
          <w:color w:val="131313"/>
        </w:rPr>
        <w:t>We implemented and continue to maintain sustainable practices at our facilities such as reusable water dispensers, and auto-shut-off lighting. Recycling is strongly encouraged throughout the office, and we participate in other waste management programs.</w:t>
      </w:r>
    </w:p>
    <w:p>
      <w:pPr>
        <w:spacing w:after="0" w:line="143" w:lineRule="exact"/>
        <w:rPr>
          <w:rFonts w:ascii="Times New Roman" w:cs="Times New Roman" w:eastAsia="Times New Roman" w:hAnsi="Times New Roman"/>
          <w:sz w:val="16"/>
          <w:szCs w:val="16"/>
          <w:color w:val="131313"/>
        </w:rPr>
      </w:pPr>
    </w:p>
    <w:p>
      <w:pPr>
        <w:ind w:left="600" w:hanging="288"/>
        <w:spacing w:after="0" w:line="284" w:lineRule="auto"/>
        <w:tabs>
          <w:tab w:leader="none" w:pos="600" w:val="left"/>
        </w:tabs>
        <w:numPr>
          <w:ilvl w:val="0"/>
          <w:numId w:val="10"/>
        </w:numPr>
        <w:rPr>
          <w:rFonts w:ascii="Times New Roman" w:cs="Times New Roman" w:eastAsia="Times New Roman" w:hAnsi="Times New Roman"/>
          <w:sz w:val="16"/>
          <w:szCs w:val="16"/>
          <w:color w:val="131313"/>
        </w:rPr>
      </w:pPr>
      <w:r>
        <w:rPr>
          <w:rFonts w:ascii="Times New Roman" w:cs="Times New Roman" w:eastAsia="Times New Roman" w:hAnsi="Times New Roman"/>
          <w:sz w:val="16"/>
          <w:szCs w:val="16"/>
          <w:color w:val="131313"/>
        </w:rPr>
        <w:t>We are building upon our sustainable sourcing program and are committed to partnering with vendors that share our commitment to sustainable practices.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600" w:hanging="288"/>
        <w:spacing w:after="0"/>
        <w:tabs>
          <w:tab w:leader="none" w:pos="600" w:val="left"/>
        </w:tabs>
        <w:numPr>
          <w:ilvl w:val="0"/>
          <w:numId w:val="11"/>
        </w:numPr>
        <w:rPr>
          <w:rFonts w:ascii="Times New Roman" w:cs="Times New Roman" w:eastAsia="Times New Roman" w:hAnsi="Times New Roman"/>
          <w:sz w:val="16"/>
          <w:szCs w:val="16"/>
          <w:color w:val="131313"/>
        </w:rPr>
      </w:pPr>
      <w:r>
        <w:rPr>
          <w:rFonts w:ascii="Times New Roman" w:cs="Times New Roman" w:eastAsia="Times New Roman" w:hAnsi="Times New Roman"/>
          <w:sz w:val="16"/>
          <w:szCs w:val="16"/>
          <w:color w:val="131313"/>
        </w:rPr>
        <w:t xml:space="preserve">Our office spaces are LEED </w:t>
      </w:r>
      <w:r>
        <w:rPr>
          <w:rFonts w:ascii="Times New Roman" w:cs="Times New Roman" w:eastAsia="Times New Roman" w:hAnsi="Times New Roman"/>
          <w:sz w:val="16"/>
          <w:szCs w:val="16"/>
          <w:color w:val="000000"/>
        </w:rPr>
        <w:t>(Leadership in Energy and Environmental Design)</w:t>
      </w:r>
      <w:r>
        <w:rPr>
          <w:rFonts w:ascii="Times New Roman" w:cs="Times New Roman" w:eastAsia="Times New Roman" w:hAnsi="Times New Roman"/>
          <w:sz w:val="16"/>
          <w:szCs w:val="16"/>
          <w:color w:val="131313"/>
        </w:rPr>
        <w:t xml:space="preserve"> certified.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31313"/>
        </w:rPr>
        <w:t>Philanthropy and Social Impact</w:t>
      </w:r>
    </w:p>
    <w:p>
      <w:pPr>
        <w:spacing w:after="0" w:line="27"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16"/>
          <w:szCs w:val="16"/>
          <w:color w:val="131313"/>
        </w:rPr>
        <w:t>Giving back to our communities is core to who we are and has been a source of pride for our Company for over 40 years. In 2025, our employees had opportunities at work to volunteer and get involved, including but not limited to:</w:t>
      </w:r>
    </w:p>
    <w:p>
      <w:pPr>
        <w:spacing w:after="0" w:line="184" w:lineRule="exact"/>
        <w:rPr>
          <w:sz w:val="20"/>
          <w:szCs w:val="20"/>
          <w:color w:val="auto"/>
        </w:rPr>
      </w:pPr>
    </w:p>
    <w:p>
      <w:pPr>
        <w:ind w:left="600" w:hanging="288"/>
        <w:spacing w:after="0"/>
        <w:tabs>
          <w:tab w:leader="none" w:pos="600" w:val="left"/>
        </w:tabs>
        <w:numPr>
          <w:ilvl w:val="0"/>
          <w:numId w:val="12"/>
        </w:numPr>
        <w:rPr>
          <w:rFonts w:ascii="Times New Roman" w:cs="Times New Roman" w:eastAsia="Times New Roman" w:hAnsi="Times New Roman"/>
          <w:sz w:val="16"/>
          <w:szCs w:val="16"/>
          <w:color w:val="131313"/>
        </w:rPr>
      </w:pPr>
      <w:r>
        <w:rPr>
          <w:rFonts w:ascii="Times New Roman" w:cs="Times New Roman" w:eastAsia="Times New Roman" w:hAnsi="Times New Roman"/>
          <w:sz w:val="16"/>
          <w:szCs w:val="16"/>
          <w:color w:val="131313"/>
        </w:rPr>
        <w:t>$44,000 donated to disaster relief campaigns.</w:t>
      </w:r>
    </w:p>
    <w:p>
      <w:pPr>
        <w:spacing w:after="0" w:line="25" w:lineRule="exact"/>
        <w:rPr>
          <w:rFonts w:ascii="Times New Roman" w:cs="Times New Roman" w:eastAsia="Times New Roman" w:hAnsi="Times New Roman"/>
          <w:sz w:val="16"/>
          <w:szCs w:val="16"/>
          <w:color w:val="131313"/>
        </w:rPr>
      </w:pPr>
    </w:p>
    <w:p>
      <w:pPr>
        <w:ind w:left="600" w:hanging="288"/>
        <w:spacing w:after="0"/>
        <w:tabs>
          <w:tab w:leader="none" w:pos="600" w:val="left"/>
        </w:tabs>
        <w:numPr>
          <w:ilvl w:val="0"/>
          <w:numId w:val="12"/>
        </w:numPr>
        <w:rPr>
          <w:rFonts w:ascii="Times New Roman" w:cs="Times New Roman" w:eastAsia="Times New Roman" w:hAnsi="Times New Roman"/>
          <w:sz w:val="16"/>
          <w:szCs w:val="16"/>
          <w:color w:val="131313"/>
        </w:rPr>
      </w:pPr>
      <w:r>
        <w:rPr>
          <w:rFonts w:ascii="Times New Roman" w:cs="Times New Roman" w:eastAsia="Times New Roman" w:hAnsi="Times New Roman"/>
          <w:sz w:val="16"/>
          <w:szCs w:val="16"/>
          <w:color w:val="131313"/>
        </w:rPr>
        <w:t>3,600 trees planted in Vertex Forest.</w:t>
      </w:r>
    </w:p>
    <w:p>
      <w:pPr>
        <w:spacing w:after="0" w:line="9" w:lineRule="exact"/>
        <w:rPr>
          <w:rFonts w:ascii="Times New Roman" w:cs="Times New Roman" w:eastAsia="Times New Roman" w:hAnsi="Times New Roman"/>
          <w:sz w:val="16"/>
          <w:szCs w:val="16"/>
          <w:color w:val="131313"/>
        </w:rPr>
      </w:pPr>
    </w:p>
    <w:p>
      <w:pPr>
        <w:ind w:left="600" w:hanging="288"/>
        <w:spacing w:after="0"/>
        <w:tabs>
          <w:tab w:leader="none" w:pos="600" w:val="left"/>
        </w:tabs>
        <w:numPr>
          <w:ilvl w:val="0"/>
          <w:numId w:val="12"/>
        </w:numPr>
        <w:rPr>
          <w:rFonts w:ascii="Times New Roman" w:cs="Times New Roman" w:eastAsia="Times New Roman" w:hAnsi="Times New Roman"/>
          <w:sz w:val="16"/>
          <w:szCs w:val="16"/>
          <w:color w:val="131313"/>
        </w:rPr>
      </w:pPr>
      <w:r>
        <w:rPr>
          <w:rFonts w:ascii="Times New Roman" w:cs="Times New Roman" w:eastAsia="Times New Roman" w:hAnsi="Times New Roman"/>
          <w:sz w:val="16"/>
          <w:szCs w:val="16"/>
          <w:color w:val="131313"/>
        </w:rPr>
        <w:t>Employee Charitable Matching Programs.</w:t>
      </w:r>
    </w:p>
    <w:p>
      <w:pPr>
        <w:spacing w:after="0" w:line="9" w:lineRule="exact"/>
        <w:rPr>
          <w:rFonts w:ascii="Times New Roman" w:cs="Times New Roman" w:eastAsia="Times New Roman" w:hAnsi="Times New Roman"/>
          <w:sz w:val="16"/>
          <w:szCs w:val="16"/>
          <w:color w:val="131313"/>
        </w:rPr>
      </w:pPr>
    </w:p>
    <w:p>
      <w:pPr>
        <w:ind w:left="600" w:hanging="288"/>
        <w:spacing w:after="0"/>
        <w:tabs>
          <w:tab w:leader="none" w:pos="600" w:val="left"/>
        </w:tabs>
        <w:numPr>
          <w:ilvl w:val="0"/>
          <w:numId w:val="12"/>
        </w:numPr>
        <w:rPr>
          <w:rFonts w:ascii="Times New Roman" w:cs="Times New Roman" w:eastAsia="Times New Roman" w:hAnsi="Times New Roman"/>
          <w:sz w:val="16"/>
          <w:szCs w:val="16"/>
          <w:color w:val="131313"/>
        </w:rPr>
      </w:pPr>
      <w:r>
        <w:rPr>
          <w:rFonts w:ascii="Times New Roman" w:cs="Times New Roman" w:eastAsia="Times New Roman" w:hAnsi="Times New Roman"/>
          <w:sz w:val="16"/>
          <w:szCs w:val="16"/>
          <w:color w:val="131313"/>
        </w:rPr>
        <w:t>Global Week of Service.</w:t>
      </w:r>
    </w:p>
    <w:p>
      <w:pPr>
        <w:spacing w:after="0" w:line="9" w:lineRule="exact"/>
        <w:rPr>
          <w:rFonts w:ascii="Times New Roman" w:cs="Times New Roman" w:eastAsia="Times New Roman" w:hAnsi="Times New Roman"/>
          <w:sz w:val="16"/>
          <w:szCs w:val="16"/>
          <w:color w:val="131313"/>
        </w:rPr>
      </w:pPr>
    </w:p>
    <w:p>
      <w:pPr>
        <w:ind w:left="1180" w:hanging="289"/>
        <w:spacing w:after="0"/>
        <w:tabs>
          <w:tab w:leader="none" w:pos="1180" w:val="left"/>
        </w:tabs>
        <w:numPr>
          <w:ilvl w:val="1"/>
          <w:numId w:val="12"/>
        </w:numPr>
        <w:rPr>
          <w:rFonts w:ascii="MS PGothic" w:cs="MS PGothic" w:eastAsia="MS PGothic" w:hAnsi="MS PGothic"/>
          <w:sz w:val="16"/>
          <w:szCs w:val="16"/>
          <w:color w:val="131313"/>
        </w:rPr>
      </w:pPr>
      <w:r>
        <w:rPr>
          <w:rFonts w:ascii="Times New Roman" w:cs="Times New Roman" w:eastAsia="Times New Roman" w:hAnsi="Times New Roman"/>
          <w:sz w:val="16"/>
          <w:szCs w:val="16"/>
          <w:color w:val="131313"/>
        </w:rPr>
        <w:t>Three (3) continents.</w:t>
      </w:r>
    </w:p>
    <w:p>
      <w:pPr>
        <w:spacing w:after="0" w:line="10" w:lineRule="exact"/>
        <w:rPr>
          <w:rFonts w:ascii="MS PGothic" w:cs="MS PGothic" w:eastAsia="MS PGothic" w:hAnsi="MS PGothic"/>
          <w:sz w:val="16"/>
          <w:szCs w:val="16"/>
          <w:color w:val="131313"/>
        </w:rPr>
      </w:pPr>
    </w:p>
    <w:p>
      <w:pPr>
        <w:ind w:left="1180" w:hanging="289"/>
        <w:spacing w:after="0"/>
        <w:tabs>
          <w:tab w:leader="none" w:pos="1180" w:val="left"/>
        </w:tabs>
        <w:numPr>
          <w:ilvl w:val="1"/>
          <w:numId w:val="12"/>
        </w:numPr>
        <w:rPr>
          <w:rFonts w:ascii="MS PGothic" w:cs="MS PGothic" w:eastAsia="MS PGothic" w:hAnsi="MS PGothic"/>
          <w:sz w:val="16"/>
          <w:szCs w:val="16"/>
          <w:color w:val="131313"/>
        </w:rPr>
      </w:pPr>
      <w:r>
        <w:rPr>
          <w:rFonts w:ascii="Times New Roman" w:cs="Times New Roman" w:eastAsia="Times New Roman" w:hAnsi="Times New Roman"/>
          <w:sz w:val="16"/>
          <w:szCs w:val="16"/>
          <w:color w:val="131313"/>
        </w:rPr>
        <w:t>Twenty-four (24) cities.</w:t>
      </w:r>
    </w:p>
    <w:p>
      <w:pPr>
        <w:spacing w:after="0" w:line="9" w:lineRule="exact"/>
        <w:rPr>
          <w:rFonts w:ascii="MS PGothic" w:cs="MS PGothic" w:eastAsia="MS PGothic" w:hAnsi="MS PGothic"/>
          <w:sz w:val="16"/>
          <w:szCs w:val="16"/>
          <w:color w:val="131313"/>
        </w:rPr>
      </w:pPr>
    </w:p>
    <w:p>
      <w:pPr>
        <w:ind w:left="1180" w:hanging="289"/>
        <w:spacing w:after="0"/>
        <w:tabs>
          <w:tab w:leader="none" w:pos="1180" w:val="left"/>
        </w:tabs>
        <w:numPr>
          <w:ilvl w:val="1"/>
          <w:numId w:val="12"/>
        </w:numPr>
        <w:rPr>
          <w:rFonts w:ascii="MS PGothic" w:cs="MS PGothic" w:eastAsia="MS PGothic" w:hAnsi="MS PGothic"/>
          <w:sz w:val="16"/>
          <w:szCs w:val="16"/>
          <w:color w:val="131313"/>
        </w:rPr>
      </w:pPr>
      <w:r>
        <w:rPr>
          <w:rFonts w:ascii="Times New Roman" w:cs="Times New Roman" w:eastAsia="Times New Roman" w:hAnsi="Times New Roman"/>
          <w:sz w:val="16"/>
          <w:szCs w:val="16"/>
          <w:color w:val="131313"/>
        </w:rPr>
        <w:t>700 employee volunteers .</w:t>
      </w:r>
    </w:p>
    <w:p>
      <w:pPr>
        <w:spacing w:after="0" w:line="9" w:lineRule="exact"/>
        <w:rPr>
          <w:rFonts w:ascii="MS PGothic" w:cs="MS PGothic" w:eastAsia="MS PGothic" w:hAnsi="MS PGothic"/>
          <w:sz w:val="16"/>
          <w:szCs w:val="16"/>
          <w:color w:val="131313"/>
        </w:rPr>
      </w:pPr>
    </w:p>
    <w:p>
      <w:pPr>
        <w:ind w:left="1180" w:hanging="289"/>
        <w:spacing w:after="0"/>
        <w:tabs>
          <w:tab w:leader="none" w:pos="1180" w:val="left"/>
        </w:tabs>
        <w:numPr>
          <w:ilvl w:val="1"/>
          <w:numId w:val="12"/>
        </w:numPr>
        <w:rPr>
          <w:rFonts w:ascii="MS PGothic" w:cs="MS PGothic" w:eastAsia="MS PGothic" w:hAnsi="MS PGothic"/>
          <w:sz w:val="16"/>
          <w:szCs w:val="16"/>
          <w:color w:val="131313"/>
        </w:rPr>
      </w:pPr>
      <w:r>
        <w:rPr>
          <w:rFonts w:ascii="Times New Roman" w:cs="Times New Roman" w:eastAsia="Times New Roman" w:hAnsi="Times New Roman"/>
          <w:sz w:val="16"/>
          <w:szCs w:val="16"/>
          <w:color w:val="131313"/>
        </w:rPr>
        <w:t>Over 70 organizations benefited.</w:t>
      </w:r>
    </w:p>
    <w:p>
      <w:pPr>
        <w:spacing w:after="0" w:line="9" w:lineRule="exact"/>
        <w:rPr>
          <w:rFonts w:ascii="MS PGothic" w:cs="MS PGothic" w:eastAsia="MS PGothic" w:hAnsi="MS PGothic"/>
          <w:sz w:val="16"/>
          <w:szCs w:val="16"/>
          <w:color w:val="131313"/>
        </w:rPr>
      </w:pPr>
    </w:p>
    <w:p>
      <w:pPr>
        <w:ind w:left="600" w:hanging="288"/>
        <w:spacing w:after="0"/>
        <w:tabs>
          <w:tab w:leader="none" w:pos="600" w:val="left"/>
        </w:tabs>
        <w:numPr>
          <w:ilvl w:val="0"/>
          <w:numId w:val="12"/>
        </w:numPr>
        <w:rPr>
          <w:rFonts w:ascii="Times New Roman" w:cs="Times New Roman" w:eastAsia="Times New Roman" w:hAnsi="Times New Roman"/>
          <w:sz w:val="16"/>
          <w:szCs w:val="16"/>
          <w:color w:val="131313"/>
        </w:rPr>
      </w:pPr>
      <w:r>
        <w:rPr>
          <w:rFonts w:ascii="Times New Roman" w:cs="Times New Roman" w:eastAsia="Times New Roman" w:hAnsi="Times New Roman"/>
          <w:sz w:val="16"/>
          <w:szCs w:val="16"/>
          <w:color w:val="131313"/>
        </w:rPr>
        <w:t>Support for over 280 non-profit organizations.</w:t>
      </w:r>
    </w:p>
    <w:p>
      <w:pPr>
        <w:spacing w:after="0" w:line="7" w:lineRule="exact"/>
        <w:rPr>
          <w:rFonts w:ascii="Times New Roman" w:cs="Times New Roman" w:eastAsia="Times New Roman" w:hAnsi="Times New Roman"/>
          <w:sz w:val="16"/>
          <w:szCs w:val="16"/>
          <w:color w:val="131313"/>
        </w:rPr>
      </w:pPr>
    </w:p>
    <w:p>
      <w:pPr>
        <w:ind w:left="600" w:hanging="288"/>
        <w:spacing w:after="0"/>
        <w:tabs>
          <w:tab w:leader="none" w:pos="600" w:val="left"/>
        </w:tabs>
        <w:numPr>
          <w:ilvl w:val="0"/>
          <w:numId w:val="12"/>
        </w:numPr>
        <w:rPr>
          <w:rFonts w:ascii="Times New Roman" w:cs="Times New Roman" w:eastAsia="Times New Roman" w:hAnsi="Times New Roman"/>
          <w:sz w:val="16"/>
          <w:szCs w:val="16"/>
          <w:color w:val="131313"/>
        </w:rPr>
      </w:pPr>
      <w:r>
        <w:rPr>
          <w:rFonts w:ascii="Times New Roman" w:cs="Times New Roman" w:eastAsia="Times New Roman" w:hAnsi="Times New Roman"/>
          <w:sz w:val="16"/>
          <w:szCs w:val="16"/>
          <w:color w:val="131313"/>
        </w:rPr>
        <w:t>Invested over $1.5 million into communities around the world since 2020.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31313"/>
        </w:rPr>
        <w:t>Inclusion &amp; Belonging</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131313"/>
        </w:rPr>
        <w:t xml:space="preserve">We believe in a culture where all employees are included. We are </w:t>
      </w:r>
      <w:r>
        <w:rPr>
          <w:rFonts w:ascii="Times New Roman" w:cs="Times New Roman" w:eastAsia="Times New Roman" w:hAnsi="Times New Roman"/>
          <w:sz w:val="16"/>
          <w:szCs w:val="16"/>
          <w:color w:val="000001"/>
        </w:rPr>
        <w:t>dedicated to fostering an inclusive and supportive environment where respect for all</w:t>
      </w:r>
      <w:r>
        <w:rPr>
          <w:rFonts w:ascii="Times New Roman" w:cs="Times New Roman" w:eastAsia="Times New Roman" w:hAnsi="Times New Roman"/>
          <w:sz w:val="16"/>
          <w:szCs w:val="16"/>
          <w:color w:val="131313"/>
        </w:rPr>
        <w:t xml:space="preserve"> </w:t>
      </w:r>
      <w:r>
        <w:rPr>
          <w:rFonts w:ascii="Times New Roman" w:cs="Times New Roman" w:eastAsia="Times New Roman" w:hAnsi="Times New Roman"/>
          <w:sz w:val="16"/>
          <w:szCs w:val="16"/>
          <w:color w:val="000001"/>
        </w:rPr>
        <w:t xml:space="preserve">perspectives flourish. Our commitment to inclusion and belonging remains steadfast. We view it as a core value that shapes our culture, guides our actions, and makes us a vibrant and dynamic company. We will continue to attract, nurture, develop, and retain world class talent and build high-performing teams where everyone can bring their authentic selves to work. The voices, uniqueness and experiences of our employees are what enrich our Vertex community, driving innovation and collaboration. Our priority is to provide purposeful opportunities for our employees to share perspectives and contribute meaningfully, recognizing that a strong employee voice fuels engagement and motivation, leading to higher performance and better outcomes for our organization, investors and customers. </w:t>
      </w:r>
      <w:r>
        <w:rPr>
          <w:rFonts w:ascii="Times New Roman" w:cs="Times New Roman" w:eastAsia="Times New Roman" w:hAnsi="Times New Roman"/>
          <w:sz w:val="16"/>
          <w:szCs w:val="16"/>
          <w:color w:val="000000"/>
        </w:rPr>
        <w:t>In fulfilling such commitments, we have developed Employee Resource Groups (“ERGs”).</w:t>
      </w:r>
      <w:r>
        <w:rPr>
          <w:rFonts w:ascii="Times New Roman" w:cs="Times New Roman" w:eastAsia="Times New Roman" w:hAnsi="Times New Roman"/>
          <w:sz w:val="16"/>
          <w:szCs w:val="16"/>
          <w:color w:val="000001"/>
        </w:rPr>
        <w:t xml:space="preserve"> </w:t>
      </w:r>
      <w:r>
        <w:rPr>
          <w:rFonts w:ascii="Times New Roman" w:cs="Times New Roman" w:eastAsia="Times New Roman" w:hAnsi="Times New Roman"/>
          <w:sz w:val="16"/>
          <w:szCs w:val="16"/>
          <w:color w:val="131313"/>
        </w:rPr>
        <w:t>Inspired by</w:t>
      </w:r>
      <w:r>
        <w:rPr>
          <w:rFonts w:ascii="Times New Roman" w:cs="Times New Roman" w:eastAsia="Times New Roman" w:hAnsi="Times New Roman"/>
          <w:sz w:val="16"/>
          <w:szCs w:val="16"/>
          <w:color w:val="000001"/>
        </w:rPr>
        <w:t xml:space="preserve"> </w:t>
      </w:r>
      <w:r>
        <w:rPr>
          <w:rFonts w:ascii="Times New Roman" w:cs="Times New Roman" w:eastAsia="Times New Roman" w:hAnsi="Times New Roman"/>
          <w:sz w:val="16"/>
          <w:szCs w:val="16"/>
          <w:color w:val="131313"/>
        </w:rPr>
        <w:t>employee feedback, ERGs are employee-led groups of individuals with shared experiences and common interests. They are open to everyone and allow employees to network socially across our global organization.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31313"/>
        </w:rPr>
        <w:t>Security and Data Privacy</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131313"/>
        </w:rPr>
        <w:t>Customers use our solutions within their critical infrastructure, and they want to confirm we have the tools, technologies, processes, and controls in place to protect their data. Where appropriate, we provide our customers with independent third-party audit reports, such as Service Organization Control (“SOC”) 1 and SOC 2, as well as certifications to ISO 27001. Our top priority is keeping our customers’ data secure. We employ rigorous security measures at the organizational, architectural, and operational levels to support the safety of our customers’ data, applications, and infrastructure remain safe.</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Our cybersecurity risk management initiative is a cornerstone of our information security program, which includes a cross-functional management team with representatives from Legal, Enterprise Risk Management, Information Security, Information Technology, and Engineering. The cybersecurity risk management work is directed by the Enterprise Risk Management Team in collaboration with the Information Security Team and is intended to protect the confidentiality, integrity, and availability of our critical systems and information. Our information security program includes a cybersecurity incident response plan and playbook.</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131313"/>
        </w:rPr>
        <w:t>Additionally, our customers’ privacy is crucial. We strongly support regulations that protect the cross-border transfer of personal data. Privacy protections are also important to the individuals within our customers’ organizations, and we help customers meet their own General Data Protection Regulation compliance requirements through the maintenance of rigorous technical and organizational measures.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31313"/>
        </w:rPr>
        <w:t>Total Rewards</w:t>
      </w:r>
    </w:p>
    <w:p>
      <w:pPr>
        <w:spacing w:after="0" w:line="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131313"/>
        </w:rPr>
        <w:t>As a customer-first driven organization with a core focus on the well-being of our team, we nurture our culture by providing competitive compensation and benefits to our employees, including:</w:t>
      </w:r>
    </w:p>
    <w:p>
      <w:pPr>
        <w:spacing w:after="0" w:line="63" w:lineRule="exact"/>
        <w:rPr>
          <w:sz w:val="20"/>
          <w:szCs w:val="20"/>
          <w:color w:val="auto"/>
        </w:rPr>
      </w:pPr>
    </w:p>
    <w:p>
      <w:pPr>
        <w:ind w:left="600" w:hanging="288"/>
        <w:spacing w:after="0"/>
        <w:tabs>
          <w:tab w:leader="none" w:pos="600" w:val="left"/>
        </w:tabs>
        <w:numPr>
          <w:ilvl w:val="0"/>
          <w:numId w:val="13"/>
        </w:numPr>
        <w:rPr>
          <w:rFonts w:ascii="Times New Roman" w:cs="Times New Roman" w:eastAsia="Times New Roman" w:hAnsi="Times New Roman"/>
          <w:sz w:val="16"/>
          <w:szCs w:val="16"/>
          <w:color w:val="131313"/>
        </w:rPr>
      </w:pPr>
      <w:r>
        <w:rPr>
          <w:rFonts w:ascii="Times New Roman" w:cs="Times New Roman" w:eastAsia="Times New Roman" w:hAnsi="Times New Roman"/>
          <w:sz w:val="16"/>
          <w:szCs w:val="16"/>
          <w:color w:val="131313"/>
        </w:rPr>
        <w:t>Market-based Compensation</w:t>
      </w:r>
    </w:p>
    <w:p>
      <w:pPr>
        <w:spacing w:after="0" w:line="105" w:lineRule="exact"/>
        <w:rPr>
          <w:rFonts w:ascii="Times New Roman" w:cs="Times New Roman" w:eastAsia="Times New Roman" w:hAnsi="Times New Roman"/>
          <w:sz w:val="16"/>
          <w:szCs w:val="16"/>
          <w:color w:val="131313"/>
        </w:rPr>
      </w:pPr>
    </w:p>
    <w:p>
      <w:pPr>
        <w:ind w:left="600" w:hanging="288"/>
        <w:spacing w:after="0"/>
        <w:tabs>
          <w:tab w:leader="none" w:pos="600" w:val="left"/>
        </w:tabs>
        <w:numPr>
          <w:ilvl w:val="0"/>
          <w:numId w:val="13"/>
        </w:numPr>
        <w:rPr>
          <w:rFonts w:ascii="Times New Roman" w:cs="Times New Roman" w:eastAsia="Times New Roman" w:hAnsi="Times New Roman"/>
          <w:sz w:val="16"/>
          <w:szCs w:val="16"/>
          <w:color w:val="131313"/>
        </w:rPr>
      </w:pPr>
      <w:r>
        <w:rPr>
          <w:rFonts w:ascii="Times New Roman" w:cs="Times New Roman" w:eastAsia="Times New Roman" w:hAnsi="Times New Roman"/>
          <w:sz w:val="16"/>
          <w:szCs w:val="16"/>
          <w:color w:val="131313"/>
        </w:rPr>
        <w:t>Long Term Equity Incentives</w:t>
      </w:r>
    </w:p>
    <w:p>
      <w:pPr>
        <w:spacing w:after="0" w:line="105" w:lineRule="exact"/>
        <w:rPr>
          <w:rFonts w:ascii="Times New Roman" w:cs="Times New Roman" w:eastAsia="Times New Roman" w:hAnsi="Times New Roman"/>
          <w:sz w:val="16"/>
          <w:szCs w:val="16"/>
          <w:color w:val="131313"/>
        </w:rPr>
      </w:pPr>
    </w:p>
    <w:p>
      <w:pPr>
        <w:ind w:left="600" w:hanging="288"/>
        <w:spacing w:after="0"/>
        <w:tabs>
          <w:tab w:leader="none" w:pos="600" w:val="left"/>
        </w:tabs>
        <w:numPr>
          <w:ilvl w:val="0"/>
          <w:numId w:val="13"/>
        </w:numPr>
        <w:rPr>
          <w:rFonts w:ascii="Times New Roman" w:cs="Times New Roman" w:eastAsia="Times New Roman" w:hAnsi="Times New Roman"/>
          <w:sz w:val="16"/>
          <w:szCs w:val="16"/>
          <w:color w:val="131313"/>
        </w:rPr>
      </w:pPr>
      <w:r>
        <w:rPr>
          <w:rFonts w:ascii="Times New Roman" w:cs="Times New Roman" w:eastAsia="Times New Roman" w:hAnsi="Times New Roman"/>
          <w:sz w:val="16"/>
          <w:szCs w:val="16"/>
          <w:color w:val="131313"/>
        </w:rPr>
        <w:t>Employee Health Benefits</w:t>
      </w:r>
    </w:p>
    <w:p>
      <w:pPr>
        <w:spacing w:after="0" w:line="105" w:lineRule="exact"/>
        <w:rPr>
          <w:rFonts w:ascii="Times New Roman" w:cs="Times New Roman" w:eastAsia="Times New Roman" w:hAnsi="Times New Roman"/>
          <w:sz w:val="16"/>
          <w:szCs w:val="16"/>
          <w:color w:val="131313"/>
        </w:rPr>
      </w:pPr>
    </w:p>
    <w:p>
      <w:pPr>
        <w:ind w:left="600" w:hanging="288"/>
        <w:spacing w:after="0"/>
        <w:tabs>
          <w:tab w:leader="none" w:pos="600" w:val="left"/>
        </w:tabs>
        <w:numPr>
          <w:ilvl w:val="0"/>
          <w:numId w:val="13"/>
        </w:numPr>
        <w:rPr>
          <w:rFonts w:ascii="Times New Roman" w:cs="Times New Roman" w:eastAsia="Times New Roman" w:hAnsi="Times New Roman"/>
          <w:sz w:val="16"/>
          <w:szCs w:val="16"/>
          <w:color w:val="131313"/>
        </w:rPr>
      </w:pPr>
      <w:r>
        <w:rPr>
          <w:rFonts w:ascii="Times New Roman" w:cs="Times New Roman" w:eastAsia="Times New Roman" w:hAnsi="Times New Roman"/>
          <w:sz w:val="16"/>
          <w:szCs w:val="16"/>
          <w:color w:val="131313"/>
        </w:rPr>
        <w:t>401(k) plan with a company match</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600" w:hanging="288"/>
        <w:spacing w:after="0"/>
        <w:tabs>
          <w:tab w:leader="none" w:pos="600" w:val="left"/>
        </w:tabs>
        <w:numPr>
          <w:ilvl w:val="0"/>
          <w:numId w:val="14"/>
        </w:numPr>
        <w:rPr>
          <w:rFonts w:ascii="Times New Roman" w:cs="Times New Roman" w:eastAsia="Times New Roman" w:hAnsi="Times New Roman"/>
          <w:sz w:val="16"/>
          <w:szCs w:val="16"/>
          <w:color w:val="131313"/>
        </w:rPr>
      </w:pPr>
      <w:r>
        <w:rPr>
          <w:rFonts w:ascii="Times New Roman" w:cs="Times New Roman" w:eastAsia="Times New Roman" w:hAnsi="Times New Roman"/>
          <w:sz w:val="16"/>
          <w:szCs w:val="16"/>
          <w:color w:val="131313"/>
        </w:rPr>
        <w:t>Employee Stock Purchase Plan</w:t>
      </w:r>
    </w:p>
    <w:p>
      <w:pPr>
        <w:spacing w:after="0" w:line="105" w:lineRule="exact"/>
        <w:rPr>
          <w:rFonts w:ascii="Times New Roman" w:cs="Times New Roman" w:eastAsia="Times New Roman" w:hAnsi="Times New Roman"/>
          <w:sz w:val="16"/>
          <w:szCs w:val="16"/>
          <w:color w:val="131313"/>
        </w:rPr>
      </w:pPr>
    </w:p>
    <w:p>
      <w:pPr>
        <w:ind w:left="600" w:hanging="288"/>
        <w:spacing w:after="0"/>
        <w:tabs>
          <w:tab w:leader="none" w:pos="600" w:val="left"/>
        </w:tabs>
        <w:numPr>
          <w:ilvl w:val="0"/>
          <w:numId w:val="14"/>
        </w:numPr>
        <w:rPr>
          <w:rFonts w:ascii="Times New Roman" w:cs="Times New Roman" w:eastAsia="Times New Roman" w:hAnsi="Times New Roman"/>
          <w:sz w:val="16"/>
          <w:szCs w:val="16"/>
          <w:color w:val="131313"/>
        </w:rPr>
      </w:pPr>
      <w:r>
        <w:rPr>
          <w:rFonts w:ascii="Times New Roman" w:cs="Times New Roman" w:eastAsia="Times New Roman" w:hAnsi="Times New Roman"/>
          <w:sz w:val="16"/>
          <w:szCs w:val="16"/>
          <w:color w:val="131313"/>
        </w:rPr>
        <w:t>Family Forming and Paid Family Leave Benefits</w:t>
      </w:r>
    </w:p>
    <w:p>
      <w:pPr>
        <w:spacing w:after="0" w:line="105" w:lineRule="exact"/>
        <w:rPr>
          <w:rFonts w:ascii="Times New Roman" w:cs="Times New Roman" w:eastAsia="Times New Roman" w:hAnsi="Times New Roman"/>
          <w:sz w:val="16"/>
          <w:szCs w:val="16"/>
          <w:color w:val="131313"/>
        </w:rPr>
      </w:pPr>
    </w:p>
    <w:p>
      <w:pPr>
        <w:ind w:left="600" w:hanging="288"/>
        <w:spacing w:after="0"/>
        <w:tabs>
          <w:tab w:leader="none" w:pos="600" w:val="left"/>
        </w:tabs>
        <w:numPr>
          <w:ilvl w:val="0"/>
          <w:numId w:val="14"/>
        </w:numPr>
        <w:rPr>
          <w:rFonts w:ascii="Times New Roman" w:cs="Times New Roman" w:eastAsia="Times New Roman" w:hAnsi="Times New Roman"/>
          <w:sz w:val="16"/>
          <w:szCs w:val="16"/>
          <w:color w:val="131313"/>
        </w:rPr>
      </w:pPr>
      <w:r>
        <w:rPr>
          <w:rFonts w:ascii="Times New Roman" w:cs="Times New Roman" w:eastAsia="Times New Roman" w:hAnsi="Times New Roman"/>
          <w:sz w:val="16"/>
          <w:szCs w:val="16"/>
          <w:color w:val="131313"/>
        </w:rPr>
        <w:t>Flexible Time Away Policy</w:t>
      </w:r>
    </w:p>
    <w:p>
      <w:pPr>
        <w:spacing w:after="0" w:line="105" w:lineRule="exact"/>
        <w:rPr>
          <w:rFonts w:ascii="Times New Roman" w:cs="Times New Roman" w:eastAsia="Times New Roman" w:hAnsi="Times New Roman"/>
          <w:sz w:val="16"/>
          <w:szCs w:val="16"/>
          <w:color w:val="131313"/>
        </w:rPr>
      </w:pPr>
    </w:p>
    <w:p>
      <w:pPr>
        <w:ind w:left="600" w:hanging="288"/>
        <w:spacing w:after="0"/>
        <w:tabs>
          <w:tab w:leader="none" w:pos="600" w:val="left"/>
        </w:tabs>
        <w:numPr>
          <w:ilvl w:val="0"/>
          <w:numId w:val="14"/>
        </w:numPr>
        <w:rPr>
          <w:rFonts w:ascii="Times New Roman" w:cs="Times New Roman" w:eastAsia="Times New Roman" w:hAnsi="Times New Roman"/>
          <w:sz w:val="16"/>
          <w:szCs w:val="16"/>
          <w:color w:val="131313"/>
        </w:rPr>
      </w:pPr>
      <w:r>
        <w:rPr>
          <w:rFonts w:ascii="Times New Roman" w:cs="Times New Roman" w:eastAsia="Times New Roman" w:hAnsi="Times New Roman"/>
          <w:sz w:val="16"/>
          <w:szCs w:val="16"/>
          <w:color w:val="auto"/>
        </w:rPr>
        <w:t>Financial education and advice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also provide wellness resources for employee mental wellbeing, including live seminars with wellness professionals.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Stockholders’ Agreement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In connection with our IPO in July 2020, we entered into the Stockholders’ Agreement with Amanda Westphal Radcliffe, Stefanie Westphal Thompson and Jeffrey Westphal, with Ms. Radcliffe and Ms. Thompson each serving as a member of our Board, and their affiliated trust entities and family members. For so long as Ms. Radcliffe, Ms. Thompson or Mr. Westphal, in each case together with his or her children and related trusts, owns at least five percent of our outstanding Common Stock, he or she each shall be entitled to designate one individual, including themselves, for nomination to our Board, and we will be required to use our best efforts to include the designee in the slate of nominees recommended to our stockholders for election as a director at the next annual or special meeting of stockholders. At any general or special meetings of the stockholders involving the election of directors, each stockholder party to the Stockholders’ Agreement (each a “Stockholder Party”) must vote, or provide written consent on behalf of, all of his or her shares of Common Stock in favor of each individual nominated by a Stockholder Party. For all matters other than the election of directors, voting shall be discretionary at the option of each stockholder. As of December 31, 2025, Mr. Westphal, together with his Sibling Affiliated Stockholders (as defined in the Stockholders Agreement), do not own at least five percent of our outstanding Common Stock.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Controlled Company Exemption</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parties to the Stockholders’ Agreement have more than 50% of the voting power for the election of directors, and, as a result, we are considered a "controlled company" for the purposes of the Nasdaq listing requirements. As such, we qualify for exemptions from certain corporate governance requirements, including that a majority of our Board consists of "independent directors”, as defined under the Nasdaq rules. We currently do not rely on any of the exemptions available to controlled companies. However, if we were to rely on these exemptions in the future, our stockholders may not have the same protections afforded to stockholders of companies that are subject to all of the corporate governance requirements of Nasdaq. If at any time we cease to be a "controlled company" under the rules of Nasdaq, our Board intends to take all action necessary to comply with the Nasdaq corporate governance rules.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Communications from Interested Parties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Anyone who would like to communicate with, or otherwise make his or her concerns known directly to the Board, the chairperson of any of the Audit, Nominating and Governance, and Human Capital Committees, or to the independent directors as a group, may do so by addressing such communications or concerns to the Secretary of the Company, 2301 Renaissance Blvd., King of Prussia, PA 19406, who will forward such communications to the appropriate party. Such communications may be done confidentially or anonymously.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b w:val="1"/>
          <w:bCs w:val="1"/>
          <w:color w:val="auto"/>
        </w:rPr>
        <w:t>Executive Officers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identifies our current executive officers:</w:t>
      </w:r>
    </w:p>
    <w:p>
      <w:pPr>
        <w:spacing w:after="0" w:line="386" w:lineRule="exact"/>
        <w:rPr>
          <w:sz w:val="20"/>
          <w:szCs w:val="20"/>
          <w:color w:val="auto"/>
        </w:rPr>
      </w:pPr>
    </w:p>
    <w:tbl>
      <w:tblPr>
        <w:tblLayout w:type="fixed"/>
        <w:tblInd w:w="990" w:type="dxa"/>
        <w:tblCellMar>
          <w:top w:w="0" w:type="dxa"/>
          <w:left w:w="0" w:type="dxa"/>
          <w:bottom w:w="0" w:type="dxa"/>
          <w:right w:w="0" w:type="dxa"/>
        </w:tblCellMar>
      </w:tblPr>
      <w:tr>
        <w:trPr>
          <w:trHeight w:val="226"/>
        </w:trPr>
        <w:tc>
          <w:tcPr>
            <w:tcW w:w="2820" w:type="dxa"/>
            <w:vAlign w:val="bottom"/>
            <w:tcBorders>
              <w:top w:val="single" w:sz="8" w:color="auto"/>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56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4620" w:type="dxa"/>
            <w:vAlign w:val="bottom"/>
            <w:tcBorders>
              <w:top w:val="single" w:sz="8" w:color="auto"/>
              <w:bottom w:val="single" w:sz="8" w:color="auto"/>
              <w:right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6"/>
                <w:szCs w:val="16"/>
                <w:b w:val="1"/>
                <w:bCs w:val="1"/>
                <w:color w:val="auto"/>
              </w:rPr>
              <w:t>Positions with Vertex</w:t>
            </w:r>
          </w:p>
        </w:tc>
      </w:tr>
      <w:tr>
        <w:trPr>
          <w:trHeight w:val="208"/>
        </w:trPr>
        <w:tc>
          <w:tcPr>
            <w:tcW w:w="28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Christopher Young</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c>
          <w:tcPr>
            <w:tcW w:w="4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r>
      <w:tr>
        <w:trPr>
          <w:trHeight w:val="209"/>
        </w:trPr>
        <w:tc>
          <w:tcPr>
            <w:tcW w:w="28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John Schwab</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c>
          <w:tcPr>
            <w:tcW w:w="4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09"/>
        </w:trPr>
        <w:tc>
          <w:tcPr>
            <w:tcW w:w="28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Bryan Rowland</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4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Senior Vice President, General Counsel, and Secretary</w:t>
            </w:r>
          </w:p>
        </w:tc>
      </w:tr>
    </w:tbl>
    <w:p>
      <w:pPr>
        <w:spacing w:after="0" w:line="3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Christopher Young </w:t>
      </w:r>
      <w:r>
        <w:rPr>
          <w:rFonts w:ascii="Times New Roman" w:cs="Times New Roman" w:eastAsia="Times New Roman" w:hAnsi="Times New Roman"/>
          <w:sz w:val="16"/>
          <w:szCs w:val="16"/>
          <w:color w:val="auto"/>
        </w:rPr>
        <w:t>became our President and Chief Executive Officer and was appointed as a member of the Board in November 2025. Mr. Young was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previously the Executive Vice President – Business Development, Strategy and Ventures of Microsoft Corp. from 2020 to 2025. Mr. Young received his Bachelor of Arts from Princeton University and his Master of Business Administration from Harvard University.</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 xml:space="preserve">John Schwab </w:t>
      </w:r>
      <w:r>
        <w:rPr>
          <w:rFonts w:ascii="Times New Roman" w:cs="Times New Roman" w:eastAsia="Times New Roman" w:hAnsi="Times New Roman"/>
          <w:sz w:val="16"/>
          <w:szCs w:val="16"/>
          <w:color w:val="auto"/>
        </w:rPr>
        <w:t>became our Chief Financial Officer in 2020. Prior to joining the Company, Mr. Schwab served as Chief Financial Officer of Flagship</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Credit Acceptance from 2015 until 2019. Mr. Schwab began his career in assurance services at Arthur Andersen LLP. Mr. Schwab received a BS in Accounting from LaSalle University.</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Bryan Rowland </w:t>
      </w:r>
      <w:r>
        <w:rPr>
          <w:rFonts w:ascii="Times New Roman" w:cs="Times New Roman" w:eastAsia="Times New Roman" w:hAnsi="Times New Roman"/>
          <w:sz w:val="16"/>
          <w:szCs w:val="16"/>
          <w:color w:val="auto"/>
        </w:rPr>
        <w:t>became our General Counsel in 2017. Prior to joining the Company, Mr. Rowland held various roles at Checkpoint Systems from 2005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2016, including serving as Senior Vice President, General Counsel, Chief Compliance Officer and Corporate Secretary from 2014 to 2016. Mr. Rowland received a BA in Psychology and Philosophy from Towson University and a Juris Doctorate degree from Villanova University Charles Widger School of Law.</w:t>
      </w:r>
    </w:p>
    <w:p>
      <w:pPr>
        <w:spacing w:after="0" w:line="1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b w:val="1"/>
          <w:bCs w:val="1"/>
          <w:color w:val="auto"/>
        </w:rPr>
        <w:t xml:space="preserve">Term of Executive Officers: </w:t>
      </w:r>
      <w:r>
        <w:rPr>
          <w:rFonts w:ascii="Times New Roman" w:cs="Times New Roman" w:eastAsia="Times New Roman" w:hAnsi="Times New Roman"/>
          <w:sz w:val="16"/>
          <w:szCs w:val="16"/>
          <w:color w:val="auto"/>
        </w:rPr>
        <w:t>Each executive officer is appointed and serves at the discretion of the Board and holds office until his or her successor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elected and qualified, or until his or her earlier resignation or removal.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b w:val="1"/>
          <w:bCs w:val="1"/>
          <w:color w:val="auto"/>
        </w:rPr>
        <w:t>COMPENSATION DISCUSSION AND ANALYSIS</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this Compensation Discussion and Analysis (“CD&amp;A”) set forth below, we provide an overview and analysis of the compensation awarded to or earned by our named executive officers identified in the Summary Compensation Table below during fiscal 2025, including the elements of our compensation program for named executive officers, material compensation decisions made under that program for fiscal 2025 and the material factors considered in making those decisions. Our named executive officers for the year ended December 31, 2025, which consist of our principal executive officer, our former principal executive officer, our principal financial officer and our other most highly compensated executive officer for fiscal year 2025 (collectively, the “named executive officers” or “NEOs”) are:</w:t>
      </w:r>
    </w:p>
    <w:p>
      <w:pPr>
        <w:spacing w:after="0" w:line="164" w:lineRule="exact"/>
        <w:rPr>
          <w:sz w:val="20"/>
          <w:szCs w:val="20"/>
          <w:color w:val="auto"/>
        </w:rPr>
      </w:pPr>
    </w:p>
    <w:p>
      <w:pPr>
        <w:ind w:left="900" w:hanging="299"/>
        <w:spacing w:after="0"/>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Christopher Young, who serves as Chief Executive Officer and is our principal executive officer;</w:t>
      </w:r>
    </w:p>
    <w:p>
      <w:pPr>
        <w:spacing w:after="0" w:line="202" w:lineRule="exact"/>
        <w:rPr>
          <w:rFonts w:ascii="Times New Roman" w:cs="Times New Roman" w:eastAsia="Times New Roman" w:hAnsi="Times New Roman"/>
          <w:sz w:val="16"/>
          <w:szCs w:val="16"/>
          <w:color w:val="auto"/>
        </w:rPr>
      </w:pPr>
    </w:p>
    <w:p>
      <w:pPr>
        <w:ind w:left="900" w:right="360" w:hanging="299"/>
        <w:spacing w:after="0" w:line="284" w:lineRule="auto"/>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David DeStefano, who served as Chief Executive Officer and was our principal executive officer until his retirement on November 10, 2025;</w:t>
      </w:r>
    </w:p>
    <w:p>
      <w:pPr>
        <w:spacing w:after="0" w:line="143"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John Schwab, who serves as Chief Financial Officer (“CFO”) and is our principal financial officer; and</w:t>
      </w:r>
    </w:p>
    <w:p>
      <w:pPr>
        <w:spacing w:after="0" w:line="202" w:lineRule="exact"/>
        <w:rPr>
          <w:rFonts w:ascii="Times New Roman" w:cs="Times New Roman" w:eastAsia="Times New Roman" w:hAnsi="Times New Roman"/>
          <w:sz w:val="16"/>
          <w:szCs w:val="16"/>
          <w:color w:val="auto"/>
        </w:rPr>
      </w:pPr>
    </w:p>
    <w:p>
      <w:pPr>
        <w:ind w:left="900" w:hanging="299"/>
        <w:spacing w:after="0"/>
        <w:tabs>
          <w:tab w:leader="none" w:pos="9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Bryan Rowland, who serves as Senior Vice President, General Counsel and Secretary.</w:t>
      </w:r>
    </w:p>
    <w:p>
      <w:pPr>
        <w:spacing w:after="0" w:line="20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The roles and responsibilities of the Human Capital Committee and the Board in determining the compensation for our CEO and the other named executive officers is described below in “Determination of Compensation”.</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This discussion may contain forward-looking statements that are based on our current plans, considerations, expectations and determinations regarding future compensation programs. Actual compensation programs that we adopt following this Proxy Statement may differ materially from currently planned programs as summarized in this discussion.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Summary</w:t>
      </w:r>
    </w:p>
    <w:p>
      <w:pPr>
        <w:spacing w:after="0" w:line="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growth of our business and our future success depend on many factors, and our executive compensation program is designed to support long-term value creation by aligning pay with our strategic objectives and corporate and individual performance. The program is intended to reward superior performance, provide appropriate consequences for underperformance, and promote the retention of key leadership talent in a competitive market.</w:t>
      </w:r>
    </w:p>
    <w:p>
      <w:pPr>
        <w:spacing w:after="0" w:line="165" w:lineRule="exact"/>
        <w:rPr>
          <w:sz w:val="20"/>
          <w:szCs w:val="20"/>
          <w:color w:val="auto"/>
        </w:rPr>
      </w:pPr>
    </w:p>
    <w:p>
      <w:pPr>
        <w:jc w:val="both"/>
        <w:spacing w:after="0" w:line="198" w:lineRule="exact"/>
        <w:rPr>
          <w:sz w:val="20"/>
          <w:szCs w:val="20"/>
          <w:color w:val="auto"/>
        </w:rPr>
      </w:pPr>
      <w:r>
        <w:rPr>
          <w:rFonts w:ascii="Times New Roman" w:cs="Times New Roman" w:eastAsia="Times New Roman" w:hAnsi="Times New Roman"/>
          <w:sz w:val="16"/>
          <w:szCs w:val="16"/>
          <w:color w:val="auto"/>
        </w:rPr>
        <w:t>During 2025, the Company experienced a transition in the Chief Executive Officer role following the retirement of Mr. Destefano and the appointment of Mr. Young as CEO in November. As a result, certain compensation elements for Mr. Young reflect his initial year of service and are not expected to recur in future years. In particular, these compensation decisions include one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time and hire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cash bonus and equity awards designed to support recruitment and retention.</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We believe that the compensation of our named executive officers was aligned with the Company’s performance during the year and was consistent with our executive compensation philosophy. Except as described above in connection with the CEO transition, there were no material changes to our executive compensation program in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Executive Compensation Philosophy and Objectives</w:t>
      </w:r>
    </w:p>
    <w:p>
      <w:pPr>
        <w:spacing w:after="0" w:line="2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Our executive compensation program is designed to attract, retain and reward high-caliber leaders who foster high-performing, collaborative teams and are deemed critical to the long-term success of our business. The program seeks to align executive compensation with our short-and long-term objectives, financial performance and stockholder priorities with a strong emphasis on pay-for-performance and long-term value creation. Our compensation objectives are designed to support these goals by:</w:t>
      </w:r>
    </w:p>
    <w:p>
      <w:pPr>
        <w:spacing w:after="0" w:line="163" w:lineRule="exact"/>
        <w:rPr>
          <w:sz w:val="20"/>
          <w:szCs w:val="20"/>
          <w:color w:val="auto"/>
        </w:rPr>
      </w:pPr>
    </w:p>
    <w:p>
      <w:pPr>
        <w:ind w:left="600" w:hanging="288"/>
        <w:spacing w:after="0" w:line="270" w:lineRule="auto"/>
        <w:tabs>
          <w:tab w:leader="none" w:pos="6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competitive compensation opportunities that reward executives for excellence in leadership, driving Company performance, and advancing our strategic priorities, while supporting the retention of key talent in a competitive market; and</w:t>
      </w:r>
    </w:p>
    <w:p>
      <w:pPr>
        <w:ind w:left="600" w:hanging="288"/>
        <w:spacing w:after="0" w:line="208" w:lineRule="exact"/>
        <w:tabs>
          <w:tab w:leader="none" w:pos="6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Aligning executives’ interests with those of our stockholders through a combination of short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and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incentives, with a meaningful portion of total compensation delivered in equity and tied to performance outcomes and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stockholder value.</w:t>
      </w:r>
    </w:p>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In keeping with our role as a publicly held company, we maintain a commitment to strong corporate governance in connection with our named executive officer compensation arrangements where our Human Capital Committee works with management to develop and maintain compensation frameworks that are appropriate and competitive for a public company, including, but not limited to, regularly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reviewing best practices in executive compensation and governance. Our Human Capital Committee works with our independent consultant, AON’s Human Capital Solutions practice, a division of AON plc (“AON”) to formalize our compensation philosophy and implement compensation arrangements that reflect that philosophy.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are highlights of what we do and what we do not do:</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What We Do</w:t>
            </w:r>
          </w:p>
        </w:tc>
        <w:tc>
          <w:tcPr>
            <w:tcW w:w="498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What We Do Not Do</w:t>
            </w:r>
          </w:p>
        </w:tc>
        <w:tc>
          <w:tcPr>
            <w:tcW w:w="0" w:type="dxa"/>
            <w:vAlign w:val="bottom"/>
          </w:tcPr>
          <w:p>
            <w:pPr>
              <w:spacing w:after="0"/>
              <w:rPr>
                <w:sz w:val="1"/>
                <w:szCs w:val="1"/>
                <w:color w:val="auto"/>
              </w:rPr>
            </w:pPr>
          </w:p>
        </w:tc>
      </w:tr>
      <w:tr>
        <w:trPr>
          <w:trHeight w:val="48"/>
        </w:trPr>
        <w:tc>
          <w:tcPr>
            <w:tcW w:w="4940" w:type="dxa"/>
            <w:vAlign w:val="bottom"/>
            <w:gridSpan w:val="2"/>
            <w:vMerge w:val="restart"/>
          </w:tcPr>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Ensure that a significant portion of our executive pay is considered</w:t>
            </w: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ind w:left="60"/>
              <w:spacing w:after="0" w:line="157" w:lineRule="exact"/>
              <w:rPr>
                <w:sz w:val="20"/>
                <w:szCs w:val="20"/>
                <w:color w:val="auto"/>
              </w:rPr>
            </w:pPr>
            <w:r>
              <w:rPr>
                <w:rFonts w:ascii="Times New Roman" w:cs="Times New Roman" w:eastAsia="Times New Roman" w:hAnsi="Times New Roman"/>
                <w:sz w:val="16"/>
                <w:szCs w:val="16"/>
                <w:color w:val="auto"/>
              </w:rPr>
              <w:t>X</w:t>
            </w:r>
          </w:p>
        </w:tc>
        <w:tc>
          <w:tcPr>
            <w:tcW w:w="4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2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performance-based and at-risk.</w:t>
            </w:r>
          </w:p>
        </w:tc>
        <w:tc>
          <w:tcPr>
            <w:tcW w:w="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4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​Grant uncapped cash incentives or guaranteed equity compensation.</w:t>
            </w:r>
          </w:p>
        </w:tc>
        <w:tc>
          <w:tcPr>
            <w:tcW w:w="0" w:type="dxa"/>
            <w:vAlign w:val="bottom"/>
          </w:tcPr>
          <w:p>
            <w:pPr>
              <w:spacing w:after="0"/>
              <w:rPr>
                <w:sz w:val="1"/>
                <w:szCs w:val="1"/>
                <w:color w:val="auto"/>
              </w:rPr>
            </w:pPr>
          </w:p>
        </w:tc>
      </w:tr>
      <w:tr>
        <w:trPr>
          <w:trHeight w:val="169"/>
        </w:trPr>
        <w:tc>
          <w:tcPr>
            <w:tcW w:w="4940" w:type="dxa"/>
            <w:vAlign w:val="bottom"/>
            <w:gridSpan w:val="2"/>
          </w:tcPr>
          <w:p>
            <w:pPr>
              <w:spacing w:after="0" w:line="169"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Issue long-term incentive awards to promote executive retention and</w:t>
            </w:r>
          </w:p>
        </w:tc>
        <w:tc>
          <w:tcPr>
            <w:tcW w:w="120" w:type="dxa"/>
            <w:vAlign w:val="bottom"/>
          </w:tcPr>
          <w:p>
            <w:pPr>
              <w:spacing w:after="0"/>
              <w:rPr>
                <w:sz w:val="14"/>
                <w:szCs w:val="14"/>
                <w:color w:val="auto"/>
              </w:rPr>
            </w:pPr>
          </w:p>
        </w:tc>
        <w:tc>
          <w:tcPr>
            <w:tcW w:w="240" w:type="dxa"/>
            <w:vAlign w:val="bottom"/>
          </w:tcPr>
          <w:p>
            <w:pPr>
              <w:ind w:left="60"/>
              <w:spacing w:after="0" w:line="169" w:lineRule="exact"/>
              <w:rPr>
                <w:sz w:val="20"/>
                <w:szCs w:val="20"/>
                <w:color w:val="auto"/>
              </w:rPr>
            </w:pPr>
            <w:r>
              <w:rPr>
                <w:rFonts w:ascii="Times New Roman" w:cs="Times New Roman" w:eastAsia="Times New Roman" w:hAnsi="Times New Roman"/>
                <w:sz w:val="16"/>
                <w:szCs w:val="16"/>
                <w:color w:val="auto"/>
              </w:rPr>
              <w:t>X</w:t>
            </w:r>
          </w:p>
        </w:tc>
        <w:tc>
          <w:tcPr>
            <w:tcW w:w="4620" w:type="dxa"/>
            <w:vAlign w:val="bottom"/>
          </w:tcPr>
          <w:p>
            <w:pPr>
              <w:ind w:left="100"/>
              <w:spacing w:after="0" w:line="169" w:lineRule="exact"/>
              <w:rPr>
                <w:sz w:val="20"/>
                <w:szCs w:val="20"/>
                <w:color w:val="auto"/>
              </w:rPr>
            </w:pPr>
            <w:r>
              <w:rPr>
                <w:rFonts w:ascii="Times New Roman" w:cs="Times New Roman" w:eastAsia="Times New Roman" w:hAnsi="Times New Roman"/>
                <w:sz w:val="16"/>
                <w:szCs w:val="16"/>
                <w:color w:val="auto"/>
              </w:rPr>
              <w:t>Provide significant perquisites.</w:t>
            </w:r>
          </w:p>
        </w:tc>
        <w:tc>
          <w:tcPr>
            <w:tcW w:w="0" w:type="dxa"/>
            <w:vAlign w:val="bottom"/>
          </w:tcPr>
          <w:p>
            <w:pPr>
              <w:spacing w:after="0"/>
              <w:rPr>
                <w:sz w:val="1"/>
                <w:szCs w:val="1"/>
                <w:color w:val="auto"/>
              </w:rPr>
            </w:pPr>
          </w:p>
        </w:tc>
      </w:tr>
      <w:tr>
        <w:trPr>
          <w:trHeight w:val="161"/>
        </w:trPr>
        <w:tc>
          <w:tcPr>
            <w:tcW w:w="4940" w:type="dxa"/>
            <w:vAlign w:val="bottom"/>
            <w:gridSpan w:val="2"/>
          </w:tcPr>
          <w:p>
            <w:pPr>
              <w:ind w:left="220"/>
              <w:spacing w:after="0" w:line="161" w:lineRule="exact"/>
              <w:rPr>
                <w:sz w:val="20"/>
                <w:szCs w:val="20"/>
                <w:color w:val="auto"/>
              </w:rPr>
            </w:pPr>
            <w:r>
              <w:rPr>
                <w:rFonts w:ascii="Times New Roman" w:cs="Times New Roman" w:eastAsia="Times New Roman" w:hAnsi="Times New Roman"/>
                <w:sz w:val="16"/>
                <w:szCs w:val="16"/>
                <w:color w:val="auto"/>
              </w:rPr>
              <w:t>​reward long-term value creation.</w:t>
            </w:r>
          </w:p>
        </w:tc>
        <w:tc>
          <w:tcPr>
            <w:tcW w:w="360" w:type="dxa"/>
            <w:vAlign w:val="bottom"/>
            <w:gridSpan w:val="2"/>
          </w:tcPr>
          <w:p>
            <w:pPr>
              <w:ind w:left="12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620" w:type="dxa"/>
            <w:vAlign w:val="bottom"/>
          </w:tcPr>
          <w:p>
            <w:pPr>
              <w:ind w:left="80"/>
              <w:spacing w:after="0" w:line="16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8"/>
        </w:trPr>
        <w:tc>
          <w:tcPr>
            <w:tcW w:w="22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20" w:type="dxa"/>
            <w:vAlign w:val="bottom"/>
            <w:vMerge w:val="continue"/>
          </w:tcPr>
          <w:p>
            <w:pPr>
              <w:spacing w:after="0"/>
              <w:rPr>
                <w:sz w:val="14"/>
                <w:szCs w:val="14"/>
                <w:color w:val="auto"/>
              </w:rPr>
            </w:pPr>
          </w:p>
        </w:tc>
        <w:tc>
          <w:tcPr>
            <w:tcW w:w="472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Maintain stock ownership guidelines for our executive officers and</w:t>
            </w:r>
          </w:p>
        </w:tc>
        <w:tc>
          <w:tcPr>
            <w:tcW w:w="120" w:type="dxa"/>
            <w:vAlign w:val="bottom"/>
          </w:tcPr>
          <w:p>
            <w:pPr>
              <w:spacing w:after="0"/>
              <w:rPr>
                <w:sz w:val="14"/>
                <w:szCs w:val="14"/>
                <w:color w:val="auto"/>
              </w:rPr>
            </w:pPr>
          </w:p>
        </w:tc>
        <w:tc>
          <w:tcPr>
            <w:tcW w:w="4860" w:type="dxa"/>
            <w:vAlign w:val="bottom"/>
            <w:gridSpan w:val="2"/>
          </w:tcPr>
          <w:p>
            <w:pPr>
              <w:ind w:left="60"/>
              <w:spacing w:after="0" w:line="168" w:lineRule="exact"/>
              <w:rPr>
                <w:sz w:val="20"/>
                <w:szCs w:val="20"/>
                <w:color w:val="auto"/>
              </w:rPr>
            </w:pPr>
            <w:r>
              <w:rPr>
                <w:rFonts w:ascii="Times New Roman" w:cs="Times New Roman" w:eastAsia="Times New Roman" w:hAnsi="Times New Roman"/>
                <w:sz w:val="16"/>
                <w:szCs w:val="16"/>
                <w:color w:val="auto"/>
              </w:rPr>
              <w:t>X  Provide any compensation-related tax gross-ups.</w:t>
            </w:r>
          </w:p>
        </w:tc>
        <w:tc>
          <w:tcPr>
            <w:tcW w:w="0" w:type="dxa"/>
            <w:vAlign w:val="bottom"/>
          </w:tcPr>
          <w:p>
            <w:pPr>
              <w:spacing w:after="0"/>
              <w:rPr>
                <w:sz w:val="1"/>
                <w:szCs w:val="1"/>
                <w:color w:val="auto"/>
              </w:rPr>
            </w:pPr>
          </w:p>
        </w:tc>
      </w:tr>
      <w:tr>
        <w:trPr>
          <w:trHeight w:val="161"/>
        </w:trPr>
        <w:tc>
          <w:tcPr>
            <w:tcW w:w="4940" w:type="dxa"/>
            <w:vAlign w:val="bottom"/>
            <w:gridSpan w:val="2"/>
          </w:tcPr>
          <w:p>
            <w:pPr>
              <w:ind w:left="220"/>
              <w:spacing w:after="0" w:line="161" w:lineRule="exact"/>
              <w:rPr>
                <w:sz w:val="20"/>
                <w:szCs w:val="20"/>
                <w:color w:val="auto"/>
              </w:rPr>
            </w:pPr>
            <w:r>
              <w:rPr>
                <w:rFonts w:ascii="Times New Roman" w:cs="Times New Roman" w:eastAsia="Times New Roman" w:hAnsi="Times New Roman"/>
                <w:sz w:val="16"/>
                <w:szCs w:val="16"/>
                <w:color w:val="auto"/>
              </w:rPr>
              <w:t>​directors.</w:t>
            </w:r>
          </w:p>
        </w:tc>
        <w:tc>
          <w:tcPr>
            <w:tcW w:w="360" w:type="dxa"/>
            <w:vAlign w:val="bottom"/>
            <w:gridSpan w:val="2"/>
          </w:tcPr>
          <w:p>
            <w:pPr>
              <w:ind w:left="12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620" w:type="dxa"/>
            <w:vAlign w:val="bottom"/>
          </w:tcPr>
          <w:p>
            <w:pPr>
              <w:ind w:left="80"/>
              <w:spacing w:after="0" w:line="16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8"/>
        </w:trPr>
        <w:tc>
          <w:tcPr>
            <w:tcW w:w="22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20" w:type="dxa"/>
            <w:vAlign w:val="bottom"/>
            <w:vMerge w:val="continue"/>
          </w:tcPr>
          <w:p>
            <w:pPr>
              <w:spacing w:after="0"/>
              <w:rPr>
                <w:sz w:val="14"/>
                <w:szCs w:val="14"/>
                <w:color w:val="auto"/>
              </w:rPr>
            </w:pPr>
          </w:p>
        </w:tc>
        <w:tc>
          <w:tcPr>
            <w:tcW w:w="472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Engaged an independent compensation consultant to advise our Human</w:t>
            </w:r>
          </w:p>
        </w:tc>
        <w:tc>
          <w:tcPr>
            <w:tcW w:w="120" w:type="dxa"/>
            <w:vAlign w:val="bottom"/>
          </w:tcPr>
          <w:p>
            <w:pPr>
              <w:spacing w:after="0"/>
              <w:rPr>
                <w:sz w:val="14"/>
                <w:szCs w:val="14"/>
                <w:color w:val="auto"/>
              </w:rPr>
            </w:pPr>
          </w:p>
        </w:tc>
        <w:tc>
          <w:tcPr>
            <w:tcW w:w="4860" w:type="dxa"/>
            <w:vAlign w:val="bottom"/>
            <w:gridSpan w:val="2"/>
          </w:tcPr>
          <w:p>
            <w:pPr>
              <w:ind w:left="60"/>
              <w:spacing w:after="0" w:line="168" w:lineRule="exact"/>
              <w:rPr>
                <w:sz w:val="20"/>
                <w:szCs w:val="20"/>
                <w:color w:val="auto"/>
              </w:rPr>
            </w:pPr>
            <w:r>
              <w:rPr>
                <w:rFonts w:ascii="Times New Roman" w:cs="Times New Roman" w:eastAsia="Times New Roman" w:hAnsi="Times New Roman"/>
                <w:sz w:val="16"/>
                <w:szCs w:val="16"/>
                <w:color w:val="auto"/>
              </w:rPr>
              <w:t>X  Reprice our stock option awards and our equity incentive plan</w:t>
            </w:r>
          </w:p>
        </w:tc>
        <w:tc>
          <w:tcPr>
            <w:tcW w:w="0" w:type="dxa"/>
            <w:vAlign w:val="bottom"/>
          </w:tcPr>
          <w:p>
            <w:pPr>
              <w:spacing w:after="0"/>
              <w:rPr>
                <w:sz w:val="1"/>
                <w:szCs w:val="1"/>
                <w:color w:val="auto"/>
              </w:rPr>
            </w:pPr>
          </w:p>
        </w:tc>
      </w:tr>
      <w:tr>
        <w:trPr>
          <w:trHeight w:val="193"/>
        </w:trPr>
        <w:tc>
          <w:tcPr>
            <w:tcW w:w="220" w:type="dxa"/>
            <w:vAlign w:val="bottom"/>
          </w:tcPr>
          <w:p>
            <w:pPr>
              <w:spacing w:after="0"/>
              <w:rPr>
                <w:sz w:val="16"/>
                <w:szCs w:val="16"/>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Capital Committee and perform a risk assessment on executive</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expressly forbids exchanging underwater options for cash without</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arrangements.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stockholder approval.</w:t>
            </w:r>
          </w:p>
        </w:tc>
        <w:tc>
          <w:tcPr>
            <w:tcW w:w="0" w:type="dxa"/>
            <w:vAlign w:val="bottom"/>
          </w:tcPr>
          <w:p>
            <w:pPr>
              <w:spacing w:after="0"/>
              <w:rPr>
                <w:sz w:val="1"/>
                <w:szCs w:val="1"/>
                <w:color w:val="auto"/>
              </w:rPr>
            </w:pPr>
          </w:p>
        </w:tc>
      </w:tr>
      <w:tr>
        <w:trPr>
          <w:trHeight w:val="161"/>
        </w:trPr>
        <w:tc>
          <w:tcPr>
            <w:tcW w:w="4940" w:type="dxa"/>
            <w:vAlign w:val="bottom"/>
            <w:gridSpan w:val="2"/>
          </w:tcPr>
          <w:p>
            <w:pPr>
              <w:ind w:left="220"/>
              <w:spacing w:after="0" w:line="161"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ind w:left="120"/>
              <w:spacing w:after="0" w:line="161" w:lineRule="exact"/>
              <w:rPr>
                <w:sz w:val="20"/>
                <w:szCs w:val="20"/>
                <w:color w:val="auto"/>
              </w:rPr>
            </w:pPr>
            <w:r>
              <w:rPr>
                <w:rFonts w:ascii="Times New Roman" w:cs="Times New Roman" w:eastAsia="Times New Roman" w:hAnsi="Times New Roman"/>
                <w:sz w:val="16"/>
                <w:szCs w:val="16"/>
                <w:color w:val="auto"/>
              </w:rPr>
              <w:t>​</w:t>
            </w:r>
          </w:p>
        </w:tc>
        <w:tc>
          <w:tcPr>
            <w:tcW w:w="4620" w:type="dxa"/>
            <w:vAlign w:val="bottom"/>
          </w:tcPr>
          <w:p>
            <w:pPr>
              <w:ind w:left="80"/>
              <w:spacing w:after="0" w:line="16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8"/>
        </w:trPr>
        <w:tc>
          <w:tcPr>
            <w:tcW w:w="22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0" w:type="dxa"/>
            <w:vAlign w:val="bottom"/>
            <w:vMerge w:val="continue"/>
          </w:tcPr>
          <w:p>
            <w:pPr>
              <w:spacing w:after="0"/>
              <w:rPr>
                <w:sz w:val="16"/>
                <w:szCs w:val="16"/>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Maintain an anti-hedging/anti-pledging/Insider Trading Compliance</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Policy governing all employees and directors.</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-1684655</wp:posOffset>
            </wp:positionV>
            <wp:extent cx="6304280" cy="16776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04280" cy="167767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Stockholder Advisory Vote on Executive Compensation</w:t>
      </w:r>
    </w:p>
    <w:p>
      <w:pPr>
        <w:spacing w:after="0" w:line="2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In 2024, our stockholders approved the Company’s advisory vote on executive compensation (say-on-pay) with approximately 99% of the votes cast in favor of the proposal. At the same meeting, stockholders approved holding the say-on-pay vote once every three years.</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In making compensation decisions for 2025, the Human Capital Committee considered the results of this most recent say-on-pay vote. The Committee viewed the strong level of stockholder support as an affirmation that the Company’s executive compensation philosophy, program design, and pay-for-performance alignment continue to effectively support our business objectives. Accordingly, the Committee did not make material changes to the executive compensation program.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next advisory vote on executive compensation will occur at the Company’s 2027 annual meeting of stockholders.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Determination of Compensation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Role of Board /Human Capital Committee/Executive Officers</w:t>
      </w:r>
    </w:p>
    <w:p>
      <w:pPr>
        <w:spacing w:after="0" w:line="2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During fiscal 2025, the Board oversaw the design and administration of our executive compensation program for our Chief Executive Officer, while the Human Capital Committee oversaw the compensation program for our other named executive officers.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In making its compensation decisions, the Human Capital Committee, composed entirely of independent directors, considered market data, and advice from AON, its independent compensation consultant. The Committee also evaluated a range of qualitative and quantitative factors, including each executive’s experience and scope of responsibilities, competitive market practices, Company performance, and business conditions.</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CEO made recommendations to the Board and the Human Capital Committee to assist in determining fiscal 2025 compensation levels (except with respect to his compensation). While the Board and the Human Capital Committee utilized this information, the Committee retains full discretion to depart from the CEO recommendations. The ultimate decisions regarding fiscal 2025 executive compensation were made by the Board and the Human Capital Committee in its own independent judgment.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Role of Compensation Consultant</w:t>
      </w:r>
    </w:p>
    <w:p>
      <w:pPr>
        <w:spacing w:after="0" w:line="2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When making compensation decisions in fiscal 2025, our Human Capital Committee considered advice and data provided by AON, who is engaged by and reports directly to the Committee, for guidance regarding our executive compensation program and how our compensation practices compare to the compensation practices of other peer companies. The Human Capital Committee analyzed a comparative framework of external market data comprised of both specific peers in the software and services industry with similar business and financial profiles as us, as well as size-appropriate comparisons in the software product services and technology industry as well as broader market survey data. The Human Capital Committee analyzed the public company market and survey data for executive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compensation as a general indicator and reference point of relevant market conditions and pay practices, focusing on revenue, market capitalization, industry and talent competitors, and does not seek to benchmark total compensation or any specific element of compensation. In particular, the Human Capital Committee reviewed compensation data from the following peer group as a reference source, developed in consultation with AON:</w:t>
      </w:r>
    </w:p>
    <w:p>
      <w:pPr>
        <w:spacing w:after="0" w:line="140" w:lineRule="exact"/>
        <w:rPr>
          <w:sz w:val="20"/>
          <w:szCs w:val="20"/>
          <w:color w:val="auto"/>
        </w:rPr>
      </w:pPr>
    </w:p>
    <w:tbl>
      <w:tblPr>
        <w:tblLayout w:type="fixed"/>
        <w:tblInd w:w="850" w:type="dxa"/>
        <w:tblCellMar>
          <w:top w:w="0" w:type="dxa"/>
          <w:left w:w="0" w:type="dxa"/>
          <w:bottom w:w="0" w:type="dxa"/>
          <w:right w:w="0" w:type="dxa"/>
        </w:tblCellMar>
      </w:tblPr>
      <w:tr>
        <w:trPr>
          <w:trHeight w:val="225"/>
        </w:trPr>
        <w:tc>
          <w:tcPr>
            <w:tcW w:w="41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ACI Worldwide Inc.</w:t>
            </w:r>
          </w:p>
        </w:tc>
        <w:tc>
          <w:tcPr>
            <w:tcW w:w="41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Elastic N.V.</w:t>
            </w:r>
          </w:p>
        </w:tc>
      </w:tr>
      <w:tr>
        <w:trPr>
          <w:trHeight w:val="209"/>
        </w:trPr>
        <w:tc>
          <w:tcPr>
            <w:tcW w:w="4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Alarm.com Holdings Inc.</w:t>
            </w:r>
          </w:p>
        </w:tc>
        <w:tc>
          <w:tcPr>
            <w:tcW w:w="4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Five9 Inc.</w:t>
            </w:r>
          </w:p>
        </w:tc>
      </w:tr>
      <w:tr>
        <w:trPr>
          <w:trHeight w:val="209"/>
        </w:trPr>
        <w:tc>
          <w:tcPr>
            <w:tcW w:w="4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Alkami Technology Inc.</w:t>
            </w:r>
          </w:p>
        </w:tc>
        <w:tc>
          <w:tcPr>
            <w:tcW w:w="4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Intapp</w:t>
            </w:r>
          </w:p>
        </w:tc>
      </w:tr>
      <w:tr>
        <w:trPr>
          <w:trHeight w:val="209"/>
        </w:trPr>
        <w:tc>
          <w:tcPr>
            <w:tcW w:w="4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Altair Engineering Inc.</w:t>
            </w:r>
          </w:p>
        </w:tc>
        <w:tc>
          <w:tcPr>
            <w:tcW w:w="4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Manhattan Associates Inc.</w:t>
            </w:r>
          </w:p>
        </w:tc>
      </w:tr>
      <w:tr>
        <w:trPr>
          <w:trHeight w:val="209"/>
        </w:trPr>
        <w:tc>
          <w:tcPr>
            <w:tcW w:w="4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AppFolio Inc.</w:t>
            </w:r>
          </w:p>
        </w:tc>
        <w:tc>
          <w:tcPr>
            <w:tcW w:w="4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MeridianLink Inc.</w:t>
            </w:r>
          </w:p>
        </w:tc>
      </w:tr>
      <w:tr>
        <w:trPr>
          <w:trHeight w:val="209"/>
        </w:trPr>
        <w:tc>
          <w:tcPr>
            <w:tcW w:w="4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Aspen Technology Inc.</w:t>
            </w:r>
          </w:p>
        </w:tc>
        <w:tc>
          <w:tcPr>
            <w:tcW w:w="4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nCino</w:t>
            </w:r>
          </w:p>
        </w:tc>
      </w:tr>
      <w:tr>
        <w:trPr>
          <w:trHeight w:val="217"/>
        </w:trPr>
        <w:tc>
          <w:tcPr>
            <w:tcW w:w="4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BILL</w:t>
            </w:r>
          </w:p>
        </w:tc>
        <w:tc>
          <w:tcPr>
            <w:tcW w:w="4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Pegasystems Inc.</w:t>
            </w:r>
          </w:p>
        </w:tc>
      </w:tr>
      <w:tr>
        <w:trPr>
          <w:trHeight w:val="221"/>
        </w:trPr>
        <w:tc>
          <w:tcPr>
            <w:tcW w:w="4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Blackbaud Inc.</w:t>
            </w:r>
          </w:p>
        </w:tc>
        <w:tc>
          <w:tcPr>
            <w:tcW w:w="4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Q2 Holdings Inc.</w:t>
            </w:r>
          </w:p>
        </w:tc>
      </w:tr>
      <w:tr>
        <w:trPr>
          <w:trHeight w:val="221"/>
        </w:trPr>
        <w:tc>
          <w:tcPr>
            <w:tcW w:w="4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BlackLine Inc.</w:t>
            </w:r>
          </w:p>
        </w:tc>
        <w:tc>
          <w:tcPr>
            <w:tcW w:w="4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Smartsheet Inc.</w:t>
            </w:r>
          </w:p>
        </w:tc>
      </w:tr>
      <w:tr>
        <w:trPr>
          <w:trHeight w:val="221"/>
        </w:trPr>
        <w:tc>
          <w:tcPr>
            <w:tcW w:w="4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Box Inc.</w:t>
            </w:r>
          </w:p>
        </w:tc>
        <w:tc>
          <w:tcPr>
            <w:tcW w:w="4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SPS Commerce</w:t>
            </w:r>
          </w:p>
        </w:tc>
      </w:tr>
      <w:tr>
        <w:trPr>
          <w:trHeight w:val="221"/>
        </w:trPr>
        <w:tc>
          <w:tcPr>
            <w:tcW w:w="4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Clearwater Analytics Holdings Inc.</w:t>
            </w:r>
          </w:p>
        </w:tc>
        <w:tc>
          <w:tcPr>
            <w:tcW w:w="4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Workiva Inc</w:t>
            </w:r>
          </w:p>
        </w:tc>
      </w:tr>
      <w:tr>
        <w:trPr>
          <w:trHeight w:val="221"/>
        </w:trPr>
        <w:tc>
          <w:tcPr>
            <w:tcW w:w="4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Commvault Systems Inc.</w:t>
            </w:r>
          </w:p>
        </w:tc>
        <w:tc>
          <w:tcPr>
            <w:tcW w:w="4120" w:type="dxa"/>
            <w:vAlign w:val="bottom"/>
            <w:tcBorders>
              <w:bottom w:val="single" w:sz="8" w:color="auto"/>
              <w:right w:val="single" w:sz="8" w:color="auto"/>
            </w:tcBorders>
          </w:tcPr>
          <w:p>
            <w:pPr>
              <w:spacing w:after="0"/>
              <w:rPr>
                <w:sz w:val="19"/>
                <w:szCs w:val="19"/>
                <w:color w:val="auto"/>
              </w:rPr>
            </w:pPr>
          </w:p>
        </w:tc>
      </w:tr>
    </w:tbl>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This peer group was adjusted from the peer group used for fiscal 2024 compensation decisions to remove Alteryx and Everbridge due to each being acquired as well as MicroStrategy and Yext based on their market capitalization compared to Vertex. BILL, Intapp, nCino, and SPS Commerce were added based on industry, business focus, and financial criteria including market capitalization and revenue.</w:t>
      </w:r>
    </w:p>
    <w:p>
      <w:pPr>
        <w:spacing w:after="0" w:line="15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The Human Capital Committee reviewed our named executive officer compensation against this peer group along with broader market survey data to ensure that our named executive officer compensation is competitive and sufficient to recruit and retain our named executive officers.</w:t>
      </w:r>
    </w:p>
    <w:p>
      <w:pPr>
        <w:spacing w:after="0" w:line="1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The Human Capital Committee has evaluated AON’s independence pursuant to the requirements of Nasdaq and SEC rules and has determined that AON does not have any conflicts of interest in advising the Board.</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Our Human Capital Committee expects to periodically review and update this peer group and to utilize AON for benchmarking certain levels of executive compensation, obtaining a general understanding of current compensation practices, and peer group analysis in determining and developing compensation packages for our named executive officers.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Elements of Our Executive Compensation Program</w:t>
      </w:r>
    </w:p>
    <w:p>
      <w:pPr>
        <w:spacing w:after="0" w:line="2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Our executive compensation program consists of the following elements, each established as part of our program in order to achieve the compensation objectives specified below:</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tbl>
      <w:tblPr>
        <w:tblLayout w:type="fixed"/>
        <w:tblInd w:w="850" w:type="dxa"/>
        <w:tblCellMar>
          <w:top w:w="0" w:type="dxa"/>
          <w:left w:w="0" w:type="dxa"/>
          <w:bottom w:w="0" w:type="dxa"/>
          <w:right w:w="0" w:type="dxa"/>
        </w:tblCellMar>
      </w:tblPr>
      <w:tr>
        <w:trPr>
          <w:trHeight w:val="187"/>
        </w:trPr>
        <w:tc>
          <w:tcPr>
            <w:tcW w:w="4160" w:type="dxa"/>
            <w:vAlign w:val="bottom"/>
            <w:tcBorders>
              <w:top w:val="single" w:sz="8" w:color="auto"/>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Compensation Element</w:t>
            </w:r>
          </w:p>
        </w:tc>
        <w:tc>
          <w:tcPr>
            <w:tcW w:w="4120" w:type="dxa"/>
            <w:vAlign w:val="bottom"/>
            <w:tcBorders>
              <w:top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Compensation Objectives Designed to be Achieved and</w:t>
            </w:r>
          </w:p>
        </w:tc>
      </w:tr>
      <w:tr>
        <w:trPr>
          <w:trHeight w:val="211"/>
        </w:trPr>
        <w:tc>
          <w:tcPr>
            <w:tcW w:w="416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412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Key Features</w:t>
            </w:r>
          </w:p>
        </w:tc>
      </w:tr>
      <w:tr>
        <w:trPr>
          <w:trHeight w:val="169"/>
        </w:trPr>
        <w:tc>
          <w:tcPr>
            <w:tcW w:w="416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6"/>
                <w:szCs w:val="16"/>
                <w:color w:val="auto"/>
              </w:rPr>
              <w:t>Base Salary</w:t>
            </w:r>
          </w:p>
        </w:tc>
        <w:tc>
          <w:tcPr>
            <w:tcW w:w="412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6"/>
                <w:szCs w:val="16"/>
                <w:color w:val="auto"/>
              </w:rPr>
              <w:t>Attract and retain key talent by providing base cash</w:t>
            </w:r>
          </w:p>
        </w:tc>
      </w:tr>
      <w:tr>
        <w:trPr>
          <w:trHeight w:val="209"/>
        </w:trPr>
        <w:tc>
          <w:tcPr>
            <w:tcW w:w="4160" w:type="dxa"/>
            <w:vAlign w:val="bottom"/>
            <w:tcBorders>
              <w:left w:val="single" w:sz="8" w:color="auto"/>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compensation at competitive levels</w:t>
            </w:r>
          </w:p>
        </w:tc>
      </w:tr>
      <w:tr>
        <w:trPr>
          <w:trHeight w:val="169"/>
        </w:trPr>
        <w:tc>
          <w:tcPr>
            <w:tcW w:w="416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6"/>
                <w:szCs w:val="16"/>
                <w:color w:val="auto"/>
              </w:rPr>
              <w:t>Cash-Based Incentive Compensation</w:t>
            </w:r>
          </w:p>
        </w:tc>
        <w:tc>
          <w:tcPr>
            <w:tcW w:w="412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6"/>
                <w:szCs w:val="16"/>
                <w:color w:val="auto"/>
              </w:rPr>
              <w:t>Provides short-term incentives based on annual performance</w:t>
            </w:r>
          </w:p>
        </w:tc>
      </w:tr>
      <w:tr>
        <w:trPr>
          <w:trHeight w:val="209"/>
        </w:trPr>
        <w:tc>
          <w:tcPr>
            <w:tcW w:w="4160" w:type="dxa"/>
            <w:vAlign w:val="bottom"/>
            <w:tcBorders>
              <w:left w:val="single" w:sz="8" w:color="auto"/>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and achievement of specified strategic goals</w:t>
            </w:r>
          </w:p>
        </w:tc>
      </w:tr>
      <w:tr>
        <w:trPr>
          <w:trHeight w:val="169"/>
        </w:trPr>
        <w:tc>
          <w:tcPr>
            <w:tcW w:w="416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6"/>
                <w:szCs w:val="16"/>
                <w:color w:val="auto"/>
              </w:rPr>
              <w:t>Equity-Based Compensation</w:t>
            </w:r>
          </w:p>
        </w:tc>
        <w:tc>
          <w:tcPr>
            <w:tcW w:w="412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6"/>
                <w:szCs w:val="16"/>
                <w:color w:val="auto"/>
              </w:rPr>
              <w:t>Provides long-term incentives to drive financial and</w:t>
            </w:r>
          </w:p>
        </w:tc>
      </w:tr>
      <w:tr>
        <w:trPr>
          <w:trHeight w:val="209"/>
        </w:trPr>
        <w:tc>
          <w:tcPr>
            <w:tcW w:w="4160" w:type="dxa"/>
            <w:vAlign w:val="bottom"/>
            <w:tcBorders>
              <w:left w:val="single" w:sz="8" w:color="auto"/>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operational performance and stockholder value creation</w:t>
            </w:r>
          </w:p>
        </w:tc>
      </w:tr>
      <w:tr>
        <w:trPr>
          <w:trHeight w:val="169"/>
        </w:trPr>
        <w:tc>
          <w:tcPr>
            <w:tcW w:w="416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6"/>
                <w:szCs w:val="16"/>
                <w:color w:val="auto"/>
              </w:rPr>
              <w:t>Other Employee Benefits</w:t>
            </w:r>
          </w:p>
        </w:tc>
        <w:tc>
          <w:tcPr>
            <w:tcW w:w="412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6"/>
                <w:szCs w:val="16"/>
                <w:color w:val="auto"/>
              </w:rPr>
              <w:t>Attract and retain key talent by providing a competitive</w:t>
            </w:r>
          </w:p>
        </w:tc>
      </w:tr>
      <w:tr>
        <w:trPr>
          <w:trHeight w:val="209"/>
        </w:trPr>
        <w:tc>
          <w:tcPr>
            <w:tcW w:w="4160" w:type="dxa"/>
            <w:vAlign w:val="bottom"/>
            <w:tcBorders>
              <w:left w:val="single" w:sz="8" w:color="auto"/>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benefits package</w:t>
            </w:r>
          </w:p>
        </w:tc>
      </w:tr>
      <w:tr>
        <w:trPr>
          <w:trHeight w:val="169"/>
        </w:trPr>
        <w:tc>
          <w:tcPr>
            <w:tcW w:w="416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6"/>
                <w:szCs w:val="16"/>
                <w:color w:val="auto"/>
              </w:rPr>
              <w:t>Severance and Other Benefits Potentially Payable upon</w:t>
            </w:r>
          </w:p>
        </w:tc>
        <w:tc>
          <w:tcPr>
            <w:tcW w:w="412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6"/>
                <w:szCs w:val="16"/>
                <w:color w:val="auto"/>
              </w:rPr>
              <w:t>We have entered into employment agreements with each of</w:t>
            </w:r>
          </w:p>
        </w:tc>
      </w:tr>
      <w:tr>
        <w:trPr>
          <w:trHeight w:val="193"/>
        </w:trPr>
        <w:tc>
          <w:tcPr>
            <w:tcW w:w="41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Termination of Employment</w:t>
            </w:r>
          </w:p>
        </w:tc>
        <w:tc>
          <w:tcPr>
            <w:tcW w:w="4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our named executive officers that provide for severance</w:t>
            </w:r>
          </w:p>
        </w:tc>
      </w:tr>
      <w:tr>
        <w:trPr>
          <w:trHeight w:val="193"/>
        </w:trPr>
        <w:tc>
          <w:tcPr>
            <w:tcW w:w="4160" w:type="dxa"/>
            <w:vAlign w:val="bottom"/>
            <w:tcBorders>
              <w:left w:val="single" w:sz="8" w:color="auto"/>
              <w:right w:val="single" w:sz="8" w:color="auto"/>
            </w:tcBorders>
          </w:tcPr>
          <w:p>
            <w:pPr>
              <w:spacing w:after="0"/>
              <w:rPr>
                <w:sz w:val="16"/>
                <w:szCs w:val="16"/>
                <w:color w:val="auto"/>
              </w:rPr>
            </w:pPr>
          </w:p>
        </w:tc>
        <w:tc>
          <w:tcPr>
            <w:tcW w:w="4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payments and benefits under certain circumstances to help in</w:t>
            </w:r>
          </w:p>
        </w:tc>
      </w:tr>
      <w:tr>
        <w:trPr>
          <w:trHeight w:val="193"/>
        </w:trPr>
        <w:tc>
          <w:tcPr>
            <w:tcW w:w="4160" w:type="dxa"/>
            <w:vAlign w:val="bottom"/>
            <w:tcBorders>
              <w:left w:val="single" w:sz="8" w:color="auto"/>
              <w:right w:val="single" w:sz="8" w:color="auto"/>
            </w:tcBorders>
          </w:tcPr>
          <w:p>
            <w:pPr>
              <w:spacing w:after="0"/>
              <w:rPr>
                <w:sz w:val="16"/>
                <w:szCs w:val="16"/>
                <w:color w:val="auto"/>
              </w:rPr>
            </w:pPr>
          </w:p>
        </w:tc>
        <w:tc>
          <w:tcPr>
            <w:tcW w:w="4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facilitating leadership transitions, remaining competitive in</w:t>
            </w:r>
          </w:p>
        </w:tc>
      </w:tr>
      <w:tr>
        <w:trPr>
          <w:trHeight w:val="193"/>
        </w:trPr>
        <w:tc>
          <w:tcPr>
            <w:tcW w:w="4160" w:type="dxa"/>
            <w:vAlign w:val="bottom"/>
            <w:tcBorders>
              <w:left w:val="single" w:sz="8" w:color="auto"/>
              <w:right w:val="single" w:sz="8" w:color="auto"/>
            </w:tcBorders>
          </w:tcPr>
          <w:p>
            <w:pPr>
              <w:spacing w:after="0"/>
              <w:rPr>
                <w:sz w:val="16"/>
                <w:szCs w:val="16"/>
                <w:color w:val="auto"/>
              </w:rPr>
            </w:pPr>
          </w:p>
        </w:tc>
        <w:tc>
          <w:tcPr>
            <w:tcW w:w="4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recruiting executives, and keeping management neutral to</w:t>
            </w:r>
          </w:p>
        </w:tc>
      </w:tr>
      <w:tr>
        <w:trPr>
          <w:trHeight w:val="209"/>
        </w:trPr>
        <w:tc>
          <w:tcPr>
            <w:tcW w:w="4160" w:type="dxa"/>
            <w:vAlign w:val="bottom"/>
            <w:tcBorders>
              <w:left w:val="single" w:sz="8" w:color="auto"/>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potential transactions</w:t>
            </w: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Base Salaries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base salaries of our named executive officers are an important component of their total compensation and are intended to reflect their respective roles, responsibilities, and scope of authority. Base salary represents a fixed and stable element of our compensation program and is designed to provide predictable cash compensation that supports executive retention and reflects sustained contributions to the Company.</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Initial base salary levels for our named executive officers are established based on a review of competitive market data and are informed by several factors, including the executive’s experience, leadership capabilities, scope of responsibility, and the business conditions and expectations applicable at the time of hire. In addition, base salary decisions may reflect individual performance, changes in role or responsibilities, and time in role.</w:t>
      </w:r>
    </w:p>
    <w:p>
      <w:pPr>
        <w:spacing w:after="0" w:line="168" w:lineRule="exact"/>
        <w:rPr>
          <w:sz w:val="20"/>
          <w:szCs w:val="20"/>
          <w:color w:val="auto"/>
        </w:rPr>
      </w:pPr>
    </w:p>
    <w:p>
      <w:pPr>
        <w:jc w:val="both"/>
        <w:spacing w:after="0" w:line="207" w:lineRule="exact"/>
        <w:rPr>
          <w:sz w:val="20"/>
          <w:szCs w:val="20"/>
          <w:color w:val="auto"/>
        </w:rPr>
      </w:pPr>
      <w:r>
        <w:rPr>
          <w:rFonts w:ascii="Times New Roman" w:cs="Times New Roman" w:eastAsia="Times New Roman" w:hAnsi="Times New Roman"/>
          <w:sz w:val="16"/>
          <w:szCs w:val="16"/>
          <w:color w:val="auto"/>
        </w:rPr>
        <w:t>The Human Capital Committee periodically reviews the base salaries of our named executive officers and considers competitive market practices, generally referencing the median (50th percentile) base salary levels for comparable positions within our peer group. In circumstances where comparable roles are not represented within the peer group, the Committee may also consider broader market survey data. Market data serves as one of several reference points in the Committee’s decision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making process in determining annual base salaries for our named executive officers.</w:t>
      </w:r>
    </w:p>
    <w:p>
      <w:pPr>
        <w:spacing w:after="0" w:line="1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In early 2025, the Human Capital Committee approved base salary increases for our NEOs up to 3%, including 2.5% for Mr. DeStefano, as set forth in the table below. Mr. Young’s base salary was negotiated in connection with his commencement of employment with us in November 2025. We intend to continue to evaluate the mix of base salary, short-term incentive compensation, and long-term incentive compensation to appropriately align the interests of our named executive officers with those of our stockholders.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0" w:type="dxa"/>
            <w:vAlign w:val="bottom"/>
            <w:tcBorders>
              <w:right w:val="single" w:sz="8" w:color="auto"/>
            </w:tcBorders>
          </w:tcPr>
          <w:p>
            <w:pPr>
              <w:spacing w:after="0"/>
              <w:rPr>
                <w:sz w:val="19"/>
                <w:szCs w:val="19"/>
                <w:color w:val="auto"/>
              </w:rPr>
            </w:pPr>
          </w:p>
        </w:tc>
        <w:tc>
          <w:tcPr>
            <w:tcW w:w="4460" w:type="dxa"/>
            <w:vAlign w:val="bottom"/>
            <w:tcBorders>
              <w:top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380" w:type="dxa"/>
            <w:vAlign w:val="bottom"/>
            <w:tcBorders>
              <w:top w:val="single" w:sz="8" w:color="auto"/>
              <w:bottom w:val="single" w:sz="8" w:color="auto"/>
              <w:right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 Increase</w:t>
            </w:r>
          </w:p>
        </w:tc>
        <w:tc>
          <w:tcPr>
            <w:tcW w:w="1680" w:type="dxa"/>
            <w:vAlign w:val="bottom"/>
            <w:tcBorders>
              <w:top w:val="single" w:sz="8" w:color="auto"/>
              <w:bottom w:val="single" w:sz="8" w:color="auto"/>
              <w:right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2025 Salary ($)</w:t>
            </w:r>
          </w:p>
        </w:tc>
        <w:tc>
          <w:tcPr>
            <w:tcW w:w="1560" w:type="dxa"/>
            <w:vAlign w:val="bottom"/>
            <w:tcBorders>
              <w:top w:val="single" w:sz="8" w:color="auto"/>
              <w:bottom w:val="single" w:sz="8" w:color="auto"/>
              <w:right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2024 Salary ($)</w:t>
            </w:r>
          </w:p>
        </w:tc>
        <w:tc>
          <w:tcPr>
            <w:tcW w:w="400" w:type="dxa"/>
            <w:vAlign w:val="bottom"/>
          </w:tcPr>
          <w:p>
            <w:pPr>
              <w:spacing w:after="0"/>
              <w:rPr>
                <w:sz w:val="19"/>
                <w:szCs w:val="19"/>
                <w:color w:val="auto"/>
              </w:rPr>
            </w:pPr>
          </w:p>
        </w:tc>
      </w:tr>
      <w:tr>
        <w:trPr>
          <w:trHeight w:val="208"/>
        </w:trPr>
        <w:tc>
          <w:tcPr>
            <w:tcW w:w="440" w:type="dxa"/>
            <w:vAlign w:val="bottom"/>
            <w:tcBorders>
              <w:right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Christopher Young</w:t>
            </w:r>
          </w:p>
        </w:tc>
        <w:tc>
          <w:tcPr>
            <w:tcW w:w="13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n/a</w:t>
            </w:r>
          </w:p>
        </w:tc>
        <w:tc>
          <w:tcPr>
            <w:tcW w:w="16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$700,000</w:t>
            </w:r>
          </w:p>
        </w:tc>
        <w:tc>
          <w:tcPr>
            <w:tcW w:w="15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n/a</w:t>
            </w:r>
          </w:p>
        </w:tc>
        <w:tc>
          <w:tcPr>
            <w:tcW w:w="400" w:type="dxa"/>
            <w:vAlign w:val="bottom"/>
          </w:tcPr>
          <w:p>
            <w:pPr>
              <w:spacing w:after="0"/>
              <w:rPr>
                <w:sz w:val="18"/>
                <w:szCs w:val="18"/>
                <w:color w:val="auto"/>
              </w:rPr>
            </w:pPr>
          </w:p>
        </w:tc>
      </w:tr>
      <w:tr>
        <w:trPr>
          <w:trHeight w:val="209"/>
        </w:trPr>
        <w:tc>
          <w:tcPr>
            <w:tcW w:w="440" w:type="dxa"/>
            <w:vAlign w:val="bottom"/>
            <w:tcBorders>
              <w:right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David DeStefano</w:t>
            </w:r>
          </w:p>
        </w:tc>
        <w:tc>
          <w:tcPr>
            <w:tcW w:w="13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16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$625,000</w:t>
            </w:r>
          </w:p>
        </w:tc>
        <w:tc>
          <w:tcPr>
            <w:tcW w:w="15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$610,000</w:t>
            </w:r>
          </w:p>
        </w:tc>
        <w:tc>
          <w:tcPr>
            <w:tcW w:w="400" w:type="dxa"/>
            <w:vAlign w:val="bottom"/>
          </w:tcPr>
          <w:p>
            <w:pPr>
              <w:spacing w:after="0"/>
              <w:rPr>
                <w:sz w:val="18"/>
                <w:szCs w:val="18"/>
                <w:color w:val="auto"/>
              </w:rPr>
            </w:pPr>
          </w:p>
        </w:tc>
      </w:tr>
      <w:tr>
        <w:trPr>
          <w:trHeight w:val="209"/>
        </w:trPr>
        <w:tc>
          <w:tcPr>
            <w:tcW w:w="440" w:type="dxa"/>
            <w:vAlign w:val="bottom"/>
            <w:tcBorders>
              <w:right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John Schwab</w:t>
            </w:r>
          </w:p>
        </w:tc>
        <w:tc>
          <w:tcPr>
            <w:tcW w:w="13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6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$481,000</w:t>
            </w:r>
          </w:p>
        </w:tc>
        <w:tc>
          <w:tcPr>
            <w:tcW w:w="15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$481,000</w:t>
            </w:r>
          </w:p>
        </w:tc>
        <w:tc>
          <w:tcPr>
            <w:tcW w:w="400" w:type="dxa"/>
            <w:vAlign w:val="bottom"/>
          </w:tcPr>
          <w:p>
            <w:pPr>
              <w:spacing w:after="0"/>
              <w:rPr>
                <w:sz w:val="18"/>
                <w:szCs w:val="18"/>
                <w:color w:val="auto"/>
              </w:rPr>
            </w:pPr>
          </w:p>
        </w:tc>
      </w:tr>
      <w:tr>
        <w:trPr>
          <w:trHeight w:val="209"/>
        </w:trPr>
        <w:tc>
          <w:tcPr>
            <w:tcW w:w="440" w:type="dxa"/>
            <w:vAlign w:val="bottom"/>
            <w:tcBorders>
              <w:right w:val="single" w:sz="8" w:color="auto"/>
            </w:tcBorders>
          </w:tcPr>
          <w:p>
            <w:pPr>
              <w:spacing w:after="0"/>
              <w:rPr>
                <w:sz w:val="18"/>
                <w:szCs w:val="18"/>
                <w:color w:val="auto"/>
              </w:rPr>
            </w:pPr>
          </w:p>
        </w:tc>
        <w:tc>
          <w:tcPr>
            <w:tcW w:w="4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Bryan Rowland</w:t>
            </w:r>
          </w:p>
        </w:tc>
        <w:tc>
          <w:tcPr>
            <w:tcW w:w="13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6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$360,500</w:t>
            </w:r>
          </w:p>
        </w:tc>
        <w:tc>
          <w:tcPr>
            <w:tcW w:w="15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$350,000</w:t>
            </w:r>
          </w:p>
        </w:tc>
        <w:tc>
          <w:tcPr>
            <w:tcW w:w="400" w:type="dxa"/>
            <w:vAlign w:val="bottom"/>
          </w:tcPr>
          <w:p>
            <w:pPr>
              <w:spacing w:after="0"/>
              <w:rPr>
                <w:sz w:val="18"/>
                <w:szCs w:val="18"/>
                <w:color w:val="auto"/>
              </w:rPr>
            </w:pPr>
          </w:p>
        </w:tc>
      </w:tr>
      <w:tr>
        <w:trPr>
          <w:trHeight w:val="768"/>
        </w:trPr>
        <w:tc>
          <w:tcPr>
            <w:tcW w:w="4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380" w:type="dxa"/>
            <w:vAlign w:val="bottom"/>
          </w:tcPr>
          <w:p>
            <w:pPr>
              <w:jc w:val="right"/>
              <w:ind w:right="1160"/>
              <w:spacing w:after="0"/>
              <w:rPr>
                <w:sz w:val="20"/>
                <w:szCs w:val="20"/>
                <w:color w:val="auto"/>
              </w:rPr>
            </w:pPr>
            <w:r>
              <w:rPr>
                <w:rFonts w:ascii="Times New Roman" w:cs="Times New Roman" w:eastAsia="Times New Roman" w:hAnsi="Times New Roman"/>
                <w:sz w:val="16"/>
                <w:szCs w:val="16"/>
                <w:color w:val="auto"/>
                <w:w w:val="74"/>
              </w:rPr>
              <w:t>22</w:t>
            </w: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99"/>
        </w:trPr>
        <w:tc>
          <w:tcPr>
            <w:tcW w:w="4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7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Cash-Based Incentive Compensation</w:t>
      </w:r>
    </w:p>
    <w:p>
      <w:pPr>
        <w:spacing w:after="0" w:line="29" w:lineRule="exact"/>
        <w:rPr>
          <w:sz w:val="20"/>
          <w:szCs w:val="20"/>
          <w:color w:val="auto"/>
        </w:rPr>
      </w:pPr>
    </w:p>
    <w:p>
      <w:pPr>
        <w:jc w:val="both"/>
        <w:spacing w:after="0" w:line="194" w:lineRule="exact"/>
        <w:rPr>
          <w:sz w:val="20"/>
          <w:szCs w:val="20"/>
          <w:color w:val="auto"/>
        </w:rPr>
      </w:pPr>
      <w:r>
        <w:rPr>
          <w:rFonts w:ascii="Times New Roman" w:cs="Times New Roman" w:eastAsia="Times New Roman" w:hAnsi="Times New Roman"/>
          <w:sz w:val="16"/>
          <w:szCs w:val="16"/>
          <w:color w:val="auto"/>
        </w:rPr>
        <w:t>We maintain an annual cash incentive program, the “Vertex Organizational Bonus Plan”, (“VOB Plan”) designed to motivate and reward employees, including our named executive officers, for the achievement of key Company performance objectives and, for Mr. Rowland, individual contributions that support our business strategy. The VOB Plan is a variable, at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risk component of our executive compensation program and is intended to reinforce pay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for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performance alignment by linking a significant portion of total cash compensation to Company results.</w:t>
      </w:r>
    </w:p>
    <w:p>
      <w:pPr>
        <w:spacing w:after="0" w:line="173" w:lineRule="exact"/>
        <w:rPr>
          <w:sz w:val="20"/>
          <w:szCs w:val="20"/>
          <w:color w:val="auto"/>
        </w:rPr>
      </w:pPr>
    </w:p>
    <w:p>
      <w:pPr>
        <w:jc w:val="both"/>
        <w:spacing w:after="0" w:line="198" w:lineRule="exact"/>
        <w:rPr>
          <w:sz w:val="20"/>
          <w:szCs w:val="20"/>
          <w:color w:val="auto"/>
        </w:rPr>
      </w:pPr>
      <w:r>
        <w:rPr>
          <w:rFonts w:ascii="Times New Roman" w:cs="Times New Roman" w:eastAsia="Times New Roman" w:hAnsi="Times New Roman"/>
          <w:sz w:val="16"/>
          <w:szCs w:val="16"/>
          <w:color w:val="auto"/>
        </w:rPr>
        <w:t>Under the VOB Plan, our named executive officers are eligible to earn annual cash bonuses based on their respective target bonus opportunities and the extent to which pre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established Company performance goals are achieved. For Mr. Rowland only, bonus determinations also take into account individual performance objectives. Company performance goals include a combination of financial and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financial metrics that the Human Capital Committee believes are meaningful indicators of progress against our strategic priorities.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named executive officers’ fiscal year 2025 target annual bonus opportunities, expressed as a percentage of base salary, are set forth below.</w:t>
      </w:r>
    </w:p>
    <w:p>
      <w:pPr>
        <w:spacing w:after="0" w:line="199" w:lineRule="exact"/>
        <w:rPr>
          <w:sz w:val="20"/>
          <w:szCs w:val="20"/>
          <w:color w:val="auto"/>
        </w:rPr>
      </w:pPr>
    </w:p>
    <w:tbl>
      <w:tblPr>
        <w:tblLayout w:type="fixed"/>
        <w:tblInd w:w="1390" w:type="dxa"/>
        <w:tblCellMar>
          <w:top w:w="0" w:type="dxa"/>
          <w:left w:w="0" w:type="dxa"/>
          <w:bottom w:w="0" w:type="dxa"/>
          <w:right w:w="0" w:type="dxa"/>
        </w:tblCellMar>
      </w:tblPr>
      <w:tr>
        <w:trPr>
          <w:trHeight w:val="226"/>
        </w:trPr>
        <w:tc>
          <w:tcPr>
            <w:tcW w:w="5460" w:type="dxa"/>
            <w:vAlign w:val="bottom"/>
            <w:tcBorders>
              <w:top w:val="single" w:sz="8" w:color="auto"/>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1740" w:type="dxa"/>
            <w:vAlign w:val="bottom"/>
            <w:tcBorders>
              <w:top w:val="single" w:sz="8" w:color="auto"/>
              <w:bottom w:val="single" w:sz="8" w:color="auto"/>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Target Percentage</w:t>
            </w:r>
          </w:p>
        </w:tc>
      </w:tr>
      <w:tr>
        <w:trPr>
          <w:trHeight w:val="208"/>
        </w:trPr>
        <w:tc>
          <w:tcPr>
            <w:tcW w:w="5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David DeStefano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w:t>
            </w:r>
          </w:p>
        </w:tc>
      </w:tr>
      <w:tr>
        <w:trPr>
          <w:trHeight w:val="209"/>
        </w:trPr>
        <w:tc>
          <w:tcPr>
            <w:tcW w:w="5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John Schwab</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70%</w:t>
            </w:r>
          </w:p>
        </w:tc>
      </w:tr>
      <w:tr>
        <w:trPr>
          <w:trHeight w:val="209"/>
        </w:trPr>
        <w:tc>
          <w:tcPr>
            <w:tcW w:w="5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Bryan Rowland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40%</w:t>
            </w:r>
          </w:p>
        </w:tc>
      </w:tr>
    </w:tbl>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For 2025, corporate performance was comprised of two sets of measures – financial performance and non-financial performance. Financial performance accounted for 90% of the corporate performance bonus opportunity and was based on achievements relative to our three most important financial metrics (revenue, pre-tax net income and adjusted cash from operations) against the annual budgeted amounts for the year. Achievement against certain non-financial targets accounted for the remaining 10% of the corporate performance bonus opportunity for each of our named executive officers and generally related to the achievement of key strategic objectives, as described below.</w:t>
      </w:r>
    </w:p>
    <w:p>
      <w:pPr>
        <w:spacing w:after="0" w:line="1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Financial performance metrics were set early in 2025 at threshold, target and high levels and results are interpolated between these levels. The percentage of target earned for each performance level is as follows: threshold (25%), target (100%), and maximum (200%). There is no bonus earned for a particular metric if performance is below threshold, and budgeted pre-tax net income must be achieved at a minimum of 85% before any payment is available under the VOB Plan. If this minimum performance threshold is not achieved, there will be no bonus payment from the VOB Plan, irrespective of individual performance achievement or other financial objective achievement. Bonuses are capped at the maximum level.</w:t>
      </w:r>
    </w:p>
    <w:p>
      <w:pPr>
        <w:spacing w:after="0" w:line="16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The chart below shows corporate performance metrics for 2025 at the threshold, target, and maximum levels (with respect to the financial metrics) as well as the Company’s actual results for 2025, which were determined by the Human Capital Committee in February 2026.</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29" w:name="page30"/>
    <w:bookmarkEnd w:id="29"/>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330200</wp:posOffset>
            </wp:positionV>
            <wp:extent cx="5798820" cy="22752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98820" cy="227520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422" w:type="dxa"/>
        <w:tblCellMar>
          <w:top w:w="0" w:type="dxa"/>
          <w:left w:w="0" w:type="dxa"/>
          <w:bottom w:w="0" w:type="dxa"/>
          <w:right w:w="0" w:type="dxa"/>
        </w:tblCellMar>
      </w:tblPr>
      <w:tr>
        <w:trPr>
          <w:trHeight w:val="187"/>
        </w:trPr>
        <w:tc>
          <w:tcPr>
            <w:tcW w:w="1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38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Weighting</w:t>
            </w:r>
          </w:p>
        </w:tc>
        <w:tc>
          <w:tcPr>
            <w:tcW w:w="1600" w:type="dxa"/>
            <w:vAlign w:val="bottom"/>
            <w:shd w:val="clear" w:color="auto" w:fill="CCEEFF"/>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9"/>
              </w:rPr>
              <w:t>Threshold</w:t>
            </w:r>
          </w:p>
        </w:tc>
        <w:tc>
          <w:tcPr>
            <w:tcW w:w="154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5"/>
              </w:rPr>
              <w:t>Target</w:t>
            </w:r>
          </w:p>
        </w:tc>
        <w:tc>
          <w:tcPr>
            <w:tcW w:w="1480" w:type="dxa"/>
            <w:vAlign w:val="bottom"/>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8"/>
              </w:rPr>
              <w:t>Maximum</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20" w:type="dxa"/>
            <w:vAlign w:val="bottom"/>
          </w:tcPr>
          <w:p>
            <w:pPr>
              <w:spacing w:after="0"/>
              <w:rPr>
                <w:sz w:val="16"/>
                <w:szCs w:val="16"/>
                <w:color w:val="auto"/>
              </w:rPr>
            </w:pPr>
          </w:p>
        </w:tc>
      </w:tr>
      <w:tr>
        <w:trPr>
          <w:trHeight w:val="193"/>
        </w:trPr>
        <w:tc>
          <w:tcPr>
            <w:tcW w:w="1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Metric</w:t>
            </w:r>
          </w:p>
        </w:tc>
        <w:tc>
          <w:tcPr>
            <w:tcW w:w="1380" w:type="dxa"/>
            <w:vAlign w:val="bottom"/>
            <w:shd w:val="clear" w:color="auto" w:fill="CCEEFF"/>
          </w:tcPr>
          <w:p>
            <w:pPr>
              <w:spacing w:after="0"/>
              <w:rPr>
                <w:sz w:val="16"/>
                <w:szCs w:val="16"/>
                <w:color w:val="auto"/>
              </w:rPr>
            </w:pPr>
          </w:p>
        </w:tc>
        <w:tc>
          <w:tcPr>
            <w:tcW w:w="1600" w:type="dxa"/>
            <w:vAlign w:val="bottom"/>
            <w:shd w:val="clear" w:color="auto" w:fill="CCEEFF"/>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54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8"/>
              </w:rPr>
              <w:t>Performance</w:t>
            </w:r>
          </w:p>
        </w:tc>
        <w:tc>
          <w:tcPr>
            <w:tcW w:w="1480" w:type="dxa"/>
            <w:vAlign w:val="bottom"/>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Performance vs</w:t>
            </w:r>
          </w:p>
        </w:tc>
        <w:tc>
          <w:tcPr>
            <w:tcW w:w="20" w:type="dxa"/>
            <w:vAlign w:val="bottom"/>
          </w:tcPr>
          <w:p>
            <w:pPr>
              <w:spacing w:after="0"/>
              <w:rPr>
                <w:sz w:val="16"/>
                <w:szCs w:val="16"/>
                <w:color w:val="auto"/>
              </w:rPr>
            </w:pPr>
          </w:p>
        </w:tc>
      </w:tr>
      <w:tr>
        <w:trPr>
          <w:trHeight w:val="195"/>
        </w:trPr>
        <w:tc>
          <w:tcPr>
            <w:tcW w:w="16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600" w:type="dxa"/>
            <w:vAlign w:val="bottom"/>
            <w:shd w:val="clear" w:color="auto" w:fill="CCEEFF"/>
          </w:tcPr>
          <w:p>
            <w:pPr>
              <w:jc w:val="center"/>
              <w:ind w:right="161"/>
              <w:spacing w:after="0"/>
              <w:rPr>
                <w:sz w:val="20"/>
                <w:szCs w:val="20"/>
                <w:color w:val="auto"/>
              </w:rPr>
            </w:pPr>
            <w:r>
              <w:rPr>
                <w:rFonts w:ascii="Times New Roman" w:cs="Times New Roman" w:eastAsia="Times New Roman" w:hAnsi="Times New Roman"/>
                <w:sz w:val="14"/>
                <w:szCs w:val="14"/>
                <w:color w:val="auto"/>
              </w:rPr>
              <w:t>(in millions)</w:t>
            </w:r>
          </w:p>
        </w:tc>
        <w:tc>
          <w:tcPr>
            <w:tcW w:w="154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4"/>
                <w:szCs w:val="14"/>
                <w:color w:val="auto"/>
              </w:rPr>
              <w:t>(in millions)</w:t>
            </w:r>
          </w:p>
        </w:tc>
        <w:tc>
          <w:tcPr>
            <w:tcW w:w="1480" w:type="dxa"/>
            <w:vAlign w:val="bottom"/>
            <w:shd w:val="clear" w:color="auto" w:fill="CCEEFF"/>
          </w:tcPr>
          <w:p>
            <w:pPr>
              <w:jc w:val="center"/>
              <w:ind w:right="81"/>
              <w:spacing w:after="0"/>
              <w:rPr>
                <w:sz w:val="20"/>
                <w:szCs w:val="20"/>
                <w:color w:val="auto"/>
              </w:rPr>
            </w:pPr>
            <w:r>
              <w:rPr>
                <w:rFonts w:ascii="Times New Roman" w:cs="Times New Roman" w:eastAsia="Times New Roman" w:hAnsi="Times New Roman"/>
                <w:sz w:val="14"/>
                <w:szCs w:val="14"/>
                <w:color w:val="auto"/>
              </w:rPr>
              <w:t>(in millions)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Target</w:t>
            </w:r>
          </w:p>
        </w:tc>
        <w:tc>
          <w:tcPr>
            <w:tcW w:w="20" w:type="dxa"/>
            <w:vAlign w:val="bottom"/>
          </w:tcPr>
          <w:p>
            <w:pPr>
              <w:spacing w:after="0"/>
              <w:rPr>
                <w:sz w:val="16"/>
                <w:szCs w:val="16"/>
                <w:color w:val="auto"/>
              </w:rPr>
            </w:pPr>
          </w:p>
        </w:tc>
      </w:tr>
      <w:tr>
        <w:trPr>
          <w:trHeight w:val="209"/>
        </w:trPr>
        <w:tc>
          <w:tcPr>
            <w:tcW w:w="16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Achievement %</w:t>
            </w:r>
          </w:p>
        </w:tc>
        <w:tc>
          <w:tcPr>
            <w:tcW w:w="20" w:type="dxa"/>
            <w:vAlign w:val="bottom"/>
          </w:tcPr>
          <w:p>
            <w:pPr>
              <w:spacing w:after="0"/>
              <w:rPr>
                <w:sz w:val="18"/>
                <w:szCs w:val="18"/>
                <w:color w:val="auto"/>
              </w:rPr>
            </w:pPr>
          </w:p>
        </w:tc>
      </w:tr>
      <w:tr>
        <w:trPr>
          <w:trHeight w:val="193"/>
        </w:trPr>
        <w:tc>
          <w:tcPr>
            <w:tcW w:w="16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5"/>
        </w:trPr>
        <w:tc>
          <w:tcPr>
            <w:tcW w:w="1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Revenue</w:t>
            </w:r>
          </w:p>
        </w:tc>
        <w:tc>
          <w:tcPr>
            <w:tcW w:w="13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30%</w:t>
            </w:r>
          </w:p>
        </w:tc>
        <w:tc>
          <w:tcPr>
            <w:tcW w:w="16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$650.3</w:t>
            </w:r>
          </w:p>
        </w:tc>
        <w:tc>
          <w:tcPr>
            <w:tcW w:w="15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$765.0</w:t>
            </w:r>
          </w:p>
        </w:tc>
        <w:tc>
          <w:tcPr>
            <w:tcW w:w="14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$1,530</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97.77%</w:t>
            </w:r>
          </w:p>
        </w:tc>
        <w:tc>
          <w:tcPr>
            <w:tcW w:w="20" w:type="dxa"/>
            <w:vAlign w:val="bottom"/>
            <w:tcBorders>
              <w:bottom w:val="single" w:sz="8" w:color="auto"/>
            </w:tcBorders>
          </w:tcPr>
          <w:p>
            <w:pPr>
              <w:spacing w:after="0"/>
              <w:rPr>
                <w:sz w:val="16"/>
                <w:szCs w:val="16"/>
                <w:color w:val="auto"/>
              </w:rPr>
            </w:pPr>
          </w:p>
        </w:tc>
      </w:tr>
      <w:tr>
        <w:trPr>
          <w:trHeight w:val="169"/>
        </w:trPr>
        <w:tc>
          <w:tcPr>
            <w:tcW w:w="1640" w:type="dxa"/>
            <w:vAlign w:val="bottom"/>
          </w:tcPr>
          <w:p>
            <w:pPr>
              <w:ind w:left="80"/>
              <w:spacing w:after="0" w:line="168" w:lineRule="exact"/>
              <w:rPr>
                <w:sz w:val="20"/>
                <w:szCs w:val="20"/>
                <w:color w:val="auto"/>
              </w:rPr>
            </w:pPr>
            <w:r>
              <w:rPr>
                <w:rFonts w:ascii="Times New Roman" w:cs="Times New Roman" w:eastAsia="Times New Roman" w:hAnsi="Times New Roman"/>
                <w:sz w:val="16"/>
                <w:szCs w:val="16"/>
                <w:color w:val="auto"/>
              </w:rPr>
              <w:t>Pre-Tax Net Income</w:t>
            </w:r>
          </w:p>
        </w:tc>
        <w:tc>
          <w:tcPr>
            <w:tcW w:w="1380" w:type="dxa"/>
            <w:vAlign w:val="bottom"/>
          </w:tcPr>
          <w:p>
            <w:pPr>
              <w:jc w:val="right"/>
              <w:ind w:right="160"/>
              <w:spacing w:after="0" w:line="168" w:lineRule="exact"/>
              <w:rPr>
                <w:sz w:val="20"/>
                <w:szCs w:val="20"/>
                <w:color w:val="auto"/>
              </w:rPr>
            </w:pPr>
            <w:r>
              <w:rPr>
                <w:rFonts w:ascii="Times New Roman" w:cs="Times New Roman" w:eastAsia="Times New Roman" w:hAnsi="Times New Roman"/>
                <w:sz w:val="16"/>
                <w:szCs w:val="16"/>
                <w:color w:val="auto"/>
              </w:rPr>
              <w:t>30%</w:t>
            </w:r>
          </w:p>
        </w:tc>
        <w:tc>
          <w:tcPr>
            <w:tcW w:w="1600" w:type="dxa"/>
            <w:vAlign w:val="bottom"/>
          </w:tcPr>
          <w:p>
            <w:pPr>
              <w:jc w:val="right"/>
              <w:ind w:right="121"/>
              <w:spacing w:after="0" w:line="168" w:lineRule="exact"/>
              <w:rPr>
                <w:sz w:val="20"/>
                <w:szCs w:val="20"/>
                <w:color w:val="auto"/>
              </w:rPr>
            </w:pPr>
            <w:r>
              <w:rPr>
                <w:rFonts w:ascii="Times New Roman" w:cs="Times New Roman" w:eastAsia="Times New Roman" w:hAnsi="Times New Roman"/>
                <w:sz w:val="16"/>
                <w:szCs w:val="16"/>
                <w:color w:val="auto"/>
              </w:rPr>
              <w:t>$91.6</w:t>
            </w:r>
          </w:p>
        </w:tc>
        <w:tc>
          <w:tcPr>
            <w:tcW w:w="1540" w:type="dxa"/>
            <w:vAlign w:val="bottom"/>
          </w:tcPr>
          <w:p>
            <w:pPr>
              <w:jc w:val="right"/>
              <w:ind w:right="121"/>
              <w:spacing w:after="0" w:line="168" w:lineRule="exact"/>
              <w:rPr>
                <w:sz w:val="20"/>
                <w:szCs w:val="20"/>
                <w:color w:val="auto"/>
              </w:rPr>
            </w:pPr>
            <w:r>
              <w:rPr>
                <w:rFonts w:ascii="Times New Roman" w:cs="Times New Roman" w:eastAsia="Times New Roman" w:hAnsi="Times New Roman"/>
                <w:sz w:val="16"/>
                <w:szCs w:val="16"/>
                <w:color w:val="auto"/>
              </w:rPr>
              <w:t>$107.8</w:t>
            </w:r>
          </w:p>
        </w:tc>
        <w:tc>
          <w:tcPr>
            <w:tcW w:w="1480" w:type="dxa"/>
            <w:vAlign w:val="bottom"/>
          </w:tcPr>
          <w:p>
            <w:pPr>
              <w:jc w:val="right"/>
              <w:ind w:right="81"/>
              <w:spacing w:after="0" w:line="168" w:lineRule="exact"/>
              <w:rPr>
                <w:sz w:val="20"/>
                <w:szCs w:val="20"/>
                <w:color w:val="auto"/>
              </w:rPr>
            </w:pPr>
            <w:r>
              <w:rPr>
                <w:rFonts w:ascii="Times New Roman" w:cs="Times New Roman" w:eastAsia="Times New Roman" w:hAnsi="Times New Roman"/>
                <w:sz w:val="16"/>
                <w:szCs w:val="16"/>
                <w:color w:val="auto"/>
              </w:rPr>
              <w:t>$215.6</w:t>
            </w:r>
          </w:p>
        </w:tc>
        <w:tc>
          <w:tcPr>
            <w:tcW w:w="14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90.76%</w:t>
            </w:r>
          </w:p>
        </w:tc>
        <w:tc>
          <w:tcPr>
            <w:tcW w:w="20" w:type="dxa"/>
            <w:vAlign w:val="bottom"/>
          </w:tcPr>
          <w:p>
            <w:pPr>
              <w:spacing w:after="0"/>
              <w:rPr>
                <w:sz w:val="14"/>
                <w:szCs w:val="14"/>
                <w:color w:val="auto"/>
              </w:rPr>
            </w:pPr>
          </w:p>
        </w:tc>
      </w:tr>
      <w:tr>
        <w:trPr>
          <w:trHeight w:val="209"/>
        </w:trPr>
        <w:tc>
          <w:tcPr>
            <w:tcW w:w="1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(1)</w:t>
            </w:r>
          </w:p>
        </w:tc>
        <w:tc>
          <w:tcPr>
            <w:tcW w:w="13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69"/>
        </w:trPr>
        <w:tc>
          <w:tcPr>
            <w:tcW w:w="1640" w:type="dxa"/>
            <w:vAlign w:val="bottom"/>
          </w:tcPr>
          <w:p>
            <w:pPr>
              <w:ind w:left="80"/>
              <w:spacing w:after="0" w:line="169" w:lineRule="exact"/>
              <w:rPr>
                <w:sz w:val="20"/>
                <w:szCs w:val="20"/>
                <w:color w:val="auto"/>
              </w:rPr>
            </w:pPr>
            <w:r>
              <w:rPr>
                <w:rFonts w:ascii="Times New Roman" w:cs="Times New Roman" w:eastAsia="Times New Roman" w:hAnsi="Times New Roman"/>
                <w:sz w:val="16"/>
                <w:szCs w:val="16"/>
                <w:color w:val="auto"/>
              </w:rPr>
              <w:t>Adjusted Cash From</w:t>
            </w:r>
          </w:p>
        </w:tc>
        <w:tc>
          <w:tcPr>
            <w:tcW w:w="1380" w:type="dxa"/>
            <w:vAlign w:val="bottom"/>
          </w:tcPr>
          <w:p>
            <w:pPr>
              <w:jc w:val="right"/>
              <w:ind w:right="160"/>
              <w:spacing w:after="0" w:line="169" w:lineRule="exact"/>
              <w:rPr>
                <w:sz w:val="20"/>
                <w:szCs w:val="20"/>
                <w:color w:val="auto"/>
              </w:rPr>
            </w:pPr>
            <w:r>
              <w:rPr>
                <w:rFonts w:ascii="Times New Roman" w:cs="Times New Roman" w:eastAsia="Times New Roman" w:hAnsi="Times New Roman"/>
                <w:sz w:val="16"/>
                <w:szCs w:val="16"/>
                <w:color w:val="auto"/>
              </w:rPr>
              <w:t>30%</w:t>
            </w:r>
          </w:p>
        </w:tc>
        <w:tc>
          <w:tcPr>
            <w:tcW w:w="1600" w:type="dxa"/>
            <w:vAlign w:val="bottom"/>
          </w:tcPr>
          <w:p>
            <w:pPr>
              <w:jc w:val="right"/>
              <w:ind w:right="121"/>
              <w:spacing w:after="0" w:line="169" w:lineRule="exact"/>
              <w:rPr>
                <w:sz w:val="20"/>
                <w:szCs w:val="20"/>
                <w:color w:val="auto"/>
              </w:rPr>
            </w:pPr>
            <w:r>
              <w:rPr>
                <w:rFonts w:ascii="Times New Roman" w:cs="Times New Roman" w:eastAsia="Times New Roman" w:hAnsi="Times New Roman"/>
                <w:sz w:val="16"/>
                <w:szCs w:val="16"/>
                <w:color w:val="auto"/>
              </w:rPr>
              <w:t>$69.1</w:t>
            </w:r>
          </w:p>
        </w:tc>
        <w:tc>
          <w:tcPr>
            <w:tcW w:w="1540" w:type="dxa"/>
            <w:vAlign w:val="bottom"/>
          </w:tcPr>
          <w:p>
            <w:pPr>
              <w:jc w:val="right"/>
              <w:ind w:right="121"/>
              <w:spacing w:after="0" w:line="169" w:lineRule="exact"/>
              <w:rPr>
                <w:sz w:val="20"/>
                <w:szCs w:val="20"/>
                <w:color w:val="auto"/>
              </w:rPr>
            </w:pPr>
            <w:r>
              <w:rPr>
                <w:rFonts w:ascii="Times New Roman" w:cs="Times New Roman" w:eastAsia="Times New Roman" w:hAnsi="Times New Roman"/>
                <w:sz w:val="16"/>
                <w:szCs w:val="16"/>
                <w:color w:val="auto"/>
              </w:rPr>
              <w:t>$81.3</w:t>
            </w:r>
          </w:p>
        </w:tc>
        <w:tc>
          <w:tcPr>
            <w:tcW w:w="1480" w:type="dxa"/>
            <w:vAlign w:val="bottom"/>
          </w:tcPr>
          <w:p>
            <w:pPr>
              <w:jc w:val="right"/>
              <w:ind w:right="81"/>
              <w:spacing w:after="0" w:line="169" w:lineRule="exact"/>
              <w:rPr>
                <w:sz w:val="20"/>
                <w:szCs w:val="20"/>
                <w:color w:val="auto"/>
              </w:rPr>
            </w:pPr>
            <w:r>
              <w:rPr>
                <w:rFonts w:ascii="Times New Roman" w:cs="Times New Roman" w:eastAsia="Times New Roman" w:hAnsi="Times New Roman"/>
                <w:sz w:val="16"/>
                <w:szCs w:val="16"/>
                <w:color w:val="auto"/>
              </w:rPr>
              <w:t>$162.6</w:t>
            </w: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94.95%</w:t>
            </w:r>
          </w:p>
        </w:tc>
        <w:tc>
          <w:tcPr>
            <w:tcW w:w="20" w:type="dxa"/>
            <w:vAlign w:val="bottom"/>
          </w:tcPr>
          <w:p>
            <w:pPr>
              <w:spacing w:after="0"/>
              <w:rPr>
                <w:sz w:val="14"/>
                <w:szCs w:val="14"/>
                <w:color w:val="auto"/>
              </w:rPr>
            </w:pPr>
          </w:p>
        </w:tc>
      </w:tr>
      <w:tr>
        <w:trPr>
          <w:trHeight w:val="209"/>
        </w:trPr>
        <w:tc>
          <w:tcPr>
            <w:tcW w:w="1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Operations (1)</w:t>
            </w:r>
          </w:p>
        </w:tc>
        <w:tc>
          <w:tcPr>
            <w:tcW w:w="13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69"/>
        </w:trPr>
        <w:tc>
          <w:tcPr>
            <w:tcW w:w="1640" w:type="dxa"/>
            <w:vAlign w:val="bottom"/>
          </w:tcPr>
          <w:p>
            <w:pPr>
              <w:ind w:left="80"/>
              <w:spacing w:after="0" w:line="169" w:lineRule="exact"/>
              <w:rPr>
                <w:sz w:val="20"/>
                <w:szCs w:val="20"/>
                <w:color w:val="auto"/>
              </w:rPr>
            </w:pPr>
            <w:r>
              <w:rPr>
                <w:rFonts w:ascii="Times New Roman" w:cs="Times New Roman" w:eastAsia="Times New Roman" w:hAnsi="Times New Roman"/>
                <w:sz w:val="16"/>
                <w:szCs w:val="16"/>
                <w:color w:val="auto"/>
              </w:rPr>
              <w:t>Non-Financial</w:t>
            </w:r>
          </w:p>
        </w:tc>
        <w:tc>
          <w:tcPr>
            <w:tcW w:w="1380" w:type="dxa"/>
            <w:vAlign w:val="bottom"/>
          </w:tcPr>
          <w:p>
            <w:pPr>
              <w:jc w:val="right"/>
              <w:ind w:right="160"/>
              <w:spacing w:after="0" w:line="169" w:lineRule="exact"/>
              <w:rPr>
                <w:sz w:val="20"/>
                <w:szCs w:val="20"/>
                <w:color w:val="auto"/>
              </w:rPr>
            </w:pPr>
            <w:r>
              <w:rPr>
                <w:rFonts w:ascii="Times New Roman" w:cs="Times New Roman" w:eastAsia="Times New Roman" w:hAnsi="Times New Roman"/>
                <w:sz w:val="16"/>
                <w:szCs w:val="16"/>
                <w:color w:val="auto"/>
              </w:rPr>
              <w:t>10%</w:t>
            </w:r>
          </w:p>
        </w:tc>
        <w:tc>
          <w:tcPr>
            <w:tcW w:w="1600" w:type="dxa"/>
            <w:vAlign w:val="bottom"/>
          </w:tcPr>
          <w:p>
            <w:pPr>
              <w:jc w:val="right"/>
              <w:ind w:right="121"/>
              <w:spacing w:after="0" w:line="169"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121"/>
              <w:spacing w:after="0" w:line="169" w:lineRule="exact"/>
              <w:rPr>
                <w:sz w:val="20"/>
                <w:szCs w:val="20"/>
                <w:color w:val="auto"/>
              </w:rPr>
            </w:pPr>
            <w:r>
              <w:rPr>
                <w:rFonts w:ascii="Times New Roman" w:cs="Times New Roman" w:eastAsia="Times New Roman" w:hAnsi="Times New Roman"/>
                <w:sz w:val="16"/>
                <w:szCs w:val="16"/>
                <w:color w:val="auto"/>
              </w:rPr>
              <w:t>100%</w:t>
            </w:r>
          </w:p>
        </w:tc>
        <w:tc>
          <w:tcPr>
            <w:tcW w:w="1480" w:type="dxa"/>
            <w:vAlign w:val="bottom"/>
          </w:tcPr>
          <w:p>
            <w:pPr>
              <w:jc w:val="right"/>
              <w:ind w:right="81"/>
              <w:spacing w:after="0" w:line="169"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75%</w:t>
            </w:r>
          </w:p>
        </w:tc>
        <w:tc>
          <w:tcPr>
            <w:tcW w:w="20" w:type="dxa"/>
            <w:vAlign w:val="bottom"/>
          </w:tcPr>
          <w:p>
            <w:pPr>
              <w:spacing w:after="0"/>
              <w:rPr>
                <w:sz w:val="14"/>
                <w:szCs w:val="14"/>
                <w:color w:val="auto"/>
              </w:rPr>
            </w:pPr>
          </w:p>
        </w:tc>
      </w:tr>
      <w:tr>
        <w:trPr>
          <w:trHeight w:val="209"/>
        </w:trPr>
        <w:tc>
          <w:tcPr>
            <w:tcW w:w="1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Targets:</w:t>
            </w:r>
          </w:p>
        </w:tc>
        <w:tc>
          <w:tcPr>
            <w:tcW w:w="1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3"/>
        </w:trPr>
        <w:tc>
          <w:tcPr>
            <w:tcW w:w="16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69"/>
        </w:trPr>
        <w:tc>
          <w:tcPr>
            <w:tcW w:w="1640" w:type="dxa"/>
            <w:vAlign w:val="bottom"/>
          </w:tcPr>
          <w:p>
            <w:pPr>
              <w:ind w:left="320"/>
              <w:spacing w:after="0" w:line="168" w:lineRule="exact"/>
              <w:rPr>
                <w:sz w:val="20"/>
                <w:szCs w:val="20"/>
                <w:color w:val="auto"/>
              </w:rPr>
            </w:pPr>
            <w:r>
              <w:rPr>
                <w:rFonts w:ascii="Times New Roman" w:cs="Times New Roman" w:eastAsia="Times New Roman" w:hAnsi="Times New Roman"/>
                <w:sz w:val="16"/>
                <w:szCs w:val="16"/>
                <w:color w:val="auto"/>
              </w:rPr>
              <w:t>Legacy Product</w:t>
            </w:r>
          </w:p>
        </w:tc>
        <w:tc>
          <w:tcPr>
            <w:tcW w:w="1380" w:type="dxa"/>
            <w:vAlign w:val="bottom"/>
          </w:tcPr>
          <w:p>
            <w:pPr>
              <w:jc w:val="right"/>
              <w:ind w:right="160"/>
              <w:spacing w:after="0" w:line="168" w:lineRule="exact"/>
              <w:rPr>
                <w:sz w:val="20"/>
                <w:szCs w:val="20"/>
                <w:color w:val="auto"/>
              </w:rPr>
            </w:pPr>
            <w:r>
              <w:rPr>
                <w:rFonts w:ascii="Times New Roman" w:cs="Times New Roman" w:eastAsia="Times New Roman" w:hAnsi="Times New Roman"/>
                <w:sz w:val="16"/>
                <w:szCs w:val="16"/>
                <w:color w:val="auto"/>
              </w:rPr>
              <w:t>2.5%</w:t>
            </w:r>
          </w:p>
        </w:tc>
        <w:tc>
          <w:tcPr>
            <w:tcW w:w="1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4"/>
                <w:szCs w:val="14"/>
                <w:color w:val="auto"/>
              </w:rPr>
            </w:pPr>
          </w:p>
        </w:tc>
      </w:tr>
      <w:tr>
        <w:trPr>
          <w:trHeight w:val="209"/>
        </w:trPr>
        <w:tc>
          <w:tcPr>
            <w:tcW w:w="16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Migration</w:t>
            </w:r>
          </w:p>
        </w:tc>
        <w:tc>
          <w:tcPr>
            <w:tcW w:w="13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69"/>
        </w:trPr>
        <w:tc>
          <w:tcPr>
            <w:tcW w:w="1640" w:type="dxa"/>
            <w:vAlign w:val="bottom"/>
          </w:tcPr>
          <w:p>
            <w:pPr>
              <w:ind w:left="280"/>
              <w:spacing w:after="0" w:line="169" w:lineRule="exact"/>
              <w:rPr>
                <w:sz w:val="20"/>
                <w:szCs w:val="20"/>
                <w:color w:val="auto"/>
              </w:rPr>
            </w:pPr>
            <w:r>
              <w:rPr>
                <w:rFonts w:ascii="Times New Roman" w:cs="Times New Roman" w:eastAsia="Times New Roman" w:hAnsi="Times New Roman"/>
                <w:sz w:val="16"/>
                <w:szCs w:val="16"/>
                <w:color w:val="auto"/>
              </w:rPr>
              <w:t>E-invoicing</w:t>
            </w:r>
          </w:p>
        </w:tc>
        <w:tc>
          <w:tcPr>
            <w:tcW w:w="1380" w:type="dxa"/>
            <w:vAlign w:val="bottom"/>
          </w:tcPr>
          <w:p>
            <w:pPr>
              <w:jc w:val="right"/>
              <w:ind w:right="160"/>
              <w:spacing w:after="0" w:line="169" w:lineRule="exact"/>
              <w:rPr>
                <w:sz w:val="20"/>
                <w:szCs w:val="20"/>
                <w:color w:val="auto"/>
              </w:rPr>
            </w:pPr>
            <w:r>
              <w:rPr>
                <w:rFonts w:ascii="Times New Roman" w:cs="Times New Roman" w:eastAsia="Times New Roman" w:hAnsi="Times New Roman"/>
                <w:sz w:val="16"/>
                <w:szCs w:val="16"/>
                <w:color w:val="auto"/>
              </w:rPr>
              <w:t>2.5%</w:t>
            </w:r>
          </w:p>
        </w:tc>
        <w:tc>
          <w:tcPr>
            <w:tcW w:w="1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97%</w:t>
            </w:r>
          </w:p>
        </w:tc>
        <w:tc>
          <w:tcPr>
            <w:tcW w:w="20" w:type="dxa"/>
            <w:vAlign w:val="bottom"/>
          </w:tcPr>
          <w:p>
            <w:pPr>
              <w:spacing w:after="0"/>
              <w:rPr>
                <w:sz w:val="14"/>
                <w:szCs w:val="14"/>
                <w:color w:val="auto"/>
              </w:rPr>
            </w:pPr>
          </w:p>
        </w:tc>
      </w:tr>
      <w:tr>
        <w:trPr>
          <w:trHeight w:val="209"/>
        </w:trPr>
        <w:tc>
          <w:tcPr>
            <w:tcW w:w="16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Customers</w:t>
            </w:r>
          </w:p>
        </w:tc>
        <w:tc>
          <w:tcPr>
            <w:tcW w:w="13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91"/>
        </w:trPr>
        <w:tc>
          <w:tcPr>
            <w:tcW w:w="1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Talent Quotient</w:t>
            </w:r>
          </w:p>
        </w:tc>
        <w:tc>
          <w:tcPr>
            <w:tcW w:w="13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5%</w:t>
            </w:r>
          </w:p>
        </w:tc>
        <w:tc>
          <w:tcPr>
            <w:tcW w:w="1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6"/>
                <w:szCs w:val="16"/>
                <w:color w:val="auto"/>
              </w:rPr>
            </w:pPr>
          </w:p>
        </w:tc>
      </w:tr>
    </w:tbl>
    <w:p>
      <w:pPr>
        <w:jc w:val="both"/>
        <w:ind w:left="282" w:hanging="282"/>
        <w:spacing w:after="0" w:line="221" w:lineRule="auto"/>
        <w:tabs>
          <w:tab w:leader="none" w:pos="282"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the VOB Plan, “pre-tax net income” is calculated by adding back to net income the income tax benefit or expense, stock-based compensation expense and bonus expense and “adjusted cash from operations” is calculated by deducting from net cash from operations the costs of capital software additions and purchases of property and equipment. The Committee determined that certain acquisition, restructuring, and other non recurring transactions were not reflective of the operating performance against which incentives were established and therefore used its discretion to adjust results to maintain alignment between compensation outcomes and core business performance.</w:t>
      </w:r>
    </w:p>
    <w:p>
      <w:pPr>
        <w:spacing w:after="0" w:line="163" w:lineRule="exact"/>
        <w:rPr>
          <w:sz w:val="20"/>
          <w:szCs w:val="20"/>
          <w:color w:val="auto"/>
        </w:rPr>
      </w:pPr>
    </w:p>
    <w:p>
      <w:pPr>
        <w:jc w:val="both"/>
        <w:ind w:left="2"/>
        <w:spacing w:after="0" w:line="268" w:lineRule="auto"/>
        <w:rPr>
          <w:sz w:val="20"/>
          <w:szCs w:val="20"/>
          <w:color w:val="auto"/>
        </w:rPr>
      </w:pPr>
      <w:r>
        <w:rPr>
          <w:rFonts w:ascii="Times New Roman" w:cs="Times New Roman" w:eastAsia="Times New Roman" w:hAnsi="Times New Roman"/>
          <w:sz w:val="16"/>
          <w:szCs w:val="16"/>
          <w:color w:val="auto"/>
        </w:rPr>
        <w:t>For financial performance metrics, payout factors are determined by interpolation between threshold and maximum performance levels, with target performance resulting in a payout factor of 100%. Payout factors are multiplied by the applicable weighting to determine each metric’s contribution to the overall annual bonus payout.</w:t>
      </w:r>
    </w:p>
    <w:p>
      <w:pPr>
        <w:spacing w:after="0" w:line="156" w:lineRule="exact"/>
        <w:rPr>
          <w:sz w:val="20"/>
          <w:szCs w:val="20"/>
          <w:color w:val="auto"/>
        </w:rPr>
      </w:pPr>
    </w:p>
    <w:p>
      <w:pPr>
        <w:jc w:val="both"/>
        <w:ind w:left="2"/>
        <w:spacing w:after="0" w:line="284" w:lineRule="auto"/>
        <w:rPr>
          <w:sz w:val="20"/>
          <w:szCs w:val="20"/>
          <w:color w:val="auto"/>
        </w:rPr>
      </w:pPr>
      <w:r>
        <w:rPr>
          <w:rFonts w:ascii="Times New Roman" w:cs="Times New Roman" w:eastAsia="Times New Roman" w:hAnsi="Times New Roman"/>
          <w:sz w:val="16"/>
          <w:szCs w:val="16"/>
          <w:color w:val="auto"/>
        </w:rPr>
        <w:t>The non-financial metrics are structured as “all-or-nothing” objectives and do not provide for partial payouts. Accordingly, if the specified performance condition is not fully achieved, the payout factor for that goal is 0%, regardless of the level of progress toward the target.</w:t>
      </w:r>
    </w:p>
    <w:p>
      <w:pPr>
        <w:spacing w:after="0" w:line="144" w:lineRule="exact"/>
        <w:rPr>
          <w:sz w:val="20"/>
          <w:szCs w:val="20"/>
          <w:color w:val="auto"/>
        </w:rPr>
      </w:pPr>
    </w:p>
    <w:p>
      <w:pPr>
        <w:jc w:val="both"/>
        <w:ind w:left="2"/>
        <w:spacing w:after="0" w:line="262" w:lineRule="auto"/>
        <w:rPr>
          <w:sz w:val="20"/>
          <w:szCs w:val="20"/>
          <w:color w:val="auto"/>
        </w:rPr>
      </w:pPr>
      <w:r>
        <w:rPr>
          <w:rFonts w:ascii="Times New Roman" w:cs="Times New Roman" w:eastAsia="Times New Roman" w:hAnsi="Times New Roman"/>
          <w:sz w:val="16"/>
          <w:szCs w:val="16"/>
          <w:color w:val="auto"/>
        </w:rPr>
        <w:t>The non-financial performance metrics were weighted at 5% for the Talent Quotient and 2.5% each for Legacy Product Migration and E-invoicing Customers. The Legacy Product Migration metric measured the sunsetting of the current cloud and a documented plan to migrate current customers, and the E-Invoicing metric measured new customer acquisitions. The Talent Quotient metric supports long-term value creation by emphasizing leadership capability, employee engagement, and retention in a highly competitive talent market.</w:t>
      </w:r>
    </w:p>
    <w:p>
      <w:pPr>
        <w:spacing w:after="0" w:line="89" w:lineRule="exact"/>
        <w:rPr>
          <w:sz w:val="20"/>
          <w:szCs w:val="20"/>
          <w:color w:val="auto"/>
        </w:rPr>
      </w:pPr>
    </w:p>
    <w:p>
      <w:pPr>
        <w:jc w:val="both"/>
        <w:ind w:left="2"/>
        <w:spacing w:after="0" w:line="284" w:lineRule="auto"/>
        <w:rPr>
          <w:sz w:val="20"/>
          <w:szCs w:val="20"/>
          <w:color w:val="auto"/>
        </w:rPr>
      </w:pPr>
      <w:r>
        <w:rPr>
          <w:rFonts w:ascii="Times New Roman" w:cs="Times New Roman" w:eastAsia="Times New Roman" w:hAnsi="Times New Roman"/>
          <w:sz w:val="16"/>
          <w:szCs w:val="16"/>
          <w:color w:val="auto"/>
        </w:rPr>
        <w:t>With respect to these non-financial goals, the Human Capital Committee agreed with management’s assessment that (i) the Legacy Product Migration goal was achieved; (ii) we fell just short of the E-Invoicing goal; and (iii) the Talent Quotient goal was met.</w:t>
      </w:r>
    </w:p>
    <w:p>
      <w:pPr>
        <w:spacing w:after="0" w:line="144"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16"/>
          <w:szCs w:val="16"/>
          <w:color w:val="auto"/>
        </w:rPr>
        <w:t>Individual performance also factors into the calculation of the bonus payment for Mr. Rowland. The individual performance rating is determined based on the achievement of individual performance goals. The individual goals are aligned to our strategic and non-financial goals. Based on the individual rating, the amount that is otherwise earned based on the achievement of company financial and non-financial metrics discussed above may be increased to 130% or decreased to 0%. The “Far Exceeds Expectations” rating results in 130% of the earned bonus amount being paid, the “Exceeds Expectations” rating results in 115% of the earned bonus amount being paid, and the “Fully Meets Expectations” rating results in no adjustment such that 100% of the earned bonus amount is paid. An individual rating of “Mostly Meets Expectations” results in a reduced earned bonus amount with a discretionary adjustment of between 0% and 85%. An individual receiving an “Improvement Required” rating is ineligible to receive a bonus payment. Notwithstanding the foregoing, annual bonuses are capped at 200% of the target bonus opportunity.</w:t>
      </w:r>
    </w:p>
    <w:p>
      <w:pPr>
        <w:spacing w:after="0" w:line="167" w:lineRule="exact"/>
        <w:rPr>
          <w:sz w:val="20"/>
          <w:szCs w:val="20"/>
          <w:color w:val="auto"/>
        </w:rPr>
      </w:pPr>
    </w:p>
    <w:p>
      <w:pPr>
        <w:jc w:val="both"/>
        <w:ind w:left="2"/>
        <w:spacing w:after="0" w:line="284" w:lineRule="auto"/>
        <w:rPr>
          <w:sz w:val="20"/>
          <w:szCs w:val="20"/>
          <w:color w:val="auto"/>
        </w:rPr>
      </w:pPr>
      <w:r>
        <w:rPr>
          <w:rFonts w:ascii="Times New Roman" w:cs="Times New Roman" w:eastAsia="Times New Roman" w:hAnsi="Times New Roman"/>
          <w:sz w:val="16"/>
          <w:szCs w:val="16"/>
          <w:color w:val="auto"/>
        </w:rPr>
        <w:t>Mr. Rowland’s individual goals for 2025 were aligned with the Company’s objectives to support growth, scale operations effectively, and deliver value to customers.</w:t>
      </w:r>
    </w:p>
    <w:p>
      <w:pPr>
        <w:spacing w:after="0" w:line="83" w:lineRule="exact"/>
        <w:rPr>
          <w:sz w:val="20"/>
          <w:szCs w:val="20"/>
          <w:color w:val="auto"/>
        </w:rPr>
      </w:pPr>
    </w:p>
    <w:p>
      <w:pPr>
        <w:jc w:val="both"/>
        <w:ind w:left="2"/>
        <w:spacing w:after="0" w:line="284" w:lineRule="auto"/>
        <w:rPr>
          <w:sz w:val="20"/>
          <w:szCs w:val="20"/>
          <w:color w:val="auto"/>
        </w:rPr>
      </w:pPr>
      <w:r>
        <w:rPr>
          <w:rFonts w:ascii="Times New Roman" w:cs="Times New Roman" w:eastAsia="Times New Roman" w:hAnsi="Times New Roman"/>
          <w:sz w:val="16"/>
          <w:szCs w:val="16"/>
          <w:color w:val="auto"/>
        </w:rPr>
        <w:t>During the year, Mr. Rowland provided effective leadership and guidance across regulatory, compliance, and governance matters, managing legal risks in support of the Company’s operations and strategic initiatives and continued to strengthen the Company’s governance and risk management framework.</w:t>
      </w:r>
    </w:p>
    <w:p>
      <w:pPr>
        <w:spacing w:after="0" w:line="200" w:lineRule="exact"/>
        <w:rPr>
          <w:sz w:val="20"/>
          <w:szCs w:val="20"/>
          <w:color w:val="auto"/>
        </w:rPr>
      </w:pPr>
    </w:p>
    <w:p>
      <w:pPr>
        <w:spacing w:after="0" w:line="26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Based on this performance, Mr. Rowland received an individual performance rating of “Fully Meets Expectations” for 2025.</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In February 2026, our Human Capital Committee assessed achievement against the financial and non-financial metrics described above and the Board approved funding the bonus pool at 70.8% of the targeted VOB Plan opportunity for 2025. This resulted in payout amounts equal to 70.8% of each named executive officer’s target award opportunity.</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actual annual cash bonuses awarded to each named executive officer for 2025 performance are set forth in the Summary Compensation Table on page 29 in the column entitled “Non-Equity Incentive Plan Compensation.” Given Mr. Young did not commence employment with us until November 2025, he was not eligible for an annual bonus for the year. Beginning with 2026, Mr. Young is eligible for an annual bonus targeted at 100% of his annual base salary. In connection with his commencement of employment, Mr. Young was granted a one-time $500,000 sign-on bonus, which is subject to repayment if he terminates his employment for any reason other than good reason or the Company terminates his employment for cause within the first two years following his employment start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Equity-Based Compensation</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We view equity-based compensation as a critical component of our balanced total compensation program. Equity-based compensation creates an ownership culture among our employees that provides an incentive to contribute to the continued growth and development of our business and aligns interest of executives with those of our stockholders.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Consistent with our compensation strategy, we provide our named executive officers with long-term incentive compensation to support a long-term focus that aligns the interests of our executives and stockholders. On the effective date of our IPO, we adopted the 2020 Incentive Award Plan (the “2020 Plan”), which provides for the award of stock appreciation rights (“SARs”) stock options (“options”), restricted stock awards (“RSAs”), and restricted stock units (“RSUs”). Each equity award is granted upon Board approval and is governed by the 2020 Plan and an award agreement, which specifies the vesting provisions and other rights and obligations applicable to each specific grant. AON and our Human Capital Committee periodically review our equity plan design with respect to the mix of equity awards granted and the vesting provisions.</w:t>
      </w:r>
    </w:p>
    <w:p>
      <w:pPr>
        <w:spacing w:after="0" w:line="1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During 2025, we awarded RSUs to our named executive officers as the long-term incentive component of our compensation program. Mr. Young was awarded the following RSUs on December 1, 2025, and Messrs. DeStefano, Schwab and Rowland were awarded the following RSUs on February 20, 2025:</w:t>
      </w:r>
    </w:p>
    <w:p>
      <w:pPr>
        <w:spacing w:after="0" w:line="152" w:lineRule="exact"/>
        <w:rPr>
          <w:sz w:val="20"/>
          <w:szCs w:val="20"/>
          <w:color w:val="auto"/>
        </w:rPr>
      </w:pPr>
    </w:p>
    <w:tbl>
      <w:tblPr>
        <w:tblLayout w:type="fixed"/>
        <w:tblInd w:w="1390" w:type="dxa"/>
        <w:tblCellMar>
          <w:top w:w="0" w:type="dxa"/>
          <w:left w:w="0" w:type="dxa"/>
          <w:bottom w:w="0" w:type="dxa"/>
          <w:right w:w="0" w:type="dxa"/>
        </w:tblCellMar>
      </w:tblPr>
      <w:tr>
        <w:trPr>
          <w:trHeight w:val="226"/>
        </w:trPr>
        <w:tc>
          <w:tcPr>
            <w:tcW w:w="5460" w:type="dxa"/>
            <w:vAlign w:val="bottom"/>
            <w:tcBorders>
              <w:top w:val="single" w:sz="8" w:color="auto"/>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740" w:type="dxa"/>
            <w:vAlign w:val="bottom"/>
            <w:tcBorders>
              <w:top w:val="single" w:sz="8" w:color="auto"/>
              <w:bottom w:val="single" w:sz="8" w:color="auto"/>
              <w:right w:val="single" w:sz="8" w:color="auto"/>
            </w:tcBorders>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RSUs</w:t>
            </w:r>
          </w:p>
        </w:tc>
      </w:tr>
      <w:tr>
        <w:trPr>
          <w:trHeight w:val="208"/>
        </w:trPr>
        <w:tc>
          <w:tcPr>
            <w:tcW w:w="5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Christopher Young</w:t>
            </w:r>
          </w:p>
        </w:tc>
        <w:tc>
          <w:tcPr>
            <w:tcW w:w="174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1,300,728</w:t>
            </w:r>
          </w:p>
        </w:tc>
      </w:tr>
      <w:tr>
        <w:trPr>
          <w:trHeight w:val="209"/>
        </w:trPr>
        <w:tc>
          <w:tcPr>
            <w:tcW w:w="5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David DeStefano</w:t>
            </w:r>
          </w:p>
        </w:tc>
        <w:tc>
          <w:tcPr>
            <w:tcW w:w="174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176,057</w:t>
            </w:r>
          </w:p>
        </w:tc>
      </w:tr>
      <w:tr>
        <w:trPr>
          <w:trHeight w:val="209"/>
        </w:trPr>
        <w:tc>
          <w:tcPr>
            <w:tcW w:w="5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John Schwab</w:t>
            </w:r>
          </w:p>
        </w:tc>
        <w:tc>
          <w:tcPr>
            <w:tcW w:w="174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63,513</w:t>
            </w:r>
          </w:p>
        </w:tc>
      </w:tr>
      <w:tr>
        <w:trPr>
          <w:trHeight w:val="209"/>
        </w:trPr>
        <w:tc>
          <w:tcPr>
            <w:tcW w:w="5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Bryan Rowland</w:t>
            </w:r>
          </w:p>
        </w:tc>
        <w:tc>
          <w:tcPr>
            <w:tcW w:w="174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11,901</w:t>
            </w:r>
          </w:p>
        </w:tc>
      </w:tr>
    </w:tbl>
    <w:p>
      <w:pPr>
        <w:spacing w:after="0" w:line="354" w:lineRule="exact"/>
        <w:rPr>
          <w:sz w:val="20"/>
          <w:szCs w:val="20"/>
          <w:color w:val="auto"/>
        </w:rPr>
      </w:pPr>
    </w:p>
    <w:p>
      <w:pPr>
        <w:jc w:val="both"/>
        <w:spacing w:after="0" w:line="198" w:lineRule="exact"/>
        <w:rPr>
          <w:sz w:val="20"/>
          <w:szCs w:val="20"/>
          <w:color w:val="auto"/>
        </w:rPr>
      </w:pPr>
      <w:r>
        <w:rPr>
          <w:rFonts w:ascii="Times New Roman" w:cs="Times New Roman" w:eastAsia="Times New Roman" w:hAnsi="Times New Roman"/>
          <w:sz w:val="16"/>
          <w:szCs w:val="16"/>
          <w:color w:val="auto"/>
        </w:rPr>
        <w:t>Mr. Young’s RSUs were granted in connection with his appointment as Chief Executive Officer and represent (i) a one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time sign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on equity grant to support recruitment and retention in a highly competitive executive talent market, and (ii) his annual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equity award for 2026, the size of which was informed by market data from our peer group for annual CEO long-term equity incentive awards. The Committee determined that combining these elements into a single grant appropriately aligned his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incentives with stockholder interests while avoiding duplicative equity awards in his first year of service. As a result, Mr. Young will not receive a separate annual equity grant in 2026 and is not expected to receive his next annual equity award until 2027. The RSUs for Mr. Young vest in substantially equal installments on each of November 10, 2026, 2027, 2028, and 2029. For Messrs. DeStefano, Schwab and Rowland, the RSUs vest in substantially equal installments on each of the first four anniversaries of the grant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Benefits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Perquisites</w:t>
      </w:r>
    </w:p>
    <w:p>
      <w:pPr>
        <w:spacing w:after="0" w:line="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Other than the supplemental insurance benefits described below, our named executive officers generally do not receive any additional perquisites or supplemental benefits, and we do not provide any tax “gross ups” to our named executive officers.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Health and Welfare Benefits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All of our full-time employees, including our named executive officers, are eligible to participate in our health and welfare plans, including, medical, dental, and vision benefits; medical and dependent care flexible spending accounts; health savings accounts, short-term and long-term disability insurance; and life/accidental death and disability insurance.</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Our named executive officers are provided with group term life/AD&amp;D insurance with a guaranteed issue face amount of $950,000 and supplemental individual long-term disability insurance, which when combined with the disability coverage provided under our group long-term disability insurance plan, provides the named executive officer with disability income equal to an amount up to 75% of the named executive officer’s pre-disability total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believe the benefits described above are necessary and appropriate to provide a competitive compensation package to our named executive officers.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Retirement Benefits</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currently maintain a 401(k) retirement savings plan for our employees, including our named executive officers, who satisfy certain eligibility requirements. Our named executive officers are eligible to participate in the 401(k) plan on the same terms as other full-time employees. The Internal Revenue Code allows eligible employees to defer a portion of their compensation, within prescribed limits, on a pre-tax, Roth, and after-tax basis, through contributions to the 401(k) plan. Currently, we match 100% of pre-tax and Roth contributions made by participants in the 401(k) plan up to 6% of a participant’s eligible compensation, excluding age 50+ catch up contributions. These matching contributions are immediately 100% vested. We believe providing a vehicle for tax-deferred retirement savings through our 401(k) plan, and making matching contributions, adds to the overall desirability of our executive compensation package and further incentivizes our employees, including our named executive officers, in accordance with our compensation policies.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Employment and Severance Arrangements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We have entered into employment agreements with each of our named executive officers. The material terms and conditions of each such agreement are set forth below. See “Retirement Agreement with Mr. DeStefano” below for a description of the retirement agreement entered into in connection with Mr. DeStefano’s retirement effective November 10,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Salary; Bonus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employment agreements entitle the executives to annual base salaries and eligibility to earn discretionary bonuses under our annual cash bonus plans. See “2025 Salaries” and “Cash-Based Incentive Compensation” above for additional information regarding the base salaries and bonus opportunities of our named executive officers for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Term</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initial term of Mr. Young’s employment agreement expires on November 10, 2028. The term automatically renews for successive two-year periods, unless 60 days’ prior notice of non-renewal is given by either party. The employment agreements for Mr. Rowland and Mr. Schwab are for indefinite terms.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Severance</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If we terminate Mr. Young, Mr. Rowland, or Mr. Schwab without cause, the executive resigns for good reason, or, with respect to Mr. Young, his employment terminates due to our non-renewal of his employment agreement (for Mr. Young a “Qualifying Termination”), subject to the executive timely executing a release of claims, the executive is entitled to receive (i) base salary continuation for 12 months (or 24 months for Mr. Young), (ii) direct payment of, or additional cash payments equal to, the premiums for continued health coverage for up to 18 months (or up to 24 months for Mr. Young), and (iii) for Mr. Young, if such termination occurs outside of the period commencing three months prior to, and ending 18 months following, a change in control (the “Change in Control Period”), continued vesting of his outstanding stock awards as if he had remained employed for an additional 18 months following his date of termination.</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If Mr. Young’s Qualifying Termination occurs during the Change in Control Period or Mr. Young dies or becomes disabled following a change in control, subject to Mr. Young timely executing a release of claims, any time-based stock awards held by Mr. Young will vest in full immediately prior to the effective date of such termination of employment or, if later, immediately prior to the change in control.</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receipt of severance payments and benefits for Mr. Young, Mr. Rowland, and Mr. Schwab is also subject to the executive’s continued compliance with certain restrictive covenants and confidentiality obligations, as described below under “Restrictive Covenants.” In the event of a material breach of such covenants, subject to certain cure rights, the executive’s right to receive any of the severance payments or benefits described above will cease.</w:t>
      </w:r>
    </w:p>
    <w:p>
      <w:pPr>
        <w:spacing w:after="0" w:line="15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Each of Mr. Young, Mr. Rowland, and Mr. Schwab is entitled to 30 days’ notice, or pay in lieu of notice, in the event we terminate the executive for any reason other than cause.</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For purposes of the employment agreements, “cause” generally means, subject to certain notice and cure rights, the executive’s (i) material breach of the employment agreement; (ii) repeated failure to perform duties to the Company or any subsidiary; (iii) willful misconduct that is materially injurious to the Company or any subsidiary (or for Mr. Schwab or Mr. Rowland, willful misconduct or gross negligence with regard to the Company, any subsidiary or their business, assets or employees); (iv) dishonesty, unethical, fraudulent or similar misconduct in connection with the executive’s employment or service; (v) use of non-prescription controlled substances, misuse of prescription drugs, or habitual intoxication during work hours; (vi) indictment for any felony that has caused or is reasonably likely to cause material adverse consequences to the Company, its businesses or prospects; (vii) conviction, guilty plea or plea of nolo contendere to a felony or any crime involving fraud, dishonesty or moral turpitude; (viii) material violation of any Company policy (or for Mr. Young, violation of any discrimination or sexual harassment policy of the Company); or (ix) refusal to follow any reasonable and lawful direction of the Board or any person to whom the executive reports, if applicable.</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For purposes of the employment agreement with Mr. Young, “good reason” is generally defined to mean, subject to certain notice and cure rights, (i) the Company’s material breach of the employment agreement, (ii) the material diminution of his title, responsibilities, authority, or duties, (iii) a material decrease in his total target cash compensation by more than fifteen percent (15%) as an employee of the Company, except to the extent that the Company implements an equal percentage reduction applicable to all executive officers and senior management, (iv) a relocation of his principal employment location that results in an increase in his one-way commute by more than twenty five (25) miles, or (v) a successor of the Company in a change in control not assuming the employment agreement. For purposes of the employment agreements with Mr. Rowland and Mr. Schwab, “good reason” is generally defined to mean, subject to certain notice and cure rights, (i) the Company’s material breach of the employment agreement, (ii) the material diminution of the executive’s duties, (iii) a material decrease in the executive’s annual base salary, or (iv) any relocation of the executive’s principal office by more than fifty (50) miles.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Restrictive Covenants</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Pursuant to their employment agreements, the executives have agreed to refrain from competing with us or soliciting our employees, customers, clients or prospects, in each case, while employed and following termination of employment for a period of 24 months for Mr. Young or 12 months for Mr. Rowland and Mr. Schwab. During the applicable restricted period, the executives are also obligated to disclose to us certain business opportunities that relate to the business of the Company, its subsidiaries or affiliates. The executives are also bound by certain confidentiality and assignment of inventions obligations.</w:t>
      </w:r>
    </w:p>
    <w:p>
      <w:pPr>
        <w:spacing w:after="0" w:line="16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See “—Potential Payments Upon Termination or Change in Control” for information regarding severance payments and benefits under the employment agreements.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Retirement Agreement with Mr. DeStefano</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In connection with his retirement in November 2025, Mr. DeStefano entered into a Retirement Agreement and Release with the Company (the “Retirement Agreement”), pursuant to which he provided consulting services until December 31, 2025. Pursuant to the Retirement Agreement, the Company paid Mr. DeStefano a fee equal to $235,000 for the consulting services through December 31, 2025. [Mr. DeStefano remained eligible for his annual bonus for 2025, and his outstanding restricted stock units continued to vest while he provided the consulting services and will continue to vest while he serves on the Board. Mr. DeStefano continues to be bound by the confidentiality and restrictive covenant provisions set forth in his employment agreement with the Company, which provides for non-competition and non-solicitation restrictions for two years following his retirement and restrictions on the disclosure and use of confidential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Considerations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 general matter, our Board of Directors review and consider the various tax and accounting implications of compensation programs we utilize.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Section 409A. </w:t>
      </w:r>
      <w:r>
        <w:rPr>
          <w:rFonts w:ascii="Times New Roman" w:cs="Times New Roman" w:eastAsia="Times New Roman" w:hAnsi="Times New Roman"/>
          <w:sz w:val="16"/>
          <w:szCs w:val="16"/>
          <w:color w:val="auto"/>
        </w:rPr>
        <w:t>The Human Capital Committee takes into account whether components of the compensation for our executive officers will be adversely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impacted by the penalty tax imposed by Section 409A of the Code and aims to structure these components to be compliant with or exempt from Section 409A to avoid such potential adverse tax consequences.</w:t>
      </w:r>
    </w:p>
    <w:p>
      <w:pPr>
        <w:spacing w:after="0" w:line="15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i w:val="1"/>
          <w:iCs w:val="1"/>
          <w:color w:val="auto"/>
        </w:rPr>
        <w:t>Section 162(m)</w:t>
      </w:r>
      <w:r>
        <w:rPr>
          <w:rFonts w:ascii="Times New Roman" w:cs="Times New Roman" w:eastAsia="Times New Roman" w:hAnsi="Times New Roman"/>
          <w:sz w:val="16"/>
          <w:szCs w:val="16"/>
          <w:color w:val="auto"/>
        </w:rPr>
        <w:t>. Section 162(m) of the Code disallows a tax deduction to public companies for compensation in excess of $1 million paid to “covered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employees”, which generally includes all named executive officers. While the Human Capital Committee may take the deductibility of compensation into account when making compensation decisions, the Human Capital Committee will award compensation that it determines to be consistent with the goals of our executive compensation program even if such compensation is not deductible by us.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Compensation and Risk Management</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Our Human Capital Committee and our management team each play a role in evaluating and mitigating potential risks associated with our compensation programs, policies and practices in consultation with AON. AON performed a compensation risk assessment on Vertex’s 2025 executive compensation program and concluded that the compensation program did not promote excessive risk-taking behavior by executive officers of the Company, nor did it create risks that are reasonably likely to have a material adverse effect on us.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risk assessment process includes a review of program policies and practices; analysis to identify risks and risk controls related to our compensation programs; and determinations as to the sufficiency of risk identification, the balance of potential risk to potential reward, the effectiveness of our risk controls and the impacts of our compensation programs and their risks to our strategy. Although we periodically review all compensation programs, we focus on the programs with variability of payout, with the ability of a participant to directly affect payout and the controls on participant action and payout. In relation to this, we believe that our incentive compensation arrangements provide incentives that do not encourage risk taking beyond our ability to effectively identify and manage significant risks and are compatible with effective internal controls and our risk management practices.</w:t>
      </w:r>
    </w:p>
    <w:p>
      <w:pPr>
        <w:spacing w:after="0" w:line="10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6"/>
          <w:szCs w:val="16"/>
          <w:color w:val="auto"/>
        </w:rPr>
        <w:t>The Human Capital Committee monitors our compensation programs on an annual basis and expects to make modifications as necessary to address any changes in our business or risk profile.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 of the Human Capital Committee of the Board of Directors</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Human Capital Committee has reviewed and discussed this CD&amp;A with Company management. Based on this review and discussion, the Human Capital Committee recommended to the Board, and the Board approved, that the CD&amp;A be included in this Proxy Statement and incorporated by reference into the Annual Report on Form 10-K for the year ended December 31,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Respectfully submitted by the members of the Human Capital Committee of the Board: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Philip Saunders (Chair)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Eric Andersen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Stefanie Westphal Thompson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OF OUR NAMED EXECUTIVE OFFICERS</w:t>
      </w:r>
    </w:p>
    <w:p>
      <w:pPr>
        <w:spacing w:after="0" w:line="10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2025 Summary Compensation Table</w:t>
      </w:r>
    </w:p>
    <w:p>
      <w:pPr>
        <w:spacing w:after="0" w:line="20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color w:val="auto"/>
        </w:rPr>
        <w:t>The following table sets forth information concerning the compensation of our named executive officers for the years ended December 31, 2025, 2024, and 2023.</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1100" w:type="dxa"/>
            <w:vAlign w:val="bottom"/>
            <w:tcBorders>
              <w:top w:val="single" w:sz="8" w:color="auto"/>
              <w:left w:val="single" w:sz="8" w:color="auto"/>
              <w:right w:val="single" w:sz="8" w:color="auto"/>
            </w:tcBorders>
          </w:tcPr>
          <w:p>
            <w:pPr>
              <w:spacing w:after="0"/>
              <w:rPr>
                <w:sz w:val="15"/>
                <w:szCs w:val="15"/>
                <w:color w:val="auto"/>
              </w:rPr>
            </w:pPr>
          </w:p>
        </w:tc>
        <w:tc>
          <w:tcPr>
            <w:tcW w:w="980" w:type="dxa"/>
            <w:vAlign w:val="bottom"/>
            <w:tcBorders>
              <w:top w:val="single" w:sz="8" w:color="auto"/>
              <w:right w:val="single" w:sz="8" w:color="auto"/>
            </w:tcBorders>
          </w:tcPr>
          <w:p>
            <w:pPr>
              <w:spacing w:after="0"/>
              <w:rPr>
                <w:sz w:val="15"/>
                <w:szCs w:val="15"/>
                <w:color w:val="auto"/>
              </w:rPr>
            </w:pPr>
          </w:p>
        </w:tc>
        <w:tc>
          <w:tcPr>
            <w:tcW w:w="560" w:type="dxa"/>
            <w:vAlign w:val="bottom"/>
            <w:tcBorders>
              <w:top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spacing w:after="0"/>
              <w:rPr>
                <w:sz w:val="15"/>
                <w:szCs w:val="15"/>
                <w:color w:val="auto"/>
              </w:rPr>
            </w:pPr>
          </w:p>
        </w:tc>
        <w:tc>
          <w:tcPr>
            <w:tcW w:w="980" w:type="dxa"/>
            <w:vAlign w:val="bottom"/>
            <w:tcBorders>
              <w:top w:val="single" w:sz="8" w:color="auto"/>
              <w:right w:val="single" w:sz="8" w:color="auto"/>
            </w:tcBorders>
          </w:tcPr>
          <w:p>
            <w:pPr>
              <w:spacing w:after="0"/>
              <w:rPr>
                <w:sz w:val="15"/>
                <w:szCs w:val="15"/>
                <w:color w:val="auto"/>
              </w:rPr>
            </w:pPr>
          </w:p>
        </w:tc>
        <w:tc>
          <w:tcPr>
            <w:tcW w:w="1060" w:type="dxa"/>
            <w:vAlign w:val="bottom"/>
            <w:tcBorders>
              <w:top w:val="single" w:sz="8" w:color="auto"/>
              <w:right w:val="single" w:sz="8" w:color="auto"/>
            </w:tcBorders>
          </w:tcPr>
          <w:p>
            <w:pPr>
              <w:spacing w:after="0"/>
              <w:rPr>
                <w:sz w:val="15"/>
                <w:szCs w:val="15"/>
                <w:color w:val="auto"/>
              </w:rPr>
            </w:pP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Non-Equity</w:t>
            </w:r>
          </w:p>
        </w:tc>
        <w:tc>
          <w:tcPr>
            <w:tcW w:w="1280" w:type="dxa"/>
            <w:vAlign w:val="bottom"/>
            <w:tcBorders>
              <w:top w:val="single" w:sz="8" w:color="auto"/>
              <w:right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r>
      <w:tr>
        <w:trPr>
          <w:trHeight w:val="181"/>
        </w:trPr>
        <w:tc>
          <w:tcPr>
            <w:tcW w:w="1100" w:type="dxa"/>
            <w:vAlign w:val="bottom"/>
            <w:tcBorders>
              <w:left w:val="single" w:sz="8" w:color="auto"/>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Incentive Plan</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All Other</w:t>
            </w:r>
          </w:p>
        </w:tc>
        <w:tc>
          <w:tcPr>
            <w:tcW w:w="1080" w:type="dxa"/>
            <w:vAlign w:val="bottom"/>
            <w:tcBorders>
              <w:right w:val="single" w:sz="8" w:color="auto"/>
            </w:tcBorders>
          </w:tcPr>
          <w:p>
            <w:pPr>
              <w:spacing w:after="0"/>
              <w:rPr>
                <w:sz w:val="15"/>
                <w:szCs w:val="15"/>
                <w:color w:val="auto"/>
              </w:rPr>
            </w:pPr>
          </w:p>
        </w:tc>
      </w:tr>
      <w:tr>
        <w:trPr>
          <w:trHeight w:val="181"/>
        </w:trPr>
        <w:tc>
          <w:tcPr>
            <w:tcW w:w="1100" w:type="dxa"/>
            <w:vAlign w:val="bottom"/>
            <w:tcBorders>
              <w:left w:val="single" w:sz="8" w:color="auto"/>
              <w:right w:val="single" w:sz="8" w:color="auto"/>
            </w:tcBorders>
          </w:tcPr>
          <w:p>
            <w:pPr>
              <w:spacing w:after="0"/>
              <w:rPr>
                <w:sz w:val="15"/>
                <w:szCs w:val="15"/>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56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Salary</w:t>
            </w:r>
          </w:p>
        </w:tc>
        <w:tc>
          <w:tcPr>
            <w:tcW w:w="9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Awards</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1080" w:type="dxa"/>
            <w:vAlign w:val="bottom"/>
            <w:tcBorders>
              <w:right w:val="single" w:sz="8" w:color="auto"/>
            </w:tcBorders>
          </w:tcPr>
          <w:p>
            <w:pPr>
              <w:spacing w:after="0"/>
              <w:rPr>
                <w:sz w:val="15"/>
                <w:szCs w:val="15"/>
                <w:color w:val="auto"/>
              </w:rPr>
            </w:pPr>
          </w:p>
        </w:tc>
      </w:tr>
      <w:tr>
        <w:trPr>
          <w:trHeight w:val="203"/>
        </w:trPr>
        <w:tc>
          <w:tcPr>
            <w:tcW w:w="11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Name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Position</w:t>
            </w:r>
          </w:p>
        </w:tc>
        <w:tc>
          <w:tcPr>
            <w:tcW w:w="560" w:type="dxa"/>
            <w:vAlign w:val="bottom"/>
            <w:tcBorders>
              <w:bottom w:val="single" w:sz="8" w:color="auto"/>
              <w:right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Year</w:t>
            </w:r>
          </w:p>
        </w:tc>
        <w:tc>
          <w:tcPr>
            <w:tcW w:w="920" w:type="dxa"/>
            <w:vAlign w:val="bottom"/>
            <w:tcBorders>
              <w:bottom w:val="single" w:sz="8" w:color="auto"/>
              <w:right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5"/>
                <w:szCs w:val="15"/>
                <w:b w:val="1"/>
                <w:bCs w:val="1"/>
                <w:color w:val="auto"/>
              </w:rPr>
              <w:t>Bonus(1)</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($)(3)</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($)(4)</w:t>
            </w:r>
          </w:p>
        </w:tc>
        <w:tc>
          <w:tcPr>
            <w:tcW w:w="1080" w:type="dxa"/>
            <w:vAlign w:val="bottom"/>
            <w:tcBorders>
              <w:bottom w:val="single" w:sz="8" w:color="auto"/>
              <w:right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Total ($)</w:t>
            </w:r>
          </w:p>
        </w:tc>
      </w:tr>
      <w:tr>
        <w:trPr>
          <w:trHeight w:val="155"/>
        </w:trPr>
        <w:tc>
          <w:tcPr>
            <w:tcW w:w="1100" w:type="dxa"/>
            <w:vAlign w:val="bottom"/>
            <w:tcBorders>
              <w:left w:val="single" w:sz="8" w:color="auto"/>
              <w:right w:val="single" w:sz="8" w:color="auto"/>
            </w:tcBorders>
            <w:shd w:val="clear" w:color="auto" w:fill="CCEEFF"/>
          </w:tcPr>
          <w:p>
            <w:pPr>
              <w:spacing w:after="0"/>
              <w:rPr>
                <w:sz w:val="13"/>
                <w:szCs w:val="13"/>
                <w:color w:val="auto"/>
              </w:rPr>
            </w:pPr>
          </w:p>
        </w:tc>
        <w:tc>
          <w:tcPr>
            <w:tcW w:w="980" w:type="dxa"/>
            <w:vAlign w:val="bottom"/>
            <w:tcBorders>
              <w:right w:val="single" w:sz="8" w:color="auto"/>
            </w:tcBorders>
            <w:shd w:val="clear" w:color="auto" w:fill="CCEEFF"/>
          </w:tcPr>
          <w:p>
            <w:pPr>
              <w:ind w:left="60"/>
              <w:spacing w:after="0" w:line="155" w:lineRule="exact"/>
              <w:rPr>
                <w:sz w:val="20"/>
                <w:szCs w:val="20"/>
                <w:color w:val="auto"/>
              </w:rPr>
            </w:pPr>
            <w:r>
              <w:rPr>
                <w:rFonts w:ascii="Times New Roman" w:cs="Times New Roman" w:eastAsia="Times New Roman" w:hAnsi="Times New Roman"/>
                <w:sz w:val="15"/>
                <w:szCs w:val="15"/>
                <w:color w:val="auto"/>
              </w:rPr>
              <w:t>President</w:t>
            </w:r>
          </w:p>
        </w:tc>
        <w:tc>
          <w:tcPr>
            <w:tcW w:w="560" w:type="dxa"/>
            <w:vAlign w:val="bottom"/>
            <w:tcBorders>
              <w:right w:val="single" w:sz="8" w:color="auto"/>
            </w:tcBorders>
            <w:shd w:val="clear" w:color="auto" w:fill="CCEEFF"/>
          </w:tcPr>
          <w:p>
            <w:pPr>
              <w:spacing w:after="0"/>
              <w:rPr>
                <w:sz w:val="13"/>
                <w:szCs w:val="13"/>
                <w:color w:val="auto"/>
              </w:rPr>
            </w:pPr>
          </w:p>
        </w:tc>
        <w:tc>
          <w:tcPr>
            <w:tcW w:w="920" w:type="dxa"/>
            <w:vAlign w:val="bottom"/>
            <w:tcBorders>
              <w:right w:val="single" w:sz="8" w:color="auto"/>
            </w:tcBorders>
            <w:shd w:val="clear" w:color="auto" w:fill="CCEEFF"/>
          </w:tcPr>
          <w:p>
            <w:pPr>
              <w:spacing w:after="0"/>
              <w:rPr>
                <w:sz w:val="13"/>
                <w:szCs w:val="13"/>
                <w:color w:val="auto"/>
              </w:rPr>
            </w:pPr>
          </w:p>
        </w:tc>
        <w:tc>
          <w:tcPr>
            <w:tcW w:w="980" w:type="dxa"/>
            <w:vAlign w:val="bottom"/>
            <w:tcBorders>
              <w:right w:val="single" w:sz="8" w:color="auto"/>
            </w:tcBorders>
            <w:shd w:val="clear" w:color="auto" w:fill="CCEEFF"/>
          </w:tcPr>
          <w:p>
            <w:pPr>
              <w:spacing w:after="0"/>
              <w:rPr>
                <w:sz w:val="13"/>
                <w:szCs w:val="13"/>
                <w:color w:val="auto"/>
              </w:rPr>
            </w:pPr>
          </w:p>
        </w:tc>
        <w:tc>
          <w:tcPr>
            <w:tcW w:w="106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280" w:type="dxa"/>
            <w:vAlign w:val="bottom"/>
            <w:tcBorders>
              <w:right w:val="single" w:sz="8" w:color="auto"/>
            </w:tcBorders>
            <w:shd w:val="clear" w:color="auto" w:fill="CCEEFF"/>
          </w:tcPr>
          <w:p>
            <w:pPr>
              <w:spacing w:after="0"/>
              <w:rPr>
                <w:sz w:val="13"/>
                <w:szCs w:val="13"/>
                <w:color w:val="auto"/>
              </w:rPr>
            </w:pPr>
          </w:p>
        </w:tc>
        <w:tc>
          <w:tcPr>
            <w:tcW w:w="1080" w:type="dxa"/>
            <w:vAlign w:val="bottom"/>
            <w:tcBorders>
              <w:right w:val="single" w:sz="8" w:color="auto"/>
            </w:tcBorders>
            <w:shd w:val="clear" w:color="auto" w:fill="CCEEFF"/>
          </w:tcPr>
          <w:p>
            <w:pPr>
              <w:spacing w:after="0"/>
              <w:rPr>
                <w:sz w:val="13"/>
                <w:szCs w:val="13"/>
                <w:color w:val="auto"/>
              </w:rPr>
            </w:pPr>
          </w:p>
        </w:tc>
      </w:tr>
      <w:tr>
        <w:trPr>
          <w:trHeight w:val="181"/>
        </w:trPr>
        <w:tc>
          <w:tcPr>
            <w:tcW w:w="1100" w:type="dxa"/>
            <w:vAlign w:val="bottom"/>
            <w:tcBorders>
              <w:left w:val="single" w:sz="8" w:color="auto"/>
              <w:right w:val="single" w:sz="8" w:color="auto"/>
            </w:tcBorders>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and Chief</w:t>
            </w:r>
          </w:p>
        </w:tc>
        <w:tc>
          <w:tcPr>
            <w:tcW w:w="560" w:type="dxa"/>
            <w:vAlign w:val="bottom"/>
            <w:tcBorders>
              <w:right w:val="single" w:sz="8" w:color="auto"/>
            </w:tcBorders>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1060" w:type="dxa"/>
            <w:vAlign w:val="bottom"/>
            <w:tcBorders>
              <w:right w:val="single" w:sz="8" w:color="auto"/>
            </w:tcBorders>
            <w:shd w:val="clear" w:color="auto" w:fill="CCEEFF"/>
          </w:tcPr>
          <w:p>
            <w:pPr>
              <w:spacing w:after="0"/>
              <w:rPr>
                <w:sz w:val="15"/>
                <w:szCs w:val="15"/>
                <w:color w:val="auto"/>
              </w:rPr>
            </w:pPr>
          </w:p>
        </w:tc>
        <w:tc>
          <w:tcPr>
            <w:tcW w:w="1400" w:type="dxa"/>
            <w:vAlign w:val="bottom"/>
            <w:tcBorders>
              <w:right w:val="single" w:sz="8" w:color="auto"/>
            </w:tcBorders>
            <w:shd w:val="clear" w:color="auto" w:fill="CCEEFF"/>
          </w:tcPr>
          <w:p>
            <w:pPr>
              <w:spacing w:after="0"/>
              <w:rPr>
                <w:sz w:val="15"/>
                <w:szCs w:val="15"/>
                <w:color w:val="auto"/>
              </w:rPr>
            </w:pPr>
          </w:p>
        </w:tc>
        <w:tc>
          <w:tcPr>
            <w:tcW w:w="1280" w:type="dxa"/>
            <w:vAlign w:val="bottom"/>
            <w:tcBorders>
              <w:right w:val="single" w:sz="8" w:color="auto"/>
            </w:tcBorders>
            <w:shd w:val="clear" w:color="auto" w:fill="CCEEFF"/>
          </w:tcPr>
          <w:p>
            <w:pPr>
              <w:spacing w:after="0"/>
              <w:rPr>
                <w:sz w:val="15"/>
                <w:szCs w:val="15"/>
                <w:color w:val="auto"/>
              </w:rPr>
            </w:pPr>
          </w:p>
        </w:tc>
        <w:tc>
          <w:tcPr>
            <w:tcW w:w="1080" w:type="dxa"/>
            <w:vAlign w:val="bottom"/>
            <w:tcBorders>
              <w:right w:val="single" w:sz="8" w:color="auto"/>
            </w:tcBorders>
            <w:shd w:val="clear" w:color="auto" w:fill="CCEEFF"/>
          </w:tcPr>
          <w:p>
            <w:pPr>
              <w:spacing w:after="0"/>
              <w:rPr>
                <w:sz w:val="15"/>
                <w:szCs w:val="15"/>
                <w:color w:val="auto"/>
              </w:rPr>
            </w:pPr>
          </w:p>
        </w:tc>
      </w:tr>
      <w:tr>
        <w:trPr>
          <w:trHeight w:val="181"/>
        </w:trPr>
        <w:tc>
          <w:tcPr>
            <w:tcW w:w="11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Christopher</w:t>
            </w:r>
          </w:p>
        </w:tc>
        <w:tc>
          <w:tcPr>
            <w:tcW w:w="98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Executive</w:t>
            </w:r>
          </w:p>
        </w:tc>
        <w:tc>
          <w:tcPr>
            <w:tcW w:w="560" w:type="dxa"/>
            <w:vAlign w:val="bottom"/>
            <w:tcBorders>
              <w:right w:val="single" w:sz="8" w:color="auto"/>
            </w:tcBorders>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1060" w:type="dxa"/>
            <w:vAlign w:val="bottom"/>
            <w:tcBorders>
              <w:right w:val="single" w:sz="8" w:color="auto"/>
            </w:tcBorders>
            <w:shd w:val="clear" w:color="auto" w:fill="CCEEFF"/>
          </w:tcPr>
          <w:p>
            <w:pPr>
              <w:spacing w:after="0"/>
              <w:rPr>
                <w:sz w:val="15"/>
                <w:szCs w:val="15"/>
                <w:color w:val="auto"/>
              </w:rPr>
            </w:pPr>
          </w:p>
        </w:tc>
        <w:tc>
          <w:tcPr>
            <w:tcW w:w="1400" w:type="dxa"/>
            <w:vAlign w:val="bottom"/>
            <w:tcBorders>
              <w:right w:val="single" w:sz="8" w:color="auto"/>
            </w:tcBorders>
            <w:shd w:val="clear" w:color="auto" w:fill="CCEEFF"/>
          </w:tcPr>
          <w:p>
            <w:pPr>
              <w:spacing w:after="0"/>
              <w:rPr>
                <w:sz w:val="15"/>
                <w:szCs w:val="15"/>
                <w:color w:val="auto"/>
              </w:rPr>
            </w:pPr>
          </w:p>
        </w:tc>
        <w:tc>
          <w:tcPr>
            <w:tcW w:w="1280" w:type="dxa"/>
            <w:vAlign w:val="bottom"/>
            <w:tcBorders>
              <w:right w:val="single" w:sz="8" w:color="auto"/>
            </w:tcBorders>
            <w:shd w:val="clear" w:color="auto" w:fill="CCEEFF"/>
          </w:tcPr>
          <w:p>
            <w:pPr>
              <w:spacing w:after="0"/>
              <w:rPr>
                <w:sz w:val="15"/>
                <w:szCs w:val="15"/>
                <w:color w:val="auto"/>
              </w:rPr>
            </w:pPr>
          </w:p>
        </w:tc>
        <w:tc>
          <w:tcPr>
            <w:tcW w:w="1080" w:type="dxa"/>
            <w:vAlign w:val="bottom"/>
            <w:tcBorders>
              <w:right w:val="single" w:sz="8" w:color="auto"/>
            </w:tcBorders>
            <w:shd w:val="clear" w:color="auto" w:fill="CCEEFF"/>
          </w:tcPr>
          <w:p>
            <w:pPr>
              <w:spacing w:after="0"/>
              <w:rPr>
                <w:sz w:val="15"/>
                <w:szCs w:val="15"/>
                <w:color w:val="auto"/>
              </w:rPr>
            </w:pPr>
          </w:p>
        </w:tc>
      </w:tr>
      <w:tr>
        <w:trPr>
          <w:trHeight w:val="200"/>
        </w:trPr>
        <w:tc>
          <w:tcPr>
            <w:tcW w:w="11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Young</w:t>
            </w:r>
          </w:p>
        </w:tc>
        <w:tc>
          <w:tcPr>
            <w:tcW w:w="9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Officer</w:t>
            </w:r>
          </w:p>
        </w:tc>
        <w:tc>
          <w:tcPr>
            <w:tcW w:w="560" w:type="dxa"/>
            <w:vAlign w:val="bottom"/>
            <w:tcBorders>
              <w:bottom w:val="single" w:sz="8" w:color="auto"/>
              <w:right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2025</w:t>
            </w:r>
          </w:p>
        </w:tc>
        <w:tc>
          <w:tcPr>
            <w:tcW w:w="920" w:type="dxa"/>
            <w:vAlign w:val="bottom"/>
            <w:tcBorders>
              <w:bottom w:val="single" w:sz="8" w:color="auto"/>
              <w:right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97,808</w:t>
            </w:r>
          </w:p>
        </w:tc>
        <w:tc>
          <w:tcPr>
            <w:tcW w:w="98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500,000</w:t>
            </w:r>
          </w:p>
        </w:tc>
        <w:tc>
          <w:tcPr>
            <w:tcW w:w="1060" w:type="dxa"/>
            <w:vAlign w:val="bottom"/>
            <w:tcBorders>
              <w:bottom w:val="single" w:sz="8" w:color="auto"/>
              <w:right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24,999,992</w:t>
            </w:r>
          </w:p>
        </w:tc>
        <w:tc>
          <w:tcPr>
            <w:tcW w:w="1400" w:type="dxa"/>
            <w:vAlign w:val="bottom"/>
            <w:tcBorders>
              <w:bottom w:val="single" w:sz="8" w:color="auto"/>
              <w:right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auto"/>
              <w:right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18,109</w:t>
            </w:r>
          </w:p>
        </w:tc>
        <w:tc>
          <w:tcPr>
            <w:tcW w:w="1080" w:type="dxa"/>
            <w:vAlign w:val="bottom"/>
            <w:tcBorders>
              <w:bottom w:val="single" w:sz="8" w:color="auto"/>
              <w:right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25,615,909</w:t>
            </w:r>
          </w:p>
        </w:tc>
      </w:tr>
      <w:tr>
        <w:trPr>
          <w:trHeight w:val="221"/>
        </w:trPr>
        <w:tc>
          <w:tcPr>
            <w:tcW w:w="1100" w:type="dxa"/>
            <w:vAlign w:val="bottom"/>
            <w:tcBorders>
              <w:left w:val="single" w:sz="8" w:color="auto"/>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r>
      <w:tr>
        <w:trPr>
          <w:trHeight w:val="154"/>
        </w:trPr>
        <w:tc>
          <w:tcPr>
            <w:tcW w:w="1100" w:type="dxa"/>
            <w:vAlign w:val="bottom"/>
            <w:tcBorders>
              <w:left w:val="single" w:sz="8" w:color="auto"/>
              <w:right w:val="single" w:sz="8" w:color="auto"/>
            </w:tcBorders>
          </w:tcPr>
          <w:p>
            <w:pPr>
              <w:spacing w:after="0"/>
              <w:rPr>
                <w:sz w:val="13"/>
                <w:szCs w:val="13"/>
                <w:color w:val="auto"/>
              </w:rPr>
            </w:pPr>
          </w:p>
        </w:tc>
        <w:tc>
          <w:tcPr>
            <w:tcW w:w="980" w:type="dxa"/>
            <w:vAlign w:val="bottom"/>
            <w:tcBorders>
              <w:right w:val="single" w:sz="8" w:color="auto"/>
            </w:tcBorders>
          </w:tcPr>
          <w:p>
            <w:pPr>
              <w:ind w:left="60"/>
              <w:spacing w:after="0" w:line="154" w:lineRule="exact"/>
              <w:rPr>
                <w:sz w:val="20"/>
                <w:szCs w:val="20"/>
                <w:color w:val="auto"/>
              </w:rPr>
            </w:pPr>
            <w:r>
              <w:rPr>
                <w:rFonts w:ascii="Times New Roman" w:cs="Times New Roman" w:eastAsia="Times New Roman" w:hAnsi="Times New Roman"/>
                <w:sz w:val="15"/>
                <w:szCs w:val="15"/>
                <w:color w:val="auto"/>
              </w:rPr>
              <w:t>President</w:t>
            </w:r>
          </w:p>
        </w:tc>
        <w:tc>
          <w:tcPr>
            <w:tcW w:w="56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r>
      <w:tr>
        <w:trPr>
          <w:trHeight w:val="181"/>
        </w:trPr>
        <w:tc>
          <w:tcPr>
            <w:tcW w:w="1100" w:type="dxa"/>
            <w:vAlign w:val="bottom"/>
            <w:tcBorders>
              <w:left w:val="single" w:sz="8" w:color="auto"/>
              <w:right w:val="single" w:sz="8" w:color="auto"/>
            </w:tcBorders>
          </w:tcPr>
          <w:p>
            <w:pPr>
              <w:spacing w:after="0"/>
              <w:rPr>
                <w:sz w:val="15"/>
                <w:szCs w:val="15"/>
                <w:color w:val="auto"/>
              </w:rPr>
            </w:pPr>
          </w:p>
        </w:tc>
        <w:tc>
          <w:tcPr>
            <w:tcW w:w="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and Chief</w:t>
            </w:r>
          </w:p>
        </w:tc>
        <w:tc>
          <w:tcPr>
            <w:tcW w:w="56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r>
      <w:tr>
        <w:trPr>
          <w:trHeight w:val="181"/>
        </w:trPr>
        <w:tc>
          <w:tcPr>
            <w:tcW w:w="11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David</w:t>
            </w:r>
          </w:p>
        </w:tc>
        <w:tc>
          <w:tcPr>
            <w:tcW w:w="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Executive</w:t>
            </w:r>
          </w:p>
        </w:tc>
        <w:tc>
          <w:tcPr>
            <w:tcW w:w="56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r>
      <w:tr>
        <w:trPr>
          <w:trHeight w:val="200"/>
        </w:trPr>
        <w:tc>
          <w:tcPr>
            <w:tcW w:w="11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DeStefano</w:t>
            </w:r>
          </w:p>
        </w:tc>
        <w:tc>
          <w:tcPr>
            <w:tcW w:w="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Officer</w:t>
            </w:r>
          </w:p>
        </w:tc>
        <w:tc>
          <w:tcPr>
            <w:tcW w:w="560" w:type="dxa"/>
            <w:vAlign w:val="bottom"/>
            <w:tcBorders>
              <w:bottom w:val="single" w:sz="8" w:color="auto"/>
              <w:right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2025</w:t>
            </w:r>
          </w:p>
        </w:tc>
        <w:tc>
          <w:tcPr>
            <w:tcW w:w="92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534,237</w:t>
            </w:r>
          </w:p>
        </w:tc>
        <w:tc>
          <w:tcPr>
            <w:tcW w:w="98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9,118,196</w:t>
            </w:r>
          </w:p>
        </w:tc>
        <w:tc>
          <w:tcPr>
            <w:tcW w:w="140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378,247</w:t>
            </w:r>
          </w:p>
        </w:tc>
        <w:tc>
          <w:tcPr>
            <w:tcW w:w="128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294,681</w:t>
            </w:r>
          </w:p>
        </w:tc>
        <w:tc>
          <w:tcPr>
            <w:tcW w:w="108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10,325,361</w:t>
            </w:r>
          </w:p>
        </w:tc>
      </w:tr>
      <w:tr>
        <w:trPr>
          <w:trHeight w:val="221"/>
        </w:trPr>
        <w:tc>
          <w:tcPr>
            <w:tcW w:w="1100" w:type="dxa"/>
            <w:vAlign w:val="bottom"/>
            <w:tcBorders>
              <w:left w:val="single" w:sz="8" w:color="auto"/>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2024</w:t>
            </w:r>
          </w:p>
        </w:tc>
        <w:tc>
          <w:tcPr>
            <w:tcW w:w="92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609,615</w:t>
            </w:r>
          </w:p>
        </w:tc>
        <w:tc>
          <w:tcPr>
            <w:tcW w:w="98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7,000,004</w:t>
            </w:r>
          </w:p>
        </w:tc>
        <w:tc>
          <w:tcPr>
            <w:tcW w:w="140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744,200</w:t>
            </w:r>
          </w:p>
        </w:tc>
        <w:tc>
          <w:tcPr>
            <w:tcW w:w="128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49,687</w:t>
            </w:r>
          </w:p>
        </w:tc>
        <w:tc>
          <w:tcPr>
            <w:tcW w:w="108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8,403,506</w:t>
            </w:r>
          </w:p>
        </w:tc>
      </w:tr>
      <w:tr>
        <w:trPr>
          <w:trHeight w:val="221"/>
        </w:trPr>
        <w:tc>
          <w:tcPr>
            <w:tcW w:w="1100" w:type="dxa"/>
            <w:vAlign w:val="bottom"/>
            <w:tcBorders>
              <w:left w:val="single" w:sz="8" w:color="auto"/>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2023</w:t>
            </w:r>
          </w:p>
        </w:tc>
        <w:tc>
          <w:tcPr>
            <w:tcW w:w="92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589,654</w:t>
            </w:r>
          </w:p>
        </w:tc>
        <w:tc>
          <w:tcPr>
            <w:tcW w:w="98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6,250,003</w:t>
            </w:r>
          </w:p>
        </w:tc>
        <w:tc>
          <w:tcPr>
            <w:tcW w:w="140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644,274</w:t>
            </w:r>
          </w:p>
        </w:tc>
        <w:tc>
          <w:tcPr>
            <w:tcW w:w="128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47,660</w:t>
            </w:r>
          </w:p>
        </w:tc>
        <w:tc>
          <w:tcPr>
            <w:tcW w:w="108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7,531,591</w:t>
            </w:r>
          </w:p>
        </w:tc>
      </w:tr>
      <w:tr>
        <w:trPr>
          <w:trHeight w:val="221"/>
        </w:trPr>
        <w:tc>
          <w:tcPr>
            <w:tcW w:w="1100" w:type="dxa"/>
            <w:vAlign w:val="bottom"/>
            <w:tcBorders>
              <w:left w:val="single" w:sz="8" w:color="auto"/>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r>
      <w:tr>
        <w:trPr>
          <w:trHeight w:val="202"/>
        </w:trPr>
        <w:tc>
          <w:tcPr>
            <w:tcW w:w="1100" w:type="dxa"/>
            <w:vAlign w:val="bottom"/>
            <w:tcBorders>
              <w:left w:val="single" w:sz="8" w:color="auto"/>
              <w:right w:val="single" w:sz="8" w:color="auto"/>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Chief</w:t>
            </w:r>
          </w:p>
        </w:tc>
        <w:tc>
          <w:tcPr>
            <w:tcW w:w="560" w:type="dxa"/>
            <w:vAlign w:val="bottom"/>
            <w:tcBorders>
              <w:right w:val="single" w:sz="8" w:color="auto"/>
            </w:tcBorders>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98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spacing w:after="0"/>
              <w:rPr>
                <w:sz w:val="17"/>
                <w:szCs w:val="17"/>
                <w:color w:val="auto"/>
              </w:rPr>
            </w:pPr>
          </w:p>
        </w:tc>
        <w:tc>
          <w:tcPr>
            <w:tcW w:w="1280" w:type="dxa"/>
            <w:vAlign w:val="bottom"/>
            <w:tcBorders>
              <w:right w:val="single" w:sz="8" w:color="auto"/>
            </w:tcBorders>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spacing w:after="0"/>
              <w:rPr>
                <w:sz w:val="17"/>
                <w:szCs w:val="17"/>
                <w:color w:val="auto"/>
              </w:rPr>
            </w:pPr>
          </w:p>
        </w:tc>
      </w:tr>
      <w:tr>
        <w:trPr>
          <w:trHeight w:val="181"/>
        </w:trPr>
        <w:tc>
          <w:tcPr>
            <w:tcW w:w="1100" w:type="dxa"/>
            <w:vAlign w:val="bottom"/>
            <w:tcBorders>
              <w:left w:val="single" w:sz="8" w:color="auto"/>
              <w:right w:val="single" w:sz="8" w:color="auto"/>
            </w:tcBorders>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Financial</w:t>
            </w:r>
          </w:p>
        </w:tc>
        <w:tc>
          <w:tcPr>
            <w:tcW w:w="560" w:type="dxa"/>
            <w:vAlign w:val="bottom"/>
            <w:tcBorders>
              <w:right w:val="single" w:sz="8" w:color="auto"/>
            </w:tcBorders>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1060" w:type="dxa"/>
            <w:vAlign w:val="bottom"/>
            <w:tcBorders>
              <w:right w:val="single" w:sz="8" w:color="auto"/>
            </w:tcBorders>
            <w:shd w:val="clear" w:color="auto" w:fill="CCEEFF"/>
          </w:tcPr>
          <w:p>
            <w:pPr>
              <w:spacing w:after="0"/>
              <w:rPr>
                <w:sz w:val="15"/>
                <w:szCs w:val="15"/>
                <w:color w:val="auto"/>
              </w:rPr>
            </w:pPr>
          </w:p>
        </w:tc>
        <w:tc>
          <w:tcPr>
            <w:tcW w:w="1400" w:type="dxa"/>
            <w:vAlign w:val="bottom"/>
            <w:tcBorders>
              <w:right w:val="single" w:sz="8" w:color="auto"/>
            </w:tcBorders>
            <w:shd w:val="clear" w:color="auto" w:fill="CCEEFF"/>
          </w:tcPr>
          <w:p>
            <w:pPr>
              <w:spacing w:after="0"/>
              <w:rPr>
                <w:sz w:val="15"/>
                <w:szCs w:val="15"/>
                <w:color w:val="auto"/>
              </w:rPr>
            </w:pPr>
          </w:p>
        </w:tc>
        <w:tc>
          <w:tcPr>
            <w:tcW w:w="1280" w:type="dxa"/>
            <w:vAlign w:val="bottom"/>
            <w:tcBorders>
              <w:right w:val="single" w:sz="8" w:color="auto"/>
            </w:tcBorders>
            <w:shd w:val="clear" w:color="auto" w:fill="CCEEFF"/>
          </w:tcPr>
          <w:p>
            <w:pPr>
              <w:spacing w:after="0"/>
              <w:rPr>
                <w:sz w:val="15"/>
                <w:szCs w:val="15"/>
                <w:color w:val="auto"/>
              </w:rPr>
            </w:pPr>
          </w:p>
        </w:tc>
        <w:tc>
          <w:tcPr>
            <w:tcW w:w="1080" w:type="dxa"/>
            <w:vAlign w:val="bottom"/>
            <w:tcBorders>
              <w:right w:val="single" w:sz="8" w:color="auto"/>
            </w:tcBorders>
            <w:shd w:val="clear" w:color="auto" w:fill="CCEEFF"/>
          </w:tcPr>
          <w:p>
            <w:pPr>
              <w:spacing w:after="0"/>
              <w:rPr>
                <w:sz w:val="15"/>
                <w:szCs w:val="15"/>
                <w:color w:val="auto"/>
              </w:rPr>
            </w:pPr>
          </w:p>
        </w:tc>
      </w:tr>
      <w:tr>
        <w:trPr>
          <w:trHeight w:val="200"/>
        </w:trPr>
        <w:tc>
          <w:tcPr>
            <w:tcW w:w="11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John Schwab</w:t>
            </w:r>
          </w:p>
        </w:tc>
        <w:tc>
          <w:tcPr>
            <w:tcW w:w="9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Officer</w:t>
            </w:r>
          </w:p>
        </w:tc>
        <w:tc>
          <w:tcPr>
            <w:tcW w:w="560" w:type="dxa"/>
            <w:vAlign w:val="bottom"/>
            <w:tcBorders>
              <w:bottom w:val="single" w:sz="8" w:color="auto"/>
              <w:right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2025</w:t>
            </w:r>
          </w:p>
        </w:tc>
        <w:tc>
          <w:tcPr>
            <w:tcW w:w="920" w:type="dxa"/>
            <w:vAlign w:val="bottom"/>
            <w:tcBorders>
              <w:bottom w:val="single" w:sz="8" w:color="auto"/>
              <w:right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481,000</w:t>
            </w:r>
          </w:p>
        </w:tc>
        <w:tc>
          <w:tcPr>
            <w:tcW w:w="980" w:type="dxa"/>
            <w:vAlign w:val="bottom"/>
            <w:tcBorders>
              <w:bottom w:val="single" w:sz="8" w:color="auto"/>
              <w:right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right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2,886,031</w:t>
            </w:r>
          </w:p>
        </w:tc>
        <w:tc>
          <w:tcPr>
            <w:tcW w:w="1400" w:type="dxa"/>
            <w:vAlign w:val="bottom"/>
            <w:tcBorders>
              <w:bottom w:val="single" w:sz="8" w:color="auto"/>
              <w:right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238,384</w:t>
            </w:r>
          </w:p>
        </w:tc>
        <w:tc>
          <w:tcPr>
            <w:tcW w:w="1280" w:type="dxa"/>
            <w:vAlign w:val="bottom"/>
            <w:tcBorders>
              <w:bottom w:val="single" w:sz="8" w:color="auto"/>
              <w:right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59,350</w:t>
            </w:r>
          </w:p>
        </w:tc>
        <w:tc>
          <w:tcPr>
            <w:tcW w:w="1080" w:type="dxa"/>
            <w:vAlign w:val="bottom"/>
            <w:tcBorders>
              <w:bottom w:val="single" w:sz="8" w:color="auto"/>
              <w:right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3,664,765</w:t>
            </w:r>
          </w:p>
        </w:tc>
      </w:tr>
      <w:tr>
        <w:trPr>
          <w:trHeight w:val="221"/>
        </w:trPr>
        <w:tc>
          <w:tcPr>
            <w:tcW w:w="11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spacing w:after="0"/>
              <w:rPr>
                <w:sz w:val="19"/>
                <w:szCs w:val="19"/>
                <w:color w:val="auto"/>
              </w:rPr>
            </w:pPr>
          </w:p>
        </w:tc>
        <w:tc>
          <w:tcPr>
            <w:tcW w:w="560" w:type="dxa"/>
            <w:vAlign w:val="bottom"/>
            <w:tcBorders>
              <w:bottom w:val="single" w:sz="8" w:color="auto"/>
              <w:right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2024</w:t>
            </w:r>
          </w:p>
        </w:tc>
        <w:tc>
          <w:tcPr>
            <w:tcW w:w="920" w:type="dxa"/>
            <w:vAlign w:val="bottom"/>
            <w:tcBorders>
              <w:bottom w:val="single" w:sz="8" w:color="auto"/>
              <w:right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480,731</w:t>
            </w:r>
          </w:p>
        </w:tc>
        <w:tc>
          <w:tcPr>
            <w:tcW w:w="980" w:type="dxa"/>
            <w:vAlign w:val="bottom"/>
            <w:tcBorders>
              <w:bottom w:val="single" w:sz="8" w:color="auto"/>
              <w:right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right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2,405,019</w:t>
            </w:r>
          </w:p>
        </w:tc>
        <w:tc>
          <w:tcPr>
            <w:tcW w:w="1400" w:type="dxa"/>
            <w:vAlign w:val="bottom"/>
            <w:tcBorders>
              <w:bottom w:val="single" w:sz="8" w:color="auto"/>
              <w:right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352,092</w:t>
            </w:r>
          </w:p>
        </w:tc>
        <w:tc>
          <w:tcPr>
            <w:tcW w:w="1280" w:type="dxa"/>
            <w:vAlign w:val="bottom"/>
            <w:tcBorders>
              <w:bottom w:val="single" w:sz="8" w:color="auto"/>
              <w:right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58,485</w:t>
            </w:r>
          </w:p>
        </w:tc>
        <w:tc>
          <w:tcPr>
            <w:tcW w:w="1080" w:type="dxa"/>
            <w:vAlign w:val="bottom"/>
            <w:tcBorders>
              <w:bottom w:val="single" w:sz="8" w:color="auto"/>
              <w:right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3,296,327</w:t>
            </w:r>
          </w:p>
        </w:tc>
      </w:tr>
      <w:tr>
        <w:trPr>
          <w:trHeight w:val="221"/>
        </w:trPr>
        <w:tc>
          <w:tcPr>
            <w:tcW w:w="110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shd w:val="clear" w:color="auto" w:fill="CCEEFF"/>
          </w:tcPr>
          <w:p>
            <w:pPr>
              <w:spacing w:after="0"/>
              <w:rPr>
                <w:sz w:val="19"/>
                <w:szCs w:val="19"/>
                <w:color w:val="auto"/>
              </w:rPr>
            </w:pPr>
          </w:p>
        </w:tc>
        <w:tc>
          <w:tcPr>
            <w:tcW w:w="560" w:type="dxa"/>
            <w:vAlign w:val="bottom"/>
            <w:tcBorders>
              <w:bottom w:val="single" w:sz="8" w:color="auto"/>
              <w:right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2023</w:t>
            </w:r>
          </w:p>
        </w:tc>
        <w:tc>
          <w:tcPr>
            <w:tcW w:w="920" w:type="dxa"/>
            <w:vAlign w:val="bottom"/>
            <w:tcBorders>
              <w:bottom w:val="single" w:sz="8" w:color="auto"/>
              <w:right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466,746</w:t>
            </w:r>
          </w:p>
        </w:tc>
        <w:tc>
          <w:tcPr>
            <w:tcW w:w="980" w:type="dxa"/>
            <w:vAlign w:val="bottom"/>
            <w:tcBorders>
              <w:bottom w:val="single" w:sz="8" w:color="auto"/>
              <w:right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right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1,868,000</w:t>
            </w:r>
          </w:p>
        </w:tc>
        <w:tc>
          <w:tcPr>
            <w:tcW w:w="1400" w:type="dxa"/>
            <w:vAlign w:val="bottom"/>
            <w:tcBorders>
              <w:bottom w:val="single" w:sz="8" w:color="auto"/>
              <w:right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305,988</w:t>
            </w:r>
          </w:p>
        </w:tc>
        <w:tc>
          <w:tcPr>
            <w:tcW w:w="1280" w:type="dxa"/>
            <w:vAlign w:val="bottom"/>
            <w:tcBorders>
              <w:bottom w:val="single" w:sz="8" w:color="auto"/>
              <w:right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55,805</w:t>
            </w:r>
          </w:p>
        </w:tc>
        <w:tc>
          <w:tcPr>
            <w:tcW w:w="1080" w:type="dxa"/>
            <w:vAlign w:val="bottom"/>
            <w:tcBorders>
              <w:bottom w:val="single" w:sz="8" w:color="auto"/>
              <w:right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2,696,539</w:t>
            </w:r>
          </w:p>
        </w:tc>
      </w:tr>
      <w:tr>
        <w:trPr>
          <w:trHeight w:val="221"/>
        </w:trPr>
        <w:tc>
          <w:tcPr>
            <w:tcW w:w="1100" w:type="dxa"/>
            <w:vAlign w:val="bottom"/>
            <w:tcBorders>
              <w:left w:val="single" w:sz="8" w:color="auto"/>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r>
      <w:tr>
        <w:trPr>
          <w:trHeight w:val="154"/>
        </w:trPr>
        <w:tc>
          <w:tcPr>
            <w:tcW w:w="1100" w:type="dxa"/>
            <w:vAlign w:val="bottom"/>
            <w:tcBorders>
              <w:left w:val="single" w:sz="8" w:color="auto"/>
              <w:right w:val="single" w:sz="8" w:color="auto"/>
            </w:tcBorders>
          </w:tcPr>
          <w:p>
            <w:pPr>
              <w:spacing w:after="0"/>
              <w:rPr>
                <w:sz w:val="13"/>
                <w:szCs w:val="13"/>
                <w:color w:val="auto"/>
              </w:rPr>
            </w:pPr>
          </w:p>
        </w:tc>
        <w:tc>
          <w:tcPr>
            <w:tcW w:w="98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5"/>
                <w:szCs w:val="15"/>
                <w:color w:val="auto"/>
              </w:rPr>
              <w:t>Senior Vice</w:t>
            </w:r>
          </w:p>
        </w:tc>
        <w:tc>
          <w:tcPr>
            <w:tcW w:w="56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r>
      <w:tr>
        <w:trPr>
          <w:trHeight w:val="181"/>
        </w:trPr>
        <w:tc>
          <w:tcPr>
            <w:tcW w:w="1100" w:type="dxa"/>
            <w:vAlign w:val="bottom"/>
            <w:tcBorders>
              <w:left w:val="single" w:sz="8" w:color="auto"/>
              <w:right w:val="single" w:sz="8" w:color="auto"/>
            </w:tcBorders>
          </w:tcPr>
          <w:p>
            <w:pPr>
              <w:spacing w:after="0"/>
              <w:rPr>
                <w:sz w:val="15"/>
                <w:szCs w:val="15"/>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President,</w:t>
            </w:r>
          </w:p>
        </w:tc>
        <w:tc>
          <w:tcPr>
            <w:tcW w:w="56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r>
      <w:tr>
        <w:trPr>
          <w:trHeight w:val="181"/>
        </w:trPr>
        <w:tc>
          <w:tcPr>
            <w:tcW w:w="1100" w:type="dxa"/>
            <w:vAlign w:val="bottom"/>
            <w:tcBorders>
              <w:left w:val="single" w:sz="8" w:color="auto"/>
              <w:right w:val="single" w:sz="8" w:color="auto"/>
            </w:tcBorders>
          </w:tcPr>
          <w:p>
            <w:pPr>
              <w:spacing w:after="0"/>
              <w:rPr>
                <w:sz w:val="15"/>
                <w:szCs w:val="15"/>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General</w:t>
            </w:r>
          </w:p>
        </w:tc>
        <w:tc>
          <w:tcPr>
            <w:tcW w:w="56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r>
      <w:tr>
        <w:trPr>
          <w:trHeight w:val="181"/>
        </w:trPr>
        <w:tc>
          <w:tcPr>
            <w:tcW w:w="11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Bryan</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Counsel and</w:t>
            </w:r>
          </w:p>
        </w:tc>
        <w:tc>
          <w:tcPr>
            <w:tcW w:w="56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r>
      <w:tr>
        <w:trPr>
          <w:trHeight w:val="200"/>
        </w:trPr>
        <w:tc>
          <w:tcPr>
            <w:tcW w:w="11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Rowland</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Secretary</w:t>
            </w:r>
          </w:p>
        </w:tc>
        <w:tc>
          <w:tcPr>
            <w:tcW w:w="560" w:type="dxa"/>
            <w:vAlign w:val="bottom"/>
            <w:tcBorders>
              <w:bottom w:val="single" w:sz="8" w:color="auto"/>
              <w:right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2025</w:t>
            </w:r>
          </w:p>
        </w:tc>
        <w:tc>
          <w:tcPr>
            <w:tcW w:w="92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360,500</w:t>
            </w:r>
          </w:p>
        </w:tc>
        <w:tc>
          <w:tcPr>
            <w:tcW w:w="98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540,781</w:t>
            </w:r>
          </w:p>
        </w:tc>
        <w:tc>
          <w:tcPr>
            <w:tcW w:w="140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102,094</w:t>
            </w:r>
          </w:p>
        </w:tc>
        <w:tc>
          <w:tcPr>
            <w:tcW w:w="128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56,053</w:t>
            </w:r>
          </w:p>
        </w:tc>
        <w:tc>
          <w:tcPr>
            <w:tcW w:w="108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1,059,428</w:t>
            </w:r>
          </w:p>
        </w:tc>
      </w:tr>
      <w:tr>
        <w:trPr>
          <w:trHeight w:val="221"/>
        </w:trPr>
        <w:tc>
          <w:tcPr>
            <w:tcW w:w="1100" w:type="dxa"/>
            <w:vAlign w:val="bottom"/>
            <w:tcBorders>
              <w:left w:val="single" w:sz="8" w:color="auto"/>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2024</w:t>
            </w:r>
          </w:p>
        </w:tc>
        <w:tc>
          <w:tcPr>
            <w:tcW w:w="92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342,440</w:t>
            </w:r>
          </w:p>
        </w:tc>
        <w:tc>
          <w:tcPr>
            <w:tcW w:w="98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416,085</w:t>
            </w:r>
          </w:p>
        </w:tc>
        <w:tc>
          <w:tcPr>
            <w:tcW w:w="140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167,462</w:t>
            </w:r>
          </w:p>
        </w:tc>
        <w:tc>
          <w:tcPr>
            <w:tcW w:w="128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55,727</w:t>
            </w:r>
          </w:p>
        </w:tc>
        <w:tc>
          <w:tcPr>
            <w:tcW w:w="108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981,714</w:t>
            </w:r>
          </w:p>
        </w:tc>
      </w:tr>
      <w:tr>
        <w:trPr>
          <w:trHeight w:val="221"/>
        </w:trPr>
        <w:tc>
          <w:tcPr>
            <w:tcW w:w="1100" w:type="dxa"/>
            <w:vAlign w:val="bottom"/>
            <w:tcBorders>
              <w:left w:val="single" w:sz="8" w:color="auto"/>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2023</w:t>
            </w:r>
          </w:p>
        </w:tc>
        <w:tc>
          <w:tcPr>
            <w:tcW w:w="92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316,770</w:t>
            </w:r>
          </w:p>
        </w:tc>
        <w:tc>
          <w:tcPr>
            <w:tcW w:w="98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396,253</w:t>
            </w:r>
          </w:p>
        </w:tc>
        <w:tc>
          <w:tcPr>
            <w:tcW w:w="140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138,445</w:t>
            </w:r>
          </w:p>
        </w:tc>
        <w:tc>
          <w:tcPr>
            <w:tcW w:w="128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52,541</w:t>
            </w:r>
          </w:p>
        </w:tc>
        <w:tc>
          <w:tcPr>
            <w:tcW w:w="108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904,009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184150</wp:posOffset>
            </wp:positionV>
            <wp:extent cx="157797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77975" cy="7620"/>
                    </a:xfrm>
                    <a:prstGeom prst="rect">
                      <a:avLst/>
                    </a:prstGeom>
                    <a:noFill/>
                  </pic:spPr>
                </pic:pic>
              </a:graphicData>
            </a:graphic>
          </wp:anchor>
        </w:drawing>
      </w:r>
    </w:p>
    <w:p>
      <w:pPr>
        <w:spacing w:after="0" w:line="358" w:lineRule="exact"/>
        <w:rPr>
          <w:sz w:val="20"/>
          <w:szCs w:val="20"/>
          <w:color w:val="auto"/>
        </w:rPr>
      </w:pPr>
    </w:p>
    <w:p>
      <w:pPr>
        <w:jc w:val="both"/>
        <w:ind w:left="320" w:right="80" w:hanging="261"/>
        <w:spacing w:after="0" w:line="168" w:lineRule="exact"/>
        <w:tabs>
          <w:tab w:leader="none" w:pos="3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Young, the amount shown includes a one-time $500,000 sign-on bonus paid in connection with the commencement of his employment as President and Chief Executive Officer. The signing bonus is subject to repayment in full if Mr. Young terminates his employment other than for good reason or is terminated by the Company for cause prior to the 24</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month anniversary of his employment start date.</w:t>
      </w:r>
    </w:p>
    <w:p>
      <w:pPr>
        <w:spacing w:after="0" w:line="4" w:lineRule="exact"/>
        <w:rPr>
          <w:rFonts w:ascii="Times New Roman" w:cs="Times New Roman" w:eastAsia="Times New Roman" w:hAnsi="Times New Roman"/>
          <w:sz w:val="13"/>
          <w:szCs w:val="13"/>
          <w:color w:val="auto"/>
        </w:rPr>
      </w:pPr>
    </w:p>
    <w:p>
      <w:pPr>
        <w:jc w:val="both"/>
        <w:ind w:left="320" w:right="80" w:hanging="261"/>
        <w:spacing w:after="0" w:line="271" w:lineRule="auto"/>
        <w:tabs>
          <w:tab w:leader="none" w:pos="3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reflect the full grant-date fair value of stock awards granted during fiscal 2025 computed in accordance with ASC Topic 718, rather than the amounts paid to or realized by the named individual. We provide information regarding the assumptions used to calculate the value of all stock awards made to executive officers in Note 13 to the consolidated financial statements included in our 2025 Annual Report on Form 10-K. For Mr. DeStefano, the amount shown also reflects the incremental fair value, computed as of the modification date in accordance with FASB ASC Topic 718, associated with continued vesting of his restricted stock units.</w:t>
      </w:r>
    </w:p>
    <w:p>
      <w:pPr>
        <w:ind w:left="360" w:right="80" w:hanging="301"/>
        <w:spacing w:after="0" w:line="271" w:lineRule="auto"/>
        <w:tabs>
          <w:tab w:leader="none" w:pos="328"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in this column represent cash incentive compensation earned during the year based on the attainment of pre-established performance objectives under our annual VOB Plan. For additional information, see “Cash-Based Incentive Compensation” above. Mr. DeStefano’s bonus payment for 2025 was prorated based on his time as CEO during the year.</w:t>
      </w:r>
    </w:p>
    <w:p>
      <w:pPr>
        <w:jc w:val="both"/>
        <w:ind w:left="320" w:right="80" w:hanging="261"/>
        <w:spacing w:after="0" w:line="268" w:lineRule="auto"/>
        <w:tabs>
          <w:tab w:leader="none" w:pos="3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in this column represent the 2025 additional perquisites and supplemental benefits provided to our named executive officers that are not reported in the other columns of this table. For Mr. Young, the amount shown includes premium payments for long-term disability and life insurance in the amount of $971, 401(k) plan matching contributions in the amount of $12,697, and healthcare plan cost in the amount of $4,441. For Mr. DeStefano, the amount shown includes premium payments for long-term disability and life insurance in the amount of $10,814, 401(k) plan matching contributions in the amount of $21,000, healthcare plan cost in the amount of $15,967, cash fees for service on the Board of Directors in the amount of $11,900, and $235,000 for consulting services pursuant to his Retirement Agreement. For Mr. Schwab, the amount shown includes premium payments for long-term disability and life insurance in the amount of $10,895,</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ind w:left="320"/>
        <w:spacing w:after="0" w:line="275" w:lineRule="auto"/>
        <w:rPr>
          <w:sz w:val="20"/>
          <w:szCs w:val="20"/>
          <w:color w:val="auto"/>
        </w:rPr>
      </w:pPr>
      <w:r>
        <w:rPr>
          <w:rFonts w:ascii="Times New Roman" w:cs="Times New Roman" w:eastAsia="Times New Roman" w:hAnsi="Times New Roman"/>
          <w:sz w:val="13"/>
          <w:szCs w:val="13"/>
          <w:color w:val="auto"/>
        </w:rPr>
        <w:t>401(k) plan matching contributions in the amount of $21,000, and healthcare plan cost in the amount of $27,455. For Mr. Rowland, the amount shown includes premium payments for long-term disability and life insurance in the amount of $8,028, 401(k) plan matching contributions in the amount of $21,000, and healthcare plan cost in the amount of $27,025. For additional information about the amounts set forth in this column, see “—Other Benefits” above.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840"/>
          </w:cols>
          <w:pgMar w:left="980" w:top="473" w:right="10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Grants of Plan-Based Awards in Fiscal 2025</w:t>
      </w:r>
    </w:p>
    <w:p>
      <w:pPr>
        <w:spacing w:after="0" w:line="1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The following table provides supplemental information relating to grants of plan-based awards made during fiscal 2025 to help explain information provided above in our Summary Compensation Table. This table presents information regarding all grants of plan-based awards occurring during fiscal 2025.</w:t>
      </w:r>
    </w:p>
    <w:p>
      <w:pPr>
        <w:spacing w:after="0" w:line="152" w:lineRule="exact"/>
        <w:rPr>
          <w:sz w:val="20"/>
          <w:szCs w:val="20"/>
          <w:color w:val="auto"/>
        </w:rPr>
      </w:pPr>
    </w:p>
    <w:tbl>
      <w:tblPr>
        <w:tblLayout w:type="fixed"/>
        <w:tblInd w:w="350" w:type="dxa"/>
        <w:tblCellMar>
          <w:top w:w="0" w:type="dxa"/>
          <w:left w:w="0" w:type="dxa"/>
          <w:bottom w:w="0" w:type="dxa"/>
          <w:right w:w="0" w:type="dxa"/>
        </w:tblCellMar>
      </w:tblPr>
      <w:tr>
        <w:trPr>
          <w:trHeight w:val="401"/>
        </w:trPr>
        <w:tc>
          <w:tcPr>
            <w:tcW w:w="1580" w:type="dxa"/>
            <w:vAlign w:val="bottom"/>
            <w:tcBorders>
              <w:top w:val="single" w:sz="8" w:color="auto"/>
              <w:left w:val="single" w:sz="8" w:color="auto"/>
              <w:right w:val="single" w:sz="8" w:color="auto"/>
            </w:tcBorders>
          </w:tcPr>
          <w:p>
            <w:pPr>
              <w:spacing w:after="0"/>
              <w:rPr>
                <w:sz w:val="24"/>
                <w:szCs w:val="24"/>
                <w:color w:val="auto"/>
              </w:rPr>
            </w:pPr>
          </w:p>
        </w:tc>
        <w:tc>
          <w:tcPr>
            <w:tcW w:w="1240" w:type="dxa"/>
            <w:vAlign w:val="bottom"/>
            <w:tcBorders>
              <w:top w:val="single" w:sz="8" w:color="auto"/>
              <w:right w:val="single" w:sz="8" w:color="auto"/>
            </w:tcBorders>
          </w:tcPr>
          <w:p>
            <w:pPr>
              <w:spacing w:after="0"/>
              <w:rPr>
                <w:sz w:val="24"/>
                <w:szCs w:val="24"/>
                <w:color w:val="auto"/>
              </w:rPr>
            </w:pPr>
          </w:p>
        </w:tc>
        <w:tc>
          <w:tcPr>
            <w:tcW w:w="3200" w:type="dxa"/>
            <w:vAlign w:val="bottom"/>
            <w:tcBorders>
              <w:top w:val="single" w:sz="8" w:color="auto"/>
              <w:right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Estimated Future Payouts Under Non-Equity</w:t>
            </w:r>
          </w:p>
        </w:tc>
        <w:tc>
          <w:tcPr>
            <w:tcW w:w="1660" w:type="dxa"/>
            <w:vAlign w:val="bottom"/>
            <w:tcBorders>
              <w:top w:val="single" w:sz="8" w:color="auto"/>
              <w:right w:val="single" w:sz="8" w:color="auto"/>
            </w:tcBorders>
          </w:tcPr>
          <w:p>
            <w:pPr>
              <w:spacing w:after="0"/>
              <w:rPr>
                <w:sz w:val="24"/>
                <w:szCs w:val="24"/>
                <w:color w:val="auto"/>
              </w:rPr>
            </w:pPr>
          </w:p>
        </w:tc>
        <w:tc>
          <w:tcPr>
            <w:tcW w:w="16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580" w:type="dxa"/>
            <w:vAlign w:val="bottom"/>
            <w:tcBorders>
              <w:left w:val="single" w:sz="8" w:color="auto"/>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gridSpan w:val="3"/>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Incentive Plan Awards(1)</w:t>
            </w:r>
          </w:p>
        </w:tc>
        <w:tc>
          <w:tcPr>
            <w:tcW w:w="166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8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 Stock Awards:</w:t>
            </w:r>
          </w:p>
        </w:tc>
        <w:tc>
          <w:tcPr>
            <w:tcW w:w="1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580" w:type="dxa"/>
            <w:vAlign w:val="bottom"/>
            <w:tcBorders>
              <w:left w:val="single" w:sz="8" w:color="auto"/>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06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vMerge w:val="continue"/>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58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3"/>
        </w:trPr>
        <w:tc>
          <w:tcPr>
            <w:tcW w:w="1580" w:type="dxa"/>
            <w:vAlign w:val="bottom"/>
            <w:tcBorders>
              <w:left w:val="single" w:sz="8" w:color="auto"/>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Threshold</w:t>
            </w:r>
          </w:p>
        </w:tc>
        <w:tc>
          <w:tcPr>
            <w:tcW w:w="1140" w:type="dxa"/>
            <w:vAlign w:val="bottom"/>
            <w:tcBorders>
              <w:right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Target</w:t>
            </w:r>
          </w:p>
        </w:tc>
        <w:tc>
          <w:tcPr>
            <w:tcW w:w="10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or Units</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Stock and Option</w:t>
            </w:r>
          </w:p>
        </w:tc>
        <w:tc>
          <w:tcPr>
            <w:tcW w:w="0" w:type="dxa"/>
            <w:vAlign w:val="bottom"/>
          </w:tcPr>
          <w:p>
            <w:pPr>
              <w:spacing w:after="0"/>
              <w:rPr>
                <w:sz w:val="1"/>
                <w:szCs w:val="1"/>
                <w:color w:val="auto"/>
              </w:rPr>
            </w:pPr>
          </w:p>
        </w:tc>
      </w:tr>
      <w:tr>
        <w:trPr>
          <w:trHeight w:val="207"/>
        </w:trPr>
        <w:tc>
          <w:tcPr>
            <w:tcW w:w="1580" w:type="dxa"/>
            <w:vAlign w:val="bottom"/>
            <w:tcBorders>
              <w:left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60" w:type="dxa"/>
            <w:vAlign w:val="bottom"/>
            <w:tcBorders>
              <w:bottom w:val="single" w:sz="8" w:color="auto"/>
              <w:right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right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Maximum ($)</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($)(3)</w:t>
            </w:r>
          </w:p>
        </w:tc>
        <w:tc>
          <w:tcPr>
            <w:tcW w:w="0" w:type="dxa"/>
            <w:vAlign w:val="bottom"/>
          </w:tcPr>
          <w:p>
            <w:pPr>
              <w:spacing w:after="0"/>
              <w:rPr>
                <w:sz w:val="1"/>
                <w:szCs w:val="1"/>
                <w:color w:val="auto"/>
              </w:rPr>
            </w:pPr>
          </w:p>
        </w:tc>
      </w:tr>
      <w:tr>
        <w:trPr>
          <w:trHeight w:val="183"/>
        </w:trPr>
        <w:tc>
          <w:tcPr>
            <w:tcW w:w="1580" w:type="dxa"/>
            <w:vAlign w:val="bottom"/>
            <w:tcBorders>
              <w:left w:val="single" w:sz="8" w:color="auto"/>
              <w:bottom w:val="single" w:sz="8" w:color="CCEEFF"/>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Christopher Young</w:t>
            </w:r>
          </w:p>
        </w:tc>
        <w:tc>
          <w:tcPr>
            <w:tcW w:w="1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12/01/2025</w:t>
            </w:r>
          </w:p>
        </w:tc>
        <w:tc>
          <w:tcPr>
            <w:tcW w:w="1060" w:type="dxa"/>
            <w:vAlign w:val="bottom"/>
            <w:tcBorders>
              <w:bottom w:val="single" w:sz="8" w:color="auto"/>
              <w:right w:val="single" w:sz="8" w:color="auto"/>
            </w:tcBorders>
            <w:shd w:val="clear" w:color="auto" w:fill="CCEEFF"/>
          </w:tcPr>
          <w:p>
            <w:pPr>
              <w:spacing w:after="0"/>
              <w:rPr>
                <w:sz w:val="15"/>
                <w:szCs w:val="15"/>
                <w:color w:val="auto"/>
              </w:rPr>
            </w:pPr>
          </w:p>
        </w:tc>
        <w:tc>
          <w:tcPr>
            <w:tcW w:w="1140" w:type="dxa"/>
            <w:vAlign w:val="bottom"/>
            <w:tcBorders>
              <w:bottom w:val="single" w:sz="8" w:color="auto"/>
              <w:right w:val="single" w:sz="8" w:color="auto"/>
            </w:tcBorders>
            <w:shd w:val="clear" w:color="auto" w:fill="CCEEFF"/>
          </w:tcPr>
          <w:p>
            <w:pPr>
              <w:spacing w:after="0"/>
              <w:rPr>
                <w:sz w:val="15"/>
                <w:szCs w:val="15"/>
                <w:color w:val="auto"/>
              </w:rPr>
            </w:pPr>
          </w:p>
        </w:tc>
        <w:tc>
          <w:tcPr>
            <w:tcW w:w="1000" w:type="dxa"/>
            <w:vAlign w:val="bottom"/>
            <w:tcBorders>
              <w:bottom w:val="single" w:sz="8" w:color="auto"/>
              <w:right w:val="single" w:sz="8" w:color="auto"/>
            </w:tcBorders>
            <w:shd w:val="clear" w:color="auto" w:fill="CCEEFF"/>
          </w:tcPr>
          <w:p>
            <w:pPr>
              <w:spacing w:after="0"/>
              <w:rPr>
                <w:sz w:val="15"/>
                <w:szCs w:val="15"/>
                <w:color w:val="auto"/>
              </w:rPr>
            </w:pP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1,300,728</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24,999,992</w:t>
            </w:r>
          </w:p>
        </w:tc>
        <w:tc>
          <w:tcPr>
            <w:tcW w:w="0" w:type="dxa"/>
            <w:vAlign w:val="bottom"/>
          </w:tcPr>
          <w:p>
            <w:pPr>
              <w:spacing w:after="0"/>
              <w:rPr>
                <w:sz w:val="1"/>
                <w:szCs w:val="1"/>
                <w:color w:val="auto"/>
              </w:rPr>
            </w:pPr>
          </w:p>
        </w:tc>
      </w:tr>
      <w:tr>
        <w:trPr>
          <w:trHeight w:val="54"/>
        </w:trPr>
        <w:tc>
          <w:tcPr>
            <w:tcW w:w="1580" w:type="dxa"/>
            <w:vAlign w:val="bottom"/>
            <w:tcBorders>
              <w:left w:val="single" w:sz="8" w:color="auto"/>
              <w:right w:val="single" w:sz="8" w:color="auto"/>
            </w:tcBorders>
            <w:vMerge w:val="continue"/>
            <w:shd w:val="clear" w:color="auto" w:fill="CCEEFF"/>
          </w:tcPr>
          <w:p>
            <w:pPr>
              <w:spacing w:after="0"/>
              <w:rPr>
                <w:sz w:val="4"/>
                <w:szCs w:val="4"/>
                <w:color w:val="auto"/>
              </w:rPr>
            </w:pPr>
          </w:p>
        </w:tc>
        <w:tc>
          <w:tcPr>
            <w:tcW w:w="1240" w:type="dxa"/>
            <w:vAlign w:val="bottom"/>
            <w:tcBorders>
              <w:right w:val="single" w:sz="8" w:color="auto"/>
            </w:tcBorders>
            <w:shd w:val="clear" w:color="auto" w:fill="CCEEFF"/>
          </w:tcPr>
          <w:p>
            <w:pPr>
              <w:spacing w:after="0"/>
              <w:rPr>
                <w:sz w:val="4"/>
                <w:szCs w:val="4"/>
                <w:color w:val="auto"/>
              </w:rPr>
            </w:pPr>
          </w:p>
        </w:tc>
        <w:tc>
          <w:tcPr>
            <w:tcW w:w="1060" w:type="dxa"/>
            <w:vAlign w:val="bottom"/>
            <w:tcBorders>
              <w:right w:val="single" w:sz="8" w:color="auto"/>
            </w:tcBorders>
            <w:shd w:val="clear" w:color="auto" w:fill="CCEEFF"/>
          </w:tcPr>
          <w:p>
            <w:pPr>
              <w:spacing w:after="0"/>
              <w:rPr>
                <w:sz w:val="4"/>
                <w:szCs w:val="4"/>
                <w:color w:val="auto"/>
              </w:rPr>
            </w:pPr>
          </w:p>
        </w:tc>
        <w:tc>
          <w:tcPr>
            <w:tcW w:w="1140" w:type="dxa"/>
            <w:vAlign w:val="bottom"/>
            <w:tcBorders>
              <w:right w:val="single" w:sz="8" w:color="auto"/>
            </w:tcBorders>
            <w:shd w:val="clear" w:color="auto" w:fill="CCEEFF"/>
          </w:tcPr>
          <w:p>
            <w:pPr>
              <w:spacing w:after="0"/>
              <w:rPr>
                <w:sz w:val="4"/>
                <w:szCs w:val="4"/>
                <w:color w:val="auto"/>
              </w:rPr>
            </w:pPr>
          </w:p>
        </w:tc>
        <w:tc>
          <w:tcPr>
            <w:tcW w:w="1000" w:type="dxa"/>
            <w:vAlign w:val="bottom"/>
            <w:tcBorders>
              <w:right w:val="single" w:sz="8" w:color="auto"/>
            </w:tcBorders>
            <w:shd w:val="clear" w:color="auto" w:fill="CCEEFF"/>
          </w:tcPr>
          <w:p>
            <w:pPr>
              <w:spacing w:after="0"/>
              <w:rPr>
                <w:sz w:val="4"/>
                <w:szCs w:val="4"/>
                <w:color w:val="auto"/>
              </w:rPr>
            </w:pPr>
          </w:p>
        </w:tc>
        <w:tc>
          <w:tcPr>
            <w:tcW w:w="1660" w:type="dxa"/>
            <w:vAlign w:val="bottom"/>
            <w:tcBorders>
              <w:right w:val="single" w:sz="8" w:color="auto"/>
            </w:tcBorders>
            <w:shd w:val="clear" w:color="auto" w:fill="CCEEFF"/>
          </w:tcPr>
          <w:p>
            <w:pPr>
              <w:spacing w:after="0"/>
              <w:rPr>
                <w:sz w:val="4"/>
                <w:szCs w:val="4"/>
                <w:color w:val="auto"/>
              </w:rPr>
            </w:pPr>
          </w:p>
        </w:tc>
        <w:tc>
          <w:tcPr>
            <w:tcW w:w="1600" w:type="dxa"/>
            <w:vAlign w:val="bottom"/>
            <w:tcBorders>
              <w:right w:val="single" w:sz="8" w:color="auto"/>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580" w:type="dxa"/>
            <w:vAlign w:val="bottom"/>
            <w:tcBorders>
              <w:left w:val="single" w:sz="8" w:color="auto"/>
              <w:bottom w:val="single" w:sz="8" w:color="auto"/>
              <w:right w:val="single" w:sz="8" w:color="auto"/>
            </w:tcBorders>
            <w:shd w:val="clear" w:color="auto" w:fill="CCEEFF"/>
          </w:tcPr>
          <w:p>
            <w:pPr>
              <w:spacing w:after="0"/>
              <w:rPr>
                <w:sz w:val="11"/>
                <w:szCs w:val="11"/>
                <w:color w:val="auto"/>
              </w:rPr>
            </w:pPr>
          </w:p>
        </w:tc>
        <w:tc>
          <w:tcPr>
            <w:tcW w:w="1240" w:type="dxa"/>
            <w:vAlign w:val="bottom"/>
            <w:tcBorders>
              <w:bottom w:val="single" w:sz="8" w:color="auto"/>
              <w:right w:val="single" w:sz="8" w:color="auto"/>
            </w:tcBorders>
            <w:shd w:val="clear" w:color="auto" w:fill="CCEEFF"/>
          </w:tcPr>
          <w:p>
            <w:pPr>
              <w:spacing w:after="0"/>
              <w:rPr>
                <w:sz w:val="11"/>
                <w:szCs w:val="11"/>
                <w:color w:val="auto"/>
              </w:rPr>
            </w:pPr>
          </w:p>
        </w:tc>
        <w:tc>
          <w:tcPr>
            <w:tcW w:w="1060" w:type="dxa"/>
            <w:vAlign w:val="bottom"/>
            <w:tcBorders>
              <w:bottom w:val="single" w:sz="8" w:color="auto"/>
              <w:right w:val="single" w:sz="8" w:color="auto"/>
            </w:tcBorders>
            <w:shd w:val="clear" w:color="auto" w:fill="CCEEFF"/>
          </w:tcPr>
          <w:p>
            <w:pPr>
              <w:spacing w:after="0"/>
              <w:rPr>
                <w:sz w:val="11"/>
                <w:szCs w:val="11"/>
                <w:color w:val="auto"/>
              </w:rPr>
            </w:pPr>
          </w:p>
        </w:tc>
        <w:tc>
          <w:tcPr>
            <w:tcW w:w="1140" w:type="dxa"/>
            <w:vAlign w:val="bottom"/>
            <w:tcBorders>
              <w:bottom w:val="single" w:sz="8" w:color="auto"/>
              <w:right w:val="single" w:sz="8" w:color="auto"/>
            </w:tcBorders>
            <w:shd w:val="clear" w:color="auto" w:fill="CCEEFF"/>
          </w:tcPr>
          <w:p>
            <w:pPr>
              <w:spacing w:after="0"/>
              <w:rPr>
                <w:sz w:val="11"/>
                <w:szCs w:val="11"/>
                <w:color w:val="auto"/>
              </w:rPr>
            </w:pPr>
          </w:p>
        </w:tc>
        <w:tc>
          <w:tcPr>
            <w:tcW w:w="1000" w:type="dxa"/>
            <w:vAlign w:val="bottom"/>
            <w:tcBorders>
              <w:bottom w:val="single" w:sz="8" w:color="auto"/>
              <w:right w:val="single" w:sz="8" w:color="auto"/>
            </w:tcBorders>
            <w:shd w:val="clear" w:color="auto" w:fill="CCEEFF"/>
          </w:tcPr>
          <w:p>
            <w:pPr>
              <w:spacing w:after="0"/>
              <w:rPr>
                <w:sz w:val="11"/>
                <w:szCs w:val="11"/>
                <w:color w:val="auto"/>
              </w:rPr>
            </w:pPr>
          </w:p>
        </w:tc>
        <w:tc>
          <w:tcPr>
            <w:tcW w:w="1660" w:type="dxa"/>
            <w:vAlign w:val="bottom"/>
            <w:tcBorders>
              <w:bottom w:val="single" w:sz="8" w:color="auto"/>
              <w:right w:val="single" w:sz="8" w:color="auto"/>
            </w:tcBorders>
            <w:shd w:val="clear" w:color="auto" w:fill="CCEEFF"/>
          </w:tcPr>
          <w:p>
            <w:pPr>
              <w:spacing w:after="0"/>
              <w:rPr>
                <w:sz w:val="11"/>
                <w:szCs w:val="11"/>
                <w:color w:val="auto"/>
              </w:rPr>
            </w:pPr>
          </w:p>
        </w:tc>
        <w:tc>
          <w:tcPr>
            <w:tcW w:w="1600" w:type="dxa"/>
            <w:vAlign w:val="bottom"/>
            <w:tcBorders>
              <w:bottom w:val="single" w:sz="8" w:color="auto"/>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580" w:type="dxa"/>
            <w:vAlign w:val="bottom"/>
            <w:tcBorders>
              <w:left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2/20/2025</w:t>
            </w:r>
          </w:p>
        </w:tc>
        <w:tc>
          <w:tcPr>
            <w:tcW w:w="106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176,057</w:t>
            </w:r>
          </w:p>
        </w:tc>
        <w:tc>
          <w:tcPr>
            <w:tcW w:w="1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8,000,030</w:t>
            </w:r>
          </w:p>
        </w:tc>
        <w:tc>
          <w:tcPr>
            <w:tcW w:w="0" w:type="dxa"/>
            <w:vAlign w:val="bottom"/>
          </w:tcPr>
          <w:p>
            <w:pPr>
              <w:spacing w:after="0"/>
              <w:rPr>
                <w:sz w:val="1"/>
                <w:szCs w:val="1"/>
                <w:color w:val="auto"/>
              </w:rPr>
            </w:pPr>
          </w:p>
        </w:tc>
      </w:tr>
      <w:tr>
        <w:trPr>
          <w:trHeight w:val="183"/>
        </w:trPr>
        <w:tc>
          <w:tcPr>
            <w:tcW w:w="1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David DeStefano</w:t>
            </w:r>
          </w:p>
        </w:tc>
        <w:tc>
          <w:tcPr>
            <w:tcW w:w="1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11/10/2025</w:t>
            </w:r>
          </w:p>
        </w:tc>
        <w:tc>
          <w:tcPr>
            <w:tcW w:w="106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100,785</w:t>
            </w:r>
          </w:p>
        </w:tc>
        <w:tc>
          <w:tcPr>
            <w:tcW w:w="1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1,118,166 (4)</w:t>
            </w:r>
          </w:p>
        </w:tc>
        <w:tc>
          <w:tcPr>
            <w:tcW w:w="0" w:type="dxa"/>
            <w:vAlign w:val="bottom"/>
          </w:tcPr>
          <w:p>
            <w:pPr>
              <w:spacing w:after="0"/>
              <w:rPr>
                <w:sz w:val="1"/>
                <w:szCs w:val="1"/>
                <w:color w:val="auto"/>
              </w:rPr>
            </w:pPr>
          </w:p>
        </w:tc>
      </w:tr>
      <w:tr>
        <w:trPr>
          <w:trHeight w:val="40"/>
        </w:trPr>
        <w:tc>
          <w:tcPr>
            <w:tcW w:w="1580" w:type="dxa"/>
            <w:vAlign w:val="bottom"/>
            <w:tcBorders>
              <w:left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580" w:type="dxa"/>
            <w:vAlign w:val="bottom"/>
            <w:tcBorders>
              <w:left w:val="single" w:sz="8" w:color="auto"/>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156,250</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625,000</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1,250,000</w:t>
            </w:r>
          </w:p>
        </w:tc>
        <w:tc>
          <w:tcPr>
            <w:tcW w:w="166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80" w:type="dxa"/>
            <w:vAlign w:val="bottom"/>
            <w:tcBorders>
              <w:left w:val="single" w:sz="8" w:color="auto"/>
              <w:bottom w:val="single" w:sz="8" w:color="CCEEFF"/>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John Schwab</w:t>
            </w:r>
          </w:p>
        </w:tc>
        <w:tc>
          <w:tcPr>
            <w:tcW w:w="1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2/20/2025</w:t>
            </w:r>
          </w:p>
        </w:tc>
        <w:tc>
          <w:tcPr>
            <w:tcW w:w="1060" w:type="dxa"/>
            <w:vAlign w:val="bottom"/>
            <w:tcBorders>
              <w:bottom w:val="single" w:sz="8" w:color="auto"/>
              <w:right w:val="single" w:sz="8" w:color="auto"/>
            </w:tcBorders>
            <w:shd w:val="clear" w:color="auto" w:fill="CCEEFF"/>
          </w:tcPr>
          <w:p>
            <w:pPr>
              <w:spacing w:after="0"/>
              <w:rPr>
                <w:sz w:val="15"/>
                <w:szCs w:val="15"/>
                <w:color w:val="auto"/>
              </w:rPr>
            </w:pPr>
          </w:p>
        </w:tc>
        <w:tc>
          <w:tcPr>
            <w:tcW w:w="1140" w:type="dxa"/>
            <w:vAlign w:val="bottom"/>
            <w:tcBorders>
              <w:bottom w:val="single" w:sz="8" w:color="auto"/>
              <w:right w:val="single" w:sz="8" w:color="auto"/>
            </w:tcBorders>
            <w:shd w:val="clear" w:color="auto" w:fill="CCEEFF"/>
          </w:tcPr>
          <w:p>
            <w:pPr>
              <w:spacing w:after="0"/>
              <w:rPr>
                <w:sz w:val="15"/>
                <w:szCs w:val="15"/>
                <w:color w:val="auto"/>
              </w:rPr>
            </w:pPr>
          </w:p>
        </w:tc>
        <w:tc>
          <w:tcPr>
            <w:tcW w:w="1000" w:type="dxa"/>
            <w:vAlign w:val="bottom"/>
            <w:tcBorders>
              <w:bottom w:val="single" w:sz="8" w:color="auto"/>
              <w:right w:val="single" w:sz="8" w:color="auto"/>
            </w:tcBorders>
            <w:shd w:val="clear" w:color="auto" w:fill="CCEEFF"/>
          </w:tcPr>
          <w:p>
            <w:pPr>
              <w:spacing w:after="0"/>
              <w:rPr>
                <w:sz w:val="15"/>
                <w:szCs w:val="15"/>
                <w:color w:val="auto"/>
              </w:rPr>
            </w:pP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63,513</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2,886,031</w:t>
            </w:r>
          </w:p>
        </w:tc>
        <w:tc>
          <w:tcPr>
            <w:tcW w:w="0" w:type="dxa"/>
            <w:vAlign w:val="bottom"/>
          </w:tcPr>
          <w:p>
            <w:pPr>
              <w:spacing w:after="0"/>
              <w:rPr>
                <w:sz w:val="1"/>
                <w:szCs w:val="1"/>
                <w:color w:val="auto"/>
              </w:rPr>
            </w:pPr>
          </w:p>
        </w:tc>
      </w:tr>
      <w:tr>
        <w:trPr>
          <w:trHeight w:val="58"/>
        </w:trPr>
        <w:tc>
          <w:tcPr>
            <w:tcW w:w="1580" w:type="dxa"/>
            <w:vAlign w:val="bottom"/>
            <w:tcBorders>
              <w:left w:val="single" w:sz="8" w:color="auto"/>
              <w:right w:val="single" w:sz="8" w:color="auto"/>
            </w:tcBorders>
            <w:vMerge w:val="continue"/>
            <w:shd w:val="clear" w:color="auto" w:fill="CCEEFF"/>
          </w:tcPr>
          <w:p>
            <w:pPr>
              <w:spacing w:after="0"/>
              <w:rPr>
                <w:sz w:val="5"/>
                <w:szCs w:val="5"/>
                <w:color w:val="auto"/>
              </w:rPr>
            </w:pPr>
          </w:p>
        </w:tc>
        <w:tc>
          <w:tcPr>
            <w:tcW w:w="1240" w:type="dxa"/>
            <w:vAlign w:val="bottom"/>
            <w:tcBorders>
              <w:right w:val="single" w:sz="8" w:color="auto"/>
            </w:tcBorders>
            <w:shd w:val="clear" w:color="auto" w:fill="CCEEFF"/>
          </w:tcPr>
          <w:p>
            <w:pPr>
              <w:spacing w:after="0"/>
              <w:rPr>
                <w:sz w:val="5"/>
                <w:szCs w:val="5"/>
                <w:color w:val="auto"/>
              </w:rPr>
            </w:pPr>
          </w:p>
        </w:tc>
        <w:tc>
          <w:tcPr>
            <w:tcW w:w="106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84,175</w:t>
            </w:r>
          </w:p>
        </w:tc>
        <w:tc>
          <w:tcPr>
            <w:tcW w:w="11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336,700</w:t>
            </w:r>
          </w:p>
        </w:tc>
        <w:tc>
          <w:tcPr>
            <w:tcW w:w="100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673,400</w:t>
            </w:r>
          </w:p>
        </w:tc>
        <w:tc>
          <w:tcPr>
            <w:tcW w:w="1660" w:type="dxa"/>
            <w:vAlign w:val="bottom"/>
            <w:tcBorders>
              <w:right w:val="single" w:sz="8" w:color="auto"/>
            </w:tcBorders>
            <w:shd w:val="clear" w:color="auto" w:fill="CCEEFF"/>
          </w:tcPr>
          <w:p>
            <w:pPr>
              <w:spacing w:after="0"/>
              <w:rPr>
                <w:sz w:val="5"/>
                <w:szCs w:val="5"/>
                <w:color w:val="auto"/>
              </w:rPr>
            </w:pPr>
          </w:p>
        </w:tc>
        <w:tc>
          <w:tcPr>
            <w:tcW w:w="1600" w:type="dxa"/>
            <w:vAlign w:val="bottom"/>
            <w:tcBorders>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580" w:type="dxa"/>
            <w:vAlign w:val="bottom"/>
            <w:tcBorders>
              <w:left w:val="single" w:sz="8" w:color="auto"/>
              <w:bottom w:val="single" w:sz="8" w:color="auto"/>
              <w:right w:val="single" w:sz="8" w:color="auto"/>
            </w:tcBorders>
            <w:shd w:val="clear" w:color="auto" w:fill="CCEEFF"/>
          </w:tcPr>
          <w:p>
            <w:pPr>
              <w:spacing w:after="0"/>
              <w:rPr>
                <w:sz w:val="11"/>
                <w:szCs w:val="11"/>
                <w:color w:val="auto"/>
              </w:rPr>
            </w:pPr>
          </w:p>
        </w:tc>
        <w:tc>
          <w:tcPr>
            <w:tcW w:w="1240" w:type="dxa"/>
            <w:vAlign w:val="bottom"/>
            <w:tcBorders>
              <w:bottom w:val="single" w:sz="8" w:color="auto"/>
              <w:right w:val="single" w:sz="8" w:color="auto"/>
            </w:tcBorders>
            <w:shd w:val="clear" w:color="auto" w:fill="CCEEFF"/>
          </w:tcPr>
          <w:p>
            <w:pPr>
              <w:spacing w:after="0"/>
              <w:rPr>
                <w:sz w:val="11"/>
                <w:szCs w:val="11"/>
                <w:color w:val="auto"/>
              </w:rPr>
            </w:pPr>
          </w:p>
        </w:tc>
        <w:tc>
          <w:tcPr>
            <w:tcW w:w="106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14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00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660" w:type="dxa"/>
            <w:vAlign w:val="bottom"/>
            <w:tcBorders>
              <w:bottom w:val="single" w:sz="8" w:color="auto"/>
              <w:right w:val="single" w:sz="8" w:color="auto"/>
            </w:tcBorders>
            <w:shd w:val="clear" w:color="auto" w:fill="CCEEFF"/>
          </w:tcPr>
          <w:p>
            <w:pPr>
              <w:spacing w:after="0"/>
              <w:rPr>
                <w:sz w:val="11"/>
                <w:szCs w:val="11"/>
                <w:color w:val="auto"/>
              </w:rPr>
            </w:pPr>
          </w:p>
        </w:tc>
        <w:tc>
          <w:tcPr>
            <w:tcW w:w="1600" w:type="dxa"/>
            <w:vAlign w:val="bottom"/>
            <w:tcBorders>
              <w:bottom w:val="single" w:sz="8" w:color="auto"/>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5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color w:val="auto"/>
              </w:rPr>
              <w:t>Bryan Rowland</w:t>
            </w:r>
          </w:p>
        </w:tc>
        <w:tc>
          <w:tcPr>
            <w:tcW w:w="1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2/20/2025</w:t>
            </w:r>
          </w:p>
        </w:tc>
        <w:tc>
          <w:tcPr>
            <w:tcW w:w="106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11,901</w:t>
            </w:r>
          </w:p>
        </w:tc>
        <w:tc>
          <w:tcPr>
            <w:tcW w:w="1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540,781</w:t>
            </w:r>
          </w:p>
        </w:tc>
        <w:tc>
          <w:tcPr>
            <w:tcW w:w="0" w:type="dxa"/>
            <w:vAlign w:val="bottom"/>
          </w:tcPr>
          <w:p>
            <w:pPr>
              <w:spacing w:after="0"/>
              <w:rPr>
                <w:sz w:val="1"/>
                <w:szCs w:val="1"/>
                <w:color w:val="auto"/>
              </w:rPr>
            </w:pPr>
          </w:p>
        </w:tc>
      </w:tr>
      <w:tr>
        <w:trPr>
          <w:trHeight w:val="58"/>
        </w:trPr>
        <w:tc>
          <w:tcPr>
            <w:tcW w:w="1580" w:type="dxa"/>
            <w:vAlign w:val="bottom"/>
            <w:tcBorders>
              <w:left w:val="single" w:sz="8" w:color="auto"/>
              <w:right w:val="single" w:sz="8" w:color="auto"/>
            </w:tcBorders>
            <w:vMerge w:val="continue"/>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0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36,050</w:t>
            </w:r>
          </w:p>
        </w:tc>
        <w:tc>
          <w:tcPr>
            <w:tcW w:w="11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144,200</w:t>
            </w:r>
          </w:p>
        </w:tc>
        <w:tc>
          <w:tcPr>
            <w:tcW w:w="10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288,400</w:t>
            </w:r>
          </w:p>
        </w:tc>
        <w:tc>
          <w:tcPr>
            <w:tcW w:w="1660" w:type="dxa"/>
            <w:vAlign w:val="bottom"/>
            <w:tcBorders>
              <w:right w:val="single" w:sz="8" w:color="auto"/>
            </w:tcBorders>
          </w:tcPr>
          <w:p>
            <w:pPr>
              <w:spacing w:after="0"/>
              <w:rPr>
                <w:sz w:val="5"/>
                <w:szCs w:val="5"/>
                <w:color w:val="auto"/>
              </w:rPr>
            </w:pPr>
          </w:p>
        </w:tc>
        <w:tc>
          <w:tcPr>
            <w:tcW w:w="16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580" w:type="dxa"/>
            <w:vAlign w:val="bottom"/>
            <w:tcBorders>
              <w:left w:val="single" w:sz="8" w:color="auto"/>
              <w:bottom w:val="single" w:sz="8" w:color="auto"/>
              <w:right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spacing w:after="0"/>
              <w:rPr>
                <w:sz w:val="11"/>
                <w:szCs w:val="11"/>
                <w:color w:val="auto"/>
              </w:rPr>
            </w:pPr>
          </w:p>
        </w:tc>
        <w:tc>
          <w:tcPr>
            <w:tcW w:w="1060" w:type="dxa"/>
            <w:vAlign w:val="bottom"/>
            <w:tcBorders>
              <w:bottom w:val="single" w:sz="8" w:color="auto"/>
              <w:right w:val="single" w:sz="8" w:color="auto"/>
            </w:tcBorders>
            <w:vMerge w:val="continue"/>
          </w:tcPr>
          <w:p>
            <w:pPr>
              <w:spacing w:after="0"/>
              <w:rPr>
                <w:sz w:val="11"/>
                <w:szCs w:val="11"/>
                <w:color w:val="auto"/>
              </w:rPr>
            </w:pPr>
          </w:p>
        </w:tc>
        <w:tc>
          <w:tcPr>
            <w:tcW w:w="1140" w:type="dxa"/>
            <w:vAlign w:val="bottom"/>
            <w:tcBorders>
              <w:bottom w:val="single" w:sz="8" w:color="auto"/>
              <w:right w:val="single" w:sz="8" w:color="auto"/>
            </w:tcBorders>
            <w:vMerge w:val="continue"/>
          </w:tcPr>
          <w:p>
            <w:pPr>
              <w:spacing w:after="0"/>
              <w:rPr>
                <w:sz w:val="11"/>
                <w:szCs w:val="11"/>
                <w:color w:val="auto"/>
              </w:rPr>
            </w:pPr>
          </w:p>
        </w:tc>
        <w:tc>
          <w:tcPr>
            <w:tcW w:w="100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157797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77975" cy="762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320" w:right="80" w:hanging="261"/>
        <w:spacing w:after="0" w:line="271" w:lineRule="auto"/>
        <w:tabs>
          <w:tab w:leader="none" w:pos="3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reflect potential payouts under the VOB Plan for the 2025 performance year. For additional information, see “Cash-Based Incentive Compensation” in the CD&amp;A above. Mr. Young was not eligible for an annual bonus for 2025.</w:t>
      </w:r>
    </w:p>
    <w:p>
      <w:pPr>
        <w:ind w:left="320" w:right="80" w:hanging="261"/>
        <w:spacing w:after="0" w:line="261" w:lineRule="auto"/>
        <w:tabs>
          <w:tab w:leader="none" w:pos="3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RSUs for Mr. Young vest in substantially equal installments on each of November 10, 2026, 2027, 2028, and 2029. For Messrs. DeStefano, Schwab and Rowland, the RSUs vest in substantially equal installments on each of the first four anniversaries of the grant date.</w:t>
      </w:r>
    </w:p>
    <w:p>
      <w:pPr>
        <w:jc w:val="both"/>
        <w:ind w:left="320" w:right="80" w:hanging="261"/>
        <w:spacing w:after="0" w:line="264" w:lineRule="auto"/>
        <w:tabs>
          <w:tab w:leader="none" w:pos="3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reflect the full grant date fair value of stock awards granted during fiscal 2025 computed in accordance with ASC Topic 718, rather than the amounts paid to or realized by the named individual. We provide information regarding the assumptions used to calculate the value of all stock awards made to executive officers in Note 13 to the consolidated financial statements included in our 2025 Annual Report on Form 10-K.</w:t>
      </w:r>
    </w:p>
    <w:p>
      <w:pPr>
        <w:spacing w:after="0" w:line="1" w:lineRule="exact"/>
        <w:rPr>
          <w:rFonts w:ascii="Times New Roman" w:cs="Times New Roman" w:eastAsia="Times New Roman" w:hAnsi="Times New Roman"/>
          <w:sz w:val="13"/>
          <w:szCs w:val="13"/>
          <w:color w:val="auto"/>
        </w:rPr>
      </w:pPr>
    </w:p>
    <w:p>
      <w:pPr>
        <w:ind w:left="320" w:right="80" w:hanging="261"/>
        <w:spacing w:after="0" w:line="279" w:lineRule="auto"/>
        <w:tabs>
          <w:tab w:leader="none" w:pos="3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incremental fair value, computed as of the modification date in accordance with ASC Topic 718, associated with continued vesting of Mr. DeStefano’s outstanding restricted stock units.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Outstanding Equity Awards at Fiscal Year-End Table</w:t>
      </w:r>
    </w:p>
    <w:p>
      <w:pPr>
        <w:spacing w:after="0" w:line="27" w:lineRule="exact"/>
        <w:rPr>
          <w:sz w:val="20"/>
          <w:szCs w:val="20"/>
          <w:color w:val="auto"/>
        </w:rPr>
      </w:pPr>
    </w:p>
    <w:p>
      <w:pPr>
        <w:ind w:right="760"/>
        <w:spacing w:after="0" w:line="263" w:lineRule="auto"/>
        <w:rPr>
          <w:sz w:val="20"/>
          <w:szCs w:val="20"/>
          <w:color w:val="auto"/>
        </w:rPr>
      </w:pPr>
      <w:r>
        <w:rPr>
          <w:rFonts w:ascii="Times New Roman" w:cs="Times New Roman" w:eastAsia="Times New Roman" w:hAnsi="Times New Roman"/>
          <w:sz w:val="16"/>
          <w:szCs w:val="16"/>
          <w:color w:val="auto"/>
        </w:rPr>
        <w:t>The following table summarizes the number of shares of Common Stock underlying outstanding equity incentive plan awards for each named executive officer as of December 31, 2025.</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136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3760" w:type="dxa"/>
            <w:vAlign w:val="bottom"/>
            <w:tcBorders>
              <w:top w:val="single" w:sz="8" w:color="auto"/>
              <w:bottom w:val="single" w:sz="8" w:color="auto"/>
            </w:tcBorders>
            <w:gridSpan w:val="2"/>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Option Awards</w:t>
            </w:r>
          </w:p>
        </w:tc>
        <w:tc>
          <w:tcPr>
            <w:tcW w:w="1380" w:type="dxa"/>
            <w:vAlign w:val="bottom"/>
            <w:tcBorders>
              <w:top w:val="single" w:sz="8" w:color="auto"/>
              <w:bottom w:val="single" w:sz="8" w:color="auto"/>
              <w:right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spacing w:after="0"/>
              <w:rPr>
                <w:sz w:val="16"/>
                <w:szCs w:val="16"/>
                <w:color w:val="auto"/>
              </w:rPr>
            </w:pPr>
          </w:p>
        </w:tc>
        <w:tc>
          <w:tcPr>
            <w:tcW w:w="2120" w:type="dxa"/>
            <w:vAlign w:val="bottom"/>
            <w:tcBorders>
              <w:top w:val="single" w:sz="8" w:color="auto"/>
              <w:bottom w:val="single" w:sz="8" w:color="auto"/>
            </w:tcBorders>
            <w:gridSpan w:val="2"/>
          </w:tcPr>
          <w:p>
            <w:pPr>
              <w:jc w:val="right"/>
              <w:ind w:right="1104"/>
              <w:spacing w:after="0"/>
              <w:rPr>
                <w:sz w:val="20"/>
                <w:szCs w:val="20"/>
                <w:color w:val="auto"/>
              </w:rPr>
            </w:pPr>
            <w:r>
              <w:rPr>
                <w:rFonts w:ascii="Times New Roman" w:cs="Times New Roman" w:eastAsia="Times New Roman" w:hAnsi="Times New Roman"/>
                <w:sz w:val="15"/>
                <w:szCs w:val="15"/>
                <w:b w:val="1"/>
                <w:bCs w:val="1"/>
                <w:color w:val="auto"/>
              </w:rPr>
              <w:t>Stock Awards</w:t>
            </w:r>
          </w:p>
        </w:tc>
      </w:tr>
      <w:tr>
        <w:trPr>
          <w:trHeight w:val="512"/>
        </w:trPr>
        <w:tc>
          <w:tcPr>
            <w:tcW w:w="1360" w:type="dxa"/>
            <w:vAlign w:val="bottom"/>
            <w:tcBorders>
              <w:left w:val="single" w:sz="8" w:color="auto"/>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Number of Shares of</w:t>
            </w:r>
          </w:p>
        </w:tc>
        <w:tc>
          <w:tcPr>
            <w:tcW w:w="17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Market Value of shares of</w:t>
            </w:r>
          </w:p>
        </w:tc>
      </w:tr>
      <w:tr>
        <w:trPr>
          <w:trHeight w:val="181"/>
        </w:trPr>
        <w:tc>
          <w:tcPr>
            <w:tcW w:w="1360" w:type="dxa"/>
            <w:vAlign w:val="bottom"/>
            <w:tcBorders>
              <w:left w:val="single" w:sz="8" w:color="auto"/>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 Securities</w:t>
            </w:r>
          </w:p>
        </w:tc>
        <w:tc>
          <w:tcPr>
            <w:tcW w:w="124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180" w:type="dxa"/>
            <w:vAlign w:val="bottom"/>
          </w:tcPr>
          <w:p>
            <w:pPr>
              <w:jc w:val="center"/>
              <w:ind w:left="244"/>
              <w:spacing w:after="0"/>
              <w:rPr>
                <w:sz w:val="20"/>
                <w:szCs w:val="20"/>
                <w:color w:val="auto"/>
              </w:rPr>
            </w:pPr>
            <w:r>
              <w:rPr>
                <w:rFonts w:ascii="Times New Roman" w:cs="Times New Roman" w:eastAsia="Times New Roman" w:hAnsi="Times New Roman"/>
                <w:sz w:val="15"/>
                <w:szCs w:val="15"/>
                <w:b w:val="1"/>
                <w:bCs w:val="1"/>
                <w:color w:val="auto"/>
              </w:rPr>
              <w:t>Stock that</w:t>
            </w:r>
          </w:p>
        </w:tc>
        <w:tc>
          <w:tcPr>
            <w:tcW w:w="360" w:type="dxa"/>
            <w:vAlign w:val="bottom"/>
            <w:tcBorders>
              <w:right w:val="single" w:sz="8" w:color="auto"/>
            </w:tcBorders>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Stock that have</w:t>
            </w:r>
          </w:p>
        </w:tc>
      </w:tr>
      <w:tr>
        <w:trPr>
          <w:trHeight w:val="181"/>
        </w:trPr>
        <w:tc>
          <w:tcPr>
            <w:tcW w:w="1360" w:type="dxa"/>
            <w:vAlign w:val="bottom"/>
            <w:tcBorders>
              <w:left w:val="single" w:sz="8" w:color="auto"/>
              <w:right w:val="single" w:sz="8" w:color="auto"/>
            </w:tcBorders>
          </w:tcPr>
          <w:p>
            <w:pPr>
              <w:spacing w:after="0"/>
              <w:rPr>
                <w:sz w:val="15"/>
                <w:szCs w:val="15"/>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Grant</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Underlying Unexercised Options (#)</w:t>
            </w:r>
          </w:p>
        </w:tc>
        <w:tc>
          <w:tcPr>
            <w:tcW w:w="1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Option Exercise</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Option Expiration</w:t>
            </w:r>
          </w:p>
        </w:tc>
        <w:tc>
          <w:tcPr>
            <w:tcW w:w="1180" w:type="dxa"/>
            <w:vAlign w:val="bottom"/>
          </w:tcPr>
          <w:p>
            <w:pPr>
              <w:jc w:val="center"/>
              <w:ind w:left="284"/>
              <w:spacing w:after="0"/>
              <w:rPr>
                <w:sz w:val="20"/>
                <w:szCs w:val="20"/>
                <w:color w:val="auto"/>
              </w:rPr>
            </w:pPr>
            <w:r>
              <w:rPr>
                <w:rFonts w:ascii="Times New Roman" w:cs="Times New Roman" w:eastAsia="Times New Roman" w:hAnsi="Times New Roman"/>
                <w:sz w:val="15"/>
                <w:szCs w:val="15"/>
                <w:b w:val="1"/>
                <w:bCs w:val="1"/>
                <w:color w:val="auto"/>
                <w:w w:val="98"/>
              </w:rPr>
              <w:t>have not</w:t>
            </w:r>
          </w:p>
        </w:tc>
        <w:tc>
          <w:tcPr>
            <w:tcW w:w="360" w:type="dxa"/>
            <w:vAlign w:val="bottom"/>
            <w:tcBorders>
              <w:right w:val="single" w:sz="8" w:color="auto"/>
            </w:tcBorders>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not Vested</w:t>
            </w:r>
          </w:p>
        </w:tc>
      </w:tr>
      <w:tr>
        <w:trPr>
          <w:trHeight w:val="203"/>
        </w:trPr>
        <w:tc>
          <w:tcPr>
            <w:tcW w:w="13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Name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Exercisable</w:t>
            </w:r>
          </w:p>
        </w:tc>
        <w:tc>
          <w:tcPr>
            <w:tcW w:w="1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Price ($)</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1180" w:type="dxa"/>
            <w:vAlign w:val="bottom"/>
            <w:tcBorders>
              <w:bottom w:val="single" w:sz="8" w:color="auto"/>
            </w:tcBorders>
          </w:tcPr>
          <w:p>
            <w:pPr>
              <w:jc w:val="center"/>
              <w:ind w:left="244"/>
              <w:spacing w:after="0"/>
              <w:rPr>
                <w:sz w:val="20"/>
                <w:szCs w:val="20"/>
                <w:color w:val="auto"/>
              </w:rPr>
            </w:pPr>
            <w:r>
              <w:rPr>
                <w:rFonts w:ascii="Times New Roman" w:cs="Times New Roman" w:eastAsia="Times New Roman" w:hAnsi="Times New Roman"/>
                <w:sz w:val="15"/>
                <w:szCs w:val="15"/>
                <w:b w:val="1"/>
                <w:bCs w:val="1"/>
                <w:color w:val="auto"/>
              </w:rPr>
              <w:t>Vested (#)</w:t>
            </w:r>
          </w:p>
        </w:tc>
        <w:tc>
          <w:tcPr>
            <w:tcW w:w="36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($)(1)</w:t>
            </w:r>
          </w:p>
        </w:tc>
      </w:tr>
      <w:tr>
        <w:trPr>
          <w:trHeight w:val="174"/>
        </w:trPr>
        <w:tc>
          <w:tcPr>
            <w:tcW w:w="136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Christopher Young</w:t>
            </w: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12/01/2025</w:t>
            </w:r>
          </w:p>
        </w:tc>
        <w:tc>
          <w:tcPr>
            <w:tcW w:w="2520" w:type="dxa"/>
            <w:vAlign w:val="bottom"/>
            <w:tcBorders>
              <w:bottom w:val="single" w:sz="8" w:color="auto"/>
              <w:right w:val="single" w:sz="8" w:color="auto"/>
            </w:tcBorders>
            <w:shd w:val="clear" w:color="auto" w:fill="CCEEFF"/>
          </w:tcPr>
          <w:p>
            <w:pPr>
              <w:spacing w:after="0"/>
              <w:rPr>
                <w:sz w:val="15"/>
                <w:szCs w:val="15"/>
                <w:color w:val="auto"/>
              </w:rPr>
            </w:pPr>
          </w:p>
        </w:tc>
        <w:tc>
          <w:tcPr>
            <w:tcW w:w="1240" w:type="dxa"/>
            <w:vAlign w:val="bottom"/>
            <w:tcBorders>
              <w:bottom w:val="single" w:sz="8" w:color="auto"/>
              <w:right w:val="single" w:sz="8" w:color="auto"/>
            </w:tcBorders>
            <w:shd w:val="clear" w:color="auto" w:fill="CCEEFF"/>
          </w:tcPr>
          <w:p>
            <w:pPr>
              <w:spacing w:after="0"/>
              <w:rPr>
                <w:sz w:val="15"/>
                <w:szCs w:val="15"/>
                <w:color w:val="auto"/>
              </w:rPr>
            </w:pPr>
          </w:p>
        </w:tc>
        <w:tc>
          <w:tcPr>
            <w:tcW w:w="1380" w:type="dxa"/>
            <w:vAlign w:val="bottom"/>
            <w:tcBorders>
              <w:bottom w:val="single" w:sz="8" w:color="auto"/>
              <w:right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1,300,728</w:t>
            </w:r>
          </w:p>
        </w:tc>
        <w:tc>
          <w:tcPr>
            <w:tcW w:w="360" w:type="dxa"/>
            <w:vAlign w:val="bottom"/>
            <w:tcBorders>
              <w:bottom w:val="single" w:sz="8" w:color="auto"/>
              <w:right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(2)</w:t>
            </w:r>
          </w:p>
        </w:tc>
        <w:tc>
          <w:tcPr>
            <w:tcW w:w="17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25,975,538</w:t>
            </w:r>
          </w:p>
        </w:tc>
      </w:tr>
      <w:tr>
        <w:trPr>
          <w:trHeight w:val="173"/>
        </w:trPr>
        <w:tc>
          <w:tcPr>
            <w:tcW w:w="1360" w:type="dxa"/>
            <w:vAlign w:val="bottom"/>
            <w:tcBorders>
              <w:left w:val="single" w:sz="8" w:color="auto"/>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252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r>
      <w:tr>
        <w:trPr>
          <w:trHeight w:val="173"/>
        </w:trPr>
        <w:tc>
          <w:tcPr>
            <w:tcW w:w="13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David DeStefano</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02/24/2022</w:t>
            </w:r>
          </w:p>
        </w:tc>
        <w:tc>
          <w:tcPr>
            <w:tcW w:w="252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109,233</w:t>
            </w:r>
          </w:p>
        </w:tc>
        <w:tc>
          <w:tcPr>
            <w:tcW w:w="36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(3)</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2,181,383</w:t>
            </w:r>
          </w:p>
        </w:tc>
      </w:tr>
      <w:tr>
        <w:trPr>
          <w:trHeight w:val="173"/>
        </w:trPr>
        <w:tc>
          <w:tcPr>
            <w:tcW w:w="1360" w:type="dxa"/>
            <w:vAlign w:val="bottom"/>
            <w:tcBorders>
              <w:left w:val="single" w:sz="8" w:color="auto"/>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02/23/2023</w:t>
            </w:r>
          </w:p>
        </w:tc>
        <w:tc>
          <w:tcPr>
            <w:tcW w:w="252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202,791</w:t>
            </w:r>
          </w:p>
        </w:tc>
        <w:tc>
          <w:tcPr>
            <w:tcW w:w="36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(3)</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4,049,736</w:t>
            </w:r>
          </w:p>
        </w:tc>
      </w:tr>
      <w:tr>
        <w:trPr>
          <w:trHeight w:val="173"/>
        </w:trPr>
        <w:tc>
          <w:tcPr>
            <w:tcW w:w="1360" w:type="dxa"/>
            <w:vAlign w:val="bottom"/>
            <w:tcBorders>
              <w:left w:val="single" w:sz="8" w:color="auto"/>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02/22/2024</w:t>
            </w:r>
          </w:p>
        </w:tc>
        <w:tc>
          <w:tcPr>
            <w:tcW w:w="252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208,582</w:t>
            </w:r>
          </w:p>
        </w:tc>
        <w:tc>
          <w:tcPr>
            <w:tcW w:w="36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(3)</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4,165,383</w:t>
            </w:r>
          </w:p>
        </w:tc>
      </w:tr>
      <w:tr>
        <w:trPr>
          <w:trHeight w:val="173"/>
        </w:trPr>
        <w:tc>
          <w:tcPr>
            <w:tcW w:w="1360" w:type="dxa"/>
            <w:vAlign w:val="bottom"/>
            <w:tcBorders>
              <w:left w:val="single" w:sz="8" w:color="auto"/>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02/20/2025</w:t>
            </w:r>
          </w:p>
        </w:tc>
        <w:tc>
          <w:tcPr>
            <w:tcW w:w="252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176,057</w:t>
            </w:r>
          </w:p>
        </w:tc>
        <w:tc>
          <w:tcPr>
            <w:tcW w:w="36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(3)</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3,515,858</w:t>
            </w:r>
          </w:p>
        </w:tc>
      </w:tr>
      <w:tr>
        <w:trPr>
          <w:trHeight w:val="173"/>
        </w:trPr>
        <w:tc>
          <w:tcPr>
            <w:tcW w:w="1360" w:type="dxa"/>
            <w:vAlign w:val="bottom"/>
            <w:tcBorders>
              <w:left w:val="single" w:sz="8" w:color="auto"/>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252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r>
      <w:tr>
        <w:trPr>
          <w:trHeight w:val="173"/>
        </w:trPr>
        <w:tc>
          <w:tcPr>
            <w:tcW w:w="136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John Schwab</w:t>
            </w: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02/05/2020</w:t>
            </w:r>
          </w:p>
        </w:tc>
        <w:tc>
          <w:tcPr>
            <w:tcW w:w="2520" w:type="dxa"/>
            <w:vAlign w:val="bottom"/>
            <w:tcBorders>
              <w:bottom w:val="single" w:sz="8" w:color="auto"/>
              <w:right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361,473</w:t>
            </w:r>
          </w:p>
        </w:tc>
        <w:tc>
          <w:tcPr>
            <w:tcW w:w="1240" w:type="dxa"/>
            <w:vAlign w:val="bottom"/>
            <w:tcBorders>
              <w:bottom w:val="single" w:sz="8" w:color="auto"/>
              <w:right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4.70</w:t>
            </w: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02/05/2030</w:t>
            </w:r>
          </w:p>
        </w:tc>
        <w:tc>
          <w:tcPr>
            <w:tcW w:w="11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spacing w:after="0"/>
              <w:rPr>
                <w:sz w:val="15"/>
                <w:szCs w:val="15"/>
                <w:color w:val="auto"/>
              </w:rPr>
            </w:pPr>
          </w:p>
        </w:tc>
      </w:tr>
      <w:tr>
        <w:trPr>
          <w:trHeight w:val="173"/>
        </w:trPr>
        <w:tc>
          <w:tcPr>
            <w:tcW w:w="136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03/01/2021</w:t>
            </w:r>
          </w:p>
        </w:tc>
        <w:tc>
          <w:tcPr>
            <w:tcW w:w="2520" w:type="dxa"/>
            <w:vAlign w:val="bottom"/>
            <w:tcBorders>
              <w:bottom w:val="single" w:sz="8" w:color="auto"/>
              <w:right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7,999</w:t>
            </w:r>
          </w:p>
        </w:tc>
        <w:tc>
          <w:tcPr>
            <w:tcW w:w="1240" w:type="dxa"/>
            <w:vAlign w:val="bottom"/>
            <w:tcBorders>
              <w:bottom w:val="single" w:sz="8" w:color="auto"/>
              <w:right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32.16</w:t>
            </w: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03/01/2031</w:t>
            </w:r>
          </w:p>
        </w:tc>
        <w:tc>
          <w:tcPr>
            <w:tcW w:w="11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right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spacing w:after="0"/>
              <w:rPr>
                <w:sz w:val="15"/>
                <w:szCs w:val="15"/>
                <w:color w:val="auto"/>
              </w:rPr>
            </w:pPr>
          </w:p>
        </w:tc>
      </w:tr>
      <w:tr>
        <w:trPr>
          <w:trHeight w:val="173"/>
        </w:trPr>
        <w:tc>
          <w:tcPr>
            <w:tcW w:w="136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02/10/2022</w:t>
            </w:r>
          </w:p>
        </w:tc>
        <w:tc>
          <w:tcPr>
            <w:tcW w:w="2520" w:type="dxa"/>
            <w:vAlign w:val="bottom"/>
            <w:tcBorders>
              <w:bottom w:val="single" w:sz="8" w:color="auto"/>
              <w:right w:val="single" w:sz="8" w:color="auto"/>
            </w:tcBorders>
            <w:shd w:val="clear" w:color="auto" w:fill="CCEEFF"/>
          </w:tcPr>
          <w:p>
            <w:pPr>
              <w:spacing w:after="0"/>
              <w:rPr>
                <w:sz w:val="15"/>
                <w:szCs w:val="15"/>
                <w:color w:val="auto"/>
              </w:rPr>
            </w:pPr>
          </w:p>
        </w:tc>
        <w:tc>
          <w:tcPr>
            <w:tcW w:w="1240" w:type="dxa"/>
            <w:vAlign w:val="bottom"/>
            <w:tcBorders>
              <w:bottom w:val="single" w:sz="8" w:color="auto"/>
              <w:right w:val="single" w:sz="8" w:color="auto"/>
            </w:tcBorders>
            <w:shd w:val="clear" w:color="auto" w:fill="CCEEFF"/>
          </w:tcPr>
          <w:p>
            <w:pPr>
              <w:spacing w:after="0"/>
              <w:rPr>
                <w:sz w:val="15"/>
                <w:szCs w:val="15"/>
                <w:color w:val="auto"/>
              </w:rPr>
            </w:pPr>
          </w:p>
        </w:tc>
        <w:tc>
          <w:tcPr>
            <w:tcW w:w="1380" w:type="dxa"/>
            <w:vAlign w:val="bottom"/>
            <w:tcBorders>
              <w:bottom w:val="single" w:sz="8" w:color="auto"/>
              <w:right w:val="single" w:sz="8" w:color="auto"/>
            </w:tcBorders>
            <w:shd w:val="clear" w:color="auto" w:fill="CCEEFF"/>
          </w:tcPr>
          <w:p>
            <w:pPr>
              <w:spacing w:after="0"/>
              <w:rPr>
                <w:sz w:val="15"/>
                <w:szCs w:val="15"/>
                <w:color w:val="auto"/>
              </w:rPr>
            </w:pPr>
          </w:p>
        </w:tc>
        <w:tc>
          <w:tcPr>
            <w:tcW w:w="1540" w:type="dxa"/>
            <w:vAlign w:val="bottom"/>
            <w:tcBorders>
              <w:bottom w:val="single" w:sz="8" w:color="auto"/>
              <w:right w:val="single" w:sz="8" w:color="auto"/>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24,010 (3)</w:t>
            </w:r>
          </w:p>
        </w:tc>
        <w:tc>
          <w:tcPr>
            <w:tcW w:w="17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479,480</w:t>
            </w:r>
          </w:p>
        </w:tc>
      </w:tr>
      <w:tr>
        <w:trPr>
          <w:trHeight w:val="173"/>
        </w:trPr>
        <w:tc>
          <w:tcPr>
            <w:tcW w:w="136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02/23/2023</w:t>
            </w:r>
          </w:p>
        </w:tc>
        <w:tc>
          <w:tcPr>
            <w:tcW w:w="2520" w:type="dxa"/>
            <w:vAlign w:val="bottom"/>
            <w:tcBorders>
              <w:bottom w:val="single" w:sz="8" w:color="auto"/>
              <w:right w:val="single" w:sz="8" w:color="auto"/>
            </w:tcBorders>
            <w:shd w:val="clear" w:color="auto" w:fill="CCEEFF"/>
          </w:tcPr>
          <w:p>
            <w:pPr>
              <w:spacing w:after="0"/>
              <w:rPr>
                <w:sz w:val="15"/>
                <w:szCs w:val="15"/>
                <w:color w:val="auto"/>
              </w:rPr>
            </w:pPr>
          </w:p>
        </w:tc>
        <w:tc>
          <w:tcPr>
            <w:tcW w:w="1240" w:type="dxa"/>
            <w:vAlign w:val="bottom"/>
            <w:tcBorders>
              <w:bottom w:val="single" w:sz="8" w:color="auto"/>
              <w:right w:val="single" w:sz="8" w:color="auto"/>
            </w:tcBorders>
            <w:shd w:val="clear" w:color="auto" w:fill="CCEEFF"/>
          </w:tcPr>
          <w:p>
            <w:pPr>
              <w:spacing w:after="0"/>
              <w:rPr>
                <w:sz w:val="15"/>
                <w:szCs w:val="15"/>
                <w:color w:val="auto"/>
              </w:rPr>
            </w:pPr>
          </w:p>
        </w:tc>
        <w:tc>
          <w:tcPr>
            <w:tcW w:w="1380" w:type="dxa"/>
            <w:vAlign w:val="bottom"/>
            <w:tcBorders>
              <w:bottom w:val="single" w:sz="8" w:color="auto"/>
              <w:right w:val="single" w:sz="8" w:color="auto"/>
            </w:tcBorders>
            <w:shd w:val="clear" w:color="auto" w:fill="CCEEFF"/>
          </w:tcPr>
          <w:p>
            <w:pPr>
              <w:spacing w:after="0"/>
              <w:rPr>
                <w:sz w:val="15"/>
                <w:szCs w:val="15"/>
                <w:color w:val="auto"/>
              </w:rPr>
            </w:pPr>
          </w:p>
        </w:tc>
        <w:tc>
          <w:tcPr>
            <w:tcW w:w="1540" w:type="dxa"/>
            <w:vAlign w:val="bottom"/>
            <w:tcBorders>
              <w:bottom w:val="single" w:sz="8" w:color="auto"/>
              <w:right w:val="single" w:sz="8" w:color="auto"/>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60,610 (3)</w:t>
            </w:r>
          </w:p>
        </w:tc>
        <w:tc>
          <w:tcPr>
            <w:tcW w:w="17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1,210,382</w:t>
            </w:r>
          </w:p>
        </w:tc>
      </w:tr>
      <w:tr>
        <w:trPr>
          <w:trHeight w:val="173"/>
        </w:trPr>
        <w:tc>
          <w:tcPr>
            <w:tcW w:w="136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02/22/2024</w:t>
            </w:r>
          </w:p>
        </w:tc>
        <w:tc>
          <w:tcPr>
            <w:tcW w:w="2520" w:type="dxa"/>
            <w:vAlign w:val="bottom"/>
            <w:tcBorders>
              <w:bottom w:val="single" w:sz="8" w:color="auto"/>
              <w:right w:val="single" w:sz="8" w:color="auto"/>
            </w:tcBorders>
            <w:shd w:val="clear" w:color="auto" w:fill="CCEEFF"/>
          </w:tcPr>
          <w:p>
            <w:pPr>
              <w:spacing w:after="0"/>
              <w:rPr>
                <w:sz w:val="15"/>
                <w:szCs w:val="15"/>
                <w:color w:val="auto"/>
              </w:rPr>
            </w:pPr>
          </w:p>
        </w:tc>
        <w:tc>
          <w:tcPr>
            <w:tcW w:w="1240" w:type="dxa"/>
            <w:vAlign w:val="bottom"/>
            <w:tcBorders>
              <w:bottom w:val="single" w:sz="8" w:color="auto"/>
              <w:right w:val="single" w:sz="8" w:color="auto"/>
            </w:tcBorders>
            <w:shd w:val="clear" w:color="auto" w:fill="CCEEFF"/>
          </w:tcPr>
          <w:p>
            <w:pPr>
              <w:spacing w:after="0"/>
              <w:rPr>
                <w:sz w:val="15"/>
                <w:szCs w:val="15"/>
                <w:color w:val="auto"/>
              </w:rPr>
            </w:pPr>
          </w:p>
        </w:tc>
        <w:tc>
          <w:tcPr>
            <w:tcW w:w="1380" w:type="dxa"/>
            <w:vAlign w:val="bottom"/>
            <w:tcBorders>
              <w:bottom w:val="single" w:sz="8" w:color="auto"/>
              <w:right w:val="single" w:sz="8" w:color="auto"/>
            </w:tcBorders>
            <w:shd w:val="clear" w:color="auto" w:fill="CCEEFF"/>
          </w:tcPr>
          <w:p>
            <w:pPr>
              <w:spacing w:after="0"/>
              <w:rPr>
                <w:sz w:val="15"/>
                <w:szCs w:val="15"/>
                <w:color w:val="auto"/>
              </w:rPr>
            </w:pPr>
          </w:p>
        </w:tc>
        <w:tc>
          <w:tcPr>
            <w:tcW w:w="1540" w:type="dxa"/>
            <w:vAlign w:val="bottom"/>
            <w:tcBorders>
              <w:bottom w:val="single" w:sz="8" w:color="auto"/>
              <w:right w:val="single" w:sz="8" w:color="auto"/>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71,664 (3)</w:t>
            </w:r>
          </w:p>
        </w:tc>
        <w:tc>
          <w:tcPr>
            <w:tcW w:w="17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1,431,130</w:t>
            </w:r>
          </w:p>
        </w:tc>
      </w:tr>
      <w:tr>
        <w:trPr>
          <w:trHeight w:val="173"/>
        </w:trPr>
        <w:tc>
          <w:tcPr>
            <w:tcW w:w="136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02/20/2025</w:t>
            </w:r>
          </w:p>
        </w:tc>
        <w:tc>
          <w:tcPr>
            <w:tcW w:w="2520" w:type="dxa"/>
            <w:vAlign w:val="bottom"/>
            <w:tcBorders>
              <w:bottom w:val="single" w:sz="8" w:color="auto"/>
              <w:right w:val="single" w:sz="8" w:color="auto"/>
            </w:tcBorders>
            <w:shd w:val="clear" w:color="auto" w:fill="CCEEFF"/>
          </w:tcPr>
          <w:p>
            <w:pPr>
              <w:spacing w:after="0"/>
              <w:rPr>
                <w:sz w:val="15"/>
                <w:szCs w:val="15"/>
                <w:color w:val="auto"/>
              </w:rPr>
            </w:pPr>
          </w:p>
        </w:tc>
        <w:tc>
          <w:tcPr>
            <w:tcW w:w="1240" w:type="dxa"/>
            <w:vAlign w:val="bottom"/>
            <w:tcBorders>
              <w:bottom w:val="single" w:sz="8" w:color="auto"/>
              <w:right w:val="single" w:sz="8" w:color="auto"/>
            </w:tcBorders>
            <w:shd w:val="clear" w:color="auto" w:fill="CCEEFF"/>
          </w:tcPr>
          <w:p>
            <w:pPr>
              <w:spacing w:after="0"/>
              <w:rPr>
                <w:sz w:val="15"/>
                <w:szCs w:val="15"/>
                <w:color w:val="auto"/>
              </w:rPr>
            </w:pPr>
          </w:p>
        </w:tc>
        <w:tc>
          <w:tcPr>
            <w:tcW w:w="1380" w:type="dxa"/>
            <w:vAlign w:val="bottom"/>
            <w:tcBorders>
              <w:bottom w:val="single" w:sz="8" w:color="auto"/>
              <w:right w:val="single" w:sz="8" w:color="auto"/>
            </w:tcBorders>
            <w:shd w:val="clear" w:color="auto" w:fill="CCEEFF"/>
          </w:tcPr>
          <w:p>
            <w:pPr>
              <w:spacing w:after="0"/>
              <w:rPr>
                <w:sz w:val="15"/>
                <w:szCs w:val="15"/>
                <w:color w:val="auto"/>
              </w:rPr>
            </w:pPr>
          </w:p>
        </w:tc>
        <w:tc>
          <w:tcPr>
            <w:tcW w:w="1540" w:type="dxa"/>
            <w:vAlign w:val="bottom"/>
            <w:tcBorders>
              <w:bottom w:val="single" w:sz="8" w:color="auto"/>
              <w:right w:val="single" w:sz="8" w:color="auto"/>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63,513 (3)</w:t>
            </w:r>
          </w:p>
        </w:tc>
        <w:tc>
          <w:tcPr>
            <w:tcW w:w="17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1,268,355</w:t>
            </w:r>
          </w:p>
        </w:tc>
      </w:tr>
      <w:tr>
        <w:trPr>
          <w:trHeight w:val="173"/>
        </w:trPr>
        <w:tc>
          <w:tcPr>
            <w:tcW w:w="1360" w:type="dxa"/>
            <w:vAlign w:val="bottom"/>
            <w:tcBorders>
              <w:left w:val="single" w:sz="8" w:color="auto"/>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252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r>
      <w:tr>
        <w:trPr>
          <w:trHeight w:val="173"/>
        </w:trPr>
        <w:tc>
          <w:tcPr>
            <w:tcW w:w="13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Bryan Rowland</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02/10/2022</w:t>
            </w:r>
          </w:p>
        </w:tc>
        <w:tc>
          <w:tcPr>
            <w:tcW w:w="252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4,088</w:t>
            </w:r>
          </w:p>
        </w:tc>
        <w:tc>
          <w:tcPr>
            <w:tcW w:w="36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(3)</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81,637</w:t>
            </w:r>
          </w:p>
        </w:tc>
      </w:tr>
      <w:tr>
        <w:trPr>
          <w:trHeight w:val="173"/>
        </w:trPr>
        <w:tc>
          <w:tcPr>
            <w:tcW w:w="1360" w:type="dxa"/>
            <w:vAlign w:val="bottom"/>
            <w:tcBorders>
              <w:left w:val="single" w:sz="8" w:color="auto"/>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02/23/2023</w:t>
            </w:r>
          </w:p>
        </w:tc>
        <w:tc>
          <w:tcPr>
            <w:tcW w:w="252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12,857</w:t>
            </w:r>
          </w:p>
        </w:tc>
        <w:tc>
          <w:tcPr>
            <w:tcW w:w="36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(3)</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256,754</w:t>
            </w:r>
          </w:p>
        </w:tc>
      </w:tr>
      <w:tr>
        <w:trPr>
          <w:trHeight w:val="173"/>
        </w:trPr>
        <w:tc>
          <w:tcPr>
            <w:tcW w:w="1360" w:type="dxa"/>
            <w:vAlign w:val="bottom"/>
            <w:tcBorders>
              <w:left w:val="single" w:sz="8" w:color="auto"/>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02/22/2024</w:t>
            </w:r>
          </w:p>
        </w:tc>
        <w:tc>
          <w:tcPr>
            <w:tcW w:w="252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12,399</w:t>
            </w:r>
          </w:p>
        </w:tc>
        <w:tc>
          <w:tcPr>
            <w:tcW w:w="36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(3)</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247,608</w:t>
            </w:r>
          </w:p>
        </w:tc>
      </w:tr>
      <w:tr>
        <w:trPr>
          <w:trHeight w:val="173"/>
        </w:trPr>
        <w:tc>
          <w:tcPr>
            <w:tcW w:w="1360" w:type="dxa"/>
            <w:vAlign w:val="bottom"/>
            <w:tcBorders>
              <w:left w:val="single" w:sz="8" w:color="auto"/>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02/20/2025</w:t>
            </w:r>
          </w:p>
        </w:tc>
        <w:tc>
          <w:tcPr>
            <w:tcW w:w="252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11,901</w:t>
            </w:r>
          </w:p>
        </w:tc>
        <w:tc>
          <w:tcPr>
            <w:tcW w:w="360" w:type="dxa"/>
            <w:vAlign w:val="bottom"/>
            <w:tcBorders>
              <w:bottom w:val="single" w:sz="8" w:color="auto"/>
              <w:right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(3)</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237,663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184150</wp:posOffset>
            </wp:positionV>
            <wp:extent cx="157797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77975" cy="7620"/>
                    </a:xfrm>
                    <a:prstGeom prst="rect">
                      <a:avLst/>
                    </a:prstGeom>
                    <a:noFill/>
                  </pic:spPr>
                </pic:pic>
              </a:graphicData>
            </a:graphic>
          </wp:anchor>
        </w:drawing>
      </w:r>
    </w:p>
    <w:p>
      <w:pPr>
        <w:spacing w:after="0" w:line="346" w:lineRule="exact"/>
        <w:rPr>
          <w:sz w:val="20"/>
          <w:szCs w:val="20"/>
          <w:color w:val="auto"/>
        </w:rPr>
      </w:pPr>
    </w:p>
    <w:p>
      <w:pPr>
        <w:ind w:left="320" w:hanging="261"/>
        <w:spacing w:after="0"/>
        <w:tabs>
          <w:tab w:leader="none" w:pos="3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 shown is based on the closing price of our Class A Common Stock of $19.97 per share on December 31, 2025.</w:t>
      </w:r>
    </w:p>
    <w:p>
      <w:pPr>
        <w:spacing w:after="0" w:line="31" w:lineRule="exact"/>
        <w:rPr>
          <w:rFonts w:ascii="Times New Roman" w:cs="Times New Roman" w:eastAsia="Times New Roman" w:hAnsi="Times New Roman"/>
          <w:sz w:val="13"/>
          <w:szCs w:val="13"/>
          <w:color w:val="auto"/>
        </w:rPr>
      </w:pPr>
    </w:p>
    <w:p>
      <w:pPr>
        <w:ind w:left="320" w:right="840" w:hanging="261"/>
        <w:spacing w:after="0" w:line="186" w:lineRule="auto"/>
        <w:tabs>
          <w:tab w:leader="none" w:pos="32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2"/>
          <w:szCs w:val="12"/>
          <w:color w:val="auto"/>
        </w:rPr>
        <w:t>The RSUs for Mr. Young vest as to 25% of the shares on each of November 10, 2026, 2027, 2028, and 2029, subject to his continuous service to the Company through each applicable vesting date and accelerated vesting as described above under “Employment and Severance Arrangements – Severance".</w:t>
      </w:r>
    </w:p>
    <w:p>
      <w:pPr>
        <w:ind w:left="320" w:right="840" w:hanging="261"/>
        <w:spacing w:after="0" w:line="229" w:lineRule="auto"/>
        <w:tabs>
          <w:tab w:leader="none" w:pos="3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RSUs vest as to 25% of the shares on each of the first four anniversaries of the grant date, subject to the holder’s continuous service to the Company through each applicable vesting date.</w:t>
      </w:r>
    </w:p>
    <w:p>
      <w:pPr>
        <w:spacing w:after="0" w:line="200" w:lineRule="exact"/>
        <w:rPr>
          <w:sz w:val="20"/>
          <w:szCs w:val="20"/>
          <w:color w:val="auto"/>
        </w:rPr>
      </w:pPr>
    </w:p>
    <w:p>
      <w:pPr>
        <w:spacing w:after="0" w:line="34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10680"/>
          </w:cols>
          <w:pgMar w:left="980" w:top="473" w:right="239"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Option Exercises and Stock Vested in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86360</wp:posOffset>
            </wp:positionV>
            <wp:extent cx="6334760" cy="14859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34760" cy="1485900"/>
                    </a:xfrm>
                    <a:prstGeom prst="rect">
                      <a:avLst/>
                    </a:prstGeom>
                    <a:noFill/>
                  </pic:spPr>
                </pic:pic>
              </a:graphicData>
            </a:graphic>
          </wp:anchor>
        </w:drawing>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1440" w:type="dxa"/>
            <w:vAlign w:val="bottom"/>
          </w:tcPr>
          <w:p>
            <w:pPr>
              <w:spacing w:after="0"/>
              <w:rPr>
                <w:sz w:val="18"/>
                <w:szCs w:val="18"/>
                <w:color w:val="auto"/>
              </w:rPr>
            </w:pPr>
          </w:p>
        </w:tc>
        <w:tc>
          <w:tcPr>
            <w:tcW w:w="4320" w:type="dxa"/>
            <w:vAlign w:val="bottom"/>
            <w:gridSpan w:val="2"/>
          </w:tcPr>
          <w:p>
            <w:pPr>
              <w:jc w:val="right"/>
              <w:ind w:right="1524"/>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4200" w:type="dxa"/>
            <w:vAlign w:val="bottom"/>
            <w:gridSpan w:val="2"/>
          </w:tcPr>
          <w:p>
            <w:pPr>
              <w:jc w:val="right"/>
              <w:ind w:right="1542"/>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4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 Acquired</w:t>
            </w:r>
          </w:p>
        </w:tc>
        <w:tc>
          <w:tcPr>
            <w:tcW w:w="2100" w:type="dxa"/>
            <w:vAlign w:val="bottom"/>
            <w:vMerge w:val="restart"/>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Value Realized on Exercise</w:t>
            </w:r>
          </w:p>
        </w:tc>
        <w:tc>
          <w:tcPr>
            <w:tcW w:w="214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Number of Shares Acquired</w:t>
            </w:r>
          </w:p>
        </w:tc>
        <w:tc>
          <w:tcPr>
            <w:tcW w:w="206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Value Realized on Vesting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1440" w:type="dxa"/>
            <w:vAlign w:val="bottom"/>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on Exercise</w:t>
            </w:r>
          </w:p>
        </w:tc>
        <w:tc>
          <w:tcPr>
            <w:tcW w:w="2100" w:type="dxa"/>
            <w:vAlign w:val="bottom"/>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440" w:type="dxa"/>
            <w:vAlign w:val="bottom"/>
            <w:vMerge w:val="continue"/>
          </w:tcPr>
          <w:p>
            <w:pPr>
              <w:spacing w:after="0"/>
              <w:rPr>
                <w:sz w:val="9"/>
                <w:szCs w:val="9"/>
                <w:color w:val="auto"/>
              </w:rPr>
            </w:pPr>
          </w:p>
        </w:tc>
        <w:tc>
          <w:tcPr>
            <w:tcW w:w="2220" w:type="dxa"/>
            <w:vAlign w:val="bottom"/>
            <w:vMerge w:val="continue"/>
          </w:tcPr>
          <w:p>
            <w:pPr>
              <w:spacing w:after="0"/>
              <w:rPr>
                <w:sz w:val="9"/>
                <w:szCs w:val="9"/>
                <w:color w:val="auto"/>
              </w:rPr>
            </w:pPr>
          </w:p>
        </w:tc>
        <w:tc>
          <w:tcPr>
            <w:tcW w:w="2100" w:type="dxa"/>
            <w:vAlign w:val="bottom"/>
            <w:vMerge w:val="restart"/>
          </w:tcPr>
          <w:p>
            <w:pPr>
              <w:jc w:val="right"/>
              <w:ind w:right="824"/>
              <w:spacing w:after="0"/>
              <w:rPr>
                <w:sz w:val="20"/>
                <w:szCs w:val="20"/>
                <w:color w:val="auto"/>
              </w:rPr>
            </w:pPr>
            <w:r>
              <w:rPr>
                <w:rFonts w:ascii="Times New Roman" w:cs="Times New Roman" w:eastAsia="Times New Roman" w:hAnsi="Times New Roman"/>
                <w:sz w:val="16"/>
                <w:szCs w:val="16"/>
                <w:b w:val="1"/>
                <w:bCs w:val="1"/>
                <w:color w:val="auto"/>
              </w:rPr>
              <w:t>(1)($)</w:t>
            </w:r>
          </w:p>
        </w:tc>
        <w:tc>
          <w:tcPr>
            <w:tcW w:w="2140" w:type="dxa"/>
            <w:vAlign w:val="bottom"/>
            <w:vMerge w:val="restart"/>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on Vesting</w:t>
            </w:r>
          </w:p>
        </w:tc>
        <w:tc>
          <w:tcPr>
            <w:tcW w:w="2060" w:type="dxa"/>
            <w:vAlign w:val="bottom"/>
            <w:vMerge w:val="restart"/>
          </w:tcPr>
          <w:p>
            <w:pPr>
              <w:jc w:val="right"/>
              <w:ind w:right="802"/>
              <w:spacing w:after="0"/>
              <w:rPr>
                <w:sz w:val="20"/>
                <w:szCs w:val="20"/>
                <w:color w:val="auto"/>
              </w:rPr>
            </w:pPr>
            <w:r>
              <w:rPr>
                <w:rFonts w:ascii="Times New Roman" w:cs="Times New Roman" w:eastAsia="Times New Roman" w:hAnsi="Times New Roman"/>
                <w:sz w:val="16"/>
                <w:szCs w:val="16"/>
                <w:b w:val="1"/>
                <w:bCs w:val="1"/>
                <w:color w:val="auto"/>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440" w:type="dxa"/>
            <w:vAlign w:val="bottom"/>
          </w:tcPr>
          <w:p>
            <w:pPr>
              <w:spacing w:after="0"/>
              <w:rPr>
                <w:sz w:val="9"/>
                <w:szCs w:val="9"/>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100" w:type="dxa"/>
            <w:vAlign w:val="bottom"/>
            <w:vMerge w:val="continue"/>
          </w:tcPr>
          <w:p>
            <w:pPr>
              <w:spacing w:after="0"/>
              <w:rPr>
                <w:sz w:val="9"/>
                <w:szCs w:val="9"/>
                <w:color w:val="auto"/>
              </w:rPr>
            </w:pPr>
          </w:p>
        </w:tc>
        <w:tc>
          <w:tcPr>
            <w:tcW w:w="2140" w:type="dxa"/>
            <w:vAlign w:val="bottom"/>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440" w:type="dxa"/>
            <w:vAlign w:val="bottom"/>
          </w:tcPr>
          <w:p>
            <w:pPr>
              <w:spacing w:after="0"/>
              <w:rPr>
                <w:sz w:val="9"/>
                <w:szCs w:val="9"/>
                <w:color w:val="auto"/>
              </w:rPr>
            </w:pPr>
          </w:p>
        </w:tc>
        <w:tc>
          <w:tcPr>
            <w:tcW w:w="222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14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Christopher Young</w:t>
            </w:r>
          </w:p>
        </w:tc>
        <w:tc>
          <w:tcPr>
            <w:tcW w:w="22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440" w:type="dxa"/>
            <w:vAlign w:val="bottom"/>
            <w:tcBorders>
              <w:bottom w:val="single" w:sz="8" w:color="auto"/>
            </w:tcBorders>
            <w:shd w:val="clear" w:color="auto" w:fill="CCEEFF"/>
          </w:tcPr>
          <w:p>
            <w:pPr>
              <w:spacing w:after="0"/>
              <w:rPr>
                <w:sz w:val="6"/>
                <w:szCs w:val="6"/>
                <w:color w:val="auto"/>
              </w:rPr>
            </w:pPr>
          </w:p>
        </w:tc>
        <w:tc>
          <w:tcPr>
            <w:tcW w:w="2220" w:type="dxa"/>
            <w:vAlign w:val="bottom"/>
            <w:tcBorders>
              <w:bottom w:val="single" w:sz="8" w:color="auto"/>
            </w:tcBorders>
            <w:shd w:val="clear" w:color="auto" w:fill="CCEEFF"/>
          </w:tcPr>
          <w:p>
            <w:pPr>
              <w:spacing w:after="0"/>
              <w:rPr>
                <w:sz w:val="6"/>
                <w:szCs w:val="6"/>
                <w:color w:val="auto"/>
              </w:rPr>
            </w:pPr>
          </w:p>
        </w:tc>
        <w:tc>
          <w:tcPr>
            <w:tcW w:w="2100" w:type="dxa"/>
            <w:vAlign w:val="bottom"/>
            <w:tcBorders>
              <w:bottom w:val="single" w:sz="8" w:color="auto"/>
            </w:tcBorders>
            <w:shd w:val="clear" w:color="auto" w:fill="CCEEFF"/>
          </w:tcPr>
          <w:p>
            <w:pPr>
              <w:spacing w:after="0"/>
              <w:rPr>
                <w:sz w:val="6"/>
                <w:szCs w:val="6"/>
                <w:color w:val="auto"/>
              </w:rPr>
            </w:pPr>
          </w:p>
        </w:tc>
        <w:tc>
          <w:tcPr>
            <w:tcW w:w="2140" w:type="dxa"/>
            <w:vAlign w:val="bottom"/>
            <w:tcBorders>
              <w:bottom w:val="single" w:sz="8" w:color="auto"/>
            </w:tcBorders>
            <w:shd w:val="clear" w:color="auto" w:fill="CCEEFF"/>
          </w:tcPr>
          <w:p>
            <w:pPr>
              <w:spacing w:after="0"/>
              <w:rPr>
                <w:sz w:val="6"/>
                <w:szCs w:val="6"/>
                <w:color w:val="auto"/>
              </w:rPr>
            </w:pPr>
          </w:p>
        </w:tc>
        <w:tc>
          <w:tcPr>
            <w:tcW w:w="206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David DeStefano</w:t>
            </w:r>
          </w:p>
        </w:tc>
        <w:tc>
          <w:tcPr>
            <w:tcW w:w="22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747,786</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21,976,479</w:t>
            </w:r>
          </w:p>
        </w:tc>
        <w:tc>
          <w:tcPr>
            <w:tcW w:w="2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308,722</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13,245,807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44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John Schwab</w:t>
            </w:r>
          </w:p>
        </w:tc>
        <w:tc>
          <w:tcPr>
            <w:tcW w:w="22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79,922</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3,796,384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440" w:type="dxa"/>
            <w:vAlign w:val="bottom"/>
            <w:tcBorders>
              <w:bottom w:val="single" w:sz="8" w:color="auto"/>
            </w:tcBorders>
            <w:shd w:val="clear" w:color="auto" w:fill="CCEEFF"/>
          </w:tcPr>
          <w:p>
            <w:pPr>
              <w:spacing w:after="0"/>
              <w:rPr>
                <w:sz w:val="6"/>
                <w:szCs w:val="6"/>
                <w:color w:val="auto"/>
              </w:rPr>
            </w:pPr>
          </w:p>
        </w:tc>
        <w:tc>
          <w:tcPr>
            <w:tcW w:w="2220" w:type="dxa"/>
            <w:vAlign w:val="bottom"/>
            <w:tcBorders>
              <w:bottom w:val="single" w:sz="8" w:color="auto"/>
            </w:tcBorders>
            <w:shd w:val="clear" w:color="auto" w:fill="CCEEFF"/>
          </w:tcPr>
          <w:p>
            <w:pPr>
              <w:spacing w:after="0"/>
              <w:rPr>
                <w:sz w:val="6"/>
                <w:szCs w:val="6"/>
                <w:color w:val="auto"/>
              </w:rPr>
            </w:pPr>
          </w:p>
        </w:tc>
        <w:tc>
          <w:tcPr>
            <w:tcW w:w="2100" w:type="dxa"/>
            <w:vAlign w:val="bottom"/>
            <w:tcBorders>
              <w:bottom w:val="single" w:sz="8" w:color="auto"/>
            </w:tcBorders>
            <w:shd w:val="clear" w:color="auto" w:fill="CCEEFF"/>
          </w:tcPr>
          <w:p>
            <w:pPr>
              <w:spacing w:after="0"/>
              <w:rPr>
                <w:sz w:val="6"/>
                <w:szCs w:val="6"/>
                <w:color w:val="auto"/>
              </w:rPr>
            </w:pPr>
          </w:p>
        </w:tc>
        <w:tc>
          <w:tcPr>
            <w:tcW w:w="2140" w:type="dxa"/>
            <w:vAlign w:val="bottom"/>
            <w:tcBorders>
              <w:bottom w:val="single" w:sz="8" w:color="auto"/>
            </w:tcBorders>
            <w:shd w:val="clear" w:color="auto" w:fill="CCEEFF"/>
          </w:tcPr>
          <w:p>
            <w:pPr>
              <w:spacing w:after="0"/>
              <w:rPr>
                <w:sz w:val="6"/>
                <w:szCs w:val="6"/>
                <w:color w:val="auto"/>
              </w:rPr>
            </w:pPr>
          </w:p>
        </w:tc>
        <w:tc>
          <w:tcPr>
            <w:tcW w:w="206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Bryan Rowland</w:t>
            </w:r>
          </w:p>
        </w:tc>
        <w:tc>
          <w:tcPr>
            <w:tcW w:w="22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32,105</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1,007,275</w:t>
            </w:r>
          </w:p>
        </w:tc>
        <w:tc>
          <w:tcPr>
            <w:tcW w:w="2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15,516</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723,907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40" w:right="60" w:hanging="2"/>
        <w:spacing w:after="0" w:line="231" w:lineRule="auto"/>
        <w:tabs>
          <w:tab w:leader="none" w:pos="289"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option awards, the value realized on exercise is calculated by multiplying (i) the number of shares exercised by (ii) the difference between the closing price of the Company’s Common Stock on the date of exercise and the exercise price of the option. For RSUs, the value realized on vesting is determined by multiplying the shares vested by the closing prices of the Company’s Common Stock on the applicable dates of vesting.</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Potential Payments Upon Termination or Change in Control</w:t>
      </w:r>
    </w:p>
    <w:p>
      <w:pPr>
        <w:spacing w:after="0" w:line="204" w:lineRule="exact"/>
        <w:rPr>
          <w:sz w:val="20"/>
          <w:szCs w:val="20"/>
          <w:color w:val="auto"/>
        </w:rPr>
      </w:pPr>
    </w:p>
    <w:p>
      <w:pPr>
        <w:ind w:left="40" w:right="360"/>
        <w:spacing w:after="0" w:line="284" w:lineRule="auto"/>
        <w:rPr>
          <w:sz w:val="20"/>
          <w:szCs w:val="20"/>
          <w:color w:val="auto"/>
        </w:rPr>
      </w:pPr>
      <w:r>
        <w:rPr>
          <w:rFonts w:ascii="Times New Roman" w:cs="Times New Roman" w:eastAsia="Times New Roman" w:hAnsi="Times New Roman"/>
          <w:sz w:val="16"/>
          <w:szCs w:val="16"/>
          <w:color w:val="auto"/>
        </w:rPr>
        <w:t>In this section, we describe payments that may be made to our named executive officers upon several events of termination, assuming the termination event occurred on the last day of fiscal 2025.</w:t>
      </w:r>
    </w:p>
    <w:p>
      <w:pPr>
        <w:spacing w:after="0" w:line="144" w:lineRule="exact"/>
        <w:rPr>
          <w:sz w:val="20"/>
          <w:szCs w:val="20"/>
          <w:color w:val="auto"/>
        </w:rPr>
      </w:pPr>
    </w:p>
    <w:p>
      <w:pPr>
        <w:jc w:val="both"/>
        <w:ind w:left="40" w:right="60"/>
        <w:spacing w:after="0" w:line="284" w:lineRule="auto"/>
        <w:rPr>
          <w:sz w:val="20"/>
          <w:szCs w:val="20"/>
          <w:color w:val="auto"/>
        </w:rPr>
      </w:pPr>
      <w:r>
        <w:rPr>
          <w:rFonts w:ascii="Times New Roman" w:cs="Times New Roman" w:eastAsia="Times New Roman" w:hAnsi="Times New Roman"/>
          <w:sz w:val="16"/>
          <w:szCs w:val="16"/>
          <w:color w:val="auto"/>
        </w:rPr>
        <w:t>We have entered into employment agreements with each named executive officer that provide for potential payments upon a qualifying termination of employment. See “Employment and Severance Arrangements” above for additional information.</w:t>
      </w:r>
    </w:p>
    <w:p>
      <w:pPr>
        <w:spacing w:after="0" w:line="144" w:lineRule="exact"/>
        <w:rPr>
          <w:sz w:val="20"/>
          <w:szCs w:val="20"/>
          <w:color w:val="auto"/>
        </w:rPr>
      </w:pPr>
    </w:p>
    <w:p>
      <w:pPr>
        <w:jc w:val="both"/>
        <w:ind w:left="40" w:right="60"/>
        <w:spacing w:after="0" w:line="258" w:lineRule="auto"/>
        <w:rPr>
          <w:sz w:val="20"/>
          <w:szCs w:val="20"/>
          <w:color w:val="auto"/>
        </w:rPr>
      </w:pPr>
      <w:r>
        <w:rPr>
          <w:rFonts w:ascii="Times New Roman" w:cs="Times New Roman" w:eastAsia="Times New Roman" w:hAnsi="Times New Roman"/>
          <w:sz w:val="16"/>
          <w:szCs w:val="16"/>
          <w:color w:val="auto"/>
        </w:rPr>
        <w:t>The following table summarizes the payments that would be made to our named executive officers upon the occurrence of certain qualifying terminations of employment, in any case, occurring on the last day of fiscal 2025. Amounts shown do not include (i) accrued but unpaid base salary through the date of termination, or (ii) other benefits earned or accrued by the named executive officer during his employment that are available to all salaried employees, such as accrued vacation, and assume that any successor company in a change in control assumed or substituted awards for any outstanding awards under the existing equity plan. See “Retirement Agreement with Mr. DeStefano” above for a description of the payments and benefits provided to him in connection with his retirement in November 2025.</w:t>
      </w:r>
    </w:p>
    <w:p>
      <w:pPr>
        <w:spacing w:after="0" w:line="64"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160" w:type="dxa"/>
            <w:vAlign w:val="bottom"/>
            <w:tcBorders>
              <w:top w:val="single" w:sz="8" w:color="auto"/>
              <w:left w:val="single" w:sz="8" w:color="auto"/>
              <w:right w:val="single" w:sz="8" w:color="auto"/>
            </w:tcBorders>
            <w:vMerge w:val="restart"/>
          </w:tcPr>
          <w:p>
            <w:pPr>
              <w:ind w:left="13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640" w:type="dxa"/>
            <w:vAlign w:val="bottom"/>
            <w:tcBorders>
              <w:top w:val="single" w:sz="8" w:color="auto"/>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2140" w:type="dxa"/>
            <w:vAlign w:val="bottom"/>
            <w:tcBorders>
              <w:top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Termination Without Cause</w:t>
            </w:r>
          </w:p>
        </w:tc>
        <w:tc>
          <w:tcPr>
            <w:tcW w:w="2080" w:type="dxa"/>
            <w:vAlign w:val="bottom"/>
            <w:tcBorders>
              <w:top w:val="single" w:sz="8" w:color="auto"/>
              <w:right w:val="single" w:sz="8" w:color="auto"/>
            </w:tcBorders>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Retirement (4) ($)</w:t>
            </w:r>
          </w:p>
        </w:tc>
        <w:tc>
          <w:tcPr>
            <w:tcW w:w="0" w:type="dxa"/>
            <w:vAlign w:val="bottom"/>
          </w:tcPr>
          <w:p>
            <w:pPr>
              <w:spacing w:after="0"/>
              <w:rPr>
                <w:sz w:val="1"/>
                <w:szCs w:val="1"/>
                <w:color w:val="auto"/>
              </w:rPr>
            </w:pPr>
          </w:p>
        </w:tc>
      </w:tr>
      <w:tr>
        <w:trPr>
          <w:trHeight w:val="115"/>
        </w:trPr>
        <w:tc>
          <w:tcPr>
            <w:tcW w:w="3160" w:type="dxa"/>
            <w:vAlign w:val="bottom"/>
            <w:tcBorders>
              <w:left w:val="single" w:sz="8" w:color="auto"/>
              <w:right w:val="single" w:sz="8" w:color="auto"/>
            </w:tcBorders>
            <w:vMerge w:val="continue"/>
          </w:tcPr>
          <w:p>
            <w:pPr>
              <w:spacing w:after="0"/>
              <w:rPr>
                <w:sz w:val="9"/>
                <w:szCs w:val="9"/>
                <w:color w:val="auto"/>
              </w:rPr>
            </w:pPr>
          </w:p>
        </w:tc>
        <w:tc>
          <w:tcPr>
            <w:tcW w:w="2640" w:type="dxa"/>
            <w:vAlign w:val="bottom"/>
            <w:tcBorders>
              <w:right w:val="single" w:sz="8" w:color="auto"/>
            </w:tcBorders>
            <w:vMerge w:val="continue"/>
          </w:tcPr>
          <w:p>
            <w:pPr>
              <w:spacing w:after="0"/>
              <w:rPr>
                <w:sz w:val="9"/>
                <w:szCs w:val="9"/>
                <w:color w:val="auto"/>
              </w:rPr>
            </w:pPr>
          </w:p>
        </w:tc>
        <w:tc>
          <w:tcPr>
            <w:tcW w:w="2140" w:type="dxa"/>
            <w:vAlign w:val="bottom"/>
            <w:tcBorders>
              <w:right w:val="single" w:sz="8" w:color="auto"/>
            </w:tcBorders>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or for Good Reason($)</w:t>
            </w:r>
          </w:p>
        </w:tc>
        <w:tc>
          <w:tcPr>
            <w:tcW w:w="2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3160" w:type="dxa"/>
            <w:vAlign w:val="bottom"/>
            <w:tcBorders>
              <w:left w:val="single" w:sz="8" w:color="auto"/>
              <w:bottom w:val="single" w:sz="8" w:color="auto"/>
              <w:right w:val="single" w:sz="8" w:color="auto"/>
            </w:tcBorders>
          </w:tcPr>
          <w:p>
            <w:pPr>
              <w:spacing w:after="0"/>
              <w:rPr>
                <w:sz w:val="8"/>
                <w:szCs w:val="8"/>
                <w:color w:val="auto"/>
              </w:rPr>
            </w:pPr>
          </w:p>
        </w:tc>
        <w:tc>
          <w:tcPr>
            <w:tcW w:w="2640" w:type="dxa"/>
            <w:vAlign w:val="bottom"/>
            <w:tcBorders>
              <w:bottom w:val="single" w:sz="8" w:color="auto"/>
              <w:right w:val="single" w:sz="8" w:color="auto"/>
            </w:tcBorders>
          </w:tcPr>
          <w:p>
            <w:pPr>
              <w:spacing w:after="0"/>
              <w:rPr>
                <w:sz w:val="8"/>
                <w:szCs w:val="8"/>
                <w:color w:val="auto"/>
              </w:rPr>
            </w:pPr>
          </w:p>
        </w:tc>
        <w:tc>
          <w:tcPr>
            <w:tcW w:w="2140" w:type="dxa"/>
            <w:vAlign w:val="bottom"/>
            <w:tcBorders>
              <w:bottom w:val="single" w:sz="8" w:color="auto"/>
              <w:right w:val="single" w:sz="8" w:color="auto"/>
            </w:tcBorders>
            <w:vMerge w:val="continue"/>
          </w:tcPr>
          <w:p>
            <w:pPr>
              <w:spacing w:after="0"/>
              <w:rPr>
                <w:sz w:val="8"/>
                <w:szCs w:val="8"/>
                <w:color w:val="auto"/>
              </w:rPr>
            </w:pPr>
          </w:p>
        </w:tc>
        <w:tc>
          <w:tcPr>
            <w:tcW w:w="20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316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26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(1)</w:t>
            </w:r>
          </w:p>
        </w:tc>
        <w:tc>
          <w:tcPr>
            <w:tcW w:w="2140" w:type="dxa"/>
            <w:vAlign w:val="bottom"/>
            <w:tcBorders>
              <w:bottom w:val="single" w:sz="8" w:color="auto"/>
              <w:right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1,458,333</w:t>
            </w:r>
          </w:p>
        </w:tc>
        <w:tc>
          <w:tcPr>
            <w:tcW w:w="2080" w:type="dxa"/>
            <w:vAlign w:val="bottom"/>
            <w:tcBorders>
              <w:bottom w:val="single" w:sz="8" w:color="auto"/>
              <w:right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81"/>
        </w:trPr>
        <w:tc>
          <w:tcPr>
            <w:tcW w:w="3160" w:type="dxa"/>
            <w:vAlign w:val="bottom"/>
            <w:tcBorders>
              <w:left w:val="single" w:sz="8" w:color="auto"/>
              <w:bottom w:val="single" w:sz="8" w:color="CCEEFF"/>
              <w:right w:val="single" w:sz="8" w:color="auto"/>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Christopher Young</w:t>
            </w:r>
          </w:p>
        </w:tc>
        <w:tc>
          <w:tcPr>
            <w:tcW w:w="26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Equity Acceleration (2)</w:t>
            </w:r>
          </w:p>
        </w:tc>
        <w:tc>
          <w:tcPr>
            <w:tcW w:w="2140" w:type="dxa"/>
            <w:vAlign w:val="bottom"/>
            <w:tcBorders>
              <w:bottom w:val="single" w:sz="8" w:color="auto"/>
              <w:right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6,493,885</w:t>
            </w:r>
          </w:p>
        </w:tc>
        <w:tc>
          <w:tcPr>
            <w:tcW w:w="2080" w:type="dxa"/>
            <w:vAlign w:val="bottom"/>
            <w:tcBorders>
              <w:bottom w:val="single" w:sz="8" w:color="auto"/>
              <w:right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25"/>
        </w:trPr>
        <w:tc>
          <w:tcPr>
            <w:tcW w:w="316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2640" w:type="dxa"/>
            <w:vAlign w:val="bottom"/>
            <w:tcBorders>
              <w:right w:val="single" w:sz="8" w:color="auto"/>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COBRA Reimbursement (3)</w:t>
            </w:r>
          </w:p>
        </w:tc>
        <w:tc>
          <w:tcPr>
            <w:tcW w:w="2140" w:type="dxa"/>
            <w:vAlign w:val="bottom"/>
            <w:tcBorders>
              <w:right w:val="single" w:sz="8" w:color="auto"/>
            </w:tcBorders>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70,893</w:t>
            </w:r>
          </w:p>
        </w:tc>
        <w:tc>
          <w:tcPr>
            <w:tcW w:w="2080" w:type="dxa"/>
            <w:vAlign w:val="bottom"/>
            <w:tcBorders>
              <w:right w:val="single" w:sz="8" w:color="auto"/>
            </w:tcBorders>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69"/>
        </w:trPr>
        <w:tc>
          <w:tcPr>
            <w:tcW w:w="3160" w:type="dxa"/>
            <w:vAlign w:val="bottom"/>
            <w:tcBorders>
              <w:left w:val="single" w:sz="8" w:color="auto"/>
              <w:bottom w:val="single" w:sz="8" w:color="CCEEFF"/>
              <w:right w:val="single" w:sz="8" w:color="auto"/>
            </w:tcBorders>
            <w:shd w:val="clear" w:color="auto" w:fill="CCEEFF"/>
          </w:tcPr>
          <w:p>
            <w:pPr>
              <w:spacing w:after="0"/>
              <w:rPr>
                <w:sz w:val="14"/>
                <w:szCs w:val="14"/>
                <w:color w:val="auto"/>
              </w:rPr>
            </w:pPr>
          </w:p>
        </w:tc>
        <w:tc>
          <w:tcPr>
            <w:tcW w:w="264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214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208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3160" w:type="dxa"/>
            <w:vAlign w:val="bottom"/>
            <w:tcBorders>
              <w:left w:val="single" w:sz="8" w:color="auto"/>
              <w:bottom w:val="single" w:sz="8" w:color="auto"/>
              <w:right w:val="single" w:sz="8" w:color="auto"/>
            </w:tcBorders>
            <w:shd w:val="clear" w:color="auto" w:fill="CCEEFF"/>
          </w:tcPr>
          <w:p>
            <w:pPr>
              <w:spacing w:after="0"/>
              <w:rPr>
                <w:sz w:val="24"/>
                <w:szCs w:val="24"/>
                <w:color w:val="auto"/>
              </w:rPr>
            </w:pPr>
          </w:p>
        </w:tc>
        <w:tc>
          <w:tcPr>
            <w:tcW w:w="26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2140" w:type="dxa"/>
            <w:vAlign w:val="bottom"/>
            <w:tcBorders>
              <w:bottom w:val="single" w:sz="8" w:color="auto"/>
              <w:right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8,023,111</w:t>
            </w:r>
          </w:p>
        </w:tc>
        <w:tc>
          <w:tcPr>
            <w:tcW w:w="2080" w:type="dxa"/>
            <w:vAlign w:val="bottom"/>
            <w:tcBorders>
              <w:bottom w:val="single" w:sz="8" w:color="auto"/>
              <w:right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94"/>
        </w:trPr>
        <w:tc>
          <w:tcPr>
            <w:tcW w:w="3160" w:type="dxa"/>
            <w:vAlign w:val="bottom"/>
            <w:tcBorders>
              <w:left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Cash (1)</w:t>
            </w:r>
          </w:p>
        </w:tc>
        <w:tc>
          <w:tcPr>
            <w:tcW w:w="214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521,083</w:t>
            </w:r>
          </w:p>
        </w:tc>
        <w:tc>
          <w:tcPr>
            <w:tcW w:w="20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81"/>
        </w:trPr>
        <w:tc>
          <w:tcPr>
            <w:tcW w:w="316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John Schwab</w:t>
            </w:r>
          </w:p>
        </w:tc>
        <w:tc>
          <w:tcPr>
            <w:tcW w:w="2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Equity Acceleration</w:t>
            </w:r>
          </w:p>
        </w:tc>
        <w:tc>
          <w:tcPr>
            <w:tcW w:w="214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20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25"/>
        </w:trPr>
        <w:tc>
          <w:tcPr>
            <w:tcW w:w="3160" w:type="dxa"/>
            <w:vAlign w:val="bottom"/>
            <w:tcBorders>
              <w:left w:val="single" w:sz="8" w:color="auto"/>
              <w:right w:val="single" w:sz="8" w:color="auto"/>
            </w:tcBorders>
            <w:vMerge w:val="continue"/>
          </w:tcPr>
          <w:p>
            <w:pPr>
              <w:spacing w:after="0"/>
              <w:rPr>
                <w:sz w:val="10"/>
                <w:szCs w:val="10"/>
                <w:color w:val="auto"/>
              </w:rPr>
            </w:pPr>
          </w:p>
        </w:tc>
        <w:tc>
          <w:tcPr>
            <w:tcW w:w="26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COBRA Reimbursement (3)</w:t>
            </w:r>
          </w:p>
        </w:tc>
        <w:tc>
          <w:tcPr>
            <w:tcW w:w="2140" w:type="dxa"/>
            <w:vAlign w:val="bottom"/>
            <w:tcBorders>
              <w:right w:val="single" w:sz="8" w:color="auto"/>
            </w:tcBorders>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53,277</w:t>
            </w:r>
          </w:p>
        </w:tc>
        <w:tc>
          <w:tcPr>
            <w:tcW w:w="2080" w:type="dxa"/>
            <w:vAlign w:val="bottom"/>
            <w:tcBorders>
              <w:right w:val="single" w:sz="8" w:color="auto"/>
            </w:tcBorders>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74"/>
        </w:trPr>
        <w:tc>
          <w:tcPr>
            <w:tcW w:w="3160" w:type="dxa"/>
            <w:vAlign w:val="bottom"/>
            <w:tcBorders>
              <w:left w:val="single" w:sz="8" w:color="auto"/>
              <w:right w:val="single" w:sz="8" w:color="auto"/>
            </w:tcBorders>
          </w:tcPr>
          <w:p>
            <w:pPr>
              <w:spacing w:after="0"/>
              <w:rPr>
                <w:sz w:val="14"/>
                <w:szCs w:val="14"/>
                <w:color w:val="auto"/>
              </w:rPr>
            </w:pPr>
          </w:p>
        </w:tc>
        <w:tc>
          <w:tcPr>
            <w:tcW w:w="2640" w:type="dxa"/>
            <w:vAlign w:val="bottom"/>
            <w:tcBorders>
              <w:bottom w:val="single" w:sz="8" w:color="auto"/>
              <w:right w:val="single" w:sz="8" w:color="auto"/>
            </w:tcBorders>
            <w:vMerge w:val="continue"/>
          </w:tcPr>
          <w:p>
            <w:pPr>
              <w:spacing w:after="0"/>
              <w:rPr>
                <w:sz w:val="14"/>
                <w:szCs w:val="14"/>
                <w:color w:val="auto"/>
              </w:rPr>
            </w:pPr>
          </w:p>
        </w:tc>
        <w:tc>
          <w:tcPr>
            <w:tcW w:w="2140" w:type="dxa"/>
            <w:vAlign w:val="bottom"/>
            <w:tcBorders>
              <w:bottom w:val="single" w:sz="8" w:color="auto"/>
              <w:right w:val="single" w:sz="8" w:color="auto"/>
            </w:tcBorders>
            <w:vMerge w:val="continue"/>
          </w:tcPr>
          <w:p>
            <w:pPr>
              <w:spacing w:after="0"/>
              <w:rPr>
                <w:sz w:val="14"/>
                <w:szCs w:val="14"/>
                <w:color w:val="auto"/>
              </w:rPr>
            </w:pPr>
          </w:p>
        </w:tc>
        <w:tc>
          <w:tcPr>
            <w:tcW w:w="20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3160" w:type="dxa"/>
            <w:vAlign w:val="bottom"/>
            <w:tcBorders>
              <w:left w:val="single" w:sz="8" w:color="auto"/>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214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574,360</w:t>
            </w:r>
          </w:p>
        </w:tc>
        <w:tc>
          <w:tcPr>
            <w:tcW w:w="20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94"/>
        </w:trPr>
        <w:tc>
          <w:tcPr>
            <w:tcW w:w="316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26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(1)</w:t>
            </w:r>
          </w:p>
        </w:tc>
        <w:tc>
          <w:tcPr>
            <w:tcW w:w="2140" w:type="dxa"/>
            <w:vAlign w:val="bottom"/>
            <w:tcBorders>
              <w:bottom w:val="single" w:sz="8" w:color="auto"/>
              <w:right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390,542</w:t>
            </w:r>
          </w:p>
        </w:tc>
        <w:tc>
          <w:tcPr>
            <w:tcW w:w="2080" w:type="dxa"/>
            <w:vAlign w:val="bottom"/>
            <w:tcBorders>
              <w:bottom w:val="single" w:sz="8" w:color="auto"/>
              <w:right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81"/>
        </w:trPr>
        <w:tc>
          <w:tcPr>
            <w:tcW w:w="3160" w:type="dxa"/>
            <w:vAlign w:val="bottom"/>
            <w:tcBorders>
              <w:left w:val="single" w:sz="8" w:color="auto"/>
              <w:bottom w:val="single" w:sz="8" w:color="CCEEFF"/>
              <w:right w:val="single" w:sz="8" w:color="auto"/>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Bryan Rowland</w:t>
            </w:r>
          </w:p>
        </w:tc>
        <w:tc>
          <w:tcPr>
            <w:tcW w:w="26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Equity Acceleration</w:t>
            </w:r>
          </w:p>
        </w:tc>
        <w:tc>
          <w:tcPr>
            <w:tcW w:w="2140" w:type="dxa"/>
            <w:vAlign w:val="bottom"/>
            <w:tcBorders>
              <w:bottom w:val="single" w:sz="8" w:color="auto"/>
              <w:right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2080" w:type="dxa"/>
            <w:vAlign w:val="bottom"/>
            <w:tcBorders>
              <w:bottom w:val="single" w:sz="8" w:color="auto"/>
              <w:right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25"/>
        </w:trPr>
        <w:tc>
          <w:tcPr>
            <w:tcW w:w="316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2640" w:type="dxa"/>
            <w:vAlign w:val="bottom"/>
            <w:tcBorders>
              <w:right w:val="single" w:sz="8" w:color="auto"/>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COBRA Reimbursement (3)</w:t>
            </w:r>
          </w:p>
        </w:tc>
        <w:tc>
          <w:tcPr>
            <w:tcW w:w="2140" w:type="dxa"/>
            <w:vAlign w:val="bottom"/>
            <w:tcBorders>
              <w:right w:val="single" w:sz="8" w:color="auto"/>
            </w:tcBorders>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52,768</w:t>
            </w:r>
          </w:p>
        </w:tc>
        <w:tc>
          <w:tcPr>
            <w:tcW w:w="2080" w:type="dxa"/>
            <w:vAlign w:val="bottom"/>
            <w:tcBorders>
              <w:right w:val="single" w:sz="8" w:color="auto"/>
            </w:tcBorders>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57"/>
        </w:trPr>
        <w:tc>
          <w:tcPr>
            <w:tcW w:w="3160" w:type="dxa"/>
            <w:vAlign w:val="bottom"/>
            <w:tcBorders>
              <w:left w:val="single" w:sz="8" w:color="auto"/>
              <w:bottom w:val="single" w:sz="8" w:color="CCEEFF"/>
              <w:right w:val="single" w:sz="8" w:color="auto"/>
            </w:tcBorders>
            <w:shd w:val="clear" w:color="auto" w:fill="CCEEFF"/>
          </w:tcPr>
          <w:p>
            <w:pPr>
              <w:spacing w:after="0"/>
              <w:rPr>
                <w:sz w:val="13"/>
                <w:szCs w:val="13"/>
                <w:color w:val="auto"/>
              </w:rPr>
            </w:pPr>
          </w:p>
        </w:tc>
        <w:tc>
          <w:tcPr>
            <w:tcW w:w="264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214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208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3160" w:type="dxa"/>
            <w:vAlign w:val="bottom"/>
            <w:tcBorders>
              <w:left w:val="single" w:sz="8" w:color="auto"/>
              <w:bottom w:val="single" w:sz="8" w:color="auto"/>
              <w:right w:val="single" w:sz="8" w:color="auto"/>
            </w:tcBorders>
            <w:shd w:val="clear" w:color="auto" w:fill="CCEEFF"/>
          </w:tcPr>
          <w:p>
            <w:pPr>
              <w:spacing w:after="0"/>
              <w:rPr>
                <w:sz w:val="24"/>
                <w:szCs w:val="24"/>
                <w:color w:val="auto"/>
              </w:rPr>
            </w:pPr>
          </w:p>
        </w:tc>
        <w:tc>
          <w:tcPr>
            <w:tcW w:w="26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2140" w:type="dxa"/>
            <w:vAlign w:val="bottom"/>
            <w:tcBorders>
              <w:bottom w:val="single" w:sz="8" w:color="auto"/>
              <w:right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443,310</w:t>
            </w:r>
          </w:p>
        </w:tc>
        <w:tc>
          <w:tcPr>
            <w:tcW w:w="2080" w:type="dxa"/>
            <w:vAlign w:val="bottom"/>
            <w:tcBorders>
              <w:bottom w:val="single" w:sz="8" w:color="auto"/>
              <w:right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40" w:right="60" w:hanging="2"/>
        <w:spacing w:after="0"/>
        <w:tabs>
          <w:tab w:leader="none" w:pos="33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shown represent cash severance payments payable upon the named executive officer’s termination without cause or resignation for good reason, or, with respect to Mr. Young, his employment termination due to our non-renewal of his employment agreement and also include 30 days of pay in lieu of notice.</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322580</wp:posOffset>
            </wp:positionV>
            <wp:extent cx="630428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10020"/>
          </w:cols>
          <w:pgMar w:left="940" w:top="473" w:right="939" w:bottom="1440" w:gutter="0" w:footer="0" w:header="0"/>
        </w:sectPr>
      </w:pPr>
    </w:p>
    <w:bookmarkStart w:id="39" w:name="page40"/>
    <w:bookmarkEnd w:id="39"/>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jc w:val="both"/>
        <w:ind w:left="2" w:hanging="2"/>
        <w:spacing w:after="0" w:line="218" w:lineRule="auto"/>
        <w:tabs>
          <w:tab w:leader="none" w:pos="291"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 shown is based on the closing price of our Class A Common Stock of $19.97 per share on December 31, 2025. For Mr. Young, if his Qualifying Termination occurs during the Change in Control Period or Mr. Young dies or becomes disabled following a change in control, any time-based stock awards held by Mr. Young will vest in full immediately prior to the effective date of such termination of employment or, if later, immediately prior to the change in control. The value attributable to such accelerated vesting, based on the closing price of our Class A Common Stock of $19.97 per share on December 31, 2025, is $25,975,538.</w:t>
      </w:r>
    </w:p>
    <w:p>
      <w:pPr>
        <w:spacing w:after="0" w:line="1" w:lineRule="exact"/>
        <w:rPr>
          <w:rFonts w:ascii="Times New Roman" w:cs="Times New Roman" w:eastAsia="Times New Roman" w:hAnsi="Times New Roman"/>
          <w:sz w:val="13"/>
          <w:szCs w:val="13"/>
          <w:color w:val="auto"/>
        </w:rPr>
      </w:pPr>
    </w:p>
    <w:p>
      <w:pPr>
        <w:ind w:left="282" w:hanging="282"/>
        <w:spacing w:after="0" w:line="213" w:lineRule="auto"/>
        <w:tabs>
          <w:tab w:leader="none" w:pos="282"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shown represent premiums for continued health coverage for up to 18 months (or 24 months for Mr. Young).</w:t>
      </w:r>
    </w:p>
    <w:p>
      <w:pPr>
        <w:jc w:val="both"/>
        <w:ind w:left="2" w:hanging="2"/>
        <w:spacing w:after="0" w:line="219" w:lineRule="auto"/>
        <w:tabs>
          <w:tab w:leader="none" w:pos="291"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each named executive officer’s equity award agreements, upon the executive’s termination due to retirement, the executive’s outstanding and unvested options will vest in full and a pro-rated portion of the executive’s RSUs will vest. For purposes of the equity award agreements, “Retirement” means a participant’s voluntary termination of service on or after the date on which the participant attains age 55 and has completed a minimum of 15 years of service with the Company. Mr. DeStefano remains eligible for this vesting treatment in the event of his retirement from the Board. The value attributable to such retirement vesting for Mr. DeStefano, based on the closing price of our Class A Common Stock of $19.97 per share on December 31, 2025, is $12,466,552.</w:t>
      </w:r>
    </w:p>
    <w:p>
      <w:pPr>
        <w:spacing w:after="0" w:line="200" w:lineRule="exact"/>
        <w:rPr>
          <w:sz w:val="20"/>
          <w:szCs w:val="20"/>
          <w:color w:val="auto"/>
        </w:rPr>
      </w:pPr>
    </w:p>
    <w:p>
      <w:pPr>
        <w:spacing w:after="0" w:line="29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CEO Pay Ratio Disclosure</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Under SEC rules, we are required to calculate and disclose the median of the annual total compensation of all of our employees other than our CEO, the annual total compensation of our CEO and the ratio of the median of the annual total compensation of all our employees as compared to the annual total compensation of our CEO (“CEO Pay Ratio”). We consider the pay ratio specified herein to be a reasonable estimate calculated in a manner intended to be consistent with Item 402(u) of Regulation S-K.</w:t>
      </w:r>
    </w:p>
    <w:p>
      <w:pPr>
        <w:spacing w:after="0" w:line="101" w:lineRule="exact"/>
        <w:rPr>
          <w:sz w:val="20"/>
          <w:szCs w:val="20"/>
          <w:color w:val="auto"/>
        </w:rPr>
      </w:pPr>
    </w:p>
    <w:p>
      <w:pPr>
        <w:jc w:val="both"/>
        <w:ind w:firstLine="52"/>
        <w:spacing w:after="0" w:line="284" w:lineRule="auto"/>
        <w:rPr>
          <w:sz w:val="20"/>
          <w:szCs w:val="20"/>
          <w:color w:val="auto"/>
        </w:rPr>
      </w:pPr>
      <w:r>
        <w:rPr>
          <w:rFonts w:ascii="Times New Roman" w:cs="Times New Roman" w:eastAsia="Times New Roman" w:hAnsi="Times New Roman"/>
          <w:sz w:val="16"/>
          <w:szCs w:val="16"/>
          <w:color w:val="auto"/>
        </w:rPr>
        <w:t>For 2025, the median annual total compensation of all our employees (other than our CEO) was $143,777, and the annual total compensation of our CEO, as described below, was $26,258,548.</w:t>
      </w:r>
    </w:p>
    <w:p>
      <w:pPr>
        <w:spacing w:after="0" w:line="83" w:lineRule="exact"/>
        <w:rPr>
          <w:sz w:val="20"/>
          <w:szCs w:val="20"/>
          <w:color w:val="auto"/>
        </w:rPr>
      </w:pPr>
    </w:p>
    <w:p>
      <w:pPr>
        <w:ind w:left="600" w:hanging="288"/>
        <w:spacing w:after="0" w:line="284" w:lineRule="auto"/>
        <w:tabs>
          <w:tab w:leader="none" w:pos="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this information, for 2025, the ratio of the annual total compensation of our CEO to the median annual total compensation of all other employees was estimated to be 183 to 1.</w:t>
      </w:r>
    </w:p>
    <w:p>
      <w:pPr>
        <w:spacing w:after="0" w:line="7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color w:val="auto"/>
        </w:rPr>
        <w:t>Due to the CEO transition in 2025, and as permitted by the pay ratio rules under Item 402(u) of Regulation S-K, we chose to annualize Mr. Young’s 2025 compensation. For this calculation, we annualized the amounts reported for Mr. Young in the “2025 Summary Compensation Table” as follows:</w:t>
      </w:r>
    </w:p>
    <w:p>
      <w:pPr>
        <w:spacing w:after="0" w:line="285" w:lineRule="exact"/>
        <w:rPr>
          <w:sz w:val="20"/>
          <w:szCs w:val="20"/>
          <w:color w:val="auto"/>
        </w:rPr>
      </w:pPr>
    </w:p>
    <w:tbl>
      <w:tblPr>
        <w:tblLayout w:type="fixed"/>
        <w:tblInd w:w="590" w:type="dxa"/>
        <w:tblCellMar>
          <w:top w:w="0" w:type="dxa"/>
          <w:left w:w="0" w:type="dxa"/>
          <w:bottom w:w="0" w:type="dxa"/>
          <w:right w:w="0" w:type="dxa"/>
        </w:tblCellMar>
      </w:tblPr>
      <w:tr>
        <w:trPr>
          <w:trHeight w:val="187"/>
        </w:trPr>
        <w:tc>
          <w:tcPr>
            <w:tcW w:w="2040" w:type="dxa"/>
            <w:vAlign w:val="bottom"/>
            <w:tcBorders>
              <w:top w:val="single" w:sz="8" w:color="auto"/>
              <w:left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Pay Component</w:t>
            </w:r>
          </w:p>
        </w:tc>
        <w:tc>
          <w:tcPr>
            <w:tcW w:w="2000" w:type="dxa"/>
            <w:vAlign w:val="bottom"/>
            <w:tcBorders>
              <w:top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Actual Value Disclosed in</w:t>
            </w:r>
          </w:p>
        </w:tc>
        <w:tc>
          <w:tcPr>
            <w:tcW w:w="2040" w:type="dxa"/>
            <w:vAlign w:val="bottom"/>
            <w:tcBorders>
              <w:top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Amount as Adjusted for</w:t>
            </w:r>
          </w:p>
        </w:tc>
        <w:tc>
          <w:tcPr>
            <w:tcW w:w="2040" w:type="dxa"/>
            <w:vAlign w:val="bottom"/>
            <w:tcBorders>
              <w:top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Reason for Adjustment</w:t>
            </w:r>
          </w:p>
        </w:tc>
      </w:tr>
      <w:tr>
        <w:trPr>
          <w:trHeight w:val="193"/>
        </w:trPr>
        <w:tc>
          <w:tcPr>
            <w:tcW w:w="2040" w:type="dxa"/>
            <w:vAlign w:val="bottom"/>
            <w:tcBorders>
              <w:left w:val="single" w:sz="8" w:color="auto"/>
              <w:right w:val="single" w:sz="8" w:color="auto"/>
            </w:tcBorders>
            <w:shd w:val="clear" w:color="auto" w:fill="CCEEFF"/>
          </w:tcPr>
          <w:p>
            <w:pPr>
              <w:spacing w:after="0"/>
              <w:rPr>
                <w:sz w:val="16"/>
                <w:szCs w:val="16"/>
                <w:color w:val="auto"/>
              </w:rPr>
            </w:pPr>
          </w:p>
        </w:tc>
        <w:tc>
          <w:tcPr>
            <w:tcW w:w="2000" w:type="dxa"/>
            <w:vAlign w:val="bottom"/>
            <w:tcBorders>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the Summary</w:t>
            </w:r>
          </w:p>
        </w:tc>
        <w:tc>
          <w:tcPr>
            <w:tcW w:w="20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Purposes of CEO Pay</w:t>
            </w:r>
          </w:p>
        </w:tc>
        <w:tc>
          <w:tcPr>
            <w:tcW w:w="2040" w:type="dxa"/>
            <w:vAlign w:val="bottom"/>
            <w:tcBorders>
              <w:right w:val="single" w:sz="8" w:color="auto"/>
            </w:tcBorders>
            <w:shd w:val="clear" w:color="auto" w:fill="CCEEFF"/>
          </w:tcPr>
          <w:p>
            <w:pPr>
              <w:spacing w:after="0"/>
              <w:rPr>
                <w:sz w:val="16"/>
                <w:szCs w:val="16"/>
                <w:color w:val="auto"/>
              </w:rPr>
            </w:pPr>
          </w:p>
        </w:tc>
      </w:tr>
      <w:tr>
        <w:trPr>
          <w:trHeight w:val="211"/>
        </w:trPr>
        <w:tc>
          <w:tcPr>
            <w:tcW w:w="204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200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Compensation Table</w:t>
            </w:r>
          </w:p>
        </w:tc>
        <w:tc>
          <w:tcPr>
            <w:tcW w:w="204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Ratio Disclosure</w:t>
            </w:r>
          </w:p>
        </w:tc>
        <w:tc>
          <w:tcPr>
            <w:tcW w:w="20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85"/>
        </w:trPr>
        <w:tc>
          <w:tcPr>
            <w:tcW w:w="20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Salary</w:t>
            </w:r>
          </w:p>
        </w:tc>
        <w:tc>
          <w:tcPr>
            <w:tcW w:w="200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$97,808</w:t>
            </w:r>
          </w:p>
        </w:tc>
        <w:tc>
          <w:tcPr>
            <w:tcW w:w="204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$700,000</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Annualized Salary</w:t>
            </w:r>
          </w:p>
        </w:tc>
      </w:tr>
      <w:tr>
        <w:trPr>
          <w:trHeight w:val="185"/>
        </w:trPr>
        <w:tc>
          <w:tcPr>
            <w:tcW w:w="20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Stock Awards</w:t>
            </w:r>
          </w:p>
        </w:tc>
        <w:tc>
          <w:tcPr>
            <w:tcW w:w="200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$24,999,992</w:t>
            </w:r>
          </w:p>
        </w:tc>
        <w:tc>
          <w:tcPr>
            <w:tcW w:w="204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$24,999,992</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No Adjustment</w:t>
            </w:r>
          </w:p>
        </w:tc>
      </w:tr>
      <w:tr>
        <w:trPr>
          <w:trHeight w:val="185"/>
        </w:trPr>
        <w:tc>
          <w:tcPr>
            <w:tcW w:w="20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Non-Equity Incentive Plan</w:t>
            </w:r>
          </w:p>
        </w:tc>
        <w:tc>
          <w:tcPr>
            <w:tcW w:w="200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204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$0</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n/a</w:t>
            </w:r>
          </w:p>
        </w:tc>
      </w:tr>
      <w:tr>
        <w:trPr>
          <w:trHeight w:val="185"/>
        </w:trPr>
        <w:tc>
          <w:tcPr>
            <w:tcW w:w="20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Sign-on Bonus</w:t>
            </w:r>
          </w:p>
        </w:tc>
        <w:tc>
          <w:tcPr>
            <w:tcW w:w="200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$500,000</w:t>
            </w:r>
          </w:p>
        </w:tc>
        <w:tc>
          <w:tcPr>
            <w:tcW w:w="204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$500,000</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n/a</w:t>
            </w:r>
          </w:p>
        </w:tc>
      </w:tr>
      <w:tr>
        <w:trPr>
          <w:trHeight w:val="185"/>
        </w:trPr>
        <w:tc>
          <w:tcPr>
            <w:tcW w:w="20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All Other Compensation</w:t>
            </w:r>
          </w:p>
        </w:tc>
        <w:tc>
          <w:tcPr>
            <w:tcW w:w="200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$18,109</w:t>
            </w:r>
          </w:p>
        </w:tc>
        <w:tc>
          <w:tcPr>
            <w:tcW w:w="204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$58,556</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Annualized Payments</w:t>
            </w:r>
          </w:p>
        </w:tc>
      </w:tr>
      <w:tr>
        <w:trPr>
          <w:trHeight w:val="185"/>
        </w:trPr>
        <w:tc>
          <w:tcPr>
            <w:tcW w:w="20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200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$25,615,909</w:t>
            </w:r>
          </w:p>
        </w:tc>
        <w:tc>
          <w:tcPr>
            <w:tcW w:w="204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$26,258,548</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identify our median employee in 2025, we used the following methodology:</w:t>
      </w:r>
    </w:p>
    <w:p>
      <w:pPr>
        <w:spacing w:after="0" w:line="25" w:lineRule="exact"/>
        <w:rPr>
          <w:sz w:val="20"/>
          <w:szCs w:val="20"/>
          <w:color w:val="auto"/>
        </w:rPr>
      </w:pPr>
    </w:p>
    <w:p>
      <w:pPr>
        <w:ind w:left="600" w:hanging="288"/>
        <w:spacing w:after="0" w:line="251" w:lineRule="auto"/>
        <w:tabs>
          <w:tab w:leader="none" w:pos="6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considered the compensation of 2,126 Vertex full-time and part-time employees (other than the CEO) as of December 31, 2025, consistent with the requirements of Item 402(u) of Regulation S-K for identifying the total employee population.</w:t>
      </w:r>
    </w:p>
    <w:p>
      <w:pPr>
        <w:spacing w:after="0" w:line="1" w:lineRule="exact"/>
        <w:rPr>
          <w:rFonts w:ascii="Times New Roman" w:cs="Times New Roman" w:eastAsia="Times New Roman" w:hAnsi="Times New Roman"/>
          <w:sz w:val="16"/>
          <w:szCs w:val="16"/>
          <w:color w:val="auto"/>
        </w:rPr>
      </w:pPr>
    </w:p>
    <w:p>
      <w:pPr>
        <w:ind w:left="600" w:hanging="288"/>
        <w:spacing w:after="0"/>
        <w:tabs>
          <w:tab w:leader="none" w:pos="6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annualized the base compensation of all full-time and part-time employees who were employed by us for less than the entire calendar year.</w:t>
      </w:r>
    </w:p>
    <w:p>
      <w:pPr>
        <w:spacing w:after="0" w:line="9" w:lineRule="exact"/>
        <w:rPr>
          <w:rFonts w:ascii="Times New Roman" w:cs="Times New Roman" w:eastAsia="Times New Roman" w:hAnsi="Times New Roman"/>
          <w:sz w:val="16"/>
          <w:szCs w:val="16"/>
          <w:color w:val="auto"/>
        </w:rPr>
      </w:pPr>
    </w:p>
    <w:p>
      <w:pPr>
        <w:jc w:val="both"/>
        <w:ind w:left="600" w:hanging="288"/>
        <w:spacing w:after="0" w:line="257" w:lineRule="auto"/>
        <w:tabs>
          <w:tab w:leader="none" w:pos="6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used total cash compensation, consisting of total base pay, plus bonus and commission payments, through December 2025 as the compensation measure for identifying our median employee. The compensation measure was consistently applied to all employees across our global workforce.</w:t>
      </w:r>
    </w:p>
    <w:p>
      <w:pPr>
        <w:spacing w:after="0" w:line="165" w:lineRule="exact"/>
        <w:rPr>
          <w:sz w:val="20"/>
          <w:szCs w:val="20"/>
          <w:color w:val="auto"/>
        </w:rPr>
      </w:pPr>
    </w:p>
    <w:p>
      <w:pPr>
        <w:ind w:right="920"/>
        <w:spacing w:after="0" w:line="284" w:lineRule="auto"/>
        <w:rPr>
          <w:sz w:val="20"/>
          <w:szCs w:val="20"/>
          <w:color w:val="auto"/>
        </w:rPr>
      </w:pPr>
      <w:r>
        <w:rPr>
          <w:rFonts w:ascii="Times New Roman" w:cs="Times New Roman" w:eastAsia="Times New Roman" w:hAnsi="Times New Roman"/>
          <w:sz w:val="16"/>
          <w:szCs w:val="16"/>
          <w:color w:val="auto"/>
        </w:rPr>
        <w:t>We calculated the median employee’s annual total compensation in the same manner as the named executive officers in the “2025 Summary Compensation Table” on page 29.</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In light of the additional one-time sign-on bonus and sign-on equity awards provided to Mr. Young in 2025 in order to successfully recruit him to our Company, we expect the 2025 Pay Ratio to be significantly higher than the CEO pay ratio in future years when we are not providing compensation to recruit a new Chief Executive Officer.</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41" w:name="page42"/>
    <w:bookmarkEnd w:id="41"/>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Pay versus Performance</w:t>
      </w:r>
    </w:p>
    <w:p>
      <w:pPr>
        <w:spacing w:after="0" w:line="213" w:lineRule="exact"/>
        <w:rPr>
          <w:sz w:val="20"/>
          <w:szCs w:val="20"/>
          <w:color w:val="auto"/>
        </w:rPr>
      </w:pPr>
    </w:p>
    <w:tbl>
      <w:tblPr>
        <w:tblLayout w:type="fixed"/>
        <w:tblInd w:w="12" w:type="dxa"/>
        <w:tblCellMar>
          <w:top w:w="0" w:type="dxa"/>
          <w:left w:w="0" w:type="dxa"/>
          <w:bottom w:w="0" w:type="dxa"/>
          <w:right w:w="0" w:type="dxa"/>
        </w:tblCellMar>
      </w:tblPr>
      <w:tr>
        <w:trPr>
          <w:trHeight w:val="138"/>
        </w:trPr>
        <w:tc>
          <w:tcPr>
            <w:tcW w:w="640" w:type="dxa"/>
            <w:vAlign w:val="bottom"/>
            <w:tcBorders>
              <w:top w:val="single" w:sz="8" w:color="auto"/>
              <w:left w:val="single" w:sz="8" w:color="auto"/>
              <w:right w:val="single" w:sz="8" w:color="auto"/>
            </w:tcBorders>
            <w:shd w:val="clear" w:color="auto" w:fill="CCEEFF"/>
          </w:tcPr>
          <w:p>
            <w:pPr>
              <w:spacing w:after="0"/>
              <w:rPr>
                <w:sz w:val="11"/>
                <w:szCs w:val="11"/>
                <w:color w:val="auto"/>
              </w:rPr>
            </w:pPr>
          </w:p>
        </w:tc>
        <w:tc>
          <w:tcPr>
            <w:tcW w:w="98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Summary</w:t>
            </w:r>
          </w:p>
        </w:tc>
        <w:tc>
          <w:tcPr>
            <w:tcW w:w="98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98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980" w:type="dxa"/>
            <w:vAlign w:val="bottom"/>
            <w:tcBorders>
              <w:top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080" w:type="dxa"/>
            <w:vAlign w:val="bottom"/>
            <w:tcBorders>
              <w:top w:val="single" w:sz="8" w:color="auto"/>
              <w:right w:val="single" w:sz="8" w:color="auto"/>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1080" w:type="dxa"/>
            <w:vAlign w:val="bottom"/>
            <w:tcBorders>
              <w:top w:val="single" w:sz="8" w:color="auto"/>
              <w:right w:val="single" w:sz="8" w:color="auto"/>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760" w:type="dxa"/>
            <w:vAlign w:val="bottom"/>
            <w:tcBorders>
              <w:top w:val="single" w:sz="8" w:color="auto"/>
              <w:right w:val="single" w:sz="8" w:color="CCEEFF"/>
            </w:tcBorders>
            <w:shd w:val="clear" w:color="auto" w:fill="CCEEFF"/>
          </w:tcPr>
          <w:p>
            <w:pPr>
              <w:spacing w:after="0"/>
              <w:rPr>
                <w:sz w:val="11"/>
                <w:szCs w:val="11"/>
                <w:color w:val="auto"/>
              </w:rPr>
            </w:pPr>
          </w:p>
        </w:tc>
        <w:tc>
          <w:tcPr>
            <w:tcW w:w="860" w:type="dxa"/>
            <w:vAlign w:val="bottom"/>
            <w:tcBorders>
              <w:top w:val="single" w:sz="8" w:color="auto"/>
              <w:right w:val="single" w:sz="8" w:color="auto"/>
            </w:tcBorders>
            <w:shd w:val="clear" w:color="auto" w:fill="CCEEFF"/>
          </w:tcPr>
          <w:p>
            <w:pPr>
              <w:spacing w:after="0"/>
              <w:rPr>
                <w:sz w:val="11"/>
                <w:szCs w:val="11"/>
                <w:color w:val="auto"/>
              </w:rPr>
            </w:pPr>
          </w:p>
        </w:tc>
        <w:tc>
          <w:tcPr>
            <w:tcW w:w="720" w:type="dxa"/>
            <w:vAlign w:val="bottom"/>
            <w:tcBorders>
              <w:top w:val="single" w:sz="8" w:color="auto"/>
              <w:right w:val="single" w:sz="8" w:color="auto"/>
            </w:tcBorders>
            <w:shd w:val="clear" w:color="auto" w:fill="CCEEFF"/>
          </w:tcPr>
          <w:p>
            <w:pPr>
              <w:spacing w:after="0"/>
              <w:rPr>
                <w:sz w:val="11"/>
                <w:szCs w:val="11"/>
                <w:color w:val="auto"/>
              </w:rPr>
            </w:pPr>
          </w:p>
        </w:tc>
        <w:tc>
          <w:tcPr>
            <w:tcW w:w="880" w:type="dxa"/>
            <w:vAlign w:val="bottom"/>
            <w:tcBorders>
              <w:top w:val="single" w:sz="8" w:color="auto"/>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40" w:type="dxa"/>
            <w:vAlign w:val="bottom"/>
            <w:tcBorders>
              <w:left w:val="single" w:sz="8" w:color="auto"/>
              <w:right w:val="single" w:sz="8" w:color="auto"/>
            </w:tcBorders>
            <w:shd w:val="clear" w:color="auto" w:fill="CCEEFF"/>
          </w:tcPr>
          <w:p>
            <w:pPr>
              <w:spacing w:after="0"/>
              <w:rPr>
                <w:sz w:val="6"/>
                <w:szCs w:val="6"/>
                <w:color w:val="auto"/>
              </w:rPr>
            </w:pPr>
          </w:p>
        </w:tc>
        <w:tc>
          <w:tcPr>
            <w:tcW w:w="980" w:type="dxa"/>
            <w:vAlign w:val="bottom"/>
            <w:tcBorders>
              <w:right w:val="single" w:sz="8" w:color="auto"/>
            </w:tcBorders>
            <w:vMerge w:val="continue"/>
            <w:shd w:val="clear" w:color="auto" w:fill="CCEEFF"/>
          </w:tcPr>
          <w:p>
            <w:pPr>
              <w:spacing w:after="0"/>
              <w:rPr>
                <w:sz w:val="6"/>
                <w:szCs w:val="6"/>
                <w:color w:val="auto"/>
              </w:rPr>
            </w:pPr>
          </w:p>
        </w:tc>
        <w:tc>
          <w:tcPr>
            <w:tcW w:w="980" w:type="dxa"/>
            <w:vAlign w:val="bottom"/>
            <w:tcBorders>
              <w:right w:val="single" w:sz="8" w:color="auto"/>
            </w:tcBorders>
            <w:vMerge w:val="continue"/>
            <w:shd w:val="clear" w:color="auto" w:fill="CCEEFF"/>
          </w:tcPr>
          <w:p>
            <w:pPr>
              <w:spacing w:after="0"/>
              <w:rPr>
                <w:sz w:val="6"/>
                <w:szCs w:val="6"/>
                <w:color w:val="auto"/>
              </w:rPr>
            </w:pPr>
          </w:p>
        </w:tc>
        <w:tc>
          <w:tcPr>
            <w:tcW w:w="980" w:type="dxa"/>
            <w:vAlign w:val="bottom"/>
            <w:tcBorders>
              <w:right w:val="single" w:sz="8" w:color="auto"/>
            </w:tcBorders>
            <w:vMerge w:val="continue"/>
            <w:shd w:val="clear" w:color="auto" w:fill="CCEEFF"/>
          </w:tcPr>
          <w:p>
            <w:pPr>
              <w:spacing w:after="0"/>
              <w:rPr>
                <w:sz w:val="6"/>
                <w:szCs w:val="6"/>
                <w:color w:val="auto"/>
              </w:rPr>
            </w:pPr>
          </w:p>
        </w:tc>
        <w:tc>
          <w:tcPr>
            <w:tcW w:w="980" w:type="dxa"/>
            <w:vAlign w:val="bottom"/>
            <w:tcBorders>
              <w:right w:val="single" w:sz="8" w:color="auto"/>
            </w:tcBorders>
            <w:vMerge w:val="continue"/>
            <w:shd w:val="clear" w:color="auto" w:fill="CCEEFF"/>
          </w:tcPr>
          <w:p>
            <w:pPr>
              <w:spacing w:after="0"/>
              <w:rPr>
                <w:sz w:val="6"/>
                <w:szCs w:val="6"/>
                <w:color w:val="auto"/>
              </w:rPr>
            </w:pPr>
          </w:p>
        </w:tc>
        <w:tc>
          <w:tcPr>
            <w:tcW w:w="1080" w:type="dxa"/>
            <w:vAlign w:val="bottom"/>
            <w:tcBorders>
              <w:right w:val="single" w:sz="8" w:color="auto"/>
            </w:tcBorders>
            <w:vMerge w:val="restart"/>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Summary</w:t>
            </w:r>
          </w:p>
        </w:tc>
        <w:tc>
          <w:tcPr>
            <w:tcW w:w="1080" w:type="dxa"/>
            <w:vAlign w:val="bottom"/>
            <w:tcBorders>
              <w:right w:val="single" w:sz="8" w:color="auto"/>
            </w:tcBorders>
            <w:vMerge w:val="restart"/>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760" w:type="dxa"/>
            <w:vAlign w:val="bottom"/>
            <w:tcBorders>
              <w:right w:val="single" w:sz="8" w:color="CCEEFF"/>
            </w:tcBorders>
            <w:shd w:val="clear" w:color="auto" w:fill="CCEEFF"/>
          </w:tcPr>
          <w:p>
            <w:pPr>
              <w:spacing w:after="0"/>
              <w:rPr>
                <w:sz w:val="6"/>
                <w:szCs w:val="6"/>
                <w:color w:val="auto"/>
              </w:rPr>
            </w:pPr>
          </w:p>
        </w:tc>
        <w:tc>
          <w:tcPr>
            <w:tcW w:w="860" w:type="dxa"/>
            <w:vAlign w:val="bottom"/>
            <w:tcBorders>
              <w:right w:val="single" w:sz="8" w:color="auto"/>
            </w:tcBorders>
            <w:shd w:val="clear" w:color="auto" w:fill="CCEEFF"/>
          </w:tcPr>
          <w:p>
            <w:pPr>
              <w:spacing w:after="0"/>
              <w:rPr>
                <w:sz w:val="6"/>
                <w:szCs w:val="6"/>
                <w:color w:val="auto"/>
              </w:rPr>
            </w:pPr>
          </w:p>
        </w:tc>
        <w:tc>
          <w:tcPr>
            <w:tcW w:w="720" w:type="dxa"/>
            <w:vAlign w:val="bottom"/>
            <w:tcBorders>
              <w:right w:val="single" w:sz="8" w:color="auto"/>
            </w:tcBorders>
            <w:shd w:val="clear" w:color="auto" w:fill="CCEEFF"/>
          </w:tcPr>
          <w:p>
            <w:pPr>
              <w:spacing w:after="0"/>
              <w:rPr>
                <w:sz w:val="6"/>
                <w:szCs w:val="6"/>
                <w:color w:val="auto"/>
              </w:rPr>
            </w:pPr>
          </w:p>
        </w:tc>
        <w:tc>
          <w:tcPr>
            <w:tcW w:w="8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7"/>
        </w:trPr>
        <w:tc>
          <w:tcPr>
            <w:tcW w:w="640" w:type="dxa"/>
            <w:vAlign w:val="bottom"/>
            <w:tcBorders>
              <w:left w:val="single" w:sz="8" w:color="auto"/>
              <w:right w:val="single" w:sz="8" w:color="auto"/>
            </w:tcBorders>
            <w:shd w:val="clear" w:color="auto" w:fill="CCEEFF"/>
          </w:tcPr>
          <w:p>
            <w:pPr>
              <w:spacing w:after="0"/>
              <w:rPr>
                <w:sz w:val="5"/>
                <w:szCs w:val="5"/>
                <w:color w:val="auto"/>
              </w:rPr>
            </w:pP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980" w:type="dxa"/>
            <w:vAlign w:val="bottom"/>
            <w:tcBorders>
              <w:right w:val="single" w:sz="8" w:color="auto"/>
            </w:tcBorders>
            <w:vMerge w:val="continue"/>
            <w:shd w:val="clear" w:color="auto" w:fill="CCEEFF"/>
          </w:tcPr>
          <w:p>
            <w:pPr>
              <w:spacing w:after="0"/>
              <w:rPr>
                <w:sz w:val="5"/>
                <w:szCs w:val="5"/>
                <w:color w:val="auto"/>
              </w:rPr>
            </w:pP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980" w:type="dxa"/>
            <w:vAlign w:val="bottom"/>
            <w:tcBorders>
              <w:right w:val="single" w:sz="8" w:color="auto"/>
            </w:tcBorders>
            <w:vMerge w:val="continue"/>
            <w:shd w:val="clear" w:color="auto" w:fill="CCEEFF"/>
          </w:tcPr>
          <w:p>
            <w:pPr>
              <w:spacing w:after="0"/>
              <w:rPr>
                <w:sz w:val="5"/>
                <w:szCs w:val="5"/>
                <w:color w:val="auto"/>
              </w:rPr>
            </w:pPr>
          </w:p>
        </w:tc>
        <w:tc>
          <w:tcPr>
            <w:tcW w:w="1080" w:type="dxa"/>
            <w:vAlign w:val="bottom"/>
            <w:tcBorders>
              <w:right w:val="single" w:sz="8" w:color="auto"/>
            </w:tcBorders>
            <w:vMerge w:val="continue"/>
            <w:shd w:val="clear" w:color="auto" w:fill="CCEEFF"/>
          </w:tcPr>
          <w:p>
            <w:pPr>
              <w:spacing w:after="0"/>
              <w:rPr>
                <w:sz w:val="5"/>
                <w:szCs w:val="5"/>
                <w:color w:val="auto"/>
              </w:rPr>
            </w:pPr>
          </w:p>
        </w:tc>
        <w:tc>
          <w:tcPr>
            <w:tcW w:w="1080" w:type="dxa"/>
            <w:vAlign w:val="bottom"/>
            <w:tcBorders>
              <w:right w:val="single" w:sz="8" w:color="auto"/>
            </w:tcBorders>
            <w:vMerge w:val="continue"/>
            <w:shd w:val="clear" w:color="auto" w:fill="CCEEFF"/>
          </w:tcPr>
          <w:p>
            <w:pPr>
              <w:spacing w:after="0"/>
              <w:rPr>
                <w:sz w:val="5"/>
                <w:szCs w:val="5"/>
                <w:color w:val="auto"/>
              </w:rPr>
            </w:pPr>
          </w:p>
        </w:tc>
        <w:tc>
          <w:tcPr>
            <w:tcW w:w="760" w:type="dxa"/>
            <w:vAlign w:val="bottom"/>
            <w:tcBorders>
              <w:right w:val="single" w:sz="8" w:color="CCEEFF"/>
            </w:tcBorders>
            <w:shd w:val="clear" w:color="auto" w:fill="CCEEFF"/>
          </w:tcPr>
          <w:p>
            <w:pPr>
              <w:spacing w:after="0"/>
              <w:rPr>
                <w:sz w:val="5"/>
                <w:szCs w:val="5"/>
                <w:color w:val="auto"/>
              </w:rPr>
            </w:pPr>
          </w:p>
        </w:tc>
        <w:tc>
          <w:tcPr>
            <w:tcW w:w="860" w:type="dxa"/>
            <w:vAlign w:val="bottom"/>
            <w:tcBorders>
              <w:right w:val="single" w:sz="8" w:color="auto"/>
            </w:tcBorders>
            <w:shd w:val="clear" w:color="auto" w:fill="CCEEFF"/>
          </w:tcPr>
          <w:p>
            <w:pPr>
              <w:spacing w:after="0"/>
              <w:rPr>
                <w:sz w:val="5"/>
                <w:szCs w:val="5"/>
                <w:color w:val="auto"/>
              </w:rPr>
            </w:pPr>
          </w:p>
        </w:tc>
        <w:tc>
          <w:tcPr>
            <w:tcW w:w="720" w:type="dxa"/>
            <w:vAlign w:val="bottom"/>
            <w:tcBorders>
              <w:right w:val="single" w:sz="8" w:color="auto"/>
            </w:tcBorders>
            <w:shd w:val="clear" w:color="auto" w:fill="CCEEFF"/>
          </w:tcPr>
          <w:p>
            <w:pPr>
              <w:spacing w:after="0"/>
              <w:rPr>
                <w:sz w:val="5"/>
                <w:szCs w:val="5"/>
                <w:color w:val="auto"/>
              </w:rPr>
            </w:pPr>
          </w:p>
        </w:tc>
        <w:tc>
          <w:tcPr>
            <w:tcW w:w="880" w:type="dxa"/>
            <w:vAlign w:val="bottom"/>
            <w:tcBorders>
              <w:right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640" w:type="dxa"/>
            <w:vAlign w:val="bottom"/>
            <w:tcBorders>
              <w:left w:val="single" w:sz="8" w:color="auto"/>
              <w:right w:val="single" w:sz="8" w:color="auto"/>
            </w:tcBorders>
            <w:shd w:val="clear" w:color="auto" w:fill="CCEEFF"/>
          </w:tcPr>
          <w:p>
            <w:pPr>
              <w:spacing w:after="0"/>
              <w:rPr>
                <w:sz w:val="12"/>
                <w:szCs w:val="12"/>
                <w:color w:val="auto"/>
              </w:rPr>
            </w:pPr>
          </w:p>
        </w:tc>
        <w:tc>
          <w:tcPr>
            <w:tcW w:w="980" w:type="dxa"/>
            <w:vAlign w:val="bottom"/>
            <w:tcBorders>
              <w:right w:val="single" w:sz="8" w:color="auto"/>
            </w:tcBorders>
            <w:vMerge w:val="continue"/>
            <w:shd w:val="clear" w:color="auto" w:fill="CCEEFF"/>
          </w:tcPr>
          <w:p>
            <w:pPr>
              <w:spacing w:after="0"/>
              <w:rPr>
                <w:sz w:val="12"/>
                <w:szCs w:val="12"/>
                <w:color w:val="auto"/>
              </w:rPr>
            </w:pPr>
          </w:p>
        </w:tc>
        <w:tc>
          <w:tcPr>
            <w:tcW w:w="980" w:type="dxa"/>
            <w:vAlign w:val="bottom"/>
            <w:tcBorders>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Actually Paid to</w:t>
            </w:r>
          </w:p>
        </w:tc>
        <w:tc>
          <w:tcPr>
            <w:tcW w:w="980" w:type="dxa"/>
            <w:vAlign w:val="bottom"/>
            <w:tcBorders>
              <w:right w:val="single" w:sz="8" w:color="auto"/>
            </w:tcBorders>
            <w:vMerge w:val="continue"/>
            <w:shd w:val="clear" w:color="auto" w:fill="CCEEFF"/>
          </w:tcPr>
          <w:p>
            <w:pPr>
              <w:spacing w:after="0"/>
              <w:rPr>
                <w:sz w:val="12"/>
                <w:szCs w:val="12"/>
                <w:color w:val="auto"/>
              </w:rPr>
            </w:pPr>
          </w:p>
        </w:tc>
        <w:tc>
          <w:tcPr>
            <w:tcW w:w="980" w:type="dxa"/>
            <w:vAlign w:val="bottom"/>
            <w:tcBorders>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Actually Paid to</w:t>
            </w:r>
          </w:p>
        </w:tc>
        <w:tc>
          <w:tcPr>
            <w:tcW w:w="1080" w:type="dxa"/>
            <w:vAlign w:val="bottom"/>
            <w:tcBorders>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80" w:type="dxa"/>
            <w:vAlign w:val="bottom"/>
            <w:tcBorders>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Actually Paid to</w:t>
            </w:r>
          </w:p>
        </w:tc>
        <w:tc>
          <w:tcPr>
            <w:tcW w:w="1620" w:type="dxa"/>
            <w:vAlign w:val="bottom"/>
            <w:tcBorders>
              <w:right w:val="single" w:sz="8" w:color="auto"/>
            </w:tcBorders>
            <w:gridSpan w:val="2"/>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Value of Initial Fixed $100</w:t>
            </w:r>
          </w:p>
        </w:tc>
        <w:tc>
          <w:tcPr>
            <w:tcW w:w="720" w:type="dxa"/>
            <w:vAlign w:val="bottom"/>
            <w:tcBorders>
              <w:right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w w:val="98"/>
              </w:rPr>
              <w:t>Net Income</w:t>
            </w:r>
          </w:p>
        </w:tc>
        <w:tc>
          <w:tcPr>
            <w:tcW w:w="880" w:type="dxa"/>
            <w:vAlign w:val="bottom"/>
            <w:tcBorders>
              <w:right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40" w:type="dxa"/>
            <w:vAlign w:val="bottom"/>
            <w:tcBorders>
              <w:left w:val="single" w:sz="8" w:color="auto"/>
              <w:right w:val="single" w:sz="8" w:color="auto"/>
            </w:tcBorders>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b w:val="1"/>
                <w:bCs w:val="1"/>
                <w:color w:val="auto"/>
              </w:rPr>
              <w:t>Year</w:t>
            </w:r>
          </w:p>
        </w:tc>
        <w:tc>
          <w:tcPr>
            <w:tcW w:w="980" w:type="dxa"/>
            <w:vAlign w:val="bottom"/>
            <w:tcBorders>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980" w:type="dxa"/>
            <w:vAlign w:val="bottom"/>
            <w:tcBorders>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6"/>
              </w:rPr>
              <w:t>First PEO¹</w:t>
            </w:r>
            <w:r>
              <w:rPr>
                <w:rFonts w:ascii="Arial" w:cs="Arial" w:eastAsia="Arial" w:hAnsi="Arial"/>
                <w:sz w:val="14"/>
                <w:szCs w:val="14"/>
                <w:b w:val="1"/>
                <w:bCs w:val="1"/>
                <w:color w:val="auto"/>
                <w:w w:val="96"/>
              </w:rPr>
              <w:t>˒</w:t>
            </w:r>
            <w:r>
              <w:rPr>
                <w:rFonts w:ascii="Times New Roman" w:cs="Times New Roman" w:eastAsia="Times New Roman" w:hAnsi="Times New Roman"/>
                <w:sz w:val="14"/>
                <w:szCs w:val="14"/>
                <w:b w:val="1"/>
                <w:bCs w:val="1"/>
                <w:color w:val="auto"/>
                <w:w w:val="96"/>
              </w:rPr>
              <w:t>²</w:t>
            </w:r>
            <w:r>
              <w:rPr>
                <w:rFonts w:ascii="Arial" w:cs="Arial" w:eastAsia="Arial" w:hAnsi="Arial"/>
                <w:sz w:val="14"/>
                <w:szCs w:val="14"/>
                <w:b w:val="1"/>
                <w:bCs w:val="1"/>
                <w:color w:val="auto"/>
                <w:w w:val="96"/>
              </w:rPr>
              <w:t>˒</w:t>
            </w:r>
            <w:r>
              <w:rPr>
                <w:rFonts w:ascii="Times New Roman" w:cs="Times New Roman" w:eastAsia="Times New Roman" w:hAnsi="Times New Roman"/>
                <w:sz w:val="14"/>
                <w:szCs w:val="14"/>
                <w:b w:val="1"/>
                <w:bCs w:val="1"/>
                <w:color w:val="auto"/>
                <w:w w:val="96"/>
              </w:rPr>
              <w:t>³</w:t>
            </w:r>
          </w:p>
        </w:tc>
        <w:tc>
          <w:tcPr>
            <w:tcW w:w="980" w:type="dxa"/>
            <w:vAlign w:val="bottom"/>
            <w:tcBorders>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4"/>
              </w:rPr>
              <w:t>Table Total for</w:t>
            </w:r>
          </w:p>
        </w:tc>
        <w:tc>
          <w:tcPr>
            <w:tcW w:w="980" w:type="dxa"/>
            <w:vAlign w:val="bottom"/>
            <w:tcBorders>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Second PEO¹</w:t>
            </w:r>
            <w:r>
              <w:rPr>
                <w:rFonts w:ascii="Arial" w:cs="Arial" w:eastAsia="Arial" w:hAnsi="Arial"/>
                <w:sz w:val="14"/>
                <w:szCs w:val="14"/>
                <w:b w:val="1"/>
                <w:bCs w:val="1"/>
                <w:color w:val="auto"/>
                <w:w w:val="98"/>
              </w:rPr>
              <w:t>˒</w:t>
            </w:r>
            <w:r>
              <w:rPr>
                <w:rFonts w:ascii="Times New Roman" w:cs="Times New Roman" w:eastAsia="Times New Roman" w:hAnsi="Times New Roman"/>
                <w:sz w:val="14"/>
                <w:szCs w:val="14"/>
                <w:b w:val="1"/>
                <w:bCs w:val="1"/>
                <w:color w:val="auto"/>
                <w:w w:val="98"/>
              </w:rPr>
              <w:t>²</w:t>
            </w:r>
            <w:r>
              <w:rPr>
                <w:rFonts w:ascii="Arial" w:cs="Arial" w:eastAsia="Arial" w:hAnsi="Arial"/>
                <w:sz w:val="14"/>
                <w:szCs w:val="14"/>
                <w:b w:val="1"/>
                <w:bCs w:val="1"/>
                <w:color w:val="auto"/>
                <w:w w:val="98"/>
              </w:rPr>
              <w:t>˒</w:t>
            </w:r>
            <w:r>
              <w:rPr>
                <w:rFonts w:ascii="Times New Roman" w:cs="Times New Roman" w:eastAsia="Times New Roman" w:hAnsi="Times New Roman"/>
                <w:sz w:val="14"/>
                <w:szCs w:val="14"/>
                <w:b w:val="1"/>
                <w:bCs w:val="1"/>
                <w:color w:val="auto"/>
                <w:w w:val="98"/>
              </w:rPr>
              <w:t>³</w:t>
            </w:r>
          </w:p>
        </w:tc>
        <w:tc>
          <w:tcPr>
            <w:tcW w:w="1080" w:type="dxa"/>
            <w:vAlign w:val="bottom"/>
            <w:tcBorders>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4"/>
              </w:rPr>
              <w:t>Table Total for</w:t>
            </w:r>
          </w:p>
        </w:tc>
        <w:tc>
          <w:tcPr>
            <w:tcW w:w="1080" w:type="dxa"/>
            <w:vAlign w:val="bottom"/>
            <w:tcBorders>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5"/>
              </w:rPr>
              <w:t>Non-PEO</w:t>
            </w:r>
          </w:p>
        </w:tc>
        <w:tc>
          <w:tcPr>
            <w:tcW w:w="1620" w:type="dxa"/>
            <w:vAlign w:val="bottom"/>
            <w:tcBorders>
              <w:right w:val="single" w:sz="8" w:color="auto"/>
            </w:tcBorders>
            <w:gridSpan w:val="2"/>
            <w:shd w:val="clear" w:color="auto" w:fill="CCEEFF"/>
          </w:tcPr>
          <w:p>
            <w:pPr>
              <w:jc w:val="center"/>
              <w:spacing w:after="0" w:line="145" w:lineRule="exact"/>
              <w:rPr>
                <w:sz w:val="20"/>
                <w:szCs w:val="20"/>
                <w:color w:val="auto"/>
              </w:rPr>
            </w:pPr>
            <w:r>
              <w:rPr>
                <w:rFonts w:ascii="Times New Roman" w:cs="Times New Roman" w:eastAsia="Times New Roman" w:hAnsi="Times New Roman"/>
                <w:sz w:val="11"/>
                <w:szCs w:val="11"/>
                <w:b w:val="1"/>
                <w:bCs w:val="1"/>
                <w:color w:val="auto"/>
              </w:rPr>
              <w:t>Investment based on:</w:t>
            </w:r>
            <w:r>
              <w:rPr>
                <w:rFonts w:ascii="Times New Roman" w:cs="Times New Roman" w:eastAsia="Times New Roman" w:hAnsi="Times New Roman"/>
                <w:sz w:val="16"/>
                <w:szCs w:val="16"/>
                <w:b w:val="1"/>
                <w:bCs w:val="1"/>
                <w:color w:val="auto"/>
                <w:vertAlign w:val="superscript"/>
              </w:rPr>
              <w:t>4</w:t>
            </w:r>
          </w:p>
        </w:tc>
        <w:tc>
          <w:tcPr>
            <w:tcW w:w="720" w:type="dxa"/>
            <w:vAlign w:val="bottom"/>
            <w:tcBorders>
              <w:right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w w:val="98"/>
              </w:rPr>
              <w:t>($ Millions)</w:t>
            </w:r>
          </w:p>
        </w:tc>
        <w:tc>
          <w:tcPr>
            <w:tcW w:w="880" w:type="dxa"/>
            <w:vAlign w:val="bottom"/>
            <w:tcBorders>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Revenue</w:t>
            </w:r>
            <w:r>
              <w:rPr>
                <w:rFonts w:ascii="Arial" w:cs="Arial" w:eastAsia="Arial" w:hAnsi="Arial"/>
                <w:sz w:val="14"/>
                <w:szCs w:val="14"/>
                <w:b w:val="1"/>
                <w:bCs w:val="1"/>
                <w:color w:val="auto"/>
                <w:w w:val="99"/>
              </w:rPr>
              <w:t>⁵</w:t>
            </w:r>
          </w:p>
        </w:tc>
        <w:tc>
          <w:tcPr>
            <w:tcW w:w="0" w:type="dxa"/>
            <w:vAlign w:val="bottom"/>
          </w:tcPr>
          <w:p>
            <w:pPr>
              <w:spacing w:after="0"/>
              <w:rPr>
                <w:sz w:val="1"/>
                <w:szCs w:val="1"/>
                <w:color w:val="auto"/>
              </w:rPr>
            </w:pPr>
          </w:p>
        </w:tc>
      </w:tr>
      <w:tr>
        <w:trPr>
          <w:trHeight w:val="84"/>
        </w:trPr>
        <w:tc>
          <w:tcPr>
            <w:tcW w:w="640" w:type="dxa"/>
            <w:vAlign w:val="bottom"/>
            <w:tcBorders>
              <w:left w:val="single" w:sz="8" w:color="auto"/>
              <w:right w:val="single" w:sz="8" w:color="auto"/>
            </w:tcBorders>
            <w:shd w:val="clear" w:color="auto" w:fill="CCEEFF"/>
          </w:tcPr>
          <w:p>
            <w:pPr>
              <w:spacing w:after="0"/>
              <w:rPr>
                <w:sz w:val="7"/>
                <w:szCs w:val="7"/>
                <w:color w:val="auto"/>
              </w:rPr>
            </w:pPr>
          </w:p>
        </w:tc>
        <w:tc>
          <w:tcPr>
            <w:tcW w:w="980" w:type="dxa"/>
            <w:vAlign w:val="bottom"/>
            <w:tcBorders>
              <w:right w:val="single" w:sz="8" w:color="auto"/>
            </w:tcBorders>
            <w:shd w:val="clear" w:color="auto" w:fill="CCEEFF"/>
          </w:tcPr>
          <w:p>
            <w:pPr>
              <w:jc w:val="center"/>
              <w:spacing w:after="0" w:line="85" w:lineRule="exact"/>
              <w:rPr>
                <w:sz w:val="20"/>
                <w:szCs w:val="20"/>
                <w:color w:val="auto"/>
              </w:rPr>
            </w:pPr>
            <w:r>
              <w:rPr>
                <w:rFonts w:ascii="Times New Roman" w:cs="Times New Roman" w:eastAsia="Times New Roman" w:hAnsi="Times New Roman"/>
                <w:sz w:val="9"/>
                <w:szCs w:val="9"/>
                <w:b w:val="1"/>
                <w:bCs w:val="1"/>
                <w:color w:val="auto"/>
              </w:rPr>
              <w:t>First PEO¹</w:t>
            </w:r>
          </w:p>
        </w:tc>
        <w:tc>
          <w:tcPr>
            <w:tcW w:w="980" w:type="dxa"/>
            <w:vAlign w:val="bottom"/>
            <w:tcBorders>
              <w:right w:val="single" w:sz="8" w:color="auto"/>
            </w:tcBorders>
            <w:vMerge w:val="restart"/>
            <w:shd w:val="clear" w:color="auto" w:fill="CCEEFF"/>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980" w:type="dxa"/>
            <w:vAlign w:val="bottom"/>
            <w:tcBorders>
              <w:right w:val="single" w:sz="8" w:color="auto"/>
            </w:tcBorders>
            <w:shd w:val="clear" w:color="auto" w:fill="CCEEFF"/>
          </w:tcPr>
          <w:p>
            <w:pPr>
              <w:jc w:val="center"/>
              <w:spacing w:after="0" w:line="85" w:lineRule="exact"/>
              <w:rPr>
                <w:sz w:val="20"/>
                <w:szCs w:val="20"/>
                <w:color w:val="auto"/>
              </w:rPr>
            </w:pPr>
            <w:r>
              <w:rPr>
                <w:rFonts w:ascii="Times New Roman" w:cs="Times New Roman" w:eastAsia="Times New Roman" w:hAnsi="Times New Roman"/>
                <w:sz w:val="9"/>
                <w:szCs w:val="9"/>
                <w:b w:val="1"/>
                <w:bCs w:val="1"/>
                <w:color w:val="auto"/>
              </w:rPr>
              <w:t>Second PEO¹</w:t>
            </w:r>
          </w:p>
        </w:tc>
        <w:tc>
          <w:tcPr>
            <w:tcW w:w="980" w:type="dxa"/>
            <w:vAlign w:val="bottom"/>
            <w:tcBorders>
              <w:right w:val="single" w:sz="8" w:color="auto"/>
            </w:tcBorders>
            <w:vMerge w:val="restart"/>
            <w:shd w:val="clear" w:color="auto" w:fill="CCEEFF"/>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80" w:type="dxa"/>
            <w:vAlign w:val="bottom"/>
            <w:tcBorders>
              <w:right w:val="single" w:sz="8" w:color="auto"/>
            </w:tcBorders>
            <w:vMerge w:val="restart"/>
            <w:shd w:val="clear" w:color="auto" w:fill="CCEEFF"/>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w w:val="97"/>
              </w:rPr>
              <w:t>Non-PEO NEOs1</w:t>
            </w:r>
          </w:p>
        </w:tc>
        <w:tc>
          <w:tcPr>
            <w:tcW w:w="1080" w:type="dxa"/>
            <w:vAlign w:val="bottom"/>
            <w:tcBorders>
              <w:right w:val="single" w:sz="8" w:color="auto"/>
            </w:tcBorders>
            <w:vMerge w:val="restart"/>
            <w:shd w:val="clear" w:color="auto" w:fill="CCEEFF"/>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w w:val="97"/>
              </w:rPr>
              <w:t>NEOs1,2,3</w:t>
            </w:r>
          </w:p>
        </w:tc>
        <w:tc>
          <w:tcPr>
            <w:tcW w:w="760" w:type="dxa"/>
            <w:vAlign w:val="bottom"/>
            <w:tcBorders>
              <w:right w:val="single" w:sz="8" w:color="CCEEFF"/>
            </w:tcBorders>
            <w:shd w:val="clear" w:color="auto" w:fill="CCEEFF"/>
          </w:tcPr>
          <w:p>
            <w:pPr>
              <w:spacing w:after="0"/>
              <w:rPr>
                <w:sz w:val="7"/>
                <w:szCs w:val="7"/>
                <w:color w:val="auto"/>
              </w:rPr>
            </w:pPr>
          </w:p>
        </w:tc>
        <w:tc>
          <w:tcPr>
            <w:tcW w:w="860" w:type="dxa"/>
            <w:vAlign w:val="bottom"/>
            <w:tcBorders>
              <w:right w:val="single" w:sz="8" w:color="auto"/>
            </w:tcBorders>
            <w:shd w:val="clear" w:color="auto" w:fill="CCEEFF"/>
          </w:tcPr>
          <w:p>
            <w:pPr>
              <w:spacing w:after="0"/>
              <w:rPr>
                <w:sz w:val="7"/>
                <w:szCs w:val="7"/>
                <w:color w:val="auto"/>
              </w:rPr>
            </w:pPr>
          </w:p>
        </w:tc>
        <w:tc>
          <w:tcPr>
            <w:tcW w:w="720" w:type="dxa"/>
            <w:vAlign w:val="bottom"/>
            <w:tcBorders>
              <w:right w:val="single" w:sz="8" w:color="auto"/>
            </w:tcBorders>
            <w:shd w:val="clear" w:color="auto" w:fill="CCEEFF"/>
          </w:tcPr>
          <w:p>
            <w:pPr>
              <w:spacing w:after="0"/>
              <w:rPr>
                <w:sz w:val="7"/>
                <w:szCs w:val="7"/>
                <w:color w:val="auto"/>
              </w:rPr>
            </w:pPr>
          </w:p>
        </w:tc>
        <w:tc>
          <w:tcPr>
            <w:tcW w:w="880" w:type="dxa"/>
            <w:vAlign w:val="bottom"/>
            <w:tcBorders>
              <w:right w:val="single" w:sz="8" w:color="auto"/>
            </w:tcBorders>
            <w:shd w:val="clear" w:color="auto" w:fill="CCEEFF"/>
          </w:tcPr>
          <w:p>
            <w:pPr>
              <w:jc w:val="center"/>
              <w:spacing w:after="0" w:line="85" w:lineRule="exact"/>
              <w:rPr>
                <w:sz w:val="20"/>
                <w:szCs w:val="20"/>
                <w:color w:val="auto"/>
              </w:rPr>
            </w:pPr>
            <w:r>
              <w:rPr>
                <w:rFonts w:ascii="Times New Roman" w:cs="Times New Roman" w:eastAsia="Times New Roman" w:hAnsi="Times New Roman"/>
                <w:sz w:val="9"/>
                <w:szCs w:val="9"/>
                <w:b w:val="1"/>
                <w:bCs w:val="1"/>
                <w:color w:val="auto"/>
              </w:rPr>
              <w:t>($ Millions)</w:t>
            </w:r>
          </w:p>
        </w:tc>
        <w:tc>
          <w:tcPr>
            <w:tcW w:w="0" w:type="dxa"/>
            <w:vAlign w:val="bottom"/>
          </w:tcPr>
          <w:p>
            <w:pPr>
              <w:spacing w:after="0"/>
              <w:rPr>
                <w:sz w:val="1"/>
                <w:szCs w:val="1"/>
                <w:color w:val="auto"/>
              </w:rPr>
            </w:pPr>
          </w:p>
        </w:tc>
      </w:tr>
      <w:tr>
        <w:trPr>
          <w:trHeight w:val="65"/>
        </w:trPr>
        <w:tc>
          <w:tcPr>
            <w:tcW w:w="640" w:type="dxa"/>
            <w:vAlign w:val="bottom"/>
            <w:tcBorders>
              <w:left w:val="single" w:sz="8" w:color="auto"/>
              <w:right w:val="single" w:sz="8" w:color="auto"/>
            </w:tcBorders>
            <w:shd w:val="clear" w:color="auto" w:fill="CCEEFF"/>
          </w:tcPr>
          <w:p>
            <w:pPr>
              <w:spacing w:after="0"/>
              <w:rPr>
                <w:sz w:val="5"/>
                <w:szCs w:val="5"/>
                <w:color w:val="auto"/>
              </w:rPr>
            </w:pP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80" w:type="dxa"/>
            <w:vAlign w:val="bottom"/>
            <w:tcBorders>
              <w:right w:val="single" w:sz="8" w:color="auto"/>
            </w:tcBorders>
            <w:vMerge w:val="continue"/>
            <w:shd w:val="clear" w:color="auto" w:fill="CCEEFF"/>
          </w:tcPr>
          <w:p>
            <w:pPr>
              <w:spacing w:after="0"/>
              <w:rPr>
                <w:sz w:val="5"/>
                <w:szCs w:val="5"/>
                <w:color w:val="auto"/>
              </w:rPr>
            </w:pP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80" w:type="dxa"/>
            <w:vAlign w:val="bottom"/>
            <w:tcBorders>
              <w:right w:val="single" w:sz="8" w:color="auto"/>
            </w:tcBorders>
            <w:vMerge w:val="continue"/>
            <w:shd w:val="clear" w:color="auto" w:fill="CCEEFF"/>
          </w:tcPr>
          <w:p>
            <w:pPr>
              <w:spacing w:after="0"/>
              <w:rPr>
                <w:sz w:val="5"/>
                <w:szCs w:val="5"/>
                <w:color w:val="auto"/>
              </w:rPr>
            </w:pPr>
          </w:p>
        </w:tc>
        <w:tc>
          <w:tcPr>
            <w:tcW w:w="1080" w:type="dxa"/>
            <w:vAlign w:val="bottom"/>
            <w:tcBorders>
              <w:right w:val="single" w:sz="8" w:color="auto"/>
            </w:tcBorders>
            <w:vMerge w:val="continue"/>
            <w:shd w:val="clear" w:color="auto" w:fill="CCEEFF"/>
          </w:tcPr>
          <w:p>
            <w:pPr>
              <w:spacing w:after="0"/>
              <w:rPr>
                <w:sz w:val="5"/>
                <w:szCs w:val="5"/>
                <w:color w:val="auto"/>
              </w:rPr>
            </w:pPr>
          </w:p>
        </w:tc>
        <w:tc>
          <w:tcPr>
            <w:tcW w:w="1080" w:type="dxa"/>
            <w:vAlign w:val="bottom"/>
            <w:tcBorders>
              <w:right w:val="single" w:sz="8" w:color="auto"/>
            </w:tcBorders>
            <w:vMerge w:val="continue"/>
            <w:shd w:val="clear" w:color="auto" w:fill="CCEEFF"/>
          </w:tcPr>
          <w:p>
            <w:pPr>
              <w:spacing w:after="0"/>
              <w:rPr>
                <w:sz w:val="5"/>
                <w:szCs w:val="5"/>
                <w:color w:val="auto"/>
              </w:rPr>
            </w:pPr>
          </w:p>
        </w:tc>
        <w:tc>
          <w:tcPr>
            <w:tcW w:w="760" w:type="dxa"/>
            <w:vAlign w:val="bottom"/>
            <w:tcBorders>
              <w:right w:val="single" w:sz="8" w:color="CCEEFF"/>
            </w:tcBorders>
            <w:shd w:val="clear" w:color="auto" w:fill="CCEEFF"/>
          </w:tcPr>
          <w:p>
            <w:pPr>
              <w:spacing w:after="0"/>
              <w:rPr>
                <w:sz w:val="5"/>
                <w:szCs w:val="5"/>
                <w:color w:val="auto"/>
              </w:rPr>
            </w:pPr>
          </w:p>
        </w:tc>
        <w:tc>
          <w:tcPr>
            <w:tcW w:w="860" w:type="dxa"/>
            <w:vAlign w:val="bottom"/>
            <w:tcBorders>
              <w:right w:val="single" w:sz="8" w:color="auto"/>
            </w:tcBorders>
            <w:shd w:val="clear" w:color="auto" w:fill="CCEEFF"/>
          </w:tcPr>
          <w:p>
            <w:pPr>
              <w:spacing w:after="0"/>
              <w:rPr>
                <w:sz w:val="5"/>
                <w:szCs w:val="5"/>
                <w:color w:val="auto"/>
              </w:rPr>
            </w:pPr>
          </w:p>
        </w:tc>
        <w:tc>
          <w:tcPr>
            <w:tcW w:w="720" w:type="dxa"/>
            <w:vAlign w:val="bottom"/>
            <w:tcBorders>
              <w:right w:val="single" w:sz="8" w:color="auto"/>
            </w:tcBorders>
            <w:shd w:val="clear" w:color="auto" w:fill="CCEEFF"/>
          </w:tcPr>
          <w:p>
            <w:pPr>
              <w:spacing w:after="0"/>
              <w:rPr>
                <w:sz w:val="5"/>
                <w:szCs w:val="5"/>
                <w:color w:val="auto"/>
              </w:rPr>
            </w:pPr>
          </w:p>
        </w:tc>
        <w:tc>
          <w:tcPr>
            <w:tcW w:w="880" w:type="dxa"/>
            <w:vAlign w:val="bottom"/>
            <w:tcBorders>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640" w:type="dxa"/>
            <w:vAlign w:val="bottom"/>
            <w:tcBorders>
              <w:left w:val="single" w:sz="8" w:color="auto"/>
              <w:bottom w:val="single" w:sz="8" w:color="CCEEFF"/>
              <w:right w:val="single" w:sz="8" w:color="auto"/>
            </w:tcBorders>
            <w:shd w:val="clear" w:color="auto" w:fill="CCEEFF"/>
          </w:tcPr>
          <w:p>
            <w:pPr>
              <w:spacing w:after="0"/>
              <w:rPr>
                <w:sz w:val="14"/>
                <w:szCs w:val="14"/>
                <w:color w:val="auto"/>
              </w:rPr>
            </w:pPr>
          </w:p>
        </w:tc>
        <w:tc>
          <w:tcPr>
            <w:tcW w:w="98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980" w:type="dxa"/>
            <w:vAlign w:val="bottom"/>
            <w:tcBorders>
              <w:bottom w:val="single" w:sz="8" w:color="CCEEFF"/>
              <w:right w:val="single" w:sz="8" w:color="auto"/>
            </w:tcBorders>
            <w:shd w:val="clear" w:color="auto" w:fill="CCEEFF"/>
          </w:tcPr>
          <w:p>
            <w:pPr>
              <w:spacing w:after="0"/>
              <w:rPr>
                <w:sz w:val="14"/>
                <w:szCs w:val="14"/>
                <w:color w:val="auto"/>
              </w:rPr>
            </w:pPr>
          </w:p>
        </w:tc>
        <w:tc>
          <w:tcPr>
            <w:tcW w:w="98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980" w:type="dxa"/>
            <w:vAlign w:val="bottom"/>
            <w:tcBorders>
              <w:bottom w:val="single" w:sz="8" w:color="CCEEFF"/>
              <w:right w:val="single" w:sz="8" w:color="auto"/>
            </w:tcBorders>
            <w:shd w:val="clear" w:color="auto" w:fill="CCEEFF"/>
          </w:tcPr>
          <w:p>
            <w:pPr>
              <w:spacing w:after="0"/>
              <w:rPr>
                <w:sz w:val="14"/>
                <w:szCs w:val="14"/>
                <w:color w:val="auto"/>
              </w:rPr>
            </w:pP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60" w:type="dxa"/>
            <w:vAlign w:val="bottom"/>
            <w:tcBorders>
              <w:bottom w:val="single" w:sz="8" w:color="CCEEFF"/>
              <w:right w:val="single" w:sz="8" w:color="CCEEFF"/>
            </w:tcBorders>
            <w:shd w:val="clear" w:color="auto" w:fill="CCEEFF"/>
          </w:tcPr>
          <w:p>
            <w:pPr>
              <w:spacing w:after="0"/>
              <w:rPr>
                <w:sz w:val="14"/>
                <w:szCs w:val="14"/>
                <w:color w:val="auto"/>
              </w:rPr>
            </w:pPr>
          </w:p>
        </w:tc>
        <w:tc>
          <w:tcPr>
            <w:tcW w:w="860" w:type="dxa"/>
            <w:vAlign w:val="bottom"/>
            <w:tcBorders>
              <w:bottom w:val="single" w:sz="8" w:color="CCEEFF"/>
              <w:right w:val="single" w:sz="8" w:color="auto"/>
            </w:tcBorders>
            <w:shd w:val="clear" w:color="auto" w:fill="CCEEFF"/>
          </w:tcPr>
          <w:p>
            <w:pPr>
              <w:spacing w:after="0"/>
              <w:rPr>
                <w:sz w:val="14"/>
                <w:szCs w:val="14"/>
                <w:color w:val="auto"/>
              </w:rPr>
            </w:pPr>
          </w:p>
        </w:tc>
        <w:tc>
          <w:tcPr>
            <w:tcW w:w="720" w:type="dxa"/>
            <w:vAlign w:val="bottom"/>
            <w:tcBorders>
              <w:bottom w:val="single" w:sz="8" w:color="CCEEFF"/>
              <w:right w:val="single" w:sz="8" w:color="auto"/>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640" w:type="dxa"/>
            <w:vAlign w:val="bottom"/>
            <w:tcBorders>
              <w:top w:val="single" w:sz="8" w:color="auto"/>
              <w:left w:val="single" w:sz="8" w:color="auto"/>
              <w:right w:val="single" w:sz="8" w:color="auto"/>
            </w:tcBorders>
          </w:tcPr>
          <w:p>
            <w:pPr>
              <w:spacing w:after="0"/>
              <w:rPr>
                <w:sz w:val="10"/>
                <w:szCs w:val="10"/>
                <w:color w:val="auto"/>
              </w:rPr>
            </w:pPr>
          </w:p>
        </w:tc>
        <w:tc>
          <w:tcPr>
            <w:tcW w:w="980" w:type="dxa"/>
            <w:vAlign w:val="bottom"/>
            <w:tcBorders>
              <w:top w:val="single" w:sz="8" w:color="auto"/>
              <w:right w:val="single" w:sz="8" w:color="auto"/>
            </w:tcBorders>
          </w:tcPr>
          <w:p>
            <w:pPr>
              <w:spacing w:after="0"/>
              <w:rPr>
                <w:sz w:val="10"/>
                <w:szCs w:val="10"/>
                <w:color w:val="auto"/>
              </w:rPr>
            </w:pPr>
          </w:p>
        </w:tc>
        <w:tc>
          <w:tcPr>
            <w:tcW w:w="980" w:type="dxa"/>
            <w:vAlign w:val="bottom"/>
            <w:tcBorders>
              <w:top w:val="single" w:sz="8" w:color="auto"/>
              <w:right w:val="single" w:sz="8" w:color="auto"/>
            </w:tcBorders>
          </w:tcPr>
          <w:p>
            <w:pPr>
              <w:spacing w:after="0"/>
              <w:rPr>
                <w:sz w:val="10"/>
                <w:szCs w:val="10"/>
                <w:color w:val="auto"/>
              </w:rPr>
            </w:pPr>
          </w:p>
        </w:tc>
        <w:tc>
          <w:tcPr>
            <w:tcW w:w="980" w:type="dxa"/>
            <w:vAlign w:val="bottom"/>
            <w:tcBorders>
              <w:top w:val="single" w:sz="8" w:color="auto"/>
              <w:right w:val="single" w:sz="8" w:color="auto"/>
            </w:tcBorders>
          </w:tcPr>
          <w:p>
            <w:pPr>
              <w:spacing w:after="0"/>
              <w:rPr>
                <w:sz w:val="10"/>
                <w:szCs w:val="10"/>
                <w:color w:val="auto"/>
              </w:rPr>
            </w:pPr>
          </w:p>
        </w:tc>
        <w:tc>
          <w:tcPr>
            <w:tcW w:w="980" w:type="dxa"/>
            <w:vAlign w:val="bottom"/>
            <w:tcBorders>
              <w:top w:val="single" w:sz="8" w:color="auto"/>
              <w:right w:val="single" w:sz="8" w:color="auto"/>
            </w:tcBorders>
          </w:tcPr>
          <w:p>
            <w:pPr>
              <w:spacing w:after="0"/>
              <w:rPr>
                <w:sz w:val="10"/>
                <w:szCs w:val="10"/>
                <w:color w:val="auto"/>
              </w:rPr>
            </w:pPr>
          </w:p>
        </w:tc>
        <w:tc>
          <w:tcPr>
            <w:tcW w:w="1080" w:type="dxa"/>
            <w:vAlign w:val="bottom"/>
            <w:tcBorders>
              <w:top w:val="single" w:sz="8" w:color="auto"/>
              <w:right w:val="single" w:sz="8" w:color="auto"/>
            </w:tcBorders>
          </w:tcPr>
          <w:p>
            <w:pPr>
              <w:spacing w:after="0"/>
              <w:rPr>
                <w:sz w:val="10"/>
                <w:szCs w:val="10"/>
                <w:color w:val="auto"/>
              </w:rPr>
            </w:pPr>
          </w:p>
        </w:tc>
        <w:tc>
          <w:tcPr>
            <w:tcW w:w="1080" w:type="dxa"/>
            <w:vAlign w:val="bottom"/>
            <w:tcBorders>
              <w:top w:val="single" w:sz="8" w:color="auto"/>
              <w:right w:val="single" w:sz="8" w:color="auto"/>
            </w:tcBorders>
          </w:tcPr>
          <w:p>
            <w:pPr>
              <w:spacing w:after="0"/>
              <w:rPr>
                <w:sz w:val="10"/>
                <w:szCs w:val="10"/>
                <w:color w:val="auto"/>
              </w:rPr>
            </w:pPr>
          </w:p>
        </w:tc>
        <w:tc>
          <w:tcPr>
            <w:tcW w:w="760" w:type="dxa"/>
            <w:vAlign w:val="bottom"/>
            <w:tcBorders>
              <w:top w:val="single" w:sz="8" w:color="auto"/>
              <w:right w:val="single" w:sz="8" w:color="auto"/>
            </w:tcBorders>
          </w:tcPr>
          <w:p>
            <w:pPr>
              <w:spacing w:after="0"/>
              <w:rPr>
                <w:sz w:val="10"/>
                <w:szCs w:val="10"/>
                <w:color w:val="auto"/>
              </w:rPr>
            </w:pPr>
          </w:p>
        </w:tc>
        <w:tc>
          <w:tcPr>
            <w:tcW w:w="860" w:type="dxa"/>
            <w:vAlign w:val="bottom"/>
            <w:tcBorders>
              <w:top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Peer Group</w:t>
            </w:r>
          </w:p>
        </w:tc>
        <w:tc>
          <w:tcPr>
            <w:tcW w:w="720" w:type="dxa"/>
            <w:vAlign w:val="bottom"/>
            <w:tcBorders>
              <w:top w:val="single" w:sz="8" w:color="auto"/>
              <w:right w:val="single" w:sz="8" w:color="auto"/>
            </w:tcBorders>
          </w:tcPr>
          <w:p>
            <w:pPr>
              <w:spacing w:after="0"/>
              <w:rPr>
                <w:sz w:val="10"/>
                <w:szCs w:val="10"/>
                <w:color w:val="auto"/>
              </w:rPr>
            </w:pPr>
          </w:p>
        </w:tc>
        <w:tc>
          <w:tcPr>
            <w:tcW w:w="88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64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ind w:left="220"/>
              <w:spacing w:after="0" w:line="145" w:lineRule="exact"/>
              <w:rPr>
                <w:sz w:val="20"/>
                <w:szCs w:val="20"/>
                <w:color w:val="auto"/>
              </w:rPr>
            </w:pPr>
            <w:r>
              <w:rPr>
                <w:rFonts w:ascii="Times New Roman" w:cs="Times New Roman" w:eastAsia="Times New Roman" w:hAnsi="Times New Roman"/>
                <w:sz w:val="14"/>
                <w:szCs w:val="14"/>
                <w:b w:val="1"/>
                <w:bCs w:val="1"/>
                <w:color w:val="auto"/>
              </w:rPr>
              <w:t>TSR</w:t>
            </w:r>
          </w:p>
        </w:tc>
        <w:tc>
          <w:tcPr>
            <w:tcW w:w="86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TSR</w:t>
            </w: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40" w:type="dxa"/>
            <w:vAlign w:val="bottom"/>
            <w:tcBorders>
              <w:left w:val="single" w:sz="8" w:color="auto"/>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2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40" w:type="dxa"/>
            <w:vAlign w:val="bottom"/>
            <w:tcBorders>
              <w:left w:val="single" w:sz="8" w:color="auto"/>
              <w:bottom w:val="single" w:sz="8" w:color="auto"/>
              <w:right w:val="single" w:sz="8" w:color="auto"/>
            </w:tcBorders>
          </w:tcPr>
          <w:p>
            <w:pPr>
              <w:ind w:left="160"/>
              <w:spacing w:after="0" w:line="137" w:lineRule="exact"/>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5"/>
              </w:rPr>
              <w:t>10,325,361</w:t>
            </w:r>
          </w:p>
        </w:tc>
        <w:tc>
          <w:tcPr>
            <w:tcW w:w="9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(16,455,484)</w:t>
            </w:r>
          </w:p>
        </w:tc>
        <w:tc>
          <w:tcPr>
            <w:tcW w:w="9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8"/>
              </w:rPr>
              <w:t>25,615,909</w:t>
            </w:r>
          </w:p>
        </w:tc>
        <w:tc>
          <w:tcPr>
            <w:tcW w:w="9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5"/>
              </w:rPr>
              <w:t>26,591,455</w:t>
            </w:r>
          </w:p>
        </w:tc>
        <w:tc>
          <w:tcPr>
            <w:tcW w:w="10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6"/>
              </w:rPr>
              <w:t>2,362,097</w:t>
            </w:r>
          </w:p>
        </w:tc>
        <w:tc>
          <w:tcPr>
            <w:tcW w:w="10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7"/>
              </w:rPr>
              <w:t>(1,414,677)</w:t>
            </w:r>
          </w:p>
        </w:tc>
        <w:tc>
          <w:tcPr>
            <w:tcW w:w="76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5"/>
              </w:rPr>
              <w:t>57.27</w:t>
            </w:r>
          </w:p>
        </w:tc>
        <w:tc>
          <w:tcPr>
            <w:tcW w:w="86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3"/>
              </w:rPr>
              <w:t>183.21</w:t>
            </w:r>
          </w:p>
        </w:tc>
        <w:tc>
          <w:tcPr>
            <w:tcW w:w="72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1"/>
              </w:rPr>
              <w:t>7.2</w:t>
            </w:r>
          </w:p>
        </w:tc>
        <w:tc>
          <w:tcPr>
            <w:tcW w:w="8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5"/>
              </w:rPr>
              <w:t>748.4</w:t>
            </w:r>
          </w:p>
        </w:tc>
        <w:tc>
          <w:tcPr>
            <w:tcW w:w="0" w:type="dxa"/>
            <w:vAlign w:val="bottom"/>
          </w:tcPr>
          <w:p>
            <w:pPr>
              <w:spacing w:after="0"/>
              <w:rPr>
                <w:sz w:val="1"/>
                <w:szCs w:val="1"/>
                <w:color w:val="auto"/>
              </w:rPr>
            </w:pPr>
          </w:p>
        </w:tc>
      </w:tr>
      <w:tr>
        <w:trPr>
          <w:trHeight w:val="137"/>
        </w:trPr>
        <w:tc>
          <w:tcPr>
            <w:tcW w:w="640" w:type="dxa"/>
            <w:vAlign w:val="bottom"/>
            <w:tcBorders>
              <w:left w:val="single" w:sz="8" w:color="auto"/>
              <w:bottom w:val="single" w:sz="8" w:color="auto"/>
              <w:right w:val="single" w:sz="8" w:color="auto"/>
            </w:tcBorders>
          </w:tcPr>
          <w:p>
            <w:pPr>
              <w:ind w:left="160"/>
              <w:spacing w:after="0" w:line="137" w:lineRule="exact"/>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8,403,506</w:t>
            </w:r>
          </w:p>
        </w:tc>
        <w:tc>
          <w:tcPr>
            <w:tcW w:w="9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5"/>
              </w:rPr>
              <w:t>36,014,118</w:t>
            </w:r>
          </w:p>
        </w:tc>
        <w:tc>
          <w:tcPr>
            <w:tcW w:w="9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9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0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6"/>
              </w:rPr>
              <w:t>2,139,021</w:t>
            </w:r>
          </w:p>
        </w:tc>
        <w:tc>
          <w:tcPr>
            <w:tcW w:w="10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9,540,330</w:t>
            </w:r>
          </w:p>
        </w:tc>
        <w:tc>
          <w:tcPr>
            <w:tcW w:w="76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8"/>
              </w:rPr>
              <w:t>153.01</w:t>
            </w:r>
          </w:p>
        </w:tc>
        <w:tc>
          <w:tcPr>
            <w:tcW w:w="86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3"/>
              </w:rPr>
              <w:t>164.53</w:t>
            </w:r>
          </w:p>
        </w:tc>
        <w:tc>
          <w:tcPr>
            <w:tcW w:w="72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4"/>
              </w:rPr>
              <w:t>(52.7)</w:t>
            </w:r>
          </w:p>
        </w:tc>
        <w:tc>
          <w:tcPr>
            <w:tcW w:w="8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5"/>
              </w:rPr>
              <w:t>666.8</w:t>
            </w:r>
          </w:p>
        </w:tc>
        <w:tc>
          <w:tcPr>
            <w:tcW w:w="0" w:type="dxa"/>
            <w:vAlign w:val="bottom"/>
          </w:tcPr>
          <w:p>
            <w:pPr>
              <w:spacing w:after="0"/>
              <w:rPr>
                <w:sz w:val="1"/>
                <w:szCs w:val="1"/>
                <w:color w:val="auto"/>
              </w:rPr>
            </w:pPr>
          </w:p>
        </w:tc>
      </w:tr>
      <w:tr>
        <w:trPr>
          <w:trHeight w:val="137"/>
        </w:trPr>
        <w:tc>
          <w:tcPr>
            <w:tcW w:w="640" w:type="dxa"/>
            <w:vAlign w:val="bottom"/>
            <w:tcBorders>
              <w:left w:val="single" w:sz="8" w:color="auto"/>
              <w:bottom w:val="single" w:sz="8" w:color="auto"/>
              <w:right w:val="single" w:sz="8" w:color="auto"/>
            </w:tcBorders>
          </w:tcPr>
          <w:p>
            <w:pPr>
              <w:ind w:left="160"/>
              <w:spacing w:after="0" w:line="137" w:lineRule="exact"/>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7,531,591</w:t>
            </w:r>
          </w:p>
        </w:tc>
        <w:tc>
          <w:tcPr>
            <w:tcW w:w="9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8"/>
              </w:rPr>
              <w:t>20,194,525</w:t>
            </w:r>
          </w:p>
        </w:tc>
        <w:tc>
          <w:tcPr>
            <w:tcW w:w="9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9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0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6"/>
              </w:rPr>
              <w:t>1,800,274</w:t>
            </w:r>
          </w:p>
        </w:tc>
        <w:tc>
          <w:tcPr>
            <w:tcW w:w="10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5,249,186</w:t>
            </w:r>
          </w:p>
        </w:tc>
        <w:tc>
          <w:tcPr>
            <w:tcW w:w="76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5"/>
              </w:rPr>
              <w:t>77.27</w:t>
            </w:r>
          </w:p>
        </w:tc>
        <w:tc>
          <w:tcPr>
            <w:tcW w:w="86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3"/>
              </w:rPr>
              <w:t>139.46</w:t>
            </w:r>
          </w:p>
        </w:tc>
        <w:tc>
          <w:tcPr>
            <w:tcW w:w="72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4"/>
              </w:rPr>
              <w:t>(13.1)</w:t>
            </w:r>
          </w:p>
        </w:tc>
        <w:tc>
          <w:tcPr>
            <w:tcW w:w="8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5"/>
              </w:rPr>
              <w:t>572.4</w:t>
            </w:r>
          </w:p>
        </w:tc>
        <w:tc>
          <w:tcPr>
            <w:tcW w:w="0" w:type="dxa"/>
            <w:vAlign w:val="bottom"/>
          </w:tcPr>
          <w:p>
            <w:pPr>
              <w:spacing w:after="0"/>
              <w:rPr>
                <w:sz w:val="1"/>
                <w:szCs w:val="1"/>
                <w:color w:val="auto"/>
              </w:rPr>
            </w:pPr>
          </w:p>
        </w:tc>
      </w:tr>
      <w:tr>
        <w:trPr>
          <w:trHeight w:val="137"/>
        </w:trPr>
        <w:tc>
          <w:tcPr>
            <w:tcW w:w="640" w:type="dxa"/>
            <w:vAlign w:val="bottom"/>
            <w:tcBorders>
              <w:left w:val="single" w:sz="8" w:color="auto"/>
              <w:bottom w:val="single" w:sz="8" w:color="auto"/>
              <w:right w:val="single" w:sz="8" w:color="auto"/>
            </w:tcBorders>
          </w:tcPr>
          <w:p>
            <w:pPr>
              <w:ind w:left="160"/>
              <w:spacing w:after="0" w:line="137" w:lineRule="exact"/>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7,002,168</w:t>
            </w:r>
          </w:p>
        </w:tc>
        <w:tc>
          <w:tcPr>
            <w:tcW w:w="9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6,690,549</w:t>
            </w:r>
          </w:p>
        </w:tc>
        <w:tc>
          <w:tcPr>
            <w:tcW w:w="9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9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0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6"/>
              </w:rPr>
              <w:t>1,439,261</w:t>
            </w:r>
          </w:p>
        </w:tc>
        <w:tc>
          <w:tcPr>
            <w:tcW w:w="10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6"/>
              </w:rPr>
              <w:t>947,639</w:t>
            </w:r>
          </w:p>
        </w:tc>
        <w:tc>
          <w:tcPr>
            <w:tcW w:w="76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5"/>
              </w:rPr>
              <w:t>41.63</w:t>
            </w:r>
          </w:p>
        </w:tc>
        <w:tc>
          <w:tcPr>
            <w:tcW w:w="86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87.67</w:t>
            </w:r>
          </w:p>
        </w:tc>
        <w:tc>
          <w:tcPr>
            <w:tcW w:w="72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4"/>
              </w:rPr>
              <w:t>(12.3)</w:t>
            </w:r>
          </w:p>
        </w:tc>
        <w:tc>
          <w:tcPr>
            <w:tcW w:w="8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5"/>
              </w:rPr>
              <w:t>491.6</w:t>
            </w:r>
          </w:p>
        </w:tc>
        <w:tc>
          <w:tcPr>
            <w:tcW w:w="0" w:type="dxa"/>
            <w:vAlign w:val="bottom"/>
          </w:tcPr>
          <w:p>
            <w:pPr>
              <w:spacing w:after="0"/>
              <w:rPr>
                <w:sz w:val="1"/>
                <w:szCs w:val="1"/>
                <w:color w:val="auto"/>
              </w:rPr>
            </w:pPr>
          </w:p>
        </w:tc>
      </w:tr>
      <w:tr>
        <w:trPr>
          <w:trHeight w:val="137"/>
        </w:trPr>
        <w:tc>
          <w:tcPr>
            <w:tcW w:w="640" w:type="dxa"/>
            <w:vAlign w:val="bottom"/>
            <w:tcBorders>
              <w:left w:val="single" w:sz="8" w:color="auto"/>
              <w:bottom w:val="single" w:sz="8" w:color="auto"/>
              <w:right w:val="single" w:sz="8" w:color="auto"/>
            </w:tcBorders>
          </w:tcPr>
          <w:p>
            <w:pPr>
              <w:ind w:left="160"/>
              <w:spacing w:after="0" w:line="137" w:lineRule="exact"/>
              <w:rPr>
                <w:sz w:val="20"/>
                <w:szCs w:val="20"/>
                <w:color w:val="auto"/>
              </w:rPr>
            </w:pPr>
            <w:r>
              <w:rPr>
                <w:rFonts w:ascii="Times New Roman" w:cs="Times New Roman" w:eastAsia="Times New Roman" w:hAnsi="Times New Roman"/>
                <w:sz w:val="14"/>
                <w:szCs w:val="14"/>
                <w:b w:val="1"/>
                <w:bCs w:val="1"/>
                <w:color w:val="auto"/>
              </w:rPr>
              <w:t>2021</w:t>
            </w:r>
          </w:p>
        </w:tc>
        <w:tc>
          <w:tcPr>
            <w:tcW w:w="9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6,870,858</w:t>
            </w:r>
          </w:p>
        </w:tc>
        <w:tc>
          <w:tcPr>
            <w:tcW w:w="9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(14,932,287)</w:t>
            </w:r>
          </w:p>
        </w:tc>
        <w:tc>
          <w:tcPr>
            <w:tcW w:w="9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9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0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942,943</w:t>
            </w:r>
          </w:p>
        </w:tc>
        <w:tc>
          <w:tcPr>
            <w:tcW w:w="10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7"/>
              </w:rPr>
              <w:t>(3,745,456)</w:t>
            </w:r>
          </w:p>
        </w:tc>
        <w:tc>
          <w:tcPr>
            <w:tcW w:w="76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5"/>
              </w:rPr>
              <w:t>45.53</w:t>
            </w:r>
          </w:p>
        </w:tc>
        <w:tc>
          <w:tcPr>
            <w:tcW w:w="86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3"/>
              </w:rPr>
              <w:t>130.86</w:t>
            </w:r>
          </w:p>
        </w:tc>
        <w:tc>
          <w:tcPr>
            <w:tcW w:w="72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6"/>
              </w:rPr>
              <w:t>(1.5)</w:t>
            </w:r>
          </w:p>
        </w:tc>
        <w:tc>
          <w:tcPr>
            <w:tcW w:w="8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5"/>
              </w:rPr>
              <w:t>425.5</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left="22" w:right="20"/>
        <w:spacing w:after="0" w:line="265" w:lineRule="auto"/>
        <w:rPr>
          <w:sz w:val="20"/>
          <w:szCs w:val="20"/>
          <w:color w:val="auto"/>
        </w:rPr>
      </w:pPr>
      <w:r>
        <w:rPr>
          <w:rFonts w:ascii="Times New Roman" w:cs="Times New Roman" w:eastAsia="Times New Roman" w:hAnsi="Times New Roman"/>
          <w:sz w:val="14"/>
          <w:szCs w:val="14"/>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officers (“PEOs”) and non-PEO named executive officers (“Non-PEO NEO”) and Company performance for the fiscal years listed below. The Human Capital Committee did not consider the pay versus performance disclosure below in making its pay decisions for any of the years shown.</w:t>
      </w:r>
    </w:p>
    <w:p>
      <w:pPr>
        <w:spacing w:after="0" w:line="97" w:lineRule="exact"/>
        <w:rPr>
          <w:sz w:val="20"/>
          <w:szCs w:val="20"/>
          <w:color w:val="auto"/>
        </w:rPr>
      </w:pPr>
    </w:p>
    <w:p>
      <w:pPr>
        <w:ind w:left="2" w:right="160" w:hanging="2"/>
        <w:spacing w:after="0" w:line="238" w:lineRule="auto"/>
        <w:tabs>
          <w:tab w:leader="none" w:pos="13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David DeStefano (First PEO) served as our PEO through November 10, 2025. Christopher Young (Second PEO) has served as our PEO since his appointment on November 10, 2025. The individuals comprising the Non-PEO NEOs for each year presented are listed below.</w:t>
      </w:r>
    </w:p>
    <w:p>
      <w:pPr>
        <w:spacing w:after="0" w:line="170" w:lineRule="exact"/>
        <w:rPr>
          <w:sz w:val="20"/>
          <w:szCs w:val="20"/>
          <w:color w:val="auto"/>
        </w:rPr>
      </w:pPr>
    </w:p>
    <w:tbl>
      <w:tblPr>
        <w:tblLayout w:type="fixed"/>
        <w:tblInd w:w="12" w:type="dxa"/>
        <w:tblCellMar>
          <w:top w:w="0" w:type="dxa"/>
          <w:left w:w="0" w:type="dxa"/>
          <w:bottom w:w="0" w:type="dxa"/>
          <w:right w:w="0" w:type="dxa"/>
        </w:tblCellMar>
      </w:tblPr>
      <w:tr>
        <w:trPr>
          <w:trHeight w:val="157"/>
        </w:trPr>
        <w:tc>
          <w:tcPr>
            <w:tcW w:w="5000" w:type="dxa"/>
            <w:vAlign w:val="bottom"/>
            <w:tcBorders>
              <w:top w:val="single" w:sz="8" w:color="auto"/>
              <w:left w:val="single" w:sz="8" w:color="auto"/>
              <w:bottom w:val="single" w:sz="8" w:color="auto"/>
              <w:right w:val="single" w:sz="8" w:color="auto"/>
            </w:tcBorders>
            <w:shd w:val="clear" w:color="auto" w:fill="CCEEFF"/>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4940" w:type="dxa"/>
            <w:vAlign w:val="bottom"/>
            <w:tcBorders>
              <w:top w:val="single" w:sz="8" w:color="auto"/>
              <w:bottom w:val="single" w:sz="8" w:color="auto"/>
              <w:right w:val="single" w:sz="8" w:color="auto"/>
            </w:tcBorders>
            <w:shd w:val="clear" w:color="auto" w:fill="CCEEFF"/>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6"/>
              </w:rPr>
              <w:t>2022- 2025</w:t>
            </w:r>
          </w:p>
        </w:tc>
      </w:tr>
      <w:tr>
        <w:trPr>
          <w:trHeight w:val="137"/>
        </w:trPr>
        <w:tc>
          <w:tcPr>
            <w:tcW w:w="5000" w:type="dxa"/>
            <w:vAlign w:val="bottom"/>
            <w:tcBorders>
              <w:left w:val="single" w:sz="8" w:color="auto"/>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9"/>
              </w:rPr>
              <w:t>John Schwab</w:t>
            </w:r>
          </w:p>
        </w:tc>
        <w:tc>
          <w:tcPr>
            <w:tcW w:w="494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6"/>
              </w:rPr>
              <w:t>John Schwab</w:t>
            </w:r>
          </w:p>
        </w:tc>
      </w:tr>
      <w:tr>
        <w:trPr>
          <w:trHeight w:val="137"/>
        </w:trPr>
        <w:tc>
          <w:tcPr>
            <w:tcW w:w="5000" w:type="dxa"/>
            <w:vAlign w:val="bottom"/>
            <w:tcBorders>
              <w:left w:val="single" w:sz="8" w:color="auto"/>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8"/>
              </w:rPr>
              <w:t>Lisa Butler</w:t>
            </w:r>
          </w:p>
        </w:tc>
        <w:tc>
          <w:tcPr>
            <w:tcW w:w="494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7"/>
              </w:rPr>
              <w:t>Bryan Rowland</w:t>
            </w:r>
          </w:p>
        </w:tc>
      </w:tr>
    </w:tbl>
    <w:p>
      <w:pPr>
        <w:spacing w:after="0" w:line="190" w:lineRule="exact"/>
        <w:rPr>
          <w:sz w:val="20"/>
          <w:szCs w:val="20"/>
          <w:color w:val="auto"/>
        </w:rPr>
      </w:pPr>
    </w:p>
    <w:p>
      <w:pPr>
        <w:jc w:val="both"/>
        <w:ind w:left="2" w:right="40" w:hanging="2"/>
        <w:spacing w:after="0" w:line="271" w:lineRule="auto"/>
        <w:tabs>
          <w:tab w:leader="none" w:pos="148"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for Compensation Actually Paid have been calculated in accordance with Item 402(v) of Regulation S-K and do not reflect compensation actually earned, realized, or received by the Company’s named executive officers. These amounts reflect the 2025 Summary Compensation Table Total with certain adjustments as described in footnote 3 below.</w:t>
      </w:r>
    </w:p>
    <w:p>
      <w:pPr>
        <w:spacing w:after="0" w:line="154" w:lineRule="exact"/>
        <w:rPr>
          <w:rFonts w:ascii="Times New Roman" w:cs="Times New Roman" w:eastAsia="Times New Roman" w:hAnsi="Times New Roman"/>
          <w:sz w:val="14"/>
          <w:szCs w:val="14"/>
          <w:color w:val="auto"/>
        </w:rPr>
      </w:pPr>
    </w:p>
    <w:p>
      <w:pPr>
        <w:jc w:val="both"/>
        <w:ind w:left="2" w:right="40" w:hanging="2"/>
        <w:spacing w:after="0" w:line="271" w:lineRule="auto"/>
        <w:tabs>
          <w:tab w:leader="none" w:pos="14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Actually Paid reflects the exclusions and inclusions of certain amounts for the PEOs and the Non-PEO NEOs as set forth below. Equity values are calculated in accordance with FASB ASC Topic 718. Amounts in the Exclusion of Stock Awards and Option Awards column are the totals from the Stock Awards and Option Awards columns set forth in the 2025 Summary Compensation Table.</w:t>
      </w:r>
    </w:p>
    <w:p>
      <w:pPr>
        <w:spacing w:after="0" w:line="186" w:lineRule="exact"/>
        <w:rPr>
          <w:sz w:val="20"/>
          <w:szCs w:val="20"/>
          <w:color w:val="auto"/>
        </w:rPr>
      </w:pPr>
    </w:p>
    <w:tbl>
      <w:tblPr>
        <w:tblLayout w:type="fixed"/>
        <w:tblInd w:w="12" w:type="dxa"/>
        <w:tblCellMar>
          <w:top w:w="0" w:type="dxa"/>
          <w:left w:w="0" w:type="dxa"/>
          <w:bottom w:w="0" w:type="dxa"/>
          <w:right w:w="0" w:type="dxa"/>
        </w:tblCellMar>
      </w:tblPr>
      <w:tr>
        <w:trPr>
          <w:trHeight w:val="138"/>
        </w:trPr>
        <w:tc>
          <w:tcPr>
            <w:tcW w:w="2020" w:type="dxa"/>
            <w:vAlign w:val="bottom"/>
            <w:tcBorders>
              <w:top w:val="single" w:sz="8" w:color="auto"/>
              <w:left w:val="single" w:sz="8" w:color="auto"/>
              <w:right w:val="single" w:sz="8" w:color="auto"/>
            </w:tcBorders>
            <w:shd w:val="clear" w:color="auto" w:fill="CCEEFF"/>
          </w:tcPr>
          <w:p>
            <w:pPr>
              <w:spacing w:after="0"/>
              <w:rPr>
                <w:sz w:val="11"/>
                <w:szCs w:val="11"/>
                <w:color w:val="auto"/>
              </w:rPr>
            </w:pPr>
          </w:p>
        </w:tc>
        <w:tc>
          <w:tcPr>
            <w:tcW w:w="1980" w:type="dxa"/>
            <w:vAlign w:val="bottom"/>
            <w:tcBorders>
              <w:top w:val="single" w:sz="8" w:color="auto"/>
              <w:right w:val="single" w:sz="8" w:color="auto"/>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7"/>
              </w:rPr>
              <w:t>Summary Compensation Table</w:t>
            </w:r>
          </w:p>
        </w:tc>
        <w:tc>
          <w:tcPr>
            <w:tcW w:w="2000" w:type="dxa"/>
            <w:vAlign w:val="bottom"/>
            <w:tcBorders>
              <w:top w:val="single" w:sz="8" w:color="auto"/>
              <w:right w:val="single" w:sz="8" w:color="auto"/>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6"/>
              </w:rPr>
              <w:t>Exclusion of Stock Awards and</w:t>
            </w:r>
          </w:p>
        </w:tc>
        <w:tc>
          <w:tcPr>
            <w:tcW w:w="1960" w:type="dxa"/>
            <w:vAlign w:val="bottom"/>
            <w:tcBorders>
              <w:top w:val="single" w:sz="8" w:color="auto"/>
              <w:right w:val="single" w:sz="8" w:color="auto"/>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6"/>
              </w:rPr>
              <w:t>Inclusion of Equity Values for</w:t>
            </w:r>
          </w:p>
        </w:tc>
        <w:tc>
          <w:tcPr>
            <w:tcW w:w="1980" w:type="dxa"/>
            <w:vAlign w:val="bottom"/>
            <w:tcBorders>
              <w:top w:val="single" w:sz="8" w:color="auto"/>
              <w:right w:val="single" w:sz="8" w:color="auto"/>
            </w:tcBorders>
            <w:shd w:val="clear" w:color="auto" w:fill="CCEEFF"/>
          </w:tcPr>
          <w:p>
            <w:pPr>
              <w:ind w:left="40"/>
              <w:spacing w:after="0" w:line="138" w:lineRule="exact"/>
              <w:rPr>
                <w:sz w:val="20"/>
                <w:szCs w:val="20"/>
                <w:color w:val="auto"/>
              </w:rPr>
            </w:pPr>
            <w:r>
              <w:rPr>
                <w:rFonts w:ascii="Times New Roman" w:cs="Times New Roman" w:eastAsia="Times New Roman" w:hAnsi="Times New Roman"/>
                <w:sz w:val="14"/>
                <w:szCs w:val="14"/>
                <w:b w:val="1"/>
                <w:bCs w:val="1"/>
                <w:color w:val="auto"/>
              </w:rPr>
              <w:t>Compensation Actually Paid to</w:t>
            </w:r>
          </w:p>
        </w:tc>
        <w:tc>
          <w:tcPr>
            <w:tcW w:w="0" w:type="dxa"/>
            <w:vAlign w:val="bottom"/>
          </w:tcPr>
          <w:p>
            <w:pPr>
              <w:spacing w:after="0"/>
              <w:rPr>
                <w:sz w:val="1"/>
                <w:szCs w:val="1"/>
                <w:color w:val="auto"/>
              </w:rPr>
            </w:pPr>
          </w:p>
        </w:tc>
      </w:tr>
      <w:tr>
        <w:trPr>
          <w:trHeight w:val="145"/>
        </w:trPr>
        <w:tc>
          <w:tcPr>
            <w:tcW w:w="2020" w:type="dxa"/>
            <w:vAlign w:val="bottom"/>
            <w:tcBorders>
              <w:left w:val="single" w:sz="8" w:color="auto"/>
              <w:right w:val="single" w:sz="8" w:color="auto"/>
            </w:tcBorders>
            <w:shd w:val="clear" w:color="auto" w:fill="CCEEFF"/>
          </w:tcPr>
          <w:p>
            <w:pPr>
              <w:ind w:left="860"/>
              <w:spacing w:after="0" w:line="145" w:lineRule="exact"/>
              <w:rPr>
                <w:sz w:val="20"/>
                <w:szCs w:val="20"/>
                <w:color w:val="auto"/>
              </w:rPr>
            </w:pPr>
            <w:r>
              <w:rPr>
                <w:rFonts w:ascii="Times New Roman" w:cs="Times New Roman" w:eastAsia="Times New Roman" w:hAnsi="Times New Roman"/>
                <w:sz w:val="14"/>
                <w:szCs w:val="14"/>
                <w:b w:val="1"/>
                <w:bCs w:val="1"/>
                <w:color w:val="auto"/>
              </w:rPr>
              <w:t>Year</w:t>
            </w:r>
          </w:p>
        </w:tc>
        <w:tc>
          <w:tcPr>
            <w:tcW w:w="1980" w:type="dxa"/>
            <w:vAlign w:val="bottom"/>
            <w:tcBorders>
              <w:right w:val="single" w:sz="8" w:color="auto"/>
            </w:tcBorders>
            <w:shd w:val="clear" w:color="auto" w:fill="CCEEFF"/>
          </w:tcPr>
          <w:p>
            <w:pPr>
              <w:jc w:val="center"/>
              <w:ind w:right="12"/>
              <w:spacing w:after="0" w:line="145" w:lineRule="exact"/>
              <w:rPr>
                <w:sz w:val="20"/>
                <w:szCs w:val="20"/>
                <w:color w:val="auto"/>
              </w:rPr>
            </w:pPr>
            <w:r>
              <w:rPr>
                <w:rFonts w:ascii="Times New Roman" w:cs="Times New Roman" w:eastAsia="Times New Roman" w:hAnsi="Times New Roman"/>
                <w:sz w:val="14"/>
                <w:szCs w:val="14"/>
                <w:b w:val="1"/>
                <w:bCs w:val="1"/>
                <w:color w:val="auto"/>
                <w:w w:val="96"/>
              </w:rPr>
              <w:t>Total for First PEO</w:t>
            </w:r>
          </w:p>
        </w:tc>
        <w:tc>
          <w:tcPr>
            <w:tcW w:w="2000" w:type="dxa"/>
            <w:vAlign w:val="bottom"/>
            <w:tcBorders>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6"/>
              </w:rPr>
              <w:t>Option Awards for First PEO</w:t>
            </w:r>
          </w:p>
        </w:tc>
        <w:tc>
          <w:tcPr>
            <w:tcW w:w="1960" w:type="dxa"/>
            <w:vAlign w:val="bottom"/>
            <w:tcBorders>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First PEO</w:t>
            </w:r>
          </w:p>
        </w:tc>
        <w:tc>
          <w:tcPr>
            <w:tcW w:w="1980" w:type="dxa"/>
            <w:vAlign w:val="bottom"/>
            <w:tcBorders>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First PEO</w:t>
            </w:r>
          </w:p>
        </w:tc>
        <w:tc>
          <w:tcPr>
            <w:tcW w:w="0" w:type="dxa"/>
            <w:vAlign w:val="bottom"/>
          </w:tcPr>
          <w:p>
            <w:pPr>
              <w:spacing w:after="0"/>
              <w:rPr>
                <w:sz w:val="1"/>
                <w:szCs w:val="1"/>
                <w:color w:val="auto"/>
              </w:rPr>
            </w:pPr>
          </w:p>
        </w:tc>
      </w:tr>
      <w:tr>
        <w:trPr>
          <w:trHeight w:val="164"/>
        </w:trPr>
        <w:tc>
          <w:tcPr>
            <w:tcW w:w="202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1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37"/>
        </w:trPr>
        <w:tc>
          <w:tcPr>
            <w:tcW w:w="2020" w:type="dxa"/>
            <w:vAlign w:val="bottom"/>
            <w:tcBorders>
              <w:left w:val="single" w:sz="8" w:color="auto"/>
              <w:bottom w:val="single" w:sz="8" w:color="auto"/>
              <w:right w:val="single" w:sz="8" w:color="auto"/>
            </w:tcBorders>
          </w:tcPr>
          <w:p>
            <w:pPr>
              <w:ind w:left="860"/>
              <w:spacing w:after="0" w:line="137" w:lineRule="exact"/>
              <w:rPr>
                <w:sz w:val="20"/>
                <w:szCs w:val="20"/>
                <w:color w:val="auto"/>
              </w:rPr>
            </w:pPr>
            <w:r>
              <w:rPr>
                <w:rFonts w:ascii="Times New Roman" w:cs="Times New Roman" w:eastAsia="Times New Roman" w:hAnsi="Times New Roman"/>
                <w:sz w:val="14"/>
                <w:szCs w:val="14"/>
                <w:color w:val="auto"/>
              </w:rPr>
              <w:t>2025</w:t>
            </w:r>
          </w:p>
        </w:tc>
        <w:tc>
          <w:tcPr>
            <w:tcW w:w="19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8"/>
              </w:rPr>
              <w:t>10,325,361</w:t>
            </w:r>
          </w:p>
        </w:tc>
        <w:tc>
          <w:tcPr>
            <w:tcW w:w="200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7"/>
              </w:rPr>
              <w:t>(9,118,196)</w:t>
            </w:r>
          </w:p>
        </w:tc>
        <w:tc>
          <w:tcPr>
            <w:tcW w:w="196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6"/>
              </w:rPr>
              <w:t>(17,662,649)</w:t>
            </w:r>
          </w:p>
        </w:tc>
        <w:tc>
          <w:tcPr>
            <w:tcW w:w="19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6"/>
              </w:rPr>
              <w:t>(16,455,484)</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20" w:type="dxa"/>
            <w:vAlign w:val="bottom"/>
            <w:tcBorders>
              <w:left w:val="single" w:sz="8" w:color="auto"/>
              <w:right w:val="single" w:sz="8" w:color="auto"/>
            </w:tcBorders>
            <w:shd w:val="clear" w:color="auto" w:fill="CCEEFF"/>
          </w:tcPr>
          <w:p>
            <w:pPr>
              <w:spacing w:after="0"/>
              <w:rPr>
                <w:sz w:val="10"/>
                <w:szCs w:val="10"/>
                <w:color w:val="auto"/>
              </w:rPr>
            </w:pPr>
          </w:p>
        </w:tc>
        <w:tc>
          <w:tcPr>
            <w:tcW w:w="1980" w:type="dxa"/>
            <w:vAlign w:val="bottom"/>
            <w:tcBorders>
              <w:right w:val="single" w:sz="8" w:color="auto"/>
            </w:tcBorders>
            <w:shd w:val="clear" w:color="auto" w:fill="CCEEFF"/>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Summary Compensation Table</w:t>
            </w:r>
          </w:p>
        </w:tc>
        <w:tc>
          <w:tcPr>
            <w:tcW w:w="2000" w:type="dxa"/>
            <w:vAlign w:val="bottom"/>
            <w:tcBorders>
              <w:right w:val="single" w:sz="8" w:color="auto"/>
            </w:tcBorders>
            <w:shd w:val="clear" w:color="auto" w:fill="CCEEFF"/>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Exclusion of Stock Awards and</w:t>
            </w:r>
          </w:p>
        </w:tc>
        <w:tc>
          <w:tcPr>
            <w:tcW w:w="1960" w:type="dxa"/>
            <w:vAlign w:val="bottom"/>
            <w:tcBorders>
              <w:right w:val="single" w:sz="8" w:color="auto"/>
            </w:tcBorders>
            <w:shd w:val="clear" w:color="auto" w:fill="CCEEFF"/>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Inclusion of Equity Values for</w:t>
            </w:r>
          </w:p>
        </w:tc>
        <w:tc>
          <w:tcPr>
            <w:tcW w:w="1980" w:type="dxa"/>
            <w:vAlign w:val="bottom"/>
            <w:tcBorders>
              <w:right w:val="single" w:sz="8" w:color="auto"/>
            </w:tcBorders>
            <w:shd w:val="clear" w:color="auto" w:fill="CCEEFF"/>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Compensation Actually Paid to</w:t>
            </w:r>
          </w:p>
        </w:tc>
        <w:tc>
          <w:tcPr>
            <w:tcW w:w="0" w:type="dxa"/>
            <w:vAlign w:val="bottom"/>
          </w:tcPr>
          <w:p>
            <w:pPr>
              <w:spacing w:after="0"/>
              <w:rPr>
                <w:sz w:val="1"/>
                <w:szCs w:val="1"/>
                <w:color w:val="auto"/>
              </w:rPr>
            </w:pPr>
          </w:p>
        </w:tc>
      </w:tr>
      <w:tr>
        <w:trPr>
          <w:trHeight w:val="145"/>
        </w:trPr>
        <w:tc>
          <w:tcPr>
            <w:tcW w:w="2020" w:type="dxa"/>
            <w:vAlign w:val="bottom"/>
            <w:tcBorders>
              <w:left w:val="single" w:sz="8" w:color="auto"/>
              <w:right w:val="single" w:sz="8" w:color="auto"/>
            </w:tcBorders>
            <w:shd w:val="clear" w:color="auto" w:fill="CCEEFF"/>
          </w:tcPr>
          <w:p>
            <w:pPr>
              <w:ind w:left="860"/>
              <w:spacing w:after="0" w:line="145" w:lineRule="exact"/>
              <w:rPr>
                <w:sz w:val="20"/>
                <w:szCs w:val="20"/>
                <w:color w:val="auto"/>
              </w:rPr>
            </w:pPr>
            <w:r>
              <w:rPr>
                <w:rFonts w:ascii="Times New Roman" w:cs="Times New Roman" w:eastAsia="Times New Roman" w:hAnsi="Times New Roman"/>
                <w:sz w:val="14"/>
                <w:szCs w:val="14"/>
                <w:b w:val="1"/>
                <w:bCs w:val="1"/>
                <w:color w:val="auto"/>
              </w:rPr>
              <w:t>Year</w:t>
            </w:r>
          </w:p>
        </w:tc>
        <w:tc>
          <w:tcPr>
            <w:tcW w:w="1980" w:type="dxa"/>
            <w:vAlign w:val="bottom"/>
            <w:tcBorders>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Total for Second PEO</w:t>
            </w:r>
          </w:p>
        </w:tc>
        <w:tc>
          <w:tcPr>
            <w:tcW w:w="2000" w:type="dxa"/>
            <w:vAlign w:val="bottom"/>
            <w:tcBorders>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Option Awards for Second PEO</w:t>
            </w:r>
          </w:p>
        </w:tc>
        <w:tc>
          <w:tcPr>
            <w:tcW w:w="1960" w:type="dxa"/>
            <w:vAlign w:val="bottom"/>
            <w:tcBorders>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Second PEO</w:t>
            </w:r>
          </w:p>
        </w:tc>
        <w:tc>
          <w:tcPr>
            <w:tcW w:w="1980" w:type="dxa"/>
            <w:vAlign w:val="bottom"/>
            <w:tcBorders>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5"/>
              </w:rPr>
              <w:t>Second PEO</w:t>
            </w:r>
          </w:p>
        </w:tc>
        <w:tc>
          <w:tcPr>
            <w:tcW w:w="0" w:type="dxa"/>
            <w:vAlign w:val="bottom"/>
          </w:tcPr>
          <w:p>
            <w:pPr>
              <w:spacing w:after="0"/>
              <w:rPr>
                <w:sz w:val="1"/>
                <w:szCs w:val="1"/>
                <w:color w:val="auto"/>
              </w:rPr>
            </w:pPr>
          </w:p>
        </w:tc>
      </w:tr>
      <w:tr>
        <w:trPr>
          <w:trHeight w:val="164"/>
        </w:trPr>
        <w:tc>
          <w:tcPr>
            <w:tcW w:w="202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1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37"/>
        </w:trPr>
        <w:tc>
          <w:tcPr>
            <w:tcW w:w="2020" w:type="dxa"/>
            <w:vAlign w:val="bottom"/>
            <w:tcBorders>
              <w:left w:val="single" w:sz="8" w:color="auto"/>
              <w:bottom w:val="single" w:sz="8" w:color="auto"/>
              <w:right w:val="single" w:sz="8" w:color="auto"/>
            </w:tcBorders>
          </w:tcPr>
          <w:p>
            <w:pPr>
              <w:ind w:left="840"/>
              <w:spacing w:after="0" w:line="137" w:lineRule="exact"/>
              <w:rPr>
                <w:sz w:val="20"/>
                <w:szCs w:val="20"/>
                <w:color w:val="auto"/>
              </w:rPr>
            </w:pPr>
            <w:r>
              <w:rPr>
                <w:rFonts w:ascii="Times New Roman" w:cs="Times New Roman" w:eastAsia="Times New Roman" w:hAnsi="Times New Roman"/>
                <w:sz w:val="14"/>
                <w:szCs w:val="14"/>
                <w:color w:val="auto"/>
              </w:rPr>
              <w:t>2025</w:t>
            </w:r>
          </w:p>
        </w:tc>
        <w:tc>
          <w:tcPr>
            <w:tcW w:w="19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8"/>
              </w:rPr>
              <w:t>25,615,909</w:t>
            </w:r>
          </w:p>
        </w:tc>
        <w:tc>
          <w:tcPr>
            <w:tcW w:w="200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9"/>
              </w:rPr>
              <w:t>(24,999,992)</w:t>
            </w:r>
          </w:p>
        </w:tc>
        <w:tc>
          <w:tcPr>
            <w:tcW w:w="196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8"/>
              </w:rPr>
              <w:t>25,975,538</w:t>
            </w:r>
          </w:p>
        </w:tc>
        <w:tc>
          <w:tcPr>
            <w:tcW w:w="1980" w:type="dxa"/>
            <w:vAlign w:val="bottom"/>
            <w:tcBorders>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8"/>
              </w:rPr>
              <w:t>26,591,455</w:t>
            </w:r>
          </w:p>
        </w:tc>
        <w:tc>
          <w:tcPr>
            <w:tcW w:w="0" w:type="dxa"/>
            <w:vAlign w:val="bottom"/>
          </w:tcPr>
          <w:p>
            <w:pPr>
              <w:spacing w:after="0"/>
              <w:rPr>
                <w:sz w:val="1"/>
                <w:szCs w:val="1"/>
                <w:color w:val="auto"/>
              </w:rPr>
            </w:pPr>
          </w:p>
        </w:tc>
      </w:tr>
      <w:tr>
        <w:trPr>
          <w:trHeight w:val="354"/>
        </w:trPr>
        <w:tc>
          <w:tcPr>
            <w:tcW w:w="20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20" w:type="dxa"/>
            <w:vAlign w:val="bottom"/>
            <w:tcBorders>
              <w:left w:val="single" w:sz="8" w:color="auto"/>
              <w:right w:val="single" w:sz="8" w:color="auto"/>
            </w:tcBorders>
            <w:shd w:val="clear" w:color="auto" w:fill="CCEEFF"/>
          </w:tcPr>
          <w:p>
            <w:pPr>
              <w:spacing w:after="0"/>
              <w:rPr>
                <w:sz w:val="10"/>
                <w:szCs w:val="10"/>
                <w:color w:val="auto"/>
              </w:rPr>
            </w:pPr>
          </w:p>
        </w:tc>
        <w:tc>
          <w:tcPr>
            <w:tcW w:w="1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 Summary Compensation</w:t>
            </w:r>
          </w:p>
        </w:tc>
        <w:tc>
          <w:tcPr>
            <w:tcW w:w="2000" w:type="dxa"/>
            <w:vAlign w:val="bottom"/>
            <w:tcBorders>
              <w:right w:val="single" w:sz="8" w:color="auto"/>
            </w:tcBorders>
            <w:shd w:val="clear" w:color="auto" w:fill="CCEEFF"/>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 Exclusion of Stock</w:t>
            </w:r>
          </w:p>
        </w:tc>
        <w:tc>
          <w:tcPr>
            <w:tcW w:w="19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 Inclusion of Equity</w:t>
            </w:r>
          </w:p>
        </w:tc>
        <w:tc>
          <w:tcPr>
            <w:tcW w:w="1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Average Compensation Actually</w:t>
            </w:r>
          </w:p>
        </w:tc>
        <w:tc>
          <w:tcPr>
            <w:tcW w:w="0" w:type="dxa"/>
            <w:vAlign w:val="bottom"/>
          </w:tcPr>
          <w:p>
            <w:pPr>
              <w:spacing w:after="0"/>
              <w:rPr>
                <w:sz w:val="1"/>
                <w:szCs w:val="1"/>
                <w:color w:val="auto"/>
              </w:rPr>
            </w:pPr>
          </w:p>
        </w:tc>
      </w:tr>
      <w:tr>
        <w:trPr>
          <w:trHeight w:val="90"/>
        </w:trPr>
        <w:tc>
          <w:tcPr>
            <w:tcW w:w="2020" w:type="dxa"/>
            <w:vAlign w:val="bottom"/>
            <w:tcBorders>
              <w:left w:val="single" w:sz="8" w:color="auto"/>
              <w:right w:val="single" w:sz="8" w:color="auto"/>
            </w:tcBorders>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980" w:type="dxa"/>
            <w:vAlign w:val="bottom"/>
            <w:tcBorders>
              <w:right w:val="single" w:sz="8" w:color="auto"/>
            </w:tcBorders>
            <w:vMerge w:val="continue"/>
            <w:shd w:val="clear" w:color="auto" w:fill="CCEEFF"/>
          </w:tcPr>
          <w:p>
            <w:pPr>
              <w:spacing w:after="0"/>
              <w:rPr>
                <w:sz w:val="7"/>
                <w:szCs w:val="7"/>
                <w:color w:val="auto"/>
              </w:rPr>
            </w:pPr>
          </w:p>
        </w:tc>
        <w:tc>
          <w:tcPr>
            <w:tcW w:w="2000" w:type="dxa"/>
            <w:vAlign w:val="bottom"/>
            <w:tcBorders>
              <w:right w:val="single" w:sz="8" w:color="auto"/>
            </w:tcBorders>
            <w:shd w:val="clear" w:color="auto" w:fill="CCEEFF"/>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Awards and Option Awards for</w:t>
            </w:r>
          </w:p>
        </w:tc>
        <w:tc>
          <w:tcPr>
            <w:tcW w:w="1960" w:type="dxa"/>
            <w:vAlign w:val="bottom"/>
            <w:tcBorders>
              <w:right w:val="single" w:sz="8" w:color="auto"/>
            </w:tcBorders>
            <w:vMerge w:val="continue"/>
            <w:shd w:val="clear" w:color="auto" w:fill="CCEEFF"/>
          </w:tcPr>
          <w:p>
            <w:pPr>
              <w:spacing w:after="0"/>
              <w:rPr>
                <w:sz w:val="7"/>
                <w:szCs w:val="7"/>
                <w:color w:val="auto"/>
              </w:rPr>
            </w:pPr>
          </w:p>
        </w:tc>
        <w:tc>
          <w:tcPr>
            <w:tcW w:w="198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20" w:type="dxa"/>
            <w:vAlign w:val="bottom"/>
            <w:tcBorders>
              <w:left w:val="single" w:sz="8" w:color="auto"/>
              <w:right w:val="single" w:sz="8" w:color="auto"/>
            </w:tcBorders>
            <w:vMerge w:val="continue"/>
            <w:shd w:val="clear" w:color="auto" w:fill="CCEEFF"/>
          </w:tcPr>
          <w:p>
            <w:pPr>
              <w:spacing w:after="0"/>
              <w:rPr>
                <w:sz w:val="11"/>
                <w:szCs w:val="11"/>
                <w:color w:val="auto"/>
              </w:rPr>
            </w:pPr>
          </w:p>
        </w:tc>
        <w:tc>
          <w:tcPr>
            <w:tcW w:w="1980" w:type="dxa"/>
            <w:vAlign w:val="bottom"/>
            <w:tcBorders>
              <w:right w:val="single" w:sz="8" w:color="auto"/>
            </w:tcBorders>
            <w:shd w:val="clear" w:color="auto" w:fill="CCEEFF"/>
          </w:tcPr>
          <w:p>
            <w:pPr>
              <w:jc w:val="center"/>
              <w:ind w:right="12"/>
              <w:spacing w:after="0" w:line="127" w:lineRule="exact"/>
              <w:rPr>
                <w:sz w:val="20"/>
                <w:szCs w:val="20"/>
                <w:color w:val="auto"/>
              </w:rPr>
            </w:pPr>
            <w:r>
              <w:rPr>
                <w:rFonts w:ascii="Times New Roman" w:cs="Times New Roman" w:eastAsia="Times New Roman" w:hAnsi="Times New Roman"/>
                <w:sz w:val="14"/>
                <w:szCs w:val="14"/>
                <w:b w:val="1"/>
                <w:bCs w:val="1"/>
                <w:color w:val="auto"/>
                <w:w w:val="96"/>
              </w:rPr>
              <w:t>Table Total for Non-PEO NEOs</w:t>
            </w:r>
          </w:p>
        </w:tc>
        <w:tc>
          <w:tcPr>
            <w:tcW w:w="20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Non-PEO NEOs</w:t>
            </w:r>
          </w:p>
        </w:tc>
        <w:tc>
          <w:tcPr>
            <w:tcW w:w="1960" w:type="dxa"/>
            <w:vAlign w:val="bottom"/>
            <w:tcBorders>
              <w:right w:val="single" w:sz="8" w:color="auto"/>
            </w:tcBorders>
            <w:shd w:val="clear" w:color="auto" w:fill="CCEEFF"/>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6"/>
              </w:rPr>
              <w:t>Values for Non-PEO NEOs</w:t>
            </w:r>
          </w:p>
        </w:tc>
        <w:tc>
          <w:tcPr>
            <w:tcW w:w="1980" w:type="dxa"/>
            <w:vAlign w:val="bottom"/>
            <w:tcBorders>
              <w:right w:val="single" w:sz="8" w:color="auto"/>
            </w:tcBorders>
            <w:shd w:val="clear" w:color="auto" w:fill="CCEEFF"/>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7"/>
              </w:rPr>
              <w:t>Paid to Non-PEO NEOs</w:t>
            </w:r>
          </w:p>
        </w:tc>
        <w:tc>
          <w:tcPr>
            <w:tcW w:w="0" w:type="dxa"/>
            <w:vAlign w:val="bottom"/>
          </w:tcPr>
          <w:p>
            <w:pPr>
              <w:spacing w:after="0"/>
              <w:rPr>
                <w:sz w:val="1"/>
                <w:szCs w:val="1"/>
                <w:color w:val="auto"/>
              </w:rPr>
            </w:pPr>
          </w:p>
        </w:tc>
      </w:tr>
      <w:tr>
        <w:trPr>
          <w:trHeight w:val="72"/>
        </w:trPr>
        <w:tc>
          <w:tcPr>
            <w:tcW w:w="2020" w:type="dxa"/>
            <w:vAlign w:val="bottom"/>
            <w:tcBorders>
              <w:left w:val="single" w:sz="8" w:color="auto"/>
              <w:right w:val="single" w:sz="8" w:color="auto"/>
            </w:tcBorders>
            <w:shd w:val="clear" w:color="auto" w:fill="CCEEFF"/>
          </w:tcPr>
          <w:p>
            <w:pPr>
              <w:spacing w:after="0"/>
              <w:rPr>
                <w:sz w:val="6"/>
                <w:szCs w:val="6"/>
                <w:color w:val="auto"/>
              </w:rPr>
            </w:pPr>
          </w:p>
        </w:tc>
        <w:tc>
          <w:tcPr>
            <w:tcW w:w="1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000" w:type="dxa"/>
            <w:vAlign w:val="bottom"/>
            <w:tcBorders>
              <w:right w:val="single" w:sz="8" w:color="auto"/>
            </w:tcBorders>
            <w:vMerge w:val="continue"/>
            <w:shd w:val="clear" w:color="auto" w:fill="CCEEFF"/>
          </w:tcPr>
          <w:p>
            <w:pPr>
              <w:spacing w:after="0"/>
              <w:rPr>
                <w:sz w:val="6"/>
                <w:szCs w:val="6"/>
                <w:color w:val="auto"/>
              </w:rPr>
            </w:pPr>
          </w:p>
        </w:tc>
        <w:tc>
          <w:tcPr>
            <w:tcW w:w="19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9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64"/>
        </w:trPr>
        <w:tc>
          <w:tcPr>
            <w:tcW w:w="2020" w:type="dxa"/>
            <w:vAlign w:val="bottom"/>
            <w:tcBorders>
              <w:left w:val="single" w:sz="8" w:color="auto"/>
              <w:bottom w:val="single" w:sz="8" w:color="CCEEFF"/>
              <w:right w:val="single" w:sz="8" w:color="auto"/>
            </w:tcBorders>
            <w:shd w:val="clear" w:color="auto" w:fill="CCEEFF"/>
          </w:tcPr>
          <w:p>
            <w:pPr>
              <w:spacing w:after="0"/>
              <w:rPr>
                <w:sz w:val="14"/>
                <w:szCs w:val="14"/>
                <w:color w:val="auto"/>
              </w:rPr>
            </w:pPr>
          </w:p>
        </w:tc>
        <w:tc>
          <w:tcPr>
            <w:tcW w:w="198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20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96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198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20" w:type="dxa"/>
            <w:vAlign w:val="bottom"/>
            <w:tcBorders>
              <w:top w:val="single" w:sz="8" w:color="auto"/>
              <w:left w:val="single" w:sz="8" w:color="auto"/>
              <w:bottom w:val="single" w:sz="8" w:color="auto"/>
              <w:right w:val="single" w:sz="8" w:color="auto"/>
            </w:tcBorders>
          </w:tcPr>
          <w:p>
            <w:pPr>
              <w:ind w:left="860"/>
              <w:spacing w:after="0" w:line="137" w:lineRule="exact"/>
              <w:rPr>
                <w:sz w:val="20"/>
                <w:szCs w:val="20"/>
                <w:color w:val="auto"/>
              </w:rPr>
            </w:pPr>
            <w:r>
              <w:rPr>
                <w:rFonts w:ascii="Times New Roman" w:cs="Times New Roman" w:eastAsia="Times New Roman" w:hAnsi="Times New Roman"/>
                <w:sz w:val="14"/>
                <w:szCs w:val="14"/>
                <w:color w:val="auto"/>
              </w:rPr>
              <w:t>2025</w:t>
            </w:r>
          </w:p>
        </w:tc>
        <w:tc>
          <w:tcPr>
            <w:tcW w:w="1980" w:type="dxa"/>
            <w:vAlign w:val="bottom"/>
            <w:tcBorders>
              <w:top w:val="single" w:sz="8" w:color="auto"/>
              <w:bottom w:val="single" w:sz="8" w:color="auto"/>
              <w:right w:val="single" w:sz="8" w:color="auto"/>
            </w:tcBorders>
          </w:tcPr>
          <w:p>
            <w:pPr>
              <w:jc w:val="center"/>
              <w:ind w:right="12"/>
              <w:spacing w:after="0" w:line="137" w:lineRule="exact"/>
              <w:rPr>
                <w:sz w:val="20"/>
                <w:szCs w:val="20"/>
                <w:color w:val="auto"/>
              </w:rPr>
            </w:pPr>
            <w:r>
              <w:rPr>
                <w:rFonts w:ascii="Times New Roman" w:cs="Times New Roman" w:eastAsia="Times New Roman" w:hAnsi="Times New Roman"/>
                <w:sz w:val="14"/>
                <w:szCs w:val="14"/>
                <w:color w:val="auto"/>
                <w:w w:val="96"/>
              </w:rPr>
              <w:t>2,362,097</w:t>
            </w:r>
          </w:p>
        </w:tc>
        <w:tc>
          <w:tcPr>
            <w:tcW w:w="2000" w:type="dxa"/>
            <w:vAlign w:val="bottom"/>
            <w:tcBorders>
              <w:top w:val="single" w:sz="8" w:color="auto"/>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7"/>
              </w:rPr>
              <w:t>(1,713,406)</w:t>
            </w:r>
          </w:p>
        </w:tc>
        <w:tc>
          <w:tcPr>
            <w:tcW w:w="1960" w:type="dxa"/>
            <w:vAlign w:val="bottom"/>
            <w:tcBorders>
              <w:top w:val="single" w:sz="8" w:color="auto"/>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7"/>
              </w:rPr>
              <w:t>(2,063,368)</w:t>
            </w:r>
          </w:p>
        </w:tc>
        <w:tc>
          <w:tcPr>
            <w:tcW w:w="1980" w:type="dxa"/>
            <w:vAlign w:val="bottom"/>
            <w:tcBorders>
              <w:top w:val="single" w:sz="8" w:color="auto"/>
              <w:bottom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w w:val="97"/>
              </w:rPr>
              <w:t>(1,414,677)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42"/>
          </w:cols>
          <w:pgMar w:left="978" w:top="473" w:right="979" w:bottom="1440" w:gutter="0" w:footer="0" w:header="0"/>
        </w:sectPr>
      </w:pPr>
    </w:p>
    <w:bookmarkStart w:id="42" w:name="page43"/>
    <w:bookmarkEnd w:id="42"/>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color w:val="auto"/>
        </w:rPr>
        <w:t>The amounts in the Inclusion of Equity Values in the tables above are derived from the amounts set forth in the following tables:</w:t>
      </w:r>
    </w:p>
    <w:p>
      <w:pPr>
        <w:spacing w:after="0" w:line="136" w:lineRule="exact"/>
        <w:rPr>
          <w:sz w:val="20"/>
          <w:szCs w:val="20"/>
          <w:color w:val="auto"/>
        </w:rPr>
      </w:pPr>
    </w:p>
    <w:tbl>
      <w:tblPr>
        <w:tblLayout w:type="fixed"/>
        <w:tblInd w:w="12" w:type="dxa"/>
        <w:tblCellMar>
          <w:top w:w="0" w:type="dxa"/>
          <w:left w:w="0" w:type="dxa"/>
          <w:bottom w:w="0" w:type="dxa"/>
          <w:right w:w="0" w:type="dxa"/>
        </w:tblCellMar>
      </w:tblPr>
      <w:tr>
        <w:trPr>
          <w:trHeight w:val="138"/>
        </w:trPr>
        <w:tc>
          <w:tcPr>
            <w:tcW w:w="1340" w:type="dxa"/>
            <w:vAlign w:val="bottom"/>
            <w:tcBorders>
              <w:top w:val="single" w:sz="8" w:color="auto"/>
              <w:left w:val="single" w:sz="8" w:color="auto"/>
              <w:right w:val="single" w:sz="8" w:color="auto"/>
            </w:tcBorders>
            <w:shd w:val="clear" w:color="auto" w:fill="CCEEFF"/>
          </w:tcPr>
          <w:p>
            <w:pPr>
              <w:spacing w:after="0"/>
              <w:rPr>
                <w:sz w:val="11"/>
                <w:szCs w:val="11"/>
                <w:color w:val="auto"/>
              </w:rPr>
            </w:pPr>
          </w:p>
        </w:tc>
        <w:tc>
          <w:tcPr>
            <w:tcW w:w="1320" w:type="dxa"/>
            <w:vAlign w:val="bottom"/>
            <w:tcBorders>
              <w:top w:val="single" w:sz="8" w:color="auto"/>
              <w:right w:val="single" w:sz="8" w:color="auto"/>
            </w:tcBorders>
            <w:shd w:val="clear" w:color="auto" w:fill="CCEEFF"/>
          </w:tcPr>
          <w:p>
            <w:pPr>
              <w:jc w:val="center"/>
              <w:ind w:right="13"/>
              <w:spacing w:after="0" w:line="138" w:lineRule="exact"/>
              <w:rPr>
                <w:sz w:val="20"/>
                <w:szCs w:val="20"/>
                <w:color w:val="auto"/>
              </w:rPr>
            </w:pPr>
            <w:r>
              <w:rPr>
                <w:rFonts w:ascii="Times New Roman" w:cs="Times New Roman" w:eastAsia="Times New Roman" w:hAnsi="Times New Roman"/>
                <w:sz w:val="14"/>
                <w:szCs w:val="14"/>
                <w:b w:val="1"/>
                <w:bCs w:val="1"/>
                <w:color w:val="auto"/>
                <w:w w:val="94"/>
              </w:rPr>
              <w:t>Year-End Fair Value</w:t>
            </w:r>
          </w:p>
        </w:tc>
        <w:tc>
          <w:tcPr>
            <w:tcW w:w="1280" w:type="dxa"/>
            <w:vAlign w:val="bottom"/>
            <w:tcBorders>
              <w:top w:val="single" w:sz="8" w:color="auto"/>
              <w:right w:val="single" w:sz="8" w:color="auto"/>
            </w:tcBorders>
            <w:shd w:val="clear" w:color="auto" w:fill="CCEEFF"/>
          </w:tcPr>
          <w:p>
            <w:pPr>
              <w:jc w:val="center"/>
              <w:ind w:right="13"/>
              <w:spacing w:after="0" w:line="138" w:lineRule="exact"/>
              <w:rPr>
                <w:sz w:val="20"/>
                <w:szCs w:val="20"/>
                <w:color w:val="auto"/>
              </w:rPr>
            </w:pPr>
            <w:r>
              <w:rPr>
                <w:rFonts w:ascii="Times New Roman" w:cs="Times New Roman" w:eastAsia="Times New Roman" w:hAnsi="Times New Roman"/>
                <w:sz w:val="14"/>
                <w:szCs w:val="14"/>
                <w:b w:val="1"/>
                <w:bCs w:val="1"/>
                <w:color w:val="auto"/>
                <w:w w:val="93"/>
              </w:rPr>
              <w:t>Change in Fair Value</w:t>
            </w:r>
          </w:p>
        </w:tc>
        <w:tc>
          <w:tcPr>
            <w:tcW w:w="1300" w:type="dxa"/>
            <w:vAlign w:val="bottom"/>
            <w:tcBorders>
              <w:top w:val="single" w:sz="8" w:color="auto"/>
              <w:right w:val="single" w:sz="8" w:color="auto"/>
            </w:tcBorders>
            <w:vMerge w:val="restart"/>
            <w:shd w:val="clear" w:color="auto" w:fill="CCEEFF"/>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5"/>
              </w:rPr>
              <w:t>Vesting-Date Fair</w:t>
            </w:r>
          </w:p>
        </w:tc>
        <w:tc>
          <w:tcPr>
            <w:tcW w:w="1300" w:type="dxa"/>
            <w:vAlign w:val="bottom"/>
            <w:tcBorders>
              <w:top w:val="single" w:sz="8" w:color="auto"/>
              <w:right w:val="single" w:sz="8" w:color="auto"/>
            </w:tcBorders>
            <w:shd w:val="clear" w:color="auto" w:fill="CCEEFF"/>
          </w:tcPr>
          <w:p>
            <w:pPr>
              <w:jc w:val="center"/>
              <w:ind w:right="13"/>
              <w:spacing w:after="0" w:line="138" w:lineRule="exact"/>
              <w:rPr>
                <w:sz w:val="20"/>
                <w:szCs w:val="20"/>
                <w:color w:val="auto"/>
              </w:rPr>
            </w:pPr>
            <w:r>
              <w:rPr>
                <w:rFonts w:ascii="Times New Roman" w:cs="Times New Roman" w:eastAsia="Times New Roman" w:hAnsi="Times New Roman"/>
                <w:sz w:val="14"/>
                <w:szCs w:val="14"/>
                <w:b w:val="1"/>
                <w:bCs w:val="1"/>
                <w:color w:val="auto"/>
                <w:w w:val="94"/>
              </w:rPr>
              <w:t>Change in Fair Value</w:t>
            </w:r>
          </w:p>
        </w:tc>
        <w:tc>
          <w:tcPr>
            <w:tcW w:w="1260" w:type="dxa"/>
            <w:vAlign w:val="bottom"/>
            <w:tcBorders>
              <w:top w:val="single" w:sz="8" w:color="auto"/>
              <w:right w:val="single" w:sz="8" w:color="auto"/>
            </w:tcBorders>
            <w:shd w:val="clear" w:color="auto" w:fill="CCEEFF"/>
          </w:tcPr>
          <w:p>
            <w:pPr>
              <w:spacing w:after="0"/>
              <w:rPr>
                <w:sz w:val="11"/>
                <w:szCs w:val="11"/>
                <w:color w:val="auto"/>
              </w:rPr>
            </w:pPr>
          </w:p>
        </w:tc>
        <w:tc>
          <w:tcPr>
            <w:tcW w:w="1380" w:type="dxa"/>
            <w:vAlign w:val="bottom"/>
            <w:tcBorders>
              <w:top w:val="single" w:sz="8" w:color="auto"/>
              <w:right w:val="single" w:sz="8" w:color="auto"/>
            </w:tcBorders>
            <w:gridSpan w:val="2"/>
            <w:vMerge w:val="restart"/>
            <w:shd w:val="clear" w:color="auto" w:fill="CCEEFF"/>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6"/>
              </w:rPr>
              <w:t>Value of Dividends or</w:t>
            </w:r>
          </w:p>
        </w:tc>
        <w:tc>
          <w:tcPr>
            <w:tcW w:w="760" w:type="dxa"/>
            <w:vAlign w:val="bottom"/>
            <w:tcBorders>
              <w:top w:val="single" w:sz="8" w:color="auto"/>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40" w:type="dxa"/>
            <w:vAlign w:val="bottom"/>
            <w:tcBorders>
              <w:left w:val="single" w:sz="8" w:color="auto"/>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shd w:val="clear" w:color="auto" w:fill="CCEEFF"/>
          </w:tcPr>
          <w:p>
            <w:pPr>
              <w:jc w:val="center"/>
              <w:ind w:right="33"/>
              <w:spacing w:after="0" w:line="140" w:lineRule="exact"/>
              <w:rPr>
                <w:sz w:val="20"/>
                <w:szCs w:val="20"/>
                <w:color w:val="auto"/>
              </w:rPr>
            </w:pPr>
            <w:r>
              <w:rPr>
                <w:rFonts w:ascii="Times New Roman" w:cs="Times New Roman" w:eastAsia="Times New Roman" w:hAnsi="Times New Roman"/>
                <w:sz w:val="14"/>
                <w:szCs w:val="14"/>
                <w:b w:val="1"/>
                <w:bCs w:val="1"/>
                <w:color w:val="auto"/>
                <w:w w:val="96"/>
              </w:rPr>
              <w:t>of Equity Awards</w:t>
            </w:r>
          </w:p>
        </w:tc>
        <w:tc>
          <w:tcPr>
            <w:tcW w:w="1280" w:type="dxa"/>
            <w:vAlign w:val="bottom"/>
            <w:tcBorders>
              <w:right w:val="single" w:sz="8" w:color="auto"/>
            </w:tcBorders>
            <w:shd w:val="clear" w:color="auto" w:fill="CCEEFF"/>
          </w:tcPr>
          <w:p>
            <w:pPr>
              <w:jc w:val="center"/>
              <w:ind w:right="53"/>
              <w:spacing w:after="0" w:line="140" w:lineRule="exact"/>
              <w:rPr>
                <w:sz w:val="20"/>
                <w:szCs w:val="20"/>
                <w:color w:val="auto"/>
              </w:rPr>
            </w:pPr>
            <w:r>
              <w:rPr>
                <w:rFonts w:ascii="Times New Roman" w:cs="Times New Roman" w:eastAsia="Times New Roman" w:hAnsi="Times New Roman"/>
                <w:sz w:val="14"/>
                <w:szCs w:val="14"/>
                <w:b w:val="1"/>
                <w:bCs w:val="1"/>
                <w:color w:val="auto"/>
                <w:w w:val="97"/>
              </w:rPr>
              <w:t>from Last Day of</w:t>
            </w:r>
          </w:p>
        </w:tc>
        <w:tc>
          <w:tcPr>
            <w:tcW w:w="1300" w:type="dxa"/>
            <w:vAlign w:val="bottom"/>
            <w:tcBorders>
              <w:right w:val="single" w:sz="8" w:color="auto"/>
            </w:tcBorders>
            <w:vMerge w:val="continue"/>
            <w:shd w:val="clear" w:color="auto" w:fill="CCEEFF"/>
          </w:tcPr>
          <w:p>
            <w:pPr>
              <w:spacing w:after="0"/>
              <w:rPr>
                <w:sz w:val="12"/>
                <w:szCs w:val="12"/>
                <w:color w:val="auto"/>
              </w:rPr>
            </w:pPr>
          </w:p>
        </w:tc>
        <w:tc>
          <w:tcPr>
            <w:tcW w:w="1300" w:type="dxa"/>
            <w:vAlign w:val="bottom"/>
            <w:tcBorders>
              <w:right w:val="single" w:sz="8" w:color="auto"/>
            </w:tcBorders>
            <w:shd w:val="clear" w:color="auto" w:fill="CCEEFF"/>
          </w:tcPr>
          <w:p>
            <w:pPr>
              <w:jc w:val="center"/>
              <w:ind w:right="53"/>
              <w:spacing w:after="0" w:line="140" w:lineRule="exact"/>
              <w:rPr>
                <w:sz w:val="20"/>
                <w:szCs w:val="20"/>
                <w:color w:val="auto"/>
              </w:rPr>
            </w:pPr>
            <w:r>
              <w:rPr>
                <w:rFonts w:ascii="Times New Roman" w:cs="Times New Roman" w:eastAsia="Times New Roman" w:hAnsi="Times New Roman"/>
                <w:sz w:val="14"/>
                <w:szCs w:val="14"/>
                <w:b w:val="1"/>
                <w:bCs w:val="1"/>
                <w:color w:val="auto"/>
                <w:w w:val="95"/>
              </w:rPr>
              <w:t>from Last Day of</w:t>
            </w:r>
          </w:p>
        </w:tc>
        <w:tc>
          <w:tcPr>
            <w:tcW w:w="1260" w:type="dxa"/>
            <w:vAlign w:val="bottom"/>
            <w:tcBorders>
              <w:right w:val="single" w:sz="8" w:color="auto"/>
            </w:tcBorders>
            <w:shd w:val="clear" w:color="auto" w:fill="CCEEFF"/>
          </w:tcPr>
          <w:p>
            <w:pPr>
              <w:jc w:val="center"/>
              <w:ind w:right="14"/>
              <w:spacing w:after="0" w:line="140" w:lineRule="exact"/>
              <w:rPr>
                <w:sz w:val="20"/>
                <w:szCs w:val="20"/>
                <w:color w:val="auto"/>
              </w:rPr>
            </w:pPr>
            <w:r>
              <w:rPr>
                <w:rFonts w:ascii="Times New Roman" w:cs="Times New Roman" w:eastAsia="Times New Roman" w:hAnsi="Times New Roman"/>
                <w:sz w:val="14"/>
                <w:szCs w:val="14"/>
                <w:b w:val="1"/>
                <w:bCs w:val="1"/>
                <w:color w:val="auto"/>
                <w:w w:val="96"/>
              </w:rPr>
              <w:t>Fair Value at Last</w:t>
            </w:r>
          </w:p>
        </w:tc>
        <w:tc>
          <w:tcPr>
            <w:tcW w:w="1380" w:type="dxa"/>
            <w:vAlign w:val="bottom"/>
            <w:tcBorders>
              <w:right w:val="single" w:sz="8" w:color="auto"/>
            </w:tcBorders>
            <w:gridSpan w:val="2"/>
            <w:vMerge w:val="continue"/>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40" w:type="dxa"/>
            <w:vAlign w:val="bottom"/>
            <w:tcBorders>
              <w:left w:val="single" w:sz="8" w:color="auto"/>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shd w:val="clear" w:color="auto" w:fill="CCEEFF"/>
          </w:tcPr>
          <w:p>
            <w:pPr>
              <w:jc w:val="center"/>
              <w:ind w:right="13"/>
              <w:spacing w:after="0" w:line="145" w:lineRule="exact"/>
              <w:rPr>
                <w:sz w:val="20"/>
                <w:szCs w:val="20"/>
                <w:color w:val="auto"/>
              </w:rPr>
            </w:pPr>
            <w:r>
              <w:rPr>
                <w:rFonts w:ascii="Times New Roman" w:cs="Times New Roman" w:eastAsia="Times New Roman" w:hAnsi="Times New Roman"/>
                <w:sz w:val="14"/>
                <w:szCs w:val="14"/>
                <w:b w:val="1"/>
                <w:bCs w:val="1"/>
                <w:color w:val="auto"/>
                <w:w w:val="95"/>
              </w:rPr>
              <w:t>Granted During Year</w:t>
            </w:r>
          </w:p>
        </w:tc>
        <w:tc>
          <w:tcPr>
            <w:tcW w:w="1280" w:type="dxa"/>
            <w:vAlign w:val="bottom"/>
            <w:tcBorders>
              <w:right w:val="single" w:sz="8" w:color="auto"/>
            </w:tcBorders>
            <w:shd w:val="clear" w:color="auto" w:fill="CCEEFF"/>
          </w:tcPr>
          <w:p>
            <w:pPr>
              <w:jc w:val="center"/>
              <w:ind w:right="33"/>
              <w:spacing w:after="0" w:line="145" w:lineRule="exact"/>
              <w:rPr>
                <w:sz w:val="20"/>
                <w:szCs w:val="20"/>
                <w:color w:val="auto"/>
              </w:rPr>
            </w:pPr>
            <w:r>
              <w:rPr>
                <w:rFonts w:ascii="Times New Roman" w:cs="Times New Roman" w:eastAsia="Times New Roman" w:hAnsi="Times New Roman"/>
                <w:sz w:val="14"/>
                <w:szCs w:val="14"/>
                <w:b w:val="1"/>
                <w:bCs w:val="1"/>
                <w:color w:val="auto"/>
                <w:w w:val="96"/>
              </w:rPr>
              <w:t>Prior Year to Last</w:t>
            </w:r>
          </w:p>
        </w:tc>
        <w:tc>
          <w:tcPr>
            <w:tcW w:w="1300" w:type="dxa"/>
            <w:vAlign w:val="bottom"/>
            <w:tcBorders>
              <w:right w:val="single" w:sz="8" w:color="auto"/>
            </w:tcBorders>
            <w:shd w:val="clear" w:color="auto" w:fill="CCEEFF"/>
          </w:tcPr>
          <w:p>
            <w:pPr>
              <w:jc w:val="center"/>
              <w:ind w:right="55"/>
              <w:spacing w:after="0" w:line="145" w:lineRule="exact"/>
              <w:rPr>
                <w:sz w:val="20"/>
                <w:szCs w:val="20"/>
                <w:color w:val="auto"/>
              </w:rPr>
            </w:pPr>
            <w:r>
              <w:rPr>
                <w:rFonts w:ascii="Times New Roman" w:cs="Times New Roman" w:eastAsia="Times New Roman" w:hAnsi="Times New Roman"/>
                <w:sz w:val="14"/>
                <w:szCs w:val="14"/>
                <w:b w:val="1"/>
                <w:bCs w:val="1"/>
                <w:color w:val="auto"/>
                <w:w w:val="95"/>
              </w:rPr>
              <w:t>Value of Equity</w:t>
            </w:r>
          </w:p>
        </w:tc>
        <w:tc>
          <w:tcPr>
            <w:tcW w:w="1300" w:type="dxa"/>
            <w:vAlign w:val="bottom"/>
            <w:tcBorders>
              <w:right w:val="single" w:sz="8" w:color="auto"/>
            </w:tcBorders>
            <w:shd w:val="clear" w:color="auto" w:fill="CCEEFF"/>
          </w:tcPr>
          <w:p>
            <w:pPr>
              <w:jc w:val="center"/>
              <w:ind w:right="33"/>
              <w:spacing w:after="0" w:line="145" w:lineRule="exact"/>
              <w:rPr>
                <w:sz w:val="20"/>
                <w:szCs w:val="20"/>
                <w:color w:val="auto"/>
              </w:rPr>
            </w:pPr>
            <w:r>
              <w:rPr>
                <w:rFonts w:ascii="Times New Roman" w:cs="Times New Roman" w:eastAsia="Times New Roman" w:hAnsi="Times New Roman"/>
                <w:sz w:val="14"/>
                <w:szCs w:val="14"/>
                <w:b w:val="1"/>
                <w:bCs w:val="1"/>
                <w:color w:val="auto"/>
                <w:w w:val="93"/>
              </w:rPr>
              <w:t>Prior Year to Vesting</w:t>
            </w:r>
          </w:p>
        </w:tc>
        <w:tc>
          <w:tcPr>
            <w:tcW w:w="1260" w:type="dxa"/>
            <w:vAlign w:val="bottom"/>
            <w:tcBorders>
              <w:right w:val="single" w:sz="8" w:color="auto"/>
            </w:tcBorders>
            <w:shd w:val="clear" w:color="auto" w:fill="CCEEFF"/>
          </w:tcPr>
          <w:p>
            <w:pPr>
              <w:jc w:val="center"/>
              <w:ind w:right="14"/>
              <w:spacing w:after="0" w:line="145" w:lineRule="exact"/>
              <w:rPr>
                <w:sz w:val="20"/>
                <w:szCs w:val="20"/>
                <w:color w:val="auto"/>
              </w:rPr>
            </w:pPr>
            <w:r>
              <w:rPr>
                <w:rFonts w:ascii="Times New Roman" w:cs="Times New Roman" w:eastAsia="Times New Roman" w:hAnsi="Times New Roman"/>
                <w:sz w:val="14"/>
                <w:szCs w:val="14"/>
                <w:b w:val="1"/>
                <w:bCs w:val="1"/>
                <w:color w:val="auto"/>
                <w:w w:val="96"/>
              </w:rPr>
              <w:t>Day of Prior Year of</w:t>
            </w:r>
          </w:p>
        </w:tc>
        <w:tc>
          <w:tcPr>
            <w:tcW w:w="60" w:type="dxa"/>
            <w:vAlign w:val="bottom"/>
            <w:tcBorders>
              <w:right w:val="single" w:sz="8" w:color="CCEEFF"/>
            </w:tcBorders>
            <w:shd w:val="clear" w:color="auto" w:fill="CCEEFF"/>
          </w:tcPr>
          <w:p>
            <w:pPr>
              <w:spacing w:after="0"/>
              <w:rPr>
                <w:sz w:val="12"/>
                <w:szCs w:val="12"/>
                <w:color w:val="auto"/>
              </w:rPr>
            </w:pPr>
          </w:p>
        </w:tc>
        <w:tc>
          <w:tcPr>
            <w:tcW w:w="1320" w:type="dxa"/>
            <w:vAlign w:val="bottom"/>
            <w:tcBorders>
              <w:right w:val="single" w:sz="8" w:color="auto"/>
            </w:tcBorders>
            <w:shd w:val="clear" w:color="auto" w:fill="CCEEFF"/>
          </w:tcPr>
          <w:p>
            <w:pPr>
              <w:jc w:val="center"/>
              <w:ind w:right="75"/>
              <w:spacing w:after="0" w:line="145" w:lineRule="exact"/>
              <w:rPr>
                <w:sz w:val="20"/>
                <w:szCs w:val="20"/>
                <w:color w:val="auto"/>
              </w:rPr>
            </w:pPr>
            <w:r>
              <w:rPr>
                <w:rFonts w:ascii="Times New Roman" w:cs="Times New Roman" w:eastAsia="Times New Roman" w:hAnsi="Times New Roman"/>
                <w:sz w:val="14"/>
                <w:szCs w:val="14"/>
                <w:b w:val="1"/>
                <w:bCs w:val="1"/>
                <w:color w:val="auto"/>
                <w:w w:val="94"/>
              </w:rPr>
              <w:t>Other Earnings Paid</w:t>
            </w:r>
          </w:p>
        </w:tc>
        <w:tc>
          <w:tcPr>
            <w:tcW w:w="760" w:type="dxa"/>
            <w:vAlign w:val="bottom"/>
            <w:tcBorders>
              <w:right w:val="single" w:sz="8" w:color="auto"/>
            </w:tcBorders>
            <w:shd w:val="clear" w:color="auto" w:fill="CCEEFF"/>
          </w:tcPr>
          <w:p>
            <w:pPr>
              <w:jc w:val="center"/>
              <w:ind w:right="35"/>
              <w:spacing w:after="0" w:line="145" w:lineRule="exact"/>
              <w:rPr>
                <w:sz w:val="20"/>
                <w:szCs w:val="20"/>
                <w:color w:val="auto"/>
              </w:rPr>
            </w:pPr>
            <w:r>
              <w:rPr>
                <w:rFonts w:ascii="Times New Roman" w:cs="Times New Roman" w:eastAsia="Times New Roman" w:hAnsi="Times New Roman"/>
                <w:sz w:val="14"/>
                <w:szCs w:val="14"/>
                <w:b w:val="1"/>
                <w:bCs w:val="1"/>
                <w:color w:val="auto"/>
                <w:w w:val="94"/>
              </w:rPr>
              <w:t>Total -</w:t>
            </w:r>
          </w:p>
        </w:tc>
        <w:tc>
          <w:tcPr>
            <w:tcW w:w="0" w:type="dxa"/>
            <w:vAlign w:val="bottom"/>
          </w:tcPr>
          <w:p>
            <w:pPr>
              <w:spacing w:after="0"/>
              <w:rPr>
                <w:sz w:val="1"/>
                <w:szCs w:val="1"/>
                <w:color w:val="auto"/>
              </w:rPr>
            </w:pPr>
          </w:p>
        </w:tc>
      </w:tr>
      <w:tr>
        <w:trPr>
          <w:trHeight w:val="77"/>
        </w:trPr>
        <w:tc>
          <w:tcPr>
            <w:tcW w:w="1340" w:type="dxa"/>
            <w:vAlign w:val="bottom"/>
            <w:tcBorders>
              <w:left w:val="single" w:sz="8" w:color="auto"/>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vMerge w:val="restart"/>
            <w:shd w:val="clear" w:color="auto" w:fill="CCEEFF"/>
          </w:tcPr>
          <w:p>
            <w:pPr>
              <w:jc w:val="center"/>
              <w:ind w:right="33"/>
              <w:spacing w:after="0" w:line="150" w:lineRule="exact"/>
              <w:rPr>
                <w:sz w:val="20"/>
                <w:szCs w:val="20"/>
                <w:color w:val="auto"/>
              </w:rPr>
            </w:pPr>
            <w:r>
              <w:rPr>
                <w:rFonts w:ascii="Times New Roman" w:cs="Times New Roman" w:eastAsia="Times New Roman" w:hAnsi="Times New Roman"/>
                <w:sz w:val="14"/>
                <w:szCs w:val="14"/>
                <w:b w:val="1"/>
                <w:bCs w:val="1"/>
                <w:color w:val="auto"/>
                <w:w w:val="96"/>
              </w:rPr>
              <w:t>That Remained</w:t>
            </w:r>
          </w:p>
        </w:tc>
        <w:tc>
          <w:tcPr>
            <w:tcW w:w="1280" w:type="dxa"/>
            <w:vAlign w:val="bottom"/>
            <w:tcBorders>
              <w:right w:val="single" w:sz="8" w:color="auto"/>
            </w:tcBorders>
            <w:vMerge w:val="restart"/>
            <w:shd w:val="clear" w:color="auto" w:fill="CCEEFF"/>
          </w:tcPr>
          <w:p>
            <w:pPr>
              <w:jc w:val="center"/>
              <w:ind w:right="53"/>
              <w:spacing w:after="0" w:line="150" w:lineRule="exact"/>
              <w:rPr>
                <w:sz w:val="20"/>
                <w:szCs w:val="20"/>
                <w:color w:val="auto"/>
              </w:rPr>
            </w:pPr>
            <w:r>
              <w:rPr>
                <w:rFonts w:ascii="Times New Roman" w:cs="Times New Roman" w:eastAsia="Times New Roman" w:hAnsi="Times New Roman"/>
                <w:sz w:val="14"/>
                <w:szCs w:val="14"/>
                <w:b w:val="1"/>
                <w:bCs w:val="1"/>
                <w:color w:val="auto"/>
                <w:w w:val="95"/>
              </w:rPr>
              <w:t>Day of Year of</w:t>
            </w:r>
          </w:p>
        </w:tc>
        <w:tc>
          <w:tcPr>
            <w:tcW w:w="1300" w:type="dxa"/>
            <w:vAlign w:val="bottom"/>
            <w:tcBorders>
              <w:right w:val="single" w:sz="8" w:color="auto"/>
            </w:tcBorders>
            <w:shd w:val="clear" w:color="auto" w:fill="CCEEFF"/>
          </w:tcPr>
          <w:p>
            <w:pPr>
              <w:jc w:val="center"/>
              <w:ind w:right="55"/>
              <w:spacing w:after="0" w:line="78" w:lineRule="exact"/>
              <w:rPr>
                <w:sz w:val="20"/>
                <w:szCs w:val="20"/>
                <w:color w:val="auto"/>
              </w:rPr>
            </w:pPr>
            <w:r>
              <w:rPr>
                <w:rFonts w:ascii="Times New Roman" w:cs="Times New Roman" w:eastAsia="Times New Roman" w:hAnsi="Times New Roman"/>
                <w:sz w:val="8"/>
                <w:szCs w:val="8"/>
                <w:b w:val="1"/>
                <w:bCs w:val="1"/>
                <w:color w:val="auto"/>
              </w:rPr>
              <w:t>Awards Granted</w:t>
            </w:r>
          </w:p>
        </w:tc>
        <w:tc>
          <w:tcPr>
            <w:tcW w:w="1300" w:type="dxa"/>
            <w:vAlign w:val="bottom"/>
            <w:tcBorders>
              <w:right w:val="single" w:sz="8" w:color="auto"/>
            </w:tcBorders>
            <w:vMerge w:val="restart"/>
            <w:shd w:val="clear" w:color="auto" w:fill="CCEEFF"/>
          </w:tcPr>
          <w:p>
            <w:pPr>
              <w:jc w:val="center"/>
              <w:ind w:right="53"/>
              <w:spacing w:after="0" w:line="150" w:lineRule="exact"/>
              <w:rPr>
                <w:sz w:val="20"/>
                <w:szCs w:val="20"/>
                <w:color w:val="auto"/>
              </w:rPr>
            </w:pPr>
            <w:r>
              <w:rPr>
                <w:rFonts w:ascii="Times New Roman" w:cs="Times New Roman" w:eastAsia="Times New Roman" w:hAnsi="Times New Roman"/>
                <w:sz w:val="14"/>
                <w:szCs w:val="14"/>
                <w:b w:val="1"/>
                <w:bCs w:val="1"/>
                <w:color w:val="auto"/>
                <w:w w:val="96"/>
              </w:rPr>
              <w:t>Date of Unvested</w:t>
            </w:r>
          </w:p>
        </w:tc>
        <w:tc>
          <w:tcPr>
            <w:tcW w:w="1260" w:type="dxa"/>
            <w:vAlign w:val="bottom"/>
            <w:tcBorders>
              <w:right w:val="single" w:sz="8" w:color="auto"/>
            </w:tcBorders>
            <w:vMerge w:val="restart"/>
            <w:shd w:val="clear" w:color="auto" w:fill="CCEEFF"/>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w w:val="97"/>
              </w:rPr>
              <w:t>Equity Awards</w:t>
            </w:r>
          </w:p>
        </w:tc>
        <w:tc>
          <w:tcPr>
            <w:tcW w:w="60" w:type="dxa"/>
            <w:vAlign w:val="bottom"/>
            <w:tcBorders>
              <w:right w:val="single" w:sz="8" w:color="CCEEFF"/>
            </w:tcBorders>
            <w:shd w:val="clear" w:color="auto" w:fill="CCEEFF"/>
          </w:tcPr>
          <w:p>
            <w:pPr>
              <w:spacing w:after="0"/>
              <w:rPr>
                <w:sz w:val="6"/>
                <w:szCs w:val="6"/>
                <w:color w:val="auto"/>
              </w:rPr>
            </w:pPr>
          </w:p>
        </w:tc>
        <w:tc>
          <w:tcPr>
            <w:tcW w:w="1320" w:type="dxa"/>
            <w:vAlign w:val="bottom"/>
            <w:tcBorders>
              <w:right w:val="single" w:sz="8" w:color="auto"/>
            </w:tcBorders>
            <w:shd w:val="clear" w:color="auto" w:fill="CCEEFF"/>
          </w:tcPr>
          <w:p>
            <w:pPr>
              <w:jc w:val="center"/>
              <w:ind w:right="95"/>
              <w:spacing w:after="0" w:line="78" w:lineRule="exact"/>
              <w:rPr>
                <w:sz w:val="20"/>
                <w:szCs w:val="20"/>
                <w:color w:val="auto"/>
              </w:rPr>
            </w:pPr>
            <w:r>
              <w:rPr>
                <w:rFonts w:ascii="Times New Roman" w:cs="Times New Roman" w:eastAsia="Times New Roman" w:hAnsi="Times New Roman"/>
                <w:sz w:val="8"/>
                <w:szCs w:val="8"/>
                <w:b w:val="1"/>
                <w:bCs w:val="1"/>
                <w:color w:val="auto"/>
              </w:rPr>
              <w:t>on Equity Awards</w:t>
            </w:r>
          </w:p>
        </w:tc>
        <w:tc>
          <w:tcPr>
            <w:tcW w:w="760" w:type="dxa"/>
            <w:vAlign w:val="bottom"/>
            <w:tcBorders>
              <w:right w:val="single" w:sz="8" w:color="auto"/>
            </w:tcBorders>
            <w:shd w:val="clear" w:color="auto" w:fill="CCEEFF"/>
          </w:tcPr>
          <w:p>
            <w:pPr>
              <w:jc w:val="center"/>
              <w:ind w:right="15"/>
              <w:spacing w:after="0" w:line="78" w:lineRule="exact"/>
              <w:rPr>
                <w:sz w:val="20"/>
                <w:szCs w:val="20"/>
                <w:color w:val="auto"/>
              </w:rPr>
            </w:pPr>
            <w:r>
              <w:rPr>
                <w:rFonts w:ascii="Times New Roman" w:cs="Times New Roman" w:eastAsia="Times New Roman" w:hAnsi="Times New Roman"/>
                <w:sz w:val="8"/>
                <w:szCs w:val="8"/>
                <w:b w:val="1"/>
                <w:bCs w:val="1"/>
                <w:color w:val="auto"/>
              </w:rPr>
              <w:t>Inclusion of</w:t>
            </w:r>
          </w:p>
        </w:tc>
        <w:tc>
          <w:tcPr>
            <w:tcW w:w="0" w:type="dxa"/>
            <w:vAlign w:val="bottom"/>
          </w:tcPr>
          <w:p>
            <w:pPr>
              <w:spacing w:after="0"/>
              <w:rPr>
                <w:sz w:val="1"/>
                <w:szCs w:val="1"/>
                <w:color w:val="auto"/>
              </w:rPr>
            </w:pPr>
          </w:p>
        </w:tc>
      </w:tr>
      <w:tr>
        <w:trPr>
          <w:trHeight w:val="72"/>
        </w:trPr>
        <w:tc>
          <w:tcPr>
            <w:tcW w:w="1340" w:type="dxa"/>
            <w:vAlign w:val="bottom"/>
            <w:tcBorders>
              <w:left w:val="single" w:sz="8" w:color="auto"/>
              <w:right w:val="single" w:sz="8" w:color="auto"/>
            </w:tcBorders>
            <w:vMerge w:val="restart"/>
            <w:shd w:val="clear" w:color="auto" w:fill="CCEEFF"/>
          </w:tcPr>
          <w:p>
            <w:pPr>
              <w:ind w:left="520"/>
              <w:spacing w:after="0" w:line="145" w:lineRule="exact"/>
              <w:rPr>
                <w:sz w:val="20"/>
                <w:szCs w:val="20"/>
                <w:color w:val="auto"/>
              </w:rPr>
            </w:pPr>
            <w:r>
              <w:rPr>
                <w:rFonts w:ascii="Times New Roman" w:cs="Times New Roman" w:eastAsia="Times New Roman" w:hAnsi="Times New Roman"/>
                <w:sz w:val="14"/>
                <w:szCs w:val="14"/>
                <w:b w:val="1"/>
                <w:bCs w:val="1"/>
                <w:color w:val="auto"/>
              </w:rPr>
              <w:t>Year</w:t>
            </w:r>
          </w:p>
        </w:tc>
        <w:tc>
          <w:tcPr>
            <w:tcW w:w="1320" w:type="dxa"/>
            <w:vAlign w:val="bottom"/>
            <w:tcBorders>
              <w:right w:val="single" w:sz="8" w:color="auto"/>
            </w:tcBorders>
            <w:vMerge w:val="continue"/>
            <w:shd w:val="clear" w:color="auto" w:fill="CCEEFF"/>
          </w:tcPr>
          <w:p>
            <w:pPr>
              <w:spacing w:after="0"/>
              <w:rPr>
                <w:sz w:val="6"/>
                <w:szCs w:val="6"/>
                <w:color w:val="auto"/>
              </w:rPr>
            </w:pPr>
          </w:p>
        </w:tc>
        <w:tc>
          <w:tcPr>
            <w:tcW w:w="1280" w:type="dxa"/>
            <w:vAlign w:val="bottom"/>
            <w:tcBorders>
              <w:right w:val="single" w:sz="8" w:color="auto"/>
            </w:tcBorders>
            <w:vMerge w:val="continue"/>
            <w:shd w:val="clear" w:color="auto" w:fill="CCEEFF"/>
          </w:tcPr>
          <w:p>
            <w:pPr>
              <w:spacing w:after="0"/>
              <w:rPr>
                <w:sz w:val="6"/>
                <w:szCs w:val="6"/>
                <w:color w:val="auto"/>
              </w:rPr>
            </w:pPr>
          </w:p>
        </w:tc>
        <w:tc>
          <w:tcPr>
            <w:tcW w:w="1300" w:type="dxa"/>
            <w:vAlign w:val="bottom"/>
            <w:tcBorders>
              <w:right w:val="single" w:sz="8" w:color="auto"/>
            </w:tcBorders>
            <w:vMerge w:val="restart"/>
            <w:shd w:val="clear" w:color="auto" w:fill="CCEEFF"/>
          </w:tcPr>
          <w:p>
            <w:pPr>
              <w:jc w:val="center"/>
              <w:ind w:right="35"/>
              <w:spacing w:after="0" w:line="145" w:lineRule="exact"/>
              <w:rPr>
                <w:sz w:val="20"/>
                <w:szCs w:val="20"/>
                <w:color w:val="auto"/>
              </w:rPr>
            </w:pPr>
            <w:r>
              <w:rPr>
                <w:rFonts w:ascii="Times New Roman" w:cs="Times New Roman" w:eastAsia="Times New Roman" w:hAnsi="Times New Roman"/>
                <w:sz w:val="14"/>
                <w:szCs w:val="14"/>
                <w:b w:val="1"/>
                <w:bCs w:val="1"/>
                <w:color w:val="auto"/>
                <w:w w:val="96"/>
              </w:rPr>
              <w:t>During Year that</w:t>
            </w:r>
          </w:p>
        </w:tc>
        <w:tc>
          <w:tcPr>
            <w:tcW w:w="1300" w:type="dxa"/>
            <w:vAlign w:val="bottom"/>
            <w:tcBorders>
              <w:right w:val="single" w:sz="8" w:color="auto"/>
            </w:tcBorders>
            <w:vMerge w:val="continue"/>
            <w:shd w:val="clear" w:color="auto" w:fill="CCEEFF"/>
          </w:tcPr>
          <w:p>
            <w:pPr>
              <w:spacing w:after="0"/>
              <w:rPr>
                <w:sz w:val="6"/>
                <w:szCs w:val="6"/>
                <w:color w:val="auto"/>
              </w:rPr>
            </w:pPr>
          </w:p>
        </w:tc>
        <w:tc>
          <w:tcPr>
            <w:tcW w:w="1260" w:type="dxa"/>
            <w:vAlign w:val="bottom"/>
            <w:tcBorders>
              <w:right w:val="single" w:sz="8" w:color="auto"/>
            </w:tcBorders>
            <w:vMerge w:val="continue"/>
            <w:shd w:val="clear" w:color="auto" w:fill="CCEEFF"/>
          </w:tcPr>
          <w:p>
            <w:pPr>
              <w:spacing w:after="0"/>
              <w:rPr>
                <w:sz w:val="6"/>
                <w:szCs w:val="6"/>
                <w:color w:val="auto"/>
              </w:rPr>
            </w:pPr>
          </w:p>
        </w:tc>
        <w:tc>
          <w:tcPr>
            <w:tcW w:w="60" w:type="dxa"/>
            <w:vAlign w:val="bottom"/>
            <w:tcBorders>
              <w:right w:val="single" w:sz="8" w:color="CCEEFF"/>
            </w:tcBorders>
            <w:shd w:val="clear" w:color="auto" w:fill="CCEEFF"/>
          </w:tcPr>
          <w:p>
            <w:pPr>
              <w:spacing w:after="0"/>
              <w:rPr>
                <w:sz w:val="6"/>
                <w:szCs w:val="6"/>
                <w:color w:val="auto"/>
              </w:rPr>
            </w:pPr>
          </w:p>
        </w:tc>
        <w:tc>
          <w:tcPr>
            <w:tcW w:w="1320" w:type="dxa"/>
            <w:vAlign w:val="bottom"/>
            <w:tcBorders>
              <w:right w:val="single" w:sz="8" w:color="auto"/>
            </w:tcBorders>
            <w:vMerge w:val="restart"/>
            <w:shd w:val="clear" w:color="auto" w:fill="CCEEFF"/>
          </w:tcPr>
          <w:p>
            <w:pPr>
              <w:jc w:val="center"/>
              <w:ind w:right="95"/>
              <w:spacing w:after="0" w:line="145" w:lineRule="exact"/>
              <w:rPr>
                <w:sz w:val="20"/>
                <w:szCs w:val="20"/>
                <w:color w:val="auto"/>
              </w:rPr>
            </w:pPr>
            <w:r>
              <w:rPr>
                <w:rFonts w:ascii="Times New Roman" w:cs="Times New Roman" w:eastAsia="Times New Roman" w:hAnsi="Times New Roman"/>
                <w:sz w:val="14"/>
                <w:szCs w:val="14"/>
                <w:b w:val="1"/>
                <w:bCs w:val="1"/>
                <w:color w:val="auto"/>
                <w:w w:val="96"/>
              </w:rPr>
              <w:t>Not Otherwise</w:t>
            </w:r>
          </w:p>
        </w:tc>
        <w:tc>
          <w:tcPr>
            <w:tcW w:w="760" w:type="dxa"/>
            <w:vAlign w:val="bottom"/>
            <w:tcBorders>
              <w:right w:val="single" w:sz="8" w:color="auto"/>
            </w:tcBorders>
            <w:vMerge w:val="restart"/>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87"/>
              </w:rPr>
              <w:t>Equity Values</w:t>
            </w:r>
          </w:p>
        </w:tc>
        <w:tc>
          <w:tcPr>
            <w:tcW w:w="0" w:type="dxa"/>
            <w:vAlign w:val="bottom"/>
          </w:tcPr>
          <w:p>
            <w:pPr>
              <w:spacing w:after="0"/>
              <w:rPr>
                <w:sz w:val="1"/>
                <w:szCs w:val="1"/>
                <w:color w:val="auto"/>
              </w:rPr>
            </w:pPr>
          </w:p>
        </w:tc>
      </w:tr>
      <w:tr>
        <w:trPr>
          <w:trHeight w:val="72"/>
        </w:trPr>
        <w:tc>
          <w:tcPr>
            <w:tcW w:w="134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1320" w:type="dxa"/>
            <w:vAlign w:val="bottom"/>
            <w:tcBorders>
              <w:right w:val="single" w:sz="8" w:color="auto"/>
            </w:tcBorders>
            <w:vMerge w:val="restart"/>
            <w:shd w:val="clear" w:color="auto" w:fill="CCEEFF"/>
          </w:tcPr>
          <w:p>
            <w:pPr>
              <w:jc w:val="center"/>
              <w:ind w:right="33"/>
              <w:spacing w:after="0" w:line="145" w:lineRule="exact"/>
              <w:rPr>
                <w:sz w:val="20"/>
                <w:szCs w:val="20"/>
                <w:color w:val="auto"/>
              </w:rPr>
            </w:pPr>
            <w:r>
              <w:rPr>
                <w:rFonts w:ascii="Times New Roman" w:cs="Times New Roman" w:eastAsia="Times New Roman" w:hAnsi="Times New Roman"/>
                <w:sz w:val="14"/>
                <w:szCs w:val="14"/>
                <w:b w:val="1"/>
                <w:bCs w:val="1"/>
                <w:color w:val="auto"/>
                <w:w w:val="98"/>
              </w:rPr>
              <w:t>Unvested as of Last</w:t>
            </w:r>
          </w:p>
        </w:tc>
        <w:tc>
          <w:tcPr>
            <w:tcW w:w="1280" w:type="dxa"/>
            <w:vAlign w:val="bottom"/>
            <w:tcBorders>
              <w:right w:val="single" w:sz="8" w:color="auto"/>
            </w:tcBorders>
            <w:vMerge w:val="restart"/>
            <w:shd w:val="clear" w:color="auto" w:fill="CCEEFF"/>
          </w:tcPr>
          <w:p>
            <w:pPr>
              <w:jc w:val="center"/>
              <w:ind w:right="53"/>
              <w:spacing w:after="0" w:line="145" w:lineRule="exact"/>
              <w:rPr>
                <w:sz w:val="20"/>
                <w:szCs w:val="20"/>
                <w:color w:val="auto"/>
              </w:rPr>
            </w:pPr>
            <w:r>
              <w:rPr>
                <w:rFonts w:ascii="Times New Roman" w:cs="Times New Roman" w:eastAsia="Times New Roman" w:hAnsi="Times New Roman"/>
                <w:sz w:val="14"/>
                <w:szCs w:val="14"/>
                <w:b w:val="1"/>
                <w:bCs w:val="1"/>
                <w:color w:val="auto"/>
                <w:w w:val="96"/>
              </w:rPr>
              <w:t>Unvested Equity</w:t>
            </w:r>
          </w:p>
        </w:tc>
        <w:tc>
          <w:tcPr>
            <w:tcW w:w="1300" w:type="dxa"/>
            <w:vAlign w:val="bottom"/>
            <w:tcBorders>
              <w:right w:val="single" w:sz="8" w:color="auto"/>
            </w:tcBorders>
            <w:vMerge w:val="continue"/>
            <w:shd w:val="clear" w:color="auto" w:fill="CCEEFF"/>
          </w:tcPr>
          <w:p>
            <w:pPr>
              <w:spacing w:after="0"/>
              <w:rPr>
                <w:sz w:val="6"/>
                <w:szCs w:val="6"/>
                <w:color w:val="auto"/>
              </w:rPr>
            </w:pPr>
          </w:p>
        </w:tc>
        <w:tc>
          <w:tcPr>
            <w:tcW w:w="1300" w:type="dxa"/>
            <w:vAlign w:val="bottom"/>
            <w:tcBorders>
              <w:right w:val="single" w:sz="8" w:color="auto"/>
            </w:tcBorders>
            <w:vMerge w:val="restart"/>
            <w:shd w:val="clear" w:color="auto" w:fill="CCEEFF"/>
          </w:tcPr>
          <w:p>
            <w:pPr>
              <w:jc w:val="center"/>
              <w:ind w:right="53"/>
              <w:spacing w:after="0" w:line="145" w:lineRule="exact"/>
              <w:rPr>
                <w:sz w:val="20"/>
                <w:szCs w:val="20"/>
                <w:color w:val="auto"/>
              </w:rPr>
            </w:pPr>
            <w:r>
              <w:rPr>
                <w:rFonts w:ascii="Times New Roman" w:cs="Times New Roman" w:eastAsia="Times New Roman" w:hAnsi="Times New Roman"/>
                <w:sz w:val="14"/>
                <w:szCs w:val="14"/>
                <w:b w:val="1"/>
                <w:bCs w:val="1"/>
                <w:color w:val="auto"/>
                <w:w w:val="96"/>
              </w:rPr>
              <w:t>Equity Awards that</w:t>
            </w:r>
          </w:p>
        </w:tc>
        <w:tc>
          <w:tcPr>
            <w:tcW w:w="1260" w:type="dxa"/>
            <w:vAlign w:val="bottom"/>
            <w:tcBorders>
              <w:right w:val="single" w:sz="8" w:color="auto"/>
            </w:tcBorders>
            <w:vMerge w:val="restart"/>
            <w:shd w:val="clear" w:color="auto" w:fill="CCEEFF"/>
          </w:tcPr>
          <w:p>
            <w:pPr>
              <w:jc w:val="center"/>
              <w:ind w:right="14"/>
              <w:spacing w:after="0" w:line="145" w:lineRule="exact"/>
              <w:rPr>
                <w:sz w:val="20"/>
                <w:szCs w:val="20"/>
                <w:color w:val="auto"/>
              </w:rPr>
            </w:pPr>
            <w:r>
              <w:rPr>
                <w:rFonts w:ascii="Times New Roman" w:cs="Times New Roman" w:eastAsia="Times New Roman" w:hAnsi="Times New Roman"/>
                <w:sz w:val="14"/>
                <w:szCs w:val="14"/>
                <w:b w:val="1"/>
                <w:bCs w:val="1"/>
                <w:color w:val="auto"/>
                <w:w w:val="96"/>
              </w:rPr>
              <w:t>Forfeited During</w:t>
            </w:r>
          </w:p>
        </w:tc>
        <w:tc>
          <w:tcPr>
            <w:tcW w:w="60" w:type="dxa"/>
            <w:vAlign w:val="bottom"/>
            <w:tcBorders>
              <w:right w:val="single" w:sz="8" w:color="CCEEFF"/>
            </w:tcBorders>
            <w:shd w:val="clear" w:color="auto" w:fill="CCEEFF"/>
          </w:tcPr>
          <w:p>
            <w:pPr>
              <w:spacing w:after="0"/>
              <w:rPr>
                <w:sz w:val="6"/>
                <w:szCs w:val="6"/>
                <w:color w:val="auto"/>
              </w:rPr>
            </w:pPr>
          </w:p>
        </w:tc>
        <w:tc>
          <w:tcPr>
            <w:tcW w:w="1320" w:type="dxa"/>
            <w:vAlign w:val="bottom"/>
            <w:tcBorders>
              <w:right w:val="single" w:sz="8" w:color="auto"/>
            </w:tcBorders>
            <w:vMerge w:val="continue"/>
            <w:shd w:val="clear" w:color="auto" w:fill="CCEEFF"/>
          </w:tcPr>
          <w:p>
            <w:pPr>
              <w:spacing w:after="0"/>
              <w:rPr>
                <w:sz w:val="6"/>
                <w:szCs w:val="6"/>
                <w:color w:val="auto"/>
              </w:rPr>
            </w:pPr>
          </w:p>
        </w:tc>
        <w:tc>
          <w:tcPr>
            <w:tcW w:w="76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340" w:type="dxa"/>
            <w:vAlign w:val="bottom"/>
            <w:tcBorders>
              <w:left w:val="single" w:sz="8" w:color="auto"/>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vMerge w:val="continue"/>
            <w:shd w:val="clear" w:color="auto" w:fill="CCEEFF"/>
          </w:tcPr>
          <w:p>
            <w:pPr>
              <w:spacing w:after="0"/>
              <w:rPr>
                <w:sz w:val="6"/>
                <w:szCs w:val="6"/>
                <w:color w:val="auto"/>
              </w:rPr>
            </w:pPr>
          </w:p>
        </w:tc>
        <w:tc>
          <w:tcPr>
            <w:tcW w:w="1280" w:type="dxa"/>
            <w:vAlign w:val="bottom"/>
            <w:tcBorders>
              <w:right w:val="single" w:sz="8" w:color="auto"/>
            </w:tcBorders>
            <w:vMerge w:val="continue"/>
            <w:shd w:val="clear" w:color="auto" w:fill="CCEEFF"/>
          </w:tcPr>
          <w:p>
            <w:pPr>
              <w:spacing w:after="0"/>
              <w:rPr>
                <w:sz w:val="6"/>
                <w:szCs w:val="6"/>
                <w:color w:val="auto"/>
              </w:rPr>
            </w:pPr>
          </w:p>
        </w:tc>
        <w:tc>
          <w:tcPr>
            <w:tcW w:w="1300" w:type="dxa"/>
            <w:vAlign w:val="bottom"/>
            <w:tcBorders>
              <w:right w:val="single" w:sz="8" w:color="auto"/>
            </w:tcBorders>
            <w:vMerge w:val="restart"/>
            <w:shd w:val="clear" w:color="auto" w:fill="CCEEFF"/>
          </w:tcPr>
          <w:p>
            <w:pPr>
              <w:jc w:val="center"/>
              <w:ind w:right="55"/>
              <w:spacing w:after="0" w:line="145" w:lineRule="exact"/>
              <w:rPr>
                <w:sz w:val="20"/>
                <w:szCs w:val="20"/>
                <w:color w:val="auto"/>
              </w:rPr>
            </w:pPr>
            <w:r>
              <w:rPr>
                <w:rFonts w:ascii="Times New Roman" w:cs="Times New Roman" w:eastAsia="Times New Roman" w:hAnsi="Times New Roman"/>
                <w:sz w:val="14"/>
                <w:szCs w:val="14"/>
                <w:b w:val="1"/>
                <w:bCs w:val="1"/>
                <w:color w:val="auto"/>
                <w:w w:val="95"/>
              </w:rPr>
              <w:t>Vested During Year</w:t>
            </w:r>
          </w:p>
        </w:tc>
        <w:tc>
          <w:tcPr>
            <w:tcW w:w="1300" w:type="dxa"/>
            <w:vAlign w:val="bottom"/>
            <w:tcBorders>
              <w:right w:val="single" w:sz="8" w:color="auto"/>
            </w:tcBorders>
            <w:vMerge w:val="continue"/>
            <w:shd w:val="clear" w:color="auto" w:fill="CCEEFF"/>
          </w:tcPr>
          <w:p>
            <w:pPr>
              <w:spacing w:after="0"/>
              <w:rPr>
                <w:sz w:val="6"/>
                <w:szCs w:val="6"/>
                <w:color w:val="auto"/>
              </w:rPr>
            </w:pPr>
          </w:p>
        </w:tc>
        <w:tc>
          <w:tcPr>
            <w:tcW w:w="1260" w:type="dxa"/>
            <w:vAlign w:val="bottom"/>
            <w:tcBorders>
              <w:right w:val="single" w:sz="8" w:color="auto"/>
            </w:tcBorders>
            <w:vMerge w:val="continue"/>
            <w:shd w:val="clear" w:color="auto" w:fill="CCEEFF"/>
          </w:tcPr>
          <w:p>
            <w:pPr>
              <w:spacing w:after="0"/>
              <w:rPr>
                <w:sz w:val="6"/>
                <w:szCs w:val="6"/>
                <w:color w:val="auto"/>
              </w:rPr>
            </w:pPr>
          </w:p>
        </w:tc>
        <w:tc>
          <w:tcPr>
            <w:tcW w:w="60" w:type="dxa"/>
            <w:vAlign w:val="bottom"/>
            <w:tcBorders>
              <w:right w:val="single" w:sz="8" w:color="CCEEFF"/>
            </w:tcBorders>
            <w:shd w:val="clear" w:color="auto" w:fill="CCEEFF"/>
          </w:tcPr>
          <w:p>
            <w:pPr>
              <w:spacing w:after="0"/>
              <w:rPr>
                <w:sz w:val="6"/>
                <w:szCs w:val="6"/>
                <w:color w:val="auto"/>
              </w:rPr>
            </w:pPr>
          </w:p>
        </w:tc>
        <w:tc>
          <w:tcPr>
            <w:tcW w:w="1320" w:type="dxa"/>
            <w:vAlign w:val="bottom"/>
            <w:tcBorders>
              <w:right w:val="single" w:sz="8" w:color="auto"/>
            </w:tcBorders>
            <w:vMerge w:val="restart"/>
            <w:shd w:val="clear" w:color="auto" w:fill="CCEEFF"/>
          </w:tcPr>
          <w:p>
            <w:pPr>
              <w:jc w:val="center"/>
              <w:ind w:right="95"/>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Included for First</w:t>
            </w:r>
          </w:p>
        </w:tc>
        <w:tc>
          <w:tcPr>
            <w:tcW w:w="760" w:type="dxa"/>
            <w:vAlign w:val="bottom"/>
            <w:tcBorders>
              <w:right w:val="single" w:sz="8" w:color="auto"/>
            </w:tcBorders>
            <w:vMerge w:val="restart"/>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89"/>
              </w:rPr>
              <w:t>for First PEO</w:t>
            </w:r>
          </w:p>
        </w:tc>
        <w:tc>
          <w:tcPr>
            <w:tcW w:w="0" w:type="dxa"/>
            <w:vAlign w:val="bottom"/>
          </w:tcPr>
          <w:p>
            <w:pPr>
              <w:spacing w:after="0"/>
              <w:rPr>
                <w:sz w:val="1"/>
                <w:szCs w:val="1"/>
                <w:color w:val="auto"/>
              </w:rPr>
            </w:pPr>
          </w:p>
        </w:tc>
      </w:tr>
      <w:tr>
        <w:trPr>
          <w:trHeight w:val="72"/>
        </w:trPr>
        <w:tc>
          <w:tcPr>
            <w:tcW w:w="1340" w:type="dxa"/>
            <w:vAlign w:val="bottom"/>
            <w:tcBorders>
              <w:left w:val="single" w:sz="8" w:color="auto"/>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vMerge w:val="restart"/>
            <w:shd w:val="clear" w:color="auto" w:fill="CCEEFF"/>
          </w:tcPr>
          <w:p>
            <w:pPr>
              <w:jc w:val="center"/>
              <w:ind w:right="33"/>
              <w:spacing w:after="0" w:line="145" w:lineRule="exact"/>
              <w:rPr>
                <w:sz w:val="20"/>
                <w:szCs w:val="20"/>
                <w:color w:val="auto"/>
              </w:rPr>
            </w:pPr>
            <w:r>
              <w:rPr>
                <w:rFonts w:ascii="Times New Roman" w:cs="Times New Roman" w:eastAsia="Times New Roman" w:hAnsi="Times New Roman"/>
                <w:sz w:val="14"/>
                <w:szCs w:val="14"/>
                <w:b w:val="1"/>
                <w:bCs w:val="1"/>
                <w:color w:val="auto"/>
                <w:w w:val="96"/>
              </w:rPr>
              <w:t>Day of Year for First</w:t>
            </w:r>
          </w:p>
        </w:tc>
        <w:tc>
          <w:tcPr>
            <w:tcW w:w="1280" w:type="dxa"/>
            <w:vAlign w:val="bottom"/>
            <w:tcBorders>
              <w:right w:val="single" w:sz="8" w:color="auto"/>
            </w:tcBorders>
            <w:vMerge w:val="restart"/>
            <w:shd w:val="clear" w:color="auto" w:fill="CCEEFF"/>
          </w:tcPr>
          <w:p>
            <w:pPr>
              <w:jc w:val="center"/>
              <w:ind w:right="53"/>
              <w:spacing w:after="0" w:line="145" w:lineRule="exact"/>
              <w:rPr>
                <w:sz w:val="20"/>
                <w:szCs w:val="20"/>
                <w:color w:val="auto"/>
              </w:rPr>
            </w:pPr>
            <w:r>
              <w:rPr>
                <w:rFonts w:ascii="Times New Roman" w:cs="Times New Roman" w:eastAsia="Times New Roman" w:hAnsi="Times New Roman"/>
                <w:sz w:val="14"/>
                <w:szCs w:val="14"/>
                <w:b w:val="1"/>
                <w:bCs w:val="1"/>
                <w:color w:val="auto"/>
                <w:w w:val="95"/>
              </w:rPr>
              <w:t>Awards for First</w:t>
            </w:r>
          </w:p>
        </w:tc>
        <w:tc>
          <w:tcPr>
            <w:tcW w:w="1300" w:type="dxa"/>
            <w:vAlign w:val="bottom"/>
            <w:tcBorders>
              <w:right w:val="single" w:sz="8" w:color="auto"/>
            </w:tcBorders>
            <w:vMerge w:val="continue"/>
            <w:shd w:val="clear" w:color="auto" w:fill="CCEEFF"/>
          </w:tcPr>
          <w:p>
            <w:pPr>
              <w:spacing w:after="0"/>
              <w:rPr>
                <w:sz w:val="6"/>
                <w:szCs w:val="6"/>
                <w:color w:val="auto"/>
              </w:rPr>
            </w:pPr>
          </w:p>
        </w:tc>
        <w:tc>
          <w:tcPr>
            <w:tcW w:w="1300" w:type="dxa"/>
            <w:vAlign w:val="bottom"/>
            <w:tcBorders>
              <w:right w:val="single" w:sz="8" w:color="auto"/>
            </w:tcBorders>
            <w:vMerge w:val="restart"/>
            <w:shd w:val="clear" w:color="auto" w:fill="CCEEFF"/>
          </w:tcPr>
          <w:p>
            <w:pPr>
              <w:jc w:val="center"/>
              <w:ind w:right="53"/>
              <w:spacing w:after="0" w:line="145" w:lineRule="exact"/>
              <w:rPr>
                <w:sz w:val="20"/>
                <w:szCs w:val="20"/>
                <w:color w:val="auto"/>
              </w:rPr>
            </w:pPr>
            <w:r>
              <w:rPr>
                <w:rFonts w:ascii="Times New Roman" w:cs="Times New Roman" w:eastAsia="Times New Roman" w:hAnsi="Times New Roman"/>
                <w:sz w:val="14"/>
                <w:szCs w:val="14"/>
                <w:b w:val="1"/>
                <w:bCs w:val="1"/>
                <w:color w:val="auto"/>
                <w:w w:val="95"/>
              </w:rPr>
              <w:t>Vested During Year</w:t>
            </w:r>
          </w:p>
        </w:tc>
        <w:tc>
          <w:tcPr>
            <w:tcW w:w="1260" w:type="dxa"/>
            <w:vAlign w:val="bottom"/>
            <w:tcBorders>
              <w:right w:val="single" w:sz="8" w:color="auto"/>
            </w:tcBorders>
            <w:vMerge w:val="restart"/>
            <w:shd w:val="clear" w:color="auto" w:fill="CCEEFF"/>
          </w:tcPr>
          <w:p>
            <w:pPr>
              <w:jc w:val="center"/>
              <w:ind w:right="14"/>
              <w:spacing w:after="0" w:line="145" w:lineRule="exact"/>
              <w:rPr>
                <w:sz w:val="20"/>
                <w:szCs w:val="20"/>
                <w:color w:val="auto"/>
              </w:rPr>
            </w:pPr>
            <w:r>
              <w:rPr>
                <w:rFonts w:ascii="Times New Roman" w:cs="Times New Roman" w:eastAsia="Times New Roman" w:hAnsi="Times New Roman"/>
                <w:sz w:val="14"/>
                <w:szCs w:val="14"/>
                <w:b w:val="1"/>
                <w:bCs w:val="1"/>
                <w:color w:val="auto"/>
                <w:w w:val="95"/>
              </w:rPr>
              <w:t>Year for First PEO</w:t>
            </w:r>
          </w:p>
        </w:tc>
        <w:tc>
          <w:tcPr>
            <w:tcW w:w="60" w:type="dxa"/>
            <w:vAlign w:val="bottom"/>
            <w:tcBorders>
              <w:right w:val="single" w:sz="8" w:color="CCEEFF"/>
            </w:tcBorders>
            <w:shd w:val="clear" w:color="auto" w:fill="CCEEFF"/>
          </w:tcPr>
          <w:p>
            <w:pPr>
              <w:spacing w:after="0"/>
              <w:rPr>
                <w:sz w:val="6"/>
                <w:szCs w:val="6"/>
                <w:color w:val="auto"/>
              </w:rPr>
            </w:pPr>
          </w:p>
        </w:tc>
        <w:tc>
          <w:tcPr>
            <w:tcW w:w="1320" w:type="dxa"/>
            <w:vAlign w:val="bottom"/>
            <w:tcBorders>
              <w:right w:val="single" w:sz="8" w:color="auto"/>
            </w:tcBorders>
            <w:vMerge w:val="continue"/>
            <w:shd w:val="clear" w:color="auto" w:fill="CCEEFF"/>
          </w:tcPr>
          <w:p>
            <w:pPr>
              <w:spacing w:after="0"/>
              <w:rPr>
                <w:sz w:val="6"/>
                <w:szCs w:val="6"/>
                <w:color w:val="auto"/>
              </w:rPr>
            </w:pPr>
          </w:p>
        </w:tc>
        <w:tc>
          <w:tcPr>
            <w:tcW w:w="76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340" w:type="dxa"/>
            <w:vAlign w:val="bottom"/>
            <w:tcBorders>
              <w:left w:val="single" w:sz="8" w:color="auto"/>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vMerge w:val="continue"/>
            <w:shd w:val="clear" w:color="auto" w:fill="CCEEFF"/>
          </w:tcPr>
          <w:p>
            <w:pPr>
              <w:spacing w:after="0"/>
              <w:rPr>
                <w:sz w:val="6"/>
                <w:szCs w:val="6"/>
                <w:color w:val="auto"/>
              </w:rPr>
            </w:pPr>
          </w:p>
        </w:tc>
        <w:tc>
          <w:tcPr>
            <w:tcW w:w="1280" w:type="dxa"/>
            <w:vAlign w:val="bottom"/>
            <w:tcBorders>
              <w:right w:val="single" w:sz="8" w:color="auto"/>
            </w:tcBorders>
            <w:vMerge w:val="continue"/>
            <w:shd w:val="clear" w:color="auto" w:fill="CCEEFF"/>
          </w:tcPr>
          <w:p>
            <w:pPr>
              <w:spacing w:after="0"/>
              <w:rPr>
                <w:sz w:val="6"/>
                <w:szCs w:val="6"/>
                <w:color w:val="auto"/>
              </w:rPr>
            </w:pPr>
          </w:p>
        </w:tc>
        <w:tc>
          <w:tcPr>
            <w:tcW w:w="1300" w:type="dxa"/>
            <w:vAlign w:val="bottom"/>
            <w:tcBorders>
              <w:right w:val="single" w:sz="8" w:color="auto"/>
            </w:tcBorders>
            <w:vMerge w:val="restart"/>
            <w:shd w:val="clear" w:color="auto" w:fill="CCEEFF"/>
          </w:tcPr>
          <w:p>
            <w:pPr>
              <w:jc w:val="center"/>
              <w:ind w:right="35"/>
              <w:spacing w:after="0" w:line="145" w:lineRule="exact"/>
              <w:rPr>
                <w:sz w:val="20"/>
                <w:szCs w:val="20"/>
                <w:color w:val="auto"/>
              </w:rPr>
            </w:pPr>
            <w:r>
              <w:rPr>
                <w:rFonts w:ascii="Times New Roman" w:cs="Times New Roman" w:eastAsia="Times New Roman" w:hAnsi="Times New Roman"/>
                <w:sz w:val="14"/>
                <w:szCs w:val="14"/>
                <w:b w:val="1"/>
                <w:bCs w:val="1"/>
                <w:color w:val="auto"/>
                <w:w w:val="96"/>
              </w:rPr>
              <w:t>for First PEO</w:t>
            </w:r>
          </w:p>
        </w:tc>
        <w:tc>
          <w:tcPr>
            <w:tcW w:w="1300" w:type="dxa"/>
            <w:vAlign w:val="bottom"/>
            <w:tcBorders>
              <w:right w:val="single" w:sz="8" w:color="auto"/>
            </w:tcBorders>
            <w:vMerge w:val="continue"/>
            <w:shd w:val="clear" w:color="auto" w:fill="CCEEFF"/>
          </w:tcPr>
          <w:p>
            <w:pPr>
              <w:spacing w:after="0"/>
              <w:rPr>
                <w:sz w:val="6"/>
                <w:szCs w:val="6"/>
                <w:color w:val="auto"/>
              </w:rPr>
            </w:pPr>
          </w:p>
        </w:tc>
        <w:tc>
          <w:tcPr>
            <w:tcW w:w="1260" w:type="dxa"/>
            <w:vAlign w:val="bottom"/>
            <w:tcBorders>
              <w:right w:val="single" w:sz="8" w:color="auto"/>
            </w:tcBorders>
            <w:vMerge w:val="continue"/>
            <w:shd w:val="clear" w:color="auto" w:fill="CCEEFF"/>
          </w:tcPr>
          <w:p>
            <w:pPr>
              <w:spacing w:after="0"/>
              <w:rPr>
                <w:sz w:val="6"/>
                <w:szCs w:val="6"/>
                <w:color w:val="auto"/>
              </w:rPr>
            </w:pPr>
          </w:p>
        </w:tc>
        <w:tc>
          <w:tcPr>
            <w:tcW w:w="60" w:type="dxa"/>
            <w:vAlign w:val="bottom"/>
            <w:tcBorders>
              <w:right w:val="single" w:sz="8" w:color="CCEEFF"/>
            </w:tcBorders>
            <w:shd w:val="clear" w:color="auto" w:fill="CCEEFF"/>
          </w:tcPr>
          <w:p>
            <w:pPr>
              <w:spacing w:after="0"/>
              <w:rPr>
                <w:sz w:val="6"/>
                <w:szCs w:val="6"/>
                <w:color w:val="auto"/>
              </w:rPr>
            </w:pPr>
          </w:p>
        </w:tc>
        <w:tc>
          <w:tcPr>
            <w:tcW w:w="1320" w:type="dxa"/>
            <w:vAlign w:val="bottom"/>
            <w:tcBorders>
              <w:right w:val="single" w:sz="8" w:color="auto"/>
            </w:tcBorders>
            <w:vMerge w:val="restart"/>
            <w:shd w:val="clear" w:color="auto" w:fill="CCEEFF"/>
          </w:tcPr>
          <w:p>
            <w:pPr>
              <w:jc w:val="center"/>
              <w:ind w:right="95"/>
              <w:spacing w:after="0" w:line="145" w:lineRule="exact"/>
              <w:rPr>
                <w:sz w:val="20"/>
                <w:szCs w:val="20"/>
                <w:color w:val="auto"/>
              </w:rPr>
            </w:pPr>
            <w:r>
              <w:rPr>
                <w:rFonts w:ascii="Times New Roman" w:cs="Times New Roman" w:eastAsia="Times New Roman" w:hAnsi="Times New Roman"/>
                <w:sz w:val="14"/>
                <w:szCs w:val="14"/>
                <w:b w:val="1"/>
                <w:bCs w:val="1"/>
                <w:color w:val="auto"/>
                <w:w w:val="97"/>
              </w:rPr>
              <w:t>PEO</w:t>
            </w:r>
          </w:p>
        </w:tc>
        <w:tc>
          <w:tcPr>
            <w:tcW w:w="760" w:type="dxa"/>
            <w:vAlign w:val="bottom"/>
            <w:tcBorders>
              <w:right w:val="single" w:sz="8" w:color="auto"/>
            </w:tcBorders>
            <w:vMerge w:val="restart"/>
            <w:shd w:val="clear" w:color="auto" w:fill="CCEEFF"/>
          </w:tcPr>
          <w:p>
            <w:pPr>
              <w:jc w:val="center"/>
              <w:ind w:right="35"/>
              <w:spacing w:after="0" w:line="14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72"/>
        </w:trPr>
        <w:tc>
          <w:tcPr>
            <w:tcW w:w="1340" w:type="dxa"/>
            <w:vAlign w:val="bottom"/>
            <w:tcBorders>
              <w:left w:val="single" w:sz="8" w:color="auto"/>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vMerge w:val="restart"/>
            <w:shd w:val="clear" w:color="auto" w:fill="CCEEFF"/>
          </w:tcPr>
          <w:p>
            <w:pPr>
              <w:jc w:val="center"/>
              <w:ind w:right="13"/>
              <w:spacing w:after="0" w:line="145" w:lineRule="exact"/>
              <w:rPr>
                <w:sz w:val="20"/>
                <w:szCs w:val="20"/>
                <w:color w:val="auto"/>
              </w:rPr>
            </w:pPr>
            <w:r>
              <w:rPr>
                <w:rFonts w:ascii="Times New Roman" w:cs="Times New Roman" w:eastAsia="Times New Roman" w:hAnsi="Times New Roman"/>
                <w:sz w:val="14"/>
                <w:szCs w:val="14"/>
                <w:b w:val="1"/>
                <w:bCs w:val="1"/>
                <w:color w:val="auto"/>
                <w:w w:val="97"/>
              </w:rPr>
              <w:t>PEO</w:t>
            </w:r>
          </w:p>
        </w:tc>
        <w:tc>
          <w:tcPr>
            <w:tcW w:w="1280" w:type="dxa"/>
            <w:vAlign w:val="bottom"/>
            <w:tcBorders>
              <w:right w:val="single" w:sz="8" w:color="auto"/>
            </w:tcBorders>
            <w:vMerge w:val="restart"/>
            <w:shd w:val="clear" w:color="auto" w:fill="CCEEFF"/>
          </w:tcPr>
          <w:p>
            <w:pPr>
              <w:jc w:val="center"/>
              <w:ind w:right="53"/>
              <w:spacing w:after="0" w:line="145" w:lineRule="exact"/>
              <w:rPr>
                <w:sz w:val="20"/>
                <w:szCs w:val="20"/>
                <w:color w:val="auto"/>
              </w:rPr>
            </w:pPr>
            <w:r>
              <w:rPr>
                <w:rFonts w:ascii="Times New Roman" w:cs="Times New Roman" w:eastAsia="Times New Roman" w:hAnsi="Times New Roman"/>
                <w:sz w:val="14"/>
                <w:szCs w:val="14"/>
                <w:b w:val="1"/>
                <w:bCs w:val="1"/>
                <w:color w:val="auto"/>
                <w:w w:val="97"/>
              </w:rPr>
              <w:t>PEO</w:t>
            </w:r>
          </w:p>
        </w:tc>
        <w:tc>
          <w:tcPr>
            <w:tcW w:w="1300" w:type="dxa"/>
            <w:vAlign w:val="bottom"/>
            <w:tcBorders>
              <w:right w:val="single" w:sz="8" w:color="auto"/>
            </w:tcBorders>
            <w:vMerge w:val="continue"/>
            <w:shd w:val="clear" w:color="auto" w:fill="CCEEFF"/>
          </w:tcPr>
          <w:p>
            <w:pPr>
              <w:spacing w:after="0"/>
              <w:rPr>
                <w:sz w:val="6"/>
                <w:szCs w:val="6"/>
                <w:color w:val="auto"/>
              </w:rPr>
            </w:pPr>
          </w:p>
        </w:tc>
        <w:tc>
          <w:tcPr>
            <w:tcW w:w="1300" w:type="dxa"/>
            <w:vAlign w:val="bottom"/>
            <w:tcBorders>
              <w:right w:val="single" w:sz="8" w:color="auto"/>
            </w:tcBorders>
            <w:vMerge w:val="restart"/>
            <w:shd w:val="clear" w:color="auto" w:fill="CCEEFF"/>
          </w:tcPr>
          <w:p>
            <w:pPr>
              <w:jc w:val="center"/>
              <w:ind w:right="53"/>
              <w:spacing w:after="0" w:line="145" w:lineRule="exact"/>
              <w:rPr>
                <w:sz w:val="20"/>
                <w:szCs w:val="20"/>
                <w:color w:val="auto"/>
              </w:rPr>
            </w:pPr>
            <w:r>
              <w:rPr>
                <w:rFonts w:ascii="Times New Roman" w:cs="Times New Roman" w:eastAsia="Times New Roman" w:hAnsi="Times New Roman"/>
                <w:sz w:val="14"/>
                <w:szCs w:val="14"/>
                <w:b w:val="1"/>
                <w:bCs w:val="1"/>
                <w:color w:val="auto"/>
                <w:w w:val="99"/>
              </w:rPr>
              <w:t>for First PEO</w:t>
            </w:r>
          </w:p>
        </w:tc>
        <w:tc>
          <w:tcPr>
            <w:tcW w:w="1260" w:type="dxa"/>
            <w:vAlign w:val="bottom"/>
            <w:tcBorders>
              <w:right w:val="single" w:sz="8" w:color="auto"/>
            </w:tcBorders>
            <w:vMerge w:val="restart"/>
            <w:shd w:val="clear" w:color="auto" w:fill="CCEEFF"/>
          </w:tcPr>
          <w:p>
            <w:pPr>
              <w:ind w:left="520"/>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right w:val="single" w:sz="8" w:color="CCEEFF"/>
            </w:tcBorders>
            <w:shd w:val="clear" w:color="auto" w:fill="CCEEFF"/>
          </w:tcPr>
          <w:p>
            <w:pPr>
              <w:spacing w:after="0"/>
              <w:rPr>
                <w:sz w:val="6"/>
                <w:szCs w:val="6"/>
                <w:color w:val="auto"/>
              </w:rPr>
            </w:pPr>
          </w:p>
        </w:tc>
        <w:tc>
          <w:tcPr>
            <w:tcW w:w="1320" w:type="dxa"/>
            <w:vAlign w:val="bottom"/>
            <w:tcBorders>
              <w:right w:val="single" w:sz="8" w:color="auto"/>
            </w:tcBorders>
            <w:vMerge w:val="continue"/>
            <w:shd w:val="clear" w:color="auto" w:fill="CCEEFF"/>
          </w:tcPr>
          <w:p>
            <w:pPr>
              <w:spacing w:after="0"/>
              <w:rPr>
                <w:sz w:val="6"/>
                <w:szCs w:val="6"/>
                <w:color w:val="auto"/>
              </w:rPr>
            </w:pPr>
          </w:p>
        </w:tc>
        <w:tc>
          <w:tcPr>
            <w:tcW w:w="76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340" w:type="dxa"/>
            <w:vAlign w:val="bottom"/>
            <w:tcBorders>
              <w:left w:val="single" w:sz="8" w:color="auto"/>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vMerge w:val="continue"/>
            <w:shd w:val="clear" w:color="auto" w:fill="CCEEFF"/>
          </w:tcPr>
          <w:p>
            <w:pPr>
              <w:spacing w:after="0"/>
              <w:rPr>
                <w:sz w:val="6"/>
                <w:szCs w:val="6"/>
                <w:color w:val="auto"/>
              </w:rPr>
            </w:pPr>
          </w:p>
        </w:tc>
        <w:tc>
          <w:tcPr>
            <w:tcW w:w="1280" w:type="dxa"/>
            <w:vAlign w:val="bottom"/>
            <w:tcBorders>
              <w:right w:val="single" w:sz="8" w:color="auto"/>
            </w:tcBorders>
            <w:vMerge w:val="continue"/>
            <w:shd w:val="clear" w:color="auto" w:fill="CCEEFF"/>
          </w:tcPr>
          <w:p>
            <w:pPr>
              <w:spacing w:after="0"/>
              <w:rPr>
                <w:sz w:val="6"/>
                <w:szCs w:val="6"/>
                <w:color w:val="auto"/>
              </w:rPr>
            </w:pPr>
          </w:p>
        </w:tc>
        <w:tc>
          <w:tcPr>
            <w:tcW w:w="1300" w:type="dxa"/>
            <w:vAlign w:val="bottom"/>
            <w:tcBorders>
              <w:right w:val="single" w:sz="8" w:color="auto"/>
            </w:tcBorders>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right w:val="single" w:sz="8" w:color="auto"/>
            </w:tcBorders>
            <w:vMerge w:val="continue"/>
            <w:shd w:val="clear" w:color="auto" w:fill="CCEEFF"/>
          </w:tcPr>
          <w:p>
            <w:pPr>
              <w:spacing w:after="0"/>
              <w:rPr>
                <w:sz w:val="6"/>
                <w:szCs w:val="6"/>
                <w:color w:val="auto"/>
              </w:rPr>
            </w:pPr>
          </w:p>
        </w:tc>
        <w:tc>
          <w:tcPr>
            <w:tcW w:w="1260" w:type="dxa"/>
            <w:vAlign w:val="bottom"/>
            <w:tcBorders>
              <w:right w:val="single" w:sz="8" w:color="auto"/>
            </w:tcBorders>
            <w:vMerge w:val="continue"/>
            <w:shd w:val="clear" w:color="auto" w:fill="CCEEFF"/>
          </w:tcPr>
          <w:p>
            <w:pPr>
              <w:spacing w:after="0"/>
              <w:rPr>
                <w:sz w:val="6"/>
                <w:szCs w:val="6"/>
                <w:color w:val="auto"/>
              </w:rPr>
            </w:pPr>
          </w:p>
        </w:tc>
        <w:tc>
          <w:tcPr>
            <w:tcW w:w="60" w:type="dxa"/>
            <w:vAlign w:val="bottom"/>
            <w:tcBorders>
              <w:right w:val="single" w:sz="8" w:color="CCEEFF"/>
            </w:tcBorders>
            <w:shd w:val="clear" w:color="auto" w:fill="CCEEFF"/>
          </w:tcPr>
          <w:p>
            <w:pPr>
              <w:spacing w:after="0"/>
              <w:rPr>
                <w:sz w:val="6"/>
                <w:szCs w:val="6"/>
                <w:color w:val="auto"/>
              </w:rPr>
            </w:pPr>
          </w:p>
        </w:tc>
        <w:tc>
          <w:tcPr>
            <w:tcW w:w="1320" w:type="dxa"/>
            <w:vAlign w:val="bottom"/>
            <w:tcBorders>
              <w:right w:val="single" w:sz="8" w:color="auto"/>
            </w:tcBorders>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right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1340" w:type="dxa"/>
            <w:vAlign w:val="bottom"/>
            <w:tcBorders>
              <w:left w:val="single" w:sz="8" w:color="auto"/>
              <w:bottom w:val="single" w:sz="8" w:color="CCEEFF"/>
              <w:right w:val="single" w:sz="8" w:color="auto"/>
            </w:tcBorders>
            <w:shd w:val="clear" w:color="auto" w:fill="CCEEFF"/>
          </w:tcPr>
          <w:p>
            <w:pPr>
              <w:spacing w:after="0"/>
              <w:rPr>
                <w:sz w:val="14"/>
                <w:szCs w:val="14"/>
                <w:color w:val="auto"/>
              </w:rPr>
            </w:pPr>
          </w:p>
        </w:tc>
        <w:tc>
          <w:tcPr>
            <w:tcW w:w="1320" w:type="dxa"/>
            <w:vAlign w:val="bottom"/>
            <w:tcBorders>
              <w:bottom w:val="single" w:sz="8" w:color="CCEEFF"/>
              <w:right w:val="single" w:sz="8" w:color="auto"/>
            </w:tcBorders>
            <w:shd w:val="clear" w:color="auto" w:fill="CCEEFF"/>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80" w:type="dxa"/>
            <w:vAlign w:val="bottom"/>
            <w:tcBorders>
              <w:bottom w:val="single" w:sz="8" w:color="CCEEFF"/>
              <w:right w:val="single" w:sz="8" w:color="auto"/>
            </w:tcBorders>
            <w:shd w:val="clear" w:color="auto" w:fill="CCEEFF"/>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0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1300" w:type="dxa"/>
            <w:vAlign w:val="bottom"/>
            <w:tcBorders>
              <w:bottom w:val="single" w:sz="8" w:color="CCEEFF"/>
              <w:right w:val="single" w:sz="8" w:color="auto"/>
            </w:tcBorders>
            <w:shd w:val="clear" w:color="auto" w:fill="CCEEFF"/>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6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right w:val="single" w:sz="8" w:color="CCEEFF"/>
            </w:tcBorders>
            <w:shd w:val="clear" w:color="auto" w:fill="CCEEFF"/>
          </w:tcPr>
          <w:p>
            <w:pPr>
              <w:spacing w:after="0"/>
              <w:rPr>
                <w:sz w:val="14"/>
                <w:szCs w:val="14"/>
                <w:color w:val="auto"/>
              </w:rPr>
            </w:pPr>
          </w:p>
        </w:tc>
        <w:tc>
          <w:tcPr>
            <w:tcW w:w="132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CCEEFF"/>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340" w:type="dxa"/>
            <w:vAlign w:val="bottom"/>
            <w:tcBorders>
              <w:top w:val="single" w:sz="8" w:color="auto"/>
              <w:left w:val="single" w:sz="8" w:color="auto"/>
              <w:bottom w:val="single" w:sz="8" w:color="auto"/>
              <w:right w:val="single" w:sz="8" w:color="auto"/>
            </w:tcBorders>
          </w:tcPr>
          <w:p>
            <w:pPr>
              <w:ind w:left="520"/>
              <w:spacing w:after="0" w:line="137" w:lineRule="exact"/>
              <w:rPr>
                <w:sz w:val="20"/>
                <w:szCs w:val="20"/>
                <w:color w:val="auto"/>
              </w:rPr>
            </w:pPr>
            <w:r>
              <w:rPr>
                <w:rFonts w:ascii="Times New Roman" w:cs="Times New Roman" w:eastAsia="Times New Roman" w:hAnsi="Times New Roman"/>
                <w:sz w:val="14"/>
                <w:szCs w:val="14"/>
                <w:color w:val="auto"/>
              </w:rPr>
              <w:t>2025</w:t>
            </w:r>
          </w:p>
        </w:tc>
        <w:tc>
          <w:tcPr>
            <w:tcW w:w="1320" w:type="dxa"/>
            <w:vAlign w:val="bottom"/>
            <w:tcBorders>
              <w:top w:val="single" w:sz="8" w:color="auto"/>
              <w:bottom w:val="single" w:sz="8" w:color="auto"/>
              <w:right w:val="single" w:sz="8" w:color="auto"/>
            </w:tcBorders>
          </w:tcPr>
          <w:p>
            <w:pPr>
              <w:jc w:val="right"/>
              <w:ind w:right="393"/>
              <w:spacing w:after="0" w:line="137" w:lineRule="exact"/>
              <w:rPr>
                <w:sz w:val="20"/>
                <w:szCs w:val="20"/>
                <w:color w:val="auto"/>
              </w:rPr>
            </w:pPr>
            <w:r>
              <w:rPr>
                <w:rFonts w:ascii="Times New Roman" w:cs="Times New Roman" w:eastAsia="Times New Roman" w:hAnsi="Times New Roman"/>
                <w:sz w:val="14"/>
                <w:szCs w:val="14"/>
                <w:color w:val="auto"/>
              </w:rPr>
              <w:t>3,515,858</w:t>
            </w:r>
          </w:p>
        </w:tc>
        <w:tc>
          <w:tcPr>
            <w:tcW w:w="1280" w:type="dxa"/>
            <w:vAlign w:val="bottom"/>
            <w:tcBorders>
              <w:top w:val="single" w:sz="8" w:color="auto"/>
              <w:bottom w:val="single" w:sz="8" w:color="auto"/>
              <w:right w:val="single" w:sz="8" w:color="auto"/>
            </w:tcBorders>
          </w:tcPr>
          <w:p>
            <w:pPr>
              <w:jc w:val="right"/>
              <w:ind w:right="293"/>
              <w:spacing w:after="0" w:line="137" w:lineRule="exact"/>
              <w:rPr>
                <w:sz w:val="20"/>
                <w:szCs w:val="20"/>
                <w:color w:val="auto"/>
              </w:rPr>
            </w:pPr>
            <w:r>
              <w:rPr>
                <w:rFonts w:ascii="Times New Roman" w:cs="Times New Roman" w:eastAsia="Times New Roman" w:hAnsi="Times New Roman"/>
                <w:sz w:val="14"/>
                <w:szCs w:val="14"/>
                <w:color w:val="auto"/>
              </w:rPr>
              <w:t>(17,377,829)</w:t>
            </w:r>
          </w:p>
        </w:tc>
        <w:tc>
          <w:tcPr>
            <w:tcW w:w="1300" w:type="dxa"/>
            <w:vAlign w:val="bottom"/>
            <w:tcBorders>
              <w:top w:val="single" w:sz="8" w:color="auto"/>
              <w:bottom w:val="single" w:sz="8" w:color="auto"/>
              <w:right w:val="single" w:sz="8" w:color="auto"/>
            </w:tcBorders>
          </w:tcPr>
          <w:p>
            <w:pPr>
              <w:ind w:left="500"/>
              <w:spacing w:after="0" w:line="137"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right w:val="single" w:sz="8" w:color="auto"/>
            </w:tcBorders>
          </w:tcPr>
          <w:p>
            <w:pPr>
              <w:jc w:val="right"/>
              <w:ind w:right="333"/>
              <w:spacing w:after="0" w:line="137" w:lineRule="exact"/>
              <w:rPr>
                <w:sz w:val="20"/>
                <w:szCs w:val="20"/>
                <w:color w:val="auto"/>
              </w:rPr>
            </w:pPr>
            <w:r>
              <w:rPr>
                <w:rFonts w:ascii="Times New Roman" w:cs="Times New Roman" w:eastAsia="Times New Roman" w:hAnsi="Times New Roman"/>
                <w:sz w:val="14"/>
                <w:szCs w:val="14"/>
                <w:color w:val="auto"/>
              </w:rPr>
              <w:t>(3,800,678)</w:t>
            </w:r>
          </w:p>
        </w:tc>
        <w:tc>
          <w:tcPr>
            <w:tcW w:w="1260" w:type="dxa"/>
            <w:vAlign w:val="bottom"/>
            <w:tcBorders>
              <w:top w:val="single" w:sz="8" w:color="auto"/>
              <w:bottom w:val="single" w:sz="8" w:color="auto"/>
              <w:right w:val="single" w:sz="8" w:color="auto"/>
            </w:tcBorders>
          </w:tcPr>
          <w:p>
            <w:pPr>
              <w:ind w:left="500"/>
              <w:spacing w:after="0" w:line="13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right w:val="single" w:sz="8" w:color="auto"/>
            </w:tcBorders>
          </w:tcPr>
          <w:p>
            <w:pPr>
              <w:ind w:left="500"/>
              <w:spacing w:after="0" w:line="13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right w:val="single" w:sz="8" w:color="auto"/>
            </w:tcBorders>
          </w:tcPr>
          <w:p>
            <w:pPr>
              <w:jc w:val="right"/>
              <w:ind w:right="35"/>
              <w:spacing w:after="0" w:line="137" w:lineRule="exact"/>
              <w:rPr>
                <w:sz w:val="20"/>
                <w:szCs w:val="20"/>
                <w:color w:val="auto"/>
              </w:rPr>
            </w:pPr>
            <w:r>
              <w:rPr>
                <w:rFonts w:ascii="Times New Roman" w:cs="Times New Roman" w:eastAsia="Times New Roman" w:hAnsi="Times New Roman"/>
                <w:sz w:val="14"/>
                <w:szCs w:val="14"/>
                <w:color w:val="auto"/>
                <w:w w:val="88"/>
              </w:rPr>
              <w:t>(17,662,649)</w:t>
            </w:r>
          </w:p>
        </w:tc>
        <w:tc>
          <w:tcPr>
            <w:tcW w:w="0" w:type="dxa"/>
            <w:vAlign w:val="bottom"/>
          </w:tcPr>
          <w:p>
            <w:pPr>
              <w:spacing w:after="0"/>
              <w:rPr>
                <w:sz w:val="1"/>
                <w:szCs w:val="1"/>
                <w:color w:val="auto"/>
              </w:rPr>
            </w:pPr>
          </w:p>
        </w:tc>
      </w:tr>
      <w:tr>
        <w:trPr>
          <w:trHeight w:val="366"/>
        </w:trPr>
        <w:tc>
          <w:tcPr>
            <w:tcW w:w="1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340" w:type="dxa"/>
            <w:vAlign w:val="bottom"/>
            <w:tcBorders>
              <w:left w:val="single" w:sz="8" w:color="auto"/>
              <w:right w:val="single" w:sz="8" w:color="auto"/>
            </w:tcBorders>
            <w:shd w:val="clear" w:color="auto" w:fill="CCEEFF"/>
          </w:tcPr>
          <w:p>
            <w:pPr>
              <w:spacing w:after="0"/>
              <w:rPr>
                <w:sz w:val="10"/>
                <w:szCs w:val="10"/>
                <w:color w:val="auto"/>
              </w:rPr>
            </w:pPr>
          </w:p>
        </w:tc>
        <w:tc>
          <w:tcPr>
            <w:tcW w:w="13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Average Year-End</w:t>
            </w:r>
          </w:p>
        </w:tc>
        <w:tc>
          <w:tcPr>
            <w:tcW w:w="12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 Change in</w:t>
            </w:r>
          </w:p>
        </w:tc>
        <w:tc>
          <w:tcPr>
            <w:tcW w:w="1300" w:type="dxa"/>
            <w:vAlign w:val="bottom"/>
            <w:tcBorders>
              <w:right w:val="single" w:sz="8" w:color="auto"/>
            </w:tcBorders>
            <w:shd w:val="clear" w:color="auto" w:fill="CCEEFF"/>
          </w:tcPr>
          <w:p>
            <w:pPr>
              <w:spacing w:after="0"/>
              <w:rPr>
                <w:sz w:val="10"/>
                <w:szCs w:val="10"/>
                <w:color w:val="auto"/>
              </w:rPr>
            </w:pPr>
          </w:p>
        </w:tc>
        <w:tc>
          <w:tcPr>
            <w:tcW w:w="1300" w:type="dxa"/>
            <w:vAlign w:val="bottom"/>
            <w:tcBorders>
              <w:right w:val="single" w:sz="8" w:color="auto"/>
            </w:tcBorders>
            <w:shd w:val="clear" w:color="auto" w:fill="CCEEFF"/>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 Change in</w:t>
            </w:r>
          </w:p>
        </w:tc>
        <w:tc>
          <w:tcPr>
            <w:tcW w:w="1260" w:type="dxa"/>
            <w:vAlign w:val="bottom"/>
            <w:tcBorders>
              <w:right w:val="single" w:sz="8" w:color="CCEEFF"/>
            </w:tcBorders>
            <w:shd w:val="clear" w:color="auto" w:fill="CCEEFF"/>
          </w:tcPr>
          <w:p>
            <w:pPr>
              <w:spacing w:after="0"/>
              <w:rPr>
                <w:sz w:val="10"/>
                <w:szCs w:val="10"/>
                <w:color w:val="auto"/>
              </w:rPr>
            </w:pPr>
          </w:p>
        </w:tc>
        <w:tc>
          <w:tcPr>
            <w:tcW w:w="60" w:type="dxa"/>
            <w:vAlign w:val="bottom"/>
            <w:tcBorders>
              <w:right w:val="single" w:sz="8" w:color="auto"/>
            </w:tcBorders>
            <w:shd w:val="clear" w:color="auto" w:fill="CCEEFF"/>
          </w:tcPr>
          <w:p>
            <w:pPr>
              <w:spacing w:after="0"/>
              <w:rPr>
                <w:sz w:val="10"/>
                <w:szCs w:val="10"/>
                <w:color w:val="auto"/>
              </w:rPr>
            </w:pPr>
          </w:p>
        </w:tc>
        <w:tc>
          <w:tcPr>
            <w:tcW w:w="1320" w:type="dxa"/>
            <w:vAlign w:val="bottom"/>
            <w:tcBorders>
              <w:right w:val="single" w:sz="8" w:color="auto"/>
            </w:tcBorders>
            <w:shd w:val="clear" w:color="auto" w:fill="CCEEFF"/>
          </w:tcPr>
          <w:p>
            <w:pPr>
              <w:spacing w:after="0"/>
              <w:rPr>
                <w:sz w:val="10"/>
                <w:szCs w:val="10"/>
                <w:color w:val="auto"/>
              </w:rPr>
            </w:pPr>
          </w:p>
        </w:tc>
        <w:tc>
          <w:tcPr>
            <w:tcW w:w="7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Total -</w:t>
            </w:r>
          </w:p>
        </w:tc>
        <w:tc>
          <w:tcPr>
            <w:tcW w:w="0" w:type="dxa"/>
            <w:vAlign w:val="bottom"/>
          </w:tcPr>
          <w:p>
            <w:pPr>
              <w:spacing w:after="0"/>
              <w:rPr>
                <w:sz w:val="1"/>
                <w:szCs w:val="1"/>
                <w:color w:val="auto"/>
              </w:rPr>
            </w:pPr>
          </w:p>
        </w:tc>
      </w:tr>
      <w:tr>
        <w:trPr>
          <w:trHeight w:val="72"/>
        </w:trPr>
        <w:tc>
          <w:tcPr>
            <w:tcW w:w="1340" w:type="dxa"/>
            <w:vAlign w:val="bottom"/>
            <w:tcBorders>
              <w:left w:val="single" w:sz="8" w:color="auto"/>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vMerge w:val="continue"/>
            <w:shd w:val="clear" w:color="auto" w:fill="CCEEFF"/>
          </w:tcPr>
          <w:p>
            <w:pPr>
              <w:spacing w:after="0"/>
              <w:rPr>
                <w:sz w:val="6"/>
                <w:szCs w:val="6"/>
                <w:color w:val="auto"/>
              </w:rPr>
            </w:pPr>
          </w:p>
        </w:tc>
        <w:tc>
          <w:tcPr>
            <w:tcW w:w="1280" w:type="dxa"/>
            <w:vAlign w:val="bottom"/>
            <w:tcBorders>
              <w:right w:val="single" w:sz="8" w:color="auto"/>
            </w:tcBorders>
            <w:vMerge w:val="continue"/>
            <w:shd w:val="clear" w:color="auto" w:fill="CCEEFF"/>
          </w:tcPr>
          <w:p>
            <w:pPr>
              <w:spacing w:after="0"/>
              <w:rPr>
                <w:sz w:val="6"/>
                <w:szCs w:val="6"/>
                <w:color w:val="auto"/>
              </w:rPr>
            </w:pPr>
          </w:p>
        </w:tc>
        <w:tc>
          <w:tcPr>
            <w:tcW w:w="13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 Vesting-Date</w:t>
            </w:r>
          </w:p>
        </w:tc>
        <w:tc>
          <w:tcPr>
            <w:tcW w:w="13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 from Last</w:t>
            </w:r>
          </w:p>
        </w:tc>
        <w:tc>
          <w:tcPr>
            <w:tcW w:w="1320" w:type="dxa"/>
            <w:vAlign w:val="bottom"/>
            <w:tcBorders>
              <w:right w:val="single" w:sz="8" w:color="auto"/>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Average Fair Value at</w:t>
            </w:r>
          </w:p>
        </w:tc>
        <w:tc>
          <w:tcPr>
            <w:tcW w:w="13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 Value of</w:t>
            </w:r>
          </w:p>
        </w:tc>
        <w:tc>
          <w:tcPr>
            <w:tcW w:w="76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340" w:type="dxa"/>
            <w:vAlign w:val="bottom"/>
            <w:tcBorders>
              <w:left w:val="single" w:sz="8" w:color="auto"/>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5"/>
              </w:rPr>
              <w:t>Fair Value of Equity</w:t>
            </w:r>
          </w:p>
        </w:tc>
        <w:tc>
          <w:tcPr>
            <w:tcW w:w="1280" w:type="dxa"/>
            <w:vAlign w:val="bottom"/>
            <w:tcBorders>
              <w:right w:val="single" w:sz="8" w:color="auto"/>
            </w:tcBorders>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5"/>
              </w:rPr>
              <w:t>Fair Value from Last</w:t>
            </w:r>
          </w:p>
        </w:tc>
        <w:tc>
          <w:tcPr>
            <w:tcW w:w="1300" w:type="dxa"/>
            <w:vAlign w:val="bottom"/>
            <w:tcBorders>
              <w:right w:val="single" w:sz="8" w:color="auto"/>
            </w:tcBorders>
            <w:vMerge w:val="continue"/>
            <w:shd w:val="clear" w:color="auto" w:fill="CCEEFF"/>
          </w:tcPr>
          <w:p>
            <w:pPr>
              <w:spacing w:after="0"/>
              <w:rPr>
                <w:sz w:val="12"/>
                <w:szCs w:val="12"/>
                <w:color w:val="auto"/>
              </w:rPr>
            </w:pPr>
          </w:p>
        </w:tc>
        <w:tc>
          <w:tcPr>
            <w:tcW w:w="1300" w:type="dxa"/>
            <w:vAlign w:val="bottom"/>
            <w:tcBorders>
              <w:right w:val="single" w:sz="8" w:color="auto"/>
            </w:tcBorders>
            <w:vMerge w:val="continue"/>
            <w:shd w:val="clear" w:color="auto" w:fill="CCEEFF"/>
          </w:tcPr>
          <w:p>
            <w:pPr>
              <w:spacing w:after="0"/>
              <w:rPr>
                <w:sz w:val="12"/>
                <w:szCs w:val="12"/>
                <w:color w:val="auto"/>
              </w:rPr>
            </w:pPr>
          </w:p>
        </w:tc>
        <w:tc>
          <w:tcPr>
            <w:tcW w:w="1320" w:type="dxa"/>
            <w:vAlign w:val="bottom"/>
            <w:tcBorders>
              <w:right w:val="single" w:sz="8" w:color="auto"/>
            </w:tcBorders>
            <w:gridSpan w:val="2"/>
            <w:vMerge w:val="continue"/>
            <w:shd w:val="clear" w:color="auto" w:fill="CCEEFF"/>
          </w:tcPr>
          <w:p>
            <w:pPr>
              <w:spacing w:after="0"/>
              <w:rPr>
                <w:sz w:val="12"/>
                <w:szCs w:val="12"/>
                <w:color w:val="auto"/>
              </w:rPr>
            </w:pPr>
          </w:p>
        </w:tc>
        <w:tc>
          <w:tcPr>
            <w:tcW w:w="1320" w:type="dxa"/>
            <w:vAlign w:val="bottom"/>
            <w:tcBorders>
              <w:right w:val="single" w:sz="8" w:color="auto"/>
            </w:tcBorders>
            <w:vMerge w:val="continue"/>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5"/>
        </w:trPr>
        <w:tc>
          <w:tcPr>
            <w:tcW w:w="1340" w:type="dxa"/>
            <w:vAlign w:val="bottom"/>
            <w:tcBorders>
              <w:left w:val="single" w:sz="8" w:color="auto"/>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Awards Granted</w:t>
            </w:r>
          </w:p>
        </w:tc>
        <w:tc>
          <w:tcPr>
            <w:tcW w:w="1280" w:type="dxa"/>
            <w:vAlign w:val="bottom"/>
            <w:tcBorders>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6"/>
              </w:rPr>
              <w:t>Day of Prior Year to</w:t>
            </w:r>
          </w:p>
        </w:tc>
        <w:tc>
          <w:tcPr>
            <w:tcW w:w="1300" w:type="dxa"/>
            <w:vAlign w:val="bottom"/>
            <w:tcBorders>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Fair Value of Equity</w:t>
            </w:r>
          </w:p>
        </w:tc>
        <w:tc>
          <w:tcPr>
            <w:tcW w:w="1300" w:type="dxa"/>
            <w:vAlign w:val="bottom"/>
            <w:tcBorders>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Day of Prior Year to</w:t>
            </w:r>
          </w:p>
        </w:tc>
        <w:tc>
          <w:tcPr>
            <w:tcW w:w="1320" w:type="dxa"/>
            <w:vAlign w:val="bottom"/>
            <w:tcBorders>
              <w:right w:val="single" w:sz="8" w:color="auto"/>
            </w:tcBorders>
            <w:gridSpan w:val="2"/>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Last Day of Prior</w:t>
            </w:r>
          </w:p>
        </w:tc>
        <w:tc>
          <w:tcPr>
            <w:tcW w:w="1320" w:type="dxa"/>
            <w:vAlign w:val="bottom"/>
            <w:tcBorders>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6"/>
              </w:rPr>
              <w:t>Dividends or Other</w:t>
            </w:r>
          </w:p>
        </w:tc>
        <w:tc>
          <w:tcPr>
            <w:tcW w:w="760" w:type="dxa"/>
            <w:vAlign w:val="bottom"/>
            <w:tcBorders>
              <w:right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Inclusion of</w:t>
            </w:r>
          </w:p>
        </w:tc>
        <w:tc>
          <w:tcPr>
            <w:tcW w:w="0" w:type="dxa"/>
            <w:vAlign w:val="bottom"/>
          </w:tcPr>
          <w:p>
            <w:pPr>
              <w:spacing w:after="0"/>
              <w:rPr>
                <w:sz w:val="1"/>
                <w:szCs w:val="1"/>
                <w:color w:val="auto"/>
              </w:rPr>
            </w:pPr>
          </w:p>
        </w:tc>
      </w:tr>
      <w:tr>
        <w:trPr>
          <w:trHeight w:val="77"/>
        </w:trPr>
        <w:tc>
          <w:tcPr>
            <w:tcW w:w="1340" w:type="dxa"/>
            <w:vAlign w:val="bottom"/>
            <w:tcBorders>
              <w:left w:val="single" w:sz="8" w:color="auto"/>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vMerge w:val="restart"/>
            <w:shd w:val="clear" w:color="auto" w:fill="CCEEFF"/>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w w:val="96"/>
              </w:rPr>
              <w:t>During Year That</w:t>
            </w:r>
          </w:p>
        </w:tc>
        <w:tc>
          <w:tcPr>
            <w:tcW w:w="1280" w:type="dxa"/>
            <w:vAlign w:val="bottom"/>
            <w:tcBorders>
              <w:right w:val="single" w:sz="8" w:color="auto"/>
            </w:tcBorders>
            <w:vMerge w:val="restart"/>
            <w:shd w:val="clear" w:color="auto" w:fill="CCEEFF"/>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w w:val="97"/>
              </w:rPr>
              <w:t>Last Day of Year of</w:t>
            </w:r>
          </w:p>
        </w:tc>
        <w:tc>
          <w:tcPr>
            <w:tcW w:w="1300" w:type="dxa"/>
            <w:vAlign w:val="bottom"/>
            <w:tcBorders>
              <w:right w:val="single" w:sz="8" w:color="auto"/>
            </w:tcBorders>
            <w:shd w:val="clear" w:color="auto" w:fill="CCEEFF"/>
          </w:tcPr>
          <w:p>
            <w:pPr>
              <w:jc w:val="center"/>
              <w:spacing w:after="0" w:line="78" w:lineRule="exact"/>
              <w:rPr>
                <w:sz w:val="20"/>
                <w:szCs w:val="20"/>
                <w:color w:val="auto"/>
              </w:rPr>
            </w:pPr>
            <w:r>
              <w:rPr>
                <w:rFonts w:ascii="Times New Roman" w:cs="Times New Roman" w:eastAsia="Times New Roman" w:hAnsi="Times New Roman"/>
                <w:sz w:val="8"/>
                <w:szCs w:val="8"/>
                <w:b w:val="1"/>
                <w:bCs w:val="1"/>
                <w:color w:val="auto"/>
              </w:rPr>
              <w:t>Awards Granted</w:t>
            </w:r>
          </w:p>
        </w:tc>
        <w:tc>
          <w:tcPr>
            <w:tcW w:w="1300" w:type="dxa"/>
            <w:vAlign w:val="bottom"/>
            <w:tcBorders>
              <w:right w:val="single" w:sz="8" w:color="auto"/>
            </w:tcBorders>
            <w:shd w:val="clear" w:color="auto" w:fill="CCEEFF"/>
          </w:tcPr>
          <w:p>
            <w:pPr>
              <w:jc w:val="center"/>
              <w:spacing w:after="0" w:line="78" w:lineRule="exact"/>
              <w:rPr>
                <w:sz w:val="20"/>
                <w:szCs w:val="20"/>
                <w:color w:val="auto"/>
              </w:rPr>
            </w:pPr>
            <w:r>
              <w:rPr>
                <w:rFonts w:ascii="Times New Roman" w:cs="Times New Roman" w:eastAsia="Times New Roman" w:hAnsi="Times New Roman"/>
                <w:sz w:val="8"/>
                <w:szCs w:val="8"/>
                <w:b w:val="1"/>
                <w:bCs w:val="1"/>
                <w:color w:val="auto"/>
              </w:rPr>
              <w:t>Vesting Date of</w:t>
            </w:r>
          </w:p>
        </w:tc>
        <w:tc>
          <w:tcPr>
            <w:tcW w:w="1320" w:type="dxa"/>
            <w:vAlign w:val="bottom"/>
            <w:tcBorders>
              <w:right w:val="single" w:sz="8" w:color="auto"/>
            </w:tcBorders>
            <w:gridSpan w:val="2"/>
            <w:shd w:val="clear" w:color="auto" w:fill="CCEEFF"/>
          </w:tcPr>
          <w:p>
            <w:pPr>
              <w:jc w:val="center"/>
              <w:spacing w:after="0" w:line="78" w:lineRule="exact"/>
              <w:rPr>
                <w:sz w:val="20"/>
                <w:szCs w:val="20"/>
                <w:color w:val="auto"/>
              </w:rPr>
            </w:pPr>
            <w:r>
              <w:rPr>
                <w:rFonts w:ascii="Times New Roman" w:cs="Times New Roman" w:eastAsia="Times New Roman" w:hAnsi="Times New Roman"/>
                <w:sz w:val="8"/>
                <w:szCs w:val="8"/>
                <w:b w:val="1"/>
                <w:bCs w:val="1"/>
                <w:color w:val="auto"/>
              </w:rPr>
              <w:t>Year of Equity</w:t>
            </w:r>
          </w:p>
        </w:tc>
        <w:tc>
          <w:tcPr>
            <w:tcW w:w="1320" w:type="dxa"/>
            <w:vAlign w:val="bottom"/>
            <w:tcBorders>
              <w:right w:val="single" w:sz="8" w:color="auto"/>
            </w:tcBorders>
            <w:shd w:val="clear" w:color="auto" w:fill="CCEEFF"/>
          </w:tcPr>
          <w:p>
            <w:pPr>
              <w:jc w:val="center"/>
              <w:spacing w:after="0" w:line="78" w:lineRule="exact"/>
              <w:rPr>
                <w:sz w:val="20"/>
                <w:szCs w:val="20"/>
                <w:color w:val="auto"/>
              </w:rPr>
            </w:pPr>
            <w:r>
              <w:rPr>
                <w:rFonts w:ascii="Times New Roman" w:cs="Times New Roman" w:eastAsia="Times New Roman" w:hAnsi="Times New Roman"/>
                <w:sz w:val="8"/>
                <w:szCs w:val="8"/>
                <w:b w:val="1"/>
                <w:bCs w:val="1"/>
                <w:color w:val="auto"/>
              </w:rPr>
              <w:t>Earnings Paid on</w:t>
            </w:r>
          </w:p>
        </w:tc>
        <w:tc>
          <w:tcPr>
            <w:tcW w:w="760" w:type="dxa"/>
            <w:vAlign w:val="bottom"/>
            <w:tcBorders>
              <w:right w:val="single" w:sz="8" w:color="auto"/>
            </w:tcBorders>
            <w:vMerge w:val="restart"/>
            <w:shd w:val="clear" w:color="auto" w:fill="CCEEFF"/>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72"/>
        </w:trPr>
        <w:tc>
          <w:tcPr>
            <w:tcW w:w="1340" w:type="dxa"/>
            <w:vAlign w:val="bottom"/>
            <w:tcBorders>
              <w:left w:val="single" w:sz="8" w:color="auto"/>
              <w:right w:val="single" w:sz="8" w:color="auto"/>
            </w:tcBorders>
            <w:vMerge w:val="restart"/>
            <w:shd w:val="clear" w:color="auto" w:fill="CCEEFF"/>
          </w:tcPr>
          <w:p>
            <w:pPr>
              <w:ind w:left="520"/>
              <w:spacing w:after="0" w:line="145" w:lineRule="exact"/>
              <w:rPr>
                <w:sz w:val="20"/>
                <w:szCs w:val="20"/>
                <w:color w:val="auto"/>
              </w:rPr>
            </w:pPr>
            <w:r>
              <w:rPr>
                <w:rFonts w:ascii="Times New Roman" w:cs="Times New Roman" w:eastAsia="Times New Roman" w:hAnsi="Times New Roman"/>
                <w:sz w:val="14"/>
                <w:szCs w:val="14"/>
                <w:b w:val="1"/>
                <w:bCs w:val="1"/>
                <w:color w:val="auto"/>
              </w:rPr>
              <w:t>Year</w:t>
            </w:r>
          </w:p>
        </w:tc>
        <w:tc>
          <w:tcPr>
            <w:tcW w:w="1320" w:type="dxa"/>
            <w:vAlign w:val="bottom"/>
            <w:tcBorders>
              <w:right w:val="single" w:sz="8" w:color="auto"/>
            </w:tcBorders>
            <w:vMerge w:val="continue"/>
            <w:shd w:val="clear" w:color="auto" w:fill="CCEEFF"/>
          </w:tcPr>
          <w:p>
            <w:pPr>
              <w:spacing w:after="0"/>
              <w:rPr>
                <w:sz w:val="6"/>
                <w:szCs w:val="6"/>
                <w:color w:val="auto"/>
              </w:rPr>
            </w:pPr>
          </w:p>
        </w:tc>
        <w:tc>
          <w:tcPr>
            <w:tcW w:w="1280" w:type="dxa"/>
            <w:vAlign w:val="bottom"/>
            <w:tcBorders>
              <w:right w:val="single" w:sz="8" w:color="auto"/>
            </w:tcBorders>
            <w:vMerge w:val="continue"/>
            <w:shd w:val="clear" w:color="auto" w:fill="CCEEFF"/>
          </w:tcPr>
          <w:p>
            <w:pPr>
              <w:spacing w:after="0"/>
              <w:rPr>
                <w:sz w:val="6"/>
                <w:szCs w:val="6"/>
                <w:color w:val="auto"/>
              </w:rPr>
            </w:pPr>
          </w:p>
        </w:tc>
        <w:tc>
          <w:tcPr>
            <w:tcW w:w="1300" w:type="dxa"/>
            <w:vAlign w:val="bottom"/>
            <w:tcBorders>
              <w:right w:val="single" w:sz="8" w:color="auto"/>
            </w:tcBorders>
            <w:vMerge w:val="restart"/>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6"/>
              </w:rPr>
              <w:t>During Year that</w:t>
            </w:r>
          </w:p>
        </w:tc>
        <w:tc>
          <w:tcPr>
            <w:tcW w:w="1300" w:type="dxa"/>
            <w:vAlign w:val="bottom"/>
            <w:tcBorders>
              <w:right w:val="single" w:sz="8" w:color="auto"/>
            </w:tcBorders>
            <w:vMerge w:val="restart"/>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6"/>
              </w:rPr>
              <w:t>Unvested Equity</w:t>
            </w:r>
          </w:p>
        </w:tc>
        <w:tc>
          <w:tcPr>
            <w:tcW w:w="1320" w:type="dxa"/>
            <w:vAlign w:val="bottom"/>
            <w:tcBorders>
              <w:right w:val="single" w:sz="8" w:color="auto"/>
            </w:tcBorders>
            <w:gridSpan w:val="2"/>
            <w:vMerge w:val="restart"/>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6"/>
              </w:rPr>
              <w:t>Awards Forfeited</w:t>
            </w:r>
          </w:p>
        </w:tc>
        <w:tc>
          <w:tcPr>
            <w:tcW w:w="1320" w:type="dxa"/>
            <w:vAlign w:val="bottom"/>
            <w:tcBorders>
              <w:right w:val="single" w:sz="8" w:color="auto"/>
            </w:tcBorders>
            <w:vMerge w:val="restart"/>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6"/>
              </w:rPr>
              <w:t>Equity Awards Not</w:t>
            </w:r>
          </w:p>
        </w:tc>
        <w:tc>
          <w:tcPr>
            <w:tcW w:w="76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34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1320" w:type="dxa"/>
            <w:vAlign w:val="bottom"/>
            <w:tcBorders>
              <w:right w:val="single" w:sz="8" w:color="auto"/>
            </w:tcBorders>
            <w:vMerge w:val="restart"/>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Remained Unvested</w:t>
            </w:r>
          </w:p>
        </w:tc>
        <w:tc>
          <w:tcPr>
            <w:tcW w:w="1280" w:type="dxa"/>
            <w:vAlign w:val="bottom"/>
            <w:tcBorders>
              <w:right w:val="single" w:sz="8" w:color="auto"/>
            </w:tcBorders>
            <w:vMerge w:val="restart"/>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Unvested Equity</w:t>
            </w:r>
          </w:p>
        </w:tc>
        <w:tc>
          <w:tcPr>
            <w:tcW w:w="1300" w:type="dxa"/>
            <w:vAlign w:val="bottom"/>
            <w:tcBorders>
              <w:right w:val="single" w:sz="8" w:color="auto"/>
            </w:tcBorders>
            <w:vMerge w:val="continue"/>
            <w:shd w:val="clear" w:color="auto" w:fill="CCEEFF"/>
          </w:tcPr>
          <w:p>
            <w:pPr>
              <w:spacing w:after="0"/>
              <w:rPr>
                <w:sz w:val="6"/>
                <w:szCs w:val="6"/>
                <w:color w:val="auto"/>
              </w:rPr>
            </w:pPr>
          </w:p>
        </w:tc>
        <w:tc>
          <w:tcPr>
            <w:tcW w:w="1300" w:type="dxa"/>
            <w:vAlign w:val="bottom"/>
            <w:tcBorders>
              <w:right w:val="single" w:sz="8" w:color="auto"/>
            </w:tcBorders>
            <w:vMerge w:val="continue"/>
            <w:shd w:val="clear" w:color="auto" w:fill="CCEEFF"/>
          </w:tcPr>
          <w:p>
            <w:pPr>
              <w:spacing w:after="0"/>
              <w:rPr>
                <w:sz w:val="6"/>
                <w:szCs w:val="6"/>
                <w:color w:val="auto"/>
              </w:rPr>
            </w:pPr>
          </w:p>
        </w:tc>
        <w:tc>
          <w:tcPr>
            <w:tcW w:w="1320" w:type="dxa"/>
            <w:vAlign w:val="bottom"/>
            <w:tcBorders>
              <w:right w:val="single" w:sz="8" w:color="auto"/>
            </w:tcBorders>
            <w:gridSpan w:val="2"/>
            <w:vMerge w:val="continue"/>
            <w:shd w:val="clear" w:color="auto" w:fill="CCEEFF"/>
          </w:tcPr>
          <w:p>
            <w:pPr>
              <w:spacing w:after="0"/>
              <w:rPr>
                <w:sz w:val="6"/>
                <w:szCs w:val="6"/>
                <w:color w:val="auto"/>
              </w:rPr>
            </w:pPr>
          </w:p>
        </w:tc>
        <w:tc>
          <w:tcPr>
            <w:tcW w:w="1320" w:type="dxa"/>
            <w:vAlign w:val="bottom"/>
            <w:tcBorders>
              <w:right w:val="single" w:sz="8" w:color="auto"/>
            </w:tcBorders>
            <w:vMerge w:val="continue"/>
            <w:shd w:val="clear" w:color="auto" w:fill="CCEEFF"/>
          </w:tcPr>
          <w:p>
            <w:pPr>
              <w:spacing w:after="0"/>
              <w:rPr>
                <w:sz w:val="6"/>
                <w:szCs w:val="6"/>
                <w:color w:val="auto"/>
              </w:rPr>
            </w:pPr>
          </w:p>
        </w:tc>
        <w:tc>
          <w:tcPr>
            <w:tcW w:w="760" w:type="dxa"/>
            <w:vAlign w:val="bottom"/>
            <w:tcBorders>
              <w:right w:val="single" w:sz="8" w:color="auto"/>
            </w:tcBorders>
            <w:vMerge w:val="restart"/>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3"/>
              </w:rPr>
              <w:t>Values for</w:t>
            </w:r>
          </w:p>
        </w:tc>
        <w:tc>
          <w:tcPr>
            <w:tcW w:w="0" w:type="dxa"/>
            <w:vAlign w:val="bottom"/>
          </w:tcPr>
          <w:p>
            <w:pPr>
              <w:spacing w:after="0"/>
              <w:rPr>
                <w:sz w:val="1"/>
                <w:szCs w:val="1"/>
                <w:color w:val="auto"/>
              </w:rPr>
            </w:pPr>
          </w:p>
        </w:tc>
      </w:tr>
      <w:tr>
        <w:trPr>
          <w:trHeight w:val="72"/>
        </w:trPr>
        <w:tc>
          <w:tcPr>
            <w:tcW w:w="1340" w:type="dxa"/>
            <w:vAlign w:val="bottom"/>
            <w:tcBorders>
              <w:left w:val="single" w:sz="8" w:color="auto"/>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vMerge w:val="continue"/>
            <w:shd w:val="clear" w:color="auto" w:fill="CCEEFF"/>
          </w:tcPr>
          <w:p>
            <w:pPr>
              <w:spacing w:after="0"/>
              <w:rPr>
                <w:sz w:val="6"/>
                <w:szCs w:val="6"/>
                <w:color w:val="auto"/>
              </w:rPr>
            </w:pPr>
          </w:p>
        </w:tc>
        <w:tc>
          <w:tcPr>
            <w:tcW w:w="1280" w:type="dxa"/>
            <w:vAlign w:val="bottom"/>
            <w:tcBorders>
              <w:right w:val="single" w:sz="8" w:color="auto"/>
            </w:tcBorders>
            <w:vMerge w:val="continue"/>
            <w:shd w:val="clear" w:color="auto" w:fill="CCEEFF"/>
          </w:tcPr>
          <w:p>
            <w:pPr>
              <w:spacing w:after="0"/>
              <w:rPr>
                <w:sz w:val="6"/>
                <w:szCs w:val="6"/>
                <w:color w:val="auto"/>
              </w:rPr>
            </w:pPr>
          </w:p>
        </w:tc>
        <w:tc>
          <w:tcPr>
            <w:tcW w:w="1300" w:type="dxa"/>
            <w:vAlign w:val="bottom"/>
            <w:tcBorders>
              <w:right w:val="single" w:sz="8" w:color="auto"/>
            </w:tcBorders>
            <w:vMerge w:val="restart"/>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5"/>
              </w:rPr>
              <w:t>Vested During Year</w:t>
            </w:r>
          </w:p>
        </w:tc>
        <w:tc>
          <w:tcPr>
            <w:tcW w:w="1300" w:type="dxa"/>
            <w:vAlign w:val="bottom"/>
            <w:tcBorders>
              <w:right w:val="single" w:sz="8" w:color="auto"/>
            </w:tcBorders>
            <w:vMerge w:val="restart"/>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4"/>
              </w:rPr>
              <w:t>Awards that Vested</w:t>
            </w:r>
          </w:p>
        </w:tc>
        <w:tc>
          <w:tcPr>
            <w:tcW w:w="1320" w:type="dxa"/>
            <w:vAlign w:val="bottom"/>
            <w:tcBorders>
              <w:right w:val="single" w:sz="8" w:color="auto"/>
            </w:tcBorders>
            <w:gridSpan w:val="2"/>
            <w:vMerge w:val="restart"/>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6"/>
              </w:rPr>
              <w:t>During Year for Non-</w:t>
            </w:r>
          </w:p>
        </w:tc>
        <w:tc>
          <w:tcPr>
            <w:tcW w:w="1320" w:type="dxa"/>
            <w:vAlign w:val="bottom"/>
            <w:tcBorders>
              <w:right w:val="single" w:sz="8" w:color="auto"/>
            </w:tcBorders>
            <w:vMerge w:val="restart"/>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Otherwise Included</w:t>
            </w:r>
          </w:p>
        </w:tc>
        <w:tc>
          <w:tcPr>
            <w:tcW w:w="76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340" w:type="dxa"/>
            <w:vAlign w:val="bottom"/>
            <w:tcBorders>
              <w:left w:val="single" w:sz="8" w:color="auto"/>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as of Last Day of Year</w:t>
            </w:r>
          </w:p>
        </w:tc>
        <w:tc>
          <w:tcPr>
            <w:tcW w:w="12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Awards for Non-PEO</w:t>
            </w:r>
          </w:p>
        </w:tc>
        <w:tc>
          <w:tcPr>
            <w:tcW w:w="1300" w:type="dxa"/>
            <w:vAlign w:val="bottom"/>
            <w:tcBorders>
              <w:right w:val="single" w:sz="8" w:color="auto"/>
            </w:tcBorders>
            <w:vMerge w:val="continue"/>
            <w:shd w:val="clear" w:color="auto" w:fill="CCEEFF"/>
          </w:tcPr>
          <w:p>
            <w:pPr>
              <w:spacing w:after="0"/>
              <w:rPr>
                <w:sz w:val="6"/>
                <w:szCs w:val="6"/>
                <w:color w:val="auto"/>
              </w:rPr>
            </w:pPr>
          </w:p>
        </w:tc>
        <w:tc>
          <w:tcPr>
            <w:tcW w:w="1300" w:type="dxa"/>
            <w:vAlign w:val="bottom"/>
            <w:tcBorders>
              <w:right w:val="single" w:sz="8" w:color="auto"/>
            </w:tcBorders>
            <w:vMerge w:val="continue"/>
            <w:shd w:val="clear" w:color="auto" w:fill="CCEEFF"/>
          </w:tcPr>
          <w:p>
            <w:pPr>
              <w:spacing w:after="0"/>
              <w:rPr>
                <w:sz w:val="6"/>
                <w:szCs w:val="6"/>
                <w:color w:val="auto"/>
              </w:rPr>
            </w:pPr>
          </w:p>
        </w:tc>
        <w:tc>
          <w:tcPr>
            <w:tcW w:w="1320" w:type="dxa"/>
            <w:vAlign w:val="bottom"/>
            <w:tcBorders>
              <w:right w:val="single" w:sz="8" w:color="auto"/>
            </w:tcBorders>
            <w:gridSpan w:val="2"/>
            <w:vMerge w:val="continue"/>
            <w:shd w:val="clear" w:color="auto" w:fill="CCEEFF"/>
          </w:tcPr>
          <w:p>
            <w:pPr>
              <w:spacing w:after="0"/>
              <w:rPr>
                <w:sz w:val="6"/>
                <w:szCs w:val="6"/>
                <w:color w:val="auto"/>
              </w:rPr>
            </w:pPr>
          </w:p>
        </w:tc>
        <w:tc>
          <w:tcPr>
            <w:tcW w:w="1320" w:type="dxa"/>
            <w:vAlign w:val="bottom"/>
            <w:tcBorders>
              <w:right w:val="single" w:sz="8" w:color="auto"/>
            </w:tcBorders>
            <w:vMerge w:val="continue"/>
            <w:shd w:val="clear" w:color="auto" w:fill="CCEEFF"/>
          </w:tcPr>
          <w:p>
            <w:pPr>
              <w:spacing w:after="0"/>
              <w:rPr>
                <w:sz w:val="6"/>
                <w:szCs w:val="6"/>
                <w:color w:val="auto"/>
              </w:rPr>
            </w:pPr>
          </w:p>
        </w:tc>
        <w:tc>
          <w:tcPr>
            <w:tcW w:w="7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0" w:type="dxa"/>
            <w:vAlign w:val="bottom"/>
          </w:tcPr>
          <w:p>
            <w:pPr>
              <w:spacing w:after="0"/>
              <w:rPr>
                <w:sz w:val="1"/>
                <w:szCs w:val="1"/>
                <w:color w:val="auto"/>
              </w:rPr>
            </w:pPr>
          </w:p>
        </w:tc>
      </w:tr>
      <w:tr>
        <w:trPr>
          <w:trHeight w:val="140"/>
        </w:trPr>
        <w:tc>
          <w:tcPr>
            <w:tcW w:w="1340" w:type="dxa"/>
            <w:vAlign w:val="bottom"/>
            <w:tcBorders>
              <w:left w:val="single" w:sz="8" w:color="auto"/>
              <w:right w:val="single" w:sz="8" w:color="auto"/>
            </w:tcBorders>
            <w:shd w:val="clear" w:color="auto" w:fill="CCEEFF"/>
          </w:tcPr>
          <w:p>
            <w:pPr>
              <w:spacing w:after="0"/>
              <w:rPr>
                <w:sz w:val="12"/>
                <w:szCs w:val="12"/>
                <w:color w:val="auto"/>
              </w:rPr>
            </w:pPr>
          </w:p>
        </w:tc>
        <w:tc>
          <w:tcPr>
            <w:tcW w:w="1320" w:type="dxa"/>
            <w:vAlign w:val="bottom"/>
            <w:tcBorders>
              <w:right w:val="single" w:sz="8" w:color="auto"/>
            </w:tcBorders>
            <w:vMerge w:val="continue"/>
            <w:shd w:val="clear" w:color="auto" w:fill="CCEEFF"/>
          </w:tcPr>
          <w:p>
            <w:pPr>
              <w:spacing w:after="0"/>
              <w:rPr>
                <w:sz w:val="12"/>
                <w:szCs w:val="12"/>
                <w:color w:val="auto"/>
              </w:rPr>
            </w:pPr>
          </w:p>
        </w:tc>
        <w:tc>
          <w:tcPr>
            <w:tcW w:w="1280" w:type="dxa"/>
            <w:vAlign w:val="bottom"/>
            <w:tcBorders>
              <w:right w:val="single" w:sz="8" w:color="auto"/>
            </w:tcBorders>
            <w:vMerge w:val="continue"/>
            <w:shd w:val="clear" w:color="auto" w:fill="CCEEFF"/>
          </w:tcPr>
          <w:p>
            <w:pPr>
              <w:spacing w:after="0"/>
              <w:rPr>
                <w:sz w:val="12"/>
                <w:szCs w:val="12"/>
                <w:color w:val="auto"/>
              </w:rPr>
            </w:pPr>
          </w:p>
        </w:tc>
        <w:tc>
          <w:tcPr>
            <w:tcW w:w="1300" w:type="dxa"/>
            <w:vAlign w:val="bottom"/>
            <w:tcBorders>
              <w:right w:val="single" w:sz="8" w:color="auto"/>
            </w:tcBorders>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for Non-PEO NEOs</w:t>
            </w:r>
          </w:p>
        </w:tc>
        <w:tc>
          <w:tcPr>
            <w:tcW w:w="1300" w:type="dxa"/>
            <w:vAlign w:val="bottom"/>
            <w:tcBorders>
              <w:right w:val="single" w:sz="8" w:color="auto"/>
            </w:tcBorders>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5"/>
              </w:rPr>
              <w:t>During Year for Non-</w:t>
            </w:r>
          </w:p>
        </w:tc>
        <w:tc>
          <w:tcPr>
            <w:tcW w:w="1320" w:type="dxa"/>
            <w:vAlign w:val="bottom"/>
            <w:tcBorders>
              <w:right w:val="single" w:sz="8" w:color="auto"/>
            </w:tcBorders>
            <w:gridSpan w:val="2"/>
            <w:shd w:val="clear" w:color="auto" w:fill="CCEEFF"/>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6"/>
              </w:rPr>
              <w:t>PEO NEOs</w:t>
            </w:r>
          </w:p>
        </w:tc>
        <w:tc>
          <w:tcPr>
            <w:tcW w:w="1320" w:type="dxa"/>
            <w:vAlign w:val="bottom"/>
            <w:tcBorders>
              <w:right w:val="single" w:sz="8" w:color="auto"/>
            </w:tcBorders>
            <w:shd w:val="clear" w:color="auto" w:fill="CCEEFF"/>
          </w:tcPr>
          <w:p>
            <w:pPr>
              <w:jc w:val="center"/>
              <w:ind w:right="15"/>
              <w:spacing w:after="0" w:line="140" w:lineRule="exact"/>
              <w:rPr>
                <w:sz w:val="20"/>
                <w:szCs w:val="20"/>
                <w:color w:val="auto"/>
              </w:rPr>
            </w:pPr>
            <w:r>
              <w:rPr>
                <w:rFonts w:ascii="Times New Roman" w:cs="Times New Roman" w:eastAsia="Times New Roman" w:hAnsi="Times New Roman"/>
                <w:sz w:val="14"/>
                <w:szCs w:val="14"/>
                <w:b w:val="1"/>
                <w:bCs w:val="1"/>
                <w:color w:val="auto"/>
                <w:w w:val="97"/>
              </w:rPr>
              <w:t>for Non-PEO NEOs</w:t>
            </w:r>
          </w:p>
        </w:tc>
        <w:tc>
          <w:tcPr>
            <w:tcW w:w="760" w:type="dxa"/>
            <w:vAlign w:val="bottom"/>
            <w:tcBorders>
              <w:right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340" w:type="dxa"/>
            <w:vAlign w:val="bottom"/>
            <w:tcBorders>
              <w:left w:val="single" w:sz="8" w:color="auto"/>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shd w:val="clear" w:color="auto" w:fill="CCEEFF"/>
          </w:tcPr>
          <w:p>
            <w:pPr>
              <w:jc w:val="center"/>
              <w:ind w:right="13"/>
              <w:spacing w:after="0" w:line="78" w:lineRule="exact"/>
              <w:rPr>
                <w:sz w:val="20"/>
                <w:szCs w:val="20"/>
                <w:color w:val="auto"/>
              </w:rPr>
            </w:pPr>
            <w:r>
              <w:rPr>
                <w:rFonts w:ascii="Times New Roman" w:cs="Times New Roman" w:eastAsia="Times New Roman" w:hAnsi="Times New Roman"/>
                <w:sz w:val="8"/>
                <w:szCs w:val="8"/>
                <w:b w:val="1"/>
                <w:bCs w:val="1"/>
                <w:color w:val="auto"/>
              </w:rPr>
              <w:t>for Non-PEO NEOs</w:t>
            </w:r>
          </w:p>
        </w:tc>
        <w:tc>
          <w:tcPr>
            <w:tcW w:w="1280" w:type="dxa"/>
            <w:vAlign w:val="bottom"/>
            <w:tcBorders>
              <w:right w:val="single" w:sz="8" w:color="auto"/>
            </w:tcBorders>
            <w:shd w:val="clear" w:color="auto" w:fill="CCEEFF"/>
          </w:tcPr>
          <w:p>
            <w:pPr>
              <w:jc w:val="center"/>
              <w:ind w:right="13"/>
              <w:spacing w:after="0" w:line="78" w:lineRule="exact"/>
              <w:rPr>
                <w:sz w:val="20"/>
                <w:szCs w:val="20"/>
                <w:color w:val="auto"/>
              </w:rPr>
            </w:pPr>
            <w:r>
              <w:rPr>
                <w:rFonts w:ascii="Times New Roman" w:cs="Times New Roman" w:eastAsia="Times New Roman" w:hAnsi="Times New Roman"/>
                <w:sz w:val="8"/>
                <w:szCs w:val="8"/>
                <w:b w:val="1"/>
                <w:bCs w:val="1"/>
                <w:color w:val="auto"/>
              </w:rPr>
              <w:t>NEOs</w:t>
            </w:r>
          </w:p>
        </w:tc>
        <w:tc>
          <w:tcPr>
            <w:tcW w:w="1300" w:type="dxa"/>
            <w:vAlign w:val="bottom"/>
            <w:tcBorders>
              <w:right w:val="single" w:sz="8" w:color="auto"/>
            </w:tcBorders>
            <w:vMerge w:val="restart"/>
            <w:shd w:val="clear" w:color="auto" w:fill="CCEEFF"/>
          </w:tcPr>
          <w:p>
            <w:pPr>
              <w:ind w:left="560"/>
              <w:spacing w:after="0" w:line="150" w:lineRule="exact"/>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right w:val="single" w:sz="8" w:color="auto"/>
            </w:tcBorders>
            <w:vMerge w:val="restart"/>
            <w:shd w:val="clear" w:color="auto" w:fill="CCEEFF"/>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w w:val="99"/>
              </w:rPr>
              <w:t>PEO NEOs</w:t>
            </w:r>
          </w:p>
        </w:tc>
        <w:tc>
          <w:tcPr>
            <w:tcW w:w="1260" w:type="dxa"/>
            <w:vAlign w:val="bottom"/>
            <w:tcBorders>
              <w:right w:val="single" w:sz="8" w:color="CCEEFF"/>
            </w:tcBorders>
            <w:vMerge w:val="restart"/>
            <w:shd w:val="clear" w:color="auto" w:fill="CCEEFF"/>
          </w:tcPr>
          <w:p>
            <w:pPr>
              <w:ind w:left="560"/>
              <w:spacing w:after="0" w:line="15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vMerge w:val="restart"/>
            <w:shd w:val="clear" w:color="auto" w:fill="CCEEFF"/>
          </w:tcPr>
          <w:p>
            <w:pPr>
              <w:ind w:left="560"/>
              <w:spacing w:after="0" w:line="150"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right w:val="single" w:sz="8" w:color="auto"/>
            </w:tcBorders>
            <w:shd w:val="clear" w:color="auto" w:fill="CCEEFF"/>
          </w:tcPr>
          <w:p>
            <w:pPr>
              <w:jc w:val="center"/>
              <w:spacing w:after="0" w:line="78" w:lineRule="exact"/>
              <w:rPr>
                <w:sz w:val="20"/>
                <w:szCs w:val="20"/>
                <w:color w:val="auto"/>
              </w:rPr>
            </w:pPr>
            <w:r>
              <w:rPr>
                <w:rFonts w:ascii="Times New Roman" w:cs="Times New Roman" w:eastAsia="Times New Roman" w:hAnsi="Times New Roman"/>
                <w:sz w:val="8"/>
                <w:szCs w:val="8"/>
                <w:b w:val="1"/>
                <w:bCs w:val="1"/>
                <w:color w:val="auto"/>
              </w:rPr>
              <w:t>NEOs</w:t>
            </w:r>
          </w:p>
        </w:tc>
        <w:tc>
          <w:tcPr>
            <w:tcW w:w="0" w:type="dxa"/>
            <w:vAlign w:val="bottom"/>
          </w:tcPr>
          <w:p>
            <w:pPr>
              <w:spacing w:after="0"/>
              <w:rPr>
                <w:sz w:val="1"/>
                <w:szCs w:val="1"/>
                <w:color w:val="auto"/>
              </w:rPr>
            </w:pPr>
          </w:p>
        </w:tc>
      </w:tr>
      <w:tr>
        <w:trPr>
          <w:trHeight w:val="72"/>
        </w:trPr>
        <w:tc>
          <w:tcPr>
            <w:tcW w:w="1340" w:type="dxa"/>
            <w:vAlign w:val="bottom"/>
            <w:tcBorders>
              <w:left w:val="single" w:sz="8" w:color="auto"/>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00" w:type="dxa"/>
            <w:vAlign w:val="bottom"/>
            <w:tcBorders>
              <w:right w:val="single" w:sz="8" w:color="auto"/>
            </w:tcBorders>
            <w:vMerge w:val="continue"/>
            <w:shd w:val="clear" w:color="auto" w:fill="CCEEFF"/>
          </w:tcPr>
          <w:p>
            <w:pPr>
              <w:spacing w:after="0"/>
              <w:rPr>
                <w:sz w:val="6"/>
                <w:szCs w:val="6"/>
                <w:color w:val="auto"/>
              </w:rPr>
            </w:pPr>
          </w:p>
        </w:tc>
        <w:tc>
          <w:tcPr>
            <w:tcW w:w="1300" w:type="dxa"/>
            <w:vAlign w:val="bottom"/>
            <w:tcBorders>
              <w:right w:val="single" w:sz="8" w:color="auto"/>
            </w:tcBorders>
            <w:vMerge w:val="continue"/>
            <w:shd w:val="clear" w:color="auto" w:fill="CCEEFF"/>
          </w:tcPr>
          <w:p>
            <w:pPr>
              <w:spacing w:after="0"/>
              <w:rPr>
                <w:sz w:val="6"/>
                <w:szCs w:val="6"/>
                <w:color w:val="auto"/>
              </w:rPr>
            </w:pPr>
          </w:p>
        </w:tc>
        <w:tc>
          <w:tcPr>
            <w:tcW w:w="1260" w:type="dxa"/>
            <w:vAlign w:val="bottom"/>
            <w:tcBorders>
              <w:right w:val="single" w:sz="8" w:color="CCEEFF"/>
            </w:tcBorders>
            <w:vMerge w:val="continue"/>
            <w:shd w:val="clear" w:color="auto" w:fill="CCEEFF"/>
          </w:tcPr>
          <w:p>
            <w:pPr>
              <w:spacing w:after="0"/>
              <w:rPr>
                <w:sz w:val="6"/>
                <w:szCs w:val="6"/>
                <w:color w:val="auto"/>
              </w:rPr>
            </w:pPr>
          </w:p>
        </w:tc>
        <w:tc>
          <w:tcPr>
            <w:tcW w:w="60" w:type="dxa"/>
            <w:vAlign w:val="bottom"/>
            <w:tcBorders>
              <w:right w:val="single" w:sz="8" w:color="auto"/>
            </w:tcBorders>
            <w:shd w:val="clear" w:color="auto" w:fill="CCEEFF"/>
          </w:tcPr>
          <w:p>
            <w:pPr>
              <w:spacing w:after="0"/>
              <w:rPr>
                <w:sz w:val="6"/>
                <w:szCs w:val="6"/>
                <w:color w:val="auto"/>
              </w:rPr>
            </w:pPr>
          </w:p>
        </w:tc>
        <w:tc>
          <w:tcPr>
            <w:tcW w:w="1320" w:type="dxa"/>
            <w:vAlign w:val="bottom"/>
            <w:tcBorders>
              <w:right w:val="single" w:sz="8" w:color="auto"/>
            </w:tcBorders>
            <w:vMerge w:val="continue"/>
            <w:shd w:val="clear" w:color="auto" w:fill="CCEEFF"/>
          </w:tcPr>
          <w:p>
            <w:pPr>
              <w:spacing w:after="0"/>
              <w:rPr>
                <w:sz w:val="6"/>
                <w:szCs w:val="6"/>
                <w:color w:val="auto"/>
              </w:rPr>
            </w:pPr>
          </w:p>
        </w:tc>
        <w:tc>
          <w:tcPr>
            <w:tcW w:w="7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64"/>
        </w:trPr>
        <w:tc>
          <w:tcPr>
            <w:tcW w:w="1340" w:type="dxa"/>
            <w:vAlign w:val="bottom"/>
            <w:tcBorders>
              <w:left w:val="single" w:sz="8" w:color="auto"/>
              <w:bottom w:val="single" w:sz="8" w:color="CCEEFF"/>
              <w:right w:val="single" w:sz="8" w:color="auto"/>
            </w:tcBorders>
            <w:shd w:val="clear" w:color="auto" w:fill="CCEEFF"/>
          </w:tcPr>
          <w:p>
            <w:pPr>
              <w:spacing w:after="0"/>
              <w:rPr>
                <w:sz w:val="14"/>
                <w:szCs w:val="14"/>
                <w:color w:val="auto"/>
              </w:rPr>
            </w:pPr>
          </w:p>
        </w:tc>
        <w:tc>
          <w:tcPr>
            <w:tcW w:w="132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128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1300" w:type="dxa"/>
            <w:vAlign w:val="bottom"/>
            <w:tcBorders>
              <w:bottom w:val="single" w:sz="8" w:color="CCEEFF"/>
              <w:right w:val="single" w:sz="8" w:color="auto"/>
            </w:tcBorders>
            <w:shd w:val="clear" w:color="auto" w:fill="CCEEFF"/>
          </w:tcPr>
          <w:p>
            <w:pPr>
              <w:spacing w:after="0"/>
              <w:rPr>
                <w:sz w:val="14"/>
                <w:szCs w:val="14"/>
                <w:color w:val="auto"/>
              </w:rPr>
            </w:pPr>
          </w:p>
        </w:tc>
        <w:tc>
          <w:tcPr>
            <w:tcW w:w="13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60" w:type="dxa"/>
            <w:vAlign w:val="bottom"/>
            <w:tcBorders>
              <w:bottom w:val="single" w:sz="8" w:color="CCEEFF"/>
              <w:right w:val="single" w:sz="8" w:color="CCEEFF"/>
            </w:tcBorders>
            <w:shd w:val="clear" w:color="auto" w:fill="CCEEFF"/>
          </w:tcPr>
          <w:p>
            <w:pPr>
              <w:spacing w:after="0"/>
              <w:rPr>
                <w:sz w:val="14"/>
                <w:szCs w:val="14"/>
                <w:color w:val="auto"/>
              </w:rPr>
            </w:pPr>
          </w:p>
        </w:tc>
        <w:tc>
          <w:tcPr>
            <w:tcW w:w="60" w:type="dxa"/>
            <w:vAlign w:val="bottom"/>
            <w:tcBorders>
              <w:bottom w:val="single" w:sz="8" w:color="CCEEFF"/>
              <w:right w:val="single" w:sz="8" w:color="auto"/>
            </w:tcBorders>
            <w:shd w:val="clear" w:color="auto" w:fill="CCEEFF"/>
          </w:tcPr>
          <w:p>
            <w:pPr>
              <w:spacing w:after="0"/>
              <w:rPr>
                <w:sz w:val="14"/>
                <w:szCs w:val="14"/>
                <w:color w:val="auto"/>
              </w:rPr>
            </w:pPr>
          </w:p>
        </w:tc>
        <w:tc>
          <w:tcPr>
            <w:tcW w:w="1320" w:type="dxa"/>
            <w:vAlign w:val="bottom"/>
            <w:tcBorders>
              <w:bottom w:val="single" w:sz="8" w:color="CCEEFF"/>
              <w:right w:val="single" w:sz="8" w:color="auto"/>
            </w:tcBorders>
            <w:shd w:val="clear" w:color="auto" w:fill="CCEEFF"/>
          </w:tcPr>
          <w:p>
            <w:pPr>
              <w:spacing w:after="0"/>
              <w:rPr>
                <w:sz w:val="14"/>
                <w:szCs w:val="14"/>
                <w:color w:val="auto"/>
              </w:rPr>
            </w:pPr>
          </w:p>
        </w:tc>
        <w:tc>
          <w:tcPr>
            <w:tcW w:w="760" w:type="dxa"/>
            <w:vAlign w:val="bottom"/>
            <w:tcBorders>
              <w:bottom w:val="single" w:sz="8" w:color="CCEEFF"/>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340" w:type="dxa"/>
            <w:vAlign w:val="bottom"/>
            <w:tcBorders>
              <w:top w:val="single" w:sz="8" w:color="auto"/>
              <w:left w:val="single" w:sz="8" w:color="auto"/>
              <w:bottom w:val="single" w:sz="8" w:color="auto"/>
              <w:right w:val="single" w:sz="8" w:color="auto"/>
            </w:tcBorders>
          </w:tcPr>
          <w:p>
            <w:pPr>
              <w:ind w:left="520"/>
              <w:spacing w:after="0" w:line="137" w:lineRule="exact"/>
              <w:rPr>
                <w:sz w:val="20"/>
                <w:szCs w:val="20"/>
                <w:color w:val="auto"/>
              </w:rPr>
            </w:pPr>
            <w:r>
              <w:rPr>
                <w:rFonts w:ascii="Times New Roman" w:cs="Times New Roman" w:eastAsia="Times New Roman" w:hAnsi="Times New Roman"/>
                <w:sz w:val="14"/>
                <w:szCs w:val="14"/>
                <w:color w:val="auto"/>
              </w:rPr>
              <w:t>2025</w:t>
            </w:r>
          </w:p>
        </w:tc>
        <w:tc>
          <w:tcPr>
            <w:tcW w:w="1320" w:type="dxa"/>
            <w:vAlign w:val="bottom"/>
            <w:tcBorders>
              <w:top w:val="single" w:sz="8" w:color="auto"/>
              <w:bottom w:val="single" w:sz="8" w:color="auto"/>
              <w:right w:val="single" w:sz="8" w:color="auto"/>
            </w:tcBorders>
          </w:tcPr>
          <w:p>
            <w:pPr>
              <w:jc w:val="right"/>
              <w:ind w:right="433"/>
              <w:spacing w:after="0" w:line="137" w:lineRule="exact"/>
              <w:rPr>
                <w:sz w:val="20"/>
                <w:szCs w:val="20"/>
                <w:color w:val="auto"/>
              </w:rPr>
            </w:pPr>
            <w:r>
              <w:rPr>
                <w:rFonts w:ascii="Times New Roman" w:cs="Times New Roman" w:eastAsia="Times New Roman" w:hAnsi="Times New Roman"/>
                <w:sz w:val="14"/>
                <w:szCs w:val="14"/>
                <w:color w:val="auto"/>
              </w:rPr>
              <w:t>753,009</w:t>
            </w:r>
          </w:p>
        </w:tc>
        <w:tc>
          <w:tcPr>
            <w:tcW w:w="1280" w:type="dxa"/>
            <w:vAlign w:val="bottom"/>
            <w:tcBorders>
              <w:top w:val="single" w:sz="8" w:color="auto"/>
              <w:bottom w:val="single" w:sz="8" w:color="auto"/>
              <w:right w:val="single" w:sz="8" w:color="auto"/>
            </w:tcBorders>
          </w:tcPr>
          <w:p>
            <w:pPr>
              <w:jc w:val="right"/>
              <w:ind w:right="293"/>
              <w:spacing w:after="0" w:line="137" w:lineRule="exact"/>
              <w:rPr>
                <w:sz w:val="20"/>
                <w:szCs w:val="20"/>
                <w:color w:val="auto"/>
              </w:rPr>
            </w:pPr>
            <w:r>
              <w:rPr>
                <w:rFonts w:ascii="Times New Roman" w:cs="Times New Roman" w:eastAsia="Times New Roman" w:hAnsi="Times New Roman"/>
                <w:sz w:val="14"/>
                <w:szCs w:val="14"/>
                <w:color w:val="auto"/>
              </w:rPr>
              <w:t>(3,098,132)</w:t>
            </w:r>
          </w:p>
        </w:tc>
        <w:tc>
          <w:tcPr>
            <w:tcW w:w="1300" w:type="dxa"/>
            <w:vAlign w:val="bottom"/>
            <w:tcBorders>
              <w:top w:val="single" w:sz="8" w:color="auto"/>
              <w:bottom w:val="single" w:sz="8" w:color="auto"/>
              <w:right w:val="single" w:sz="8" w:color="auto"/>
            </w:tcBorders>
          </w:tcPr>
          <w:p>
            <w:pPr>
              <w:ind w:left="560"/>
              <w:spacing w:after="0" w:line="137"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right w:val="single" w:sz="8" w:color="auto"/>
            </w:tcBorders>
          </w:tcPr>
          <w:p>
            <w:pPr>
              <w:jc w:val="right"/>
              <w:ind w:right="393"/>
              <w:spacing w:after="0" w:line="137" w:lineRule="exact"/>
              <w:rPr>
                <w:sz w:val="20"/>
                <w:szCs w:val="20"/>
                <w:color w:val="auto"/>
              </w:rPr>
            </w:pPr>
            <w:r>
              <w:rPr>
                <w:rFonts w:ascii="Times New Roman" w:cs="Times New Roman" w:eastAsia="Times New Roman" w:hAnsi="Times New Roman"/>
                <w:sz w:val="14"/>
                <w:szCs w:val="14"/>
                <w:color w:val="auto"/>
              </w:rPr>
              <w:t>281,755</w:t>
            </w:r>
          </w:p>
        </w:tc>
        <w:tc>
          <w:tcPr>
            <w:tcW w:w="1320" w:type="dxa"/>
            <w:vAlign w:val="bottom"/>
            <w:tcBorders>
              <w:top w:val="single" w:sz="8" w:color="auto"/>
              <w:bottom w:val="single" w:sz="8" w:color="auto"/>
              <w:right w:val="single" w:sz="8" w:color="auto"/>
            </w:tcBorders>
            <w:gridSpan w:val="2"/>
          </w:tcPr>
          <w:p>
            <w:pPr>
              <w:ind w:left="560"/>
              <w:spacing w:after="0" w:line="137"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right w:val="single" w:sz="8" w:color="auto"/>
            </w:tcBorders>
          </w:tcPr>
          <w:p>
            <w:pPr>
              <w:ind w:left="560"/>
              <w:spacing w:after="0" w:line="13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right w:val="single" w:sz="8" w:color="auto"/>
            </w:tcBorders>
          </w:tcPr>
          <w:p>
            <w:pPr>
              <w:jc w:val="right"/>
              <w:ind w:right="35"/>
              <w:spacing w:after="0" w:line="137" w:lineRule="exact"/>
              <w:rPr>
                <w:sz w:val="20"/>
                <w:szCs w:val="20"/>
                <w:color w:val="auto"/>
              </w:rPr>
            </w:pPr>
            <w:r>
              <w:rPr>
                <w:rFonts w:ascii="Times New Roman" w:cs="Times New Roman" w:eastAsia="Times New Roman" w:hAnsi="Times New Roman"/>
                <w:sz w:val="14"/>
                <w:szCs w:val="14"/>
                <w:color w:val="auto"/>
                <w:w w:val="97"/>
              </w:rPr>
              <w:t>(2,063,368)</w:t>
            </w:r>
          </w:p>
        </w:tc>
        <w:tc>
          <w:tcPr>
            <w:tcW w:w="0" w:type="dxa"/>
            <w:vAlign w:val="bottom"/>
          </w:tcPr>
          <w:p>
            <w:pPr>
              <w:spacing w:after="0"/>
              <w:rPr>
                <w:sz w:val="1"/>
                <w:szCs w:val="1"/>
                <w:color w:val="auto"/>
              </w:rPr>
            </w:pPr>
          </w:p>
        </w:tc>
      </w:tr>
    </w:tbl>
    <w:p>
      <w:pPr>
        <w:spacing w:after="0" w:line="335" w:lineRule="exact"/>
        <w:rPr>
          <w:sz w:val="20"/>
          <w:szCs w:val="20"/>
          <w:color w:val="auto"/>
        </w:rPr>
      </w:pPr>
    </w:p>
    <w:p>
      <w:pPr>
        <w:jc w:val="both"/>
        <w:ind w:left="2" w:right="20" w:hanging="2"/>
        <w:spacing w:after="0" w:line="265" w:lineRule="auto"/>
        <w:tabs>
          <w:tab w:leader="none" w:pos="218"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Peer Group TSR set forth in this table utilizes the Nasdaq U.S. Benchmark Software TR Index, which we also utilize in the stock performance graph required by Item 201(e) of Regulation S-K included in our Annual Report for the year ended December 31, 2025. The comparison assumes $100 was invested for the period starting December 31, 2020, through the end of the listed year in the Company and in the Nasdaq U.S. Benchmark Software TR Index respectively. Historical stock performance is not necessarily indicative of future stock performance.</w:t>
      </w:r>
    </w:p>
    <w:p>
      <w:pPr>
        <w:spacing w:after="0" w:line="109" w:lineRule="exact"/>
        <w:rPr>
          <w:rFonts w:ascii="Times New Roman" w:cs="Times New Roman" w:eastAsia="Times New Roman" w:hAnsi="Times New Roman"/>
          <w:sz w:val="14"/>
          <w:szCs w:val="14"/>
          <w:color w:val="auto"/>
        </w:rPr>
      </w:pPr>
    </w:p>
    <w:p>
      <w:pPr>
        <w:ind w:left="2" w:right="40" w:hanging="1"/>
        <w:spacing w:after="0" w:line="255" w:lineRule="auto"/>
        <w:tabs>
          <w:tab w:leader="none" w:pos="195"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determined Total Revenue to be the most important financial performance measure used to link Company performance to Compensation Actually Paid to our PEOs and Non-PEO NEOs in 2025.</w:t>
      </w:r>
    </w:p>
    <w:p>
      <w:pPr>
        <w:spacing w:after="0" w:line="12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4"/>
          <w:szCs w:val="14"/>
          <w:i w:val="1"/>
          <w:iCs w:val="1"/>
          <w:color w:val="auto"/>
        </w:rPr>
        <w:t>Relationship Between PEOs and Non-PEO NEO Compensation Actually Paid and Company Total Stockholder Return (“TSR”) and Peer Group TSR</w:t>
      </w:r>
    </w:p>
    <w:p>
      <w:pPr>
        <w:spacing w:after="0" w:line="200" w:lineRule="exact"/>
        <w:rPr>
          <w:sz w:val="20"/>
          <w:szCs w:val="20"/>
          <w:color w:val="auto"/>
        </w:rPr>
      </w:pPr>
    </w:p>
    <w:p>
      <w:pPr>
        <w:spacing w:after="0" w:line="353"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228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42"/>
          </w:cols>
          <w:pgMar w:left="978" w:top="473" w:right="9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The following chart sets forth the relationship between Compensation Actually Paid to our PEOs, the average of Compensation Actually Paid to our Non-PEO NEOs, the Company’s cumulative TSR over the five most recently completed fiscal years, and the TSR of the Nasdaq U.S. Benchmark Software TR Index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114300</wp:posOffset>
            </wp:positionV>
            <wp:extent cx="4779645" cy="26276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779645" cy="2627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Relationship Between PEOs and Non-PEO NEO Compensation Actually Paid and Net Income</w:t>
      </w:r>
    </w:p>
    <w:p>
      <w:pPr>
        <w:spacing w:after="0" w:line="145"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4"/>
          <w:szCs w:val="14"/>
          <w:color w:val="auto"/>
        </w:rPr>
        <w:t>The following chart sets forth the relationship between Compensation Actually Paid to our PEOs, the average of Compensation Actually Paid to our Non-PEO NEOs, and our Net Income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91440</wp:posOffset>
            </wp:positionV>
            <wp:extent cx="4779645" cy="258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779645"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Relationship Between PEOs and Non-PEO NEO Compensation Actually Paid and Total Revenue</w:t>
      </w:r>
    </w:p>
    <w:p>
      <w:pPr>
        <w:spacing w:after="0" w:line="169" w:lineRule="exact"/>
        <w:rPr>
          <w:sz w:val="20"/>
          <w:szCs w:val="20"/>
          <w:color w:val="auto"/>
        </w:rPr>
      </w:pPr>
    </w:p>
    <w:p>
      <w:pPr>
        <w:ind w:right="300"/>
        <w:spacing w:after="0" w:line="291" w:lineRule="auto"/>
        <w:rPr>
          <w:sz w:val="20"/>
          <w:szCs w:val="20"/>
          <w:color w:val="auto"/>
        </w:rPr>
      </w:pPr>
      <w:r>
        <w:rPr>
          <w:rFonts w:ascii="Times New Roman" w:cs="Times New Roman" w:eastAsia="Times New Roman" w:hAnsi="Times New Roman"/>
          <w:sz w:val="14"/>
          <w:szCs w:val="14"/>
          <w:color w:val="auto"/>
        </w:rPr>
        <w:t>The following chart sets forth the relationship between Compensation Actually Paid to our PEOs, the average of Compensation Actually Paid to our Non-PEO NEOs, and Total Revenue during the five most recently completed fiscal years.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437515</wp:posOffset>
            </wp:positionV>
            <wp:extent cx="4779645" cy="25888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79645"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Tabular List of Most Important Financial Performance Measures</w:t>
      </w:r>
    </w:p>
    <w:p>
      <w:pPr>
        <w:spacing w:after="0" w:line="169"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4"/>
          <w:szCs w:val="14"/>
          <w:color w:val="auto"/>
        </w:rPr>
        <w:t>The following table presents the financial performance measures that the Company considers to have been the most important in linking Compensation Actually Paid to our PEOs and Non-PEO NEOs for 2025 to Company performance. The measures in this table are not ranked.</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Total Revenue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Pre-Tax Net Income</w:t>
      </w:r>
    </w:p>
    <w:p>
      <w:pPr>
        <w:jc w:val="center"/>
        <w:ind w:right="-19"/>
        <w:spacing w:after="0"/>
        <w:rPr>
          <w:sz w:val="20"/>
          <w:szCs w:val="20"/>
          <w:color w:val="auto"/>
        </w:rPr>
      </w:pPr>
      <w:r>
        <w:rPr>
          <w:rFonts w:ascii="Times New Roman" w:cs="Times New Roman" w:eastAsia="Times New Roman" w:hAnsi="Times New Roman"/>
          <w:sz w:val="14"/>
          <w:szCs w:val="14"/>
          <w:color w:val="auto"/>
        </w:rPr>
        <w:t>Adjusted Cash from Operations</w:t>
      </w:r>
    </w:p>
    <w:p>
      <w:pPr>
        <w:spacing w:after="0" w:line="200" w:lineRule="exact"/>
        <w:rPr>
          <w:sz w:val="20"/>
          <w:szCs w:val="20"/>
          <w:color w:val="auto"/>
        </w:rPr>
      </w:pPr>
    </w:p>
    <w:p>
      <w:pPr>
        <w:spacing w:after="0" w:line="228" w:lineRule="exact"/>
        <w:rPr>
          <w:sz w:val="20"/>
          <w:szCs w:val="20"/>
          <w:color w:val="auto"/>
        </w:rPr>
      </w:pPr>
    </w:p>
    <w:p>
      <w:pPr>
        <w:ind w:right="40"/>
        <w:spacing w:after="0" w:line="309" w:lineRule="auto"/>
        <w:rPr>
          <w:sz w:val="20"/>
          <w:szCs w:val="20"/>
          <w:color w:val="auto"/>
        </w:rPr>
      </w:pPr>
      <w:r>
        <w:rPr>
          <w:rFonts w:ascii="Times New Roman" w:cs="Times New Roman" w:eastAsia="Times New Roman" w:hAnsi="Times New Roman"/>
          <w:sz w:val="14"/>
          <w:szCs w:val="14"/>
          <w:color w:val="auto"/>
        </w:rPr>
        <w:t>Pre-tax net income and adjusted cash from operations are non-GAAP measures. For a description of how these measures are calculated from the nearest GAAP counterpart in the Company’s audited financial statements, see “Cash-Based Incentive Compensation” in the CD&amp;A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760"/>
          </w:cols>
          <w:pgMar w:left="980" w:top="473" w:right="11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b w:val="1"/>
          <w:bCs w:val="1"/>
          <w:color w:val="auto"/>
        </w:rPr>
        <w:t>DIRECTOR COMPENSATION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of our Directors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Non-Employee Director Compensation Program</w:t>
      </w:r>
    </w:p>
    <w:p>
      <w:pPr>
        <w:spacing w:after="0" w:line="20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color w:val="auto"/>
        </w:rPr>
        <w:t>We maintain a compensation program for our non-employee directors. Under this program our non-employee directors receive the following amounts for their services on our Board during 2025:</w:t>
      </w:r>
    </w:p>
    <w:p>
      <w:pPr>
        <w:spacing w:after="0" w:line="144" w:lineRule="exact"/>
        <w:rPr>
          <w:sz w:val="20"/>
          <w:szCs w:val="20"/>
          <w:color w:val="auto"/>
        </w:rPr>
      </w:pPr>
    </w:p>
    <w:p>
      <w:pPr>
        <w:jc w:val="both"/>
        <w:ind w:firstLine="577"/>
        <w:spacing w:after="0" w:line="262" w:lineRule="auto"/>
        <w:tabs>
          <w:tab w:leader="none" w:pos="1158"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director (i) is initially elected or appointed to our Board at an annual meeting of stockholders or (ii) has served on our Board as of the date of an annual meeting of stockholders and will continue to serve as a director immediately following such meeting, a number of restricted stock awards on the date of the annual meeting determined by dividing $200,000 by the closing price of our Common Stock on the date of the annual meeting (with any partial shares that result rounded up to the nearest whole share);</w:t>
      </w:r>
    </w:p>
    <w:p>
      <w:pPr>
        <w:spacing w:after="0" w:line="161" w:lineRule="exact"/>
        <w:rPr>
          <w:rFonts w:ascii="Times New Roman" w:cs="Times New Roman" w:eastAsia="Times New Roman" w:hAnsi="Times New Roman"/>
          <w:sz w:val="16"/>
          <w:szCs w:val="16"/>
          <w:color w:val="auto"/>
        </w:rPr>
      </w:pPr>
    </w:p>
    <w:p>
      <w:pPr>
        <w:ind w:left="1160" w:hanging="583"/>
        <w:spacing w:after="0"/>
        <w:tabs>
          <w:tab w:leader="none" w:pos="11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annual director fee of $42,000</w:t>
      </w:r>
    </w:p>
    <w:p>
      <w:pPr>
        <w:spacing w:after="0" w:line="202" w:lineRule="exact"/>
        <w:rPr>
          <w:rFonts w:ascii="Times New Roman" w:cs="Times New Roman" w:eastAsia="Times New Roman" w:hAnsi="Times New Roman"/>
          <w:sz w:val="16"/>
          <w:szCs w:val="16"/>
          <w:color w:val="auto"/>
        </w:rPr>
      </w:pPr>
    </w:p>
    <w:p>
      <w:pPr>
        <w:ind w:left="1160" w:hanging="583"/>
        <w:spacing w:after="0"/>
        <w:tabs>
          <w:tab w:leader="none" w:pos="11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director serves as lead independent director or chair or on a committee of our Board, an additional annual fee as follows:</w:t>
      </w:r>
    </w:p>
    <w:p>
      <w:pPr>
        <w:spacing w:after="0" w:line="202" w:lineRule="exact"/>
        <w:rPr>
          <w:rFonts w:ascii="Times New Roman" w:cs="Times New Roman" w:eastAsia="Times New Roman" w:hAnsi="Times New Roman"/>
          <w:sz w:val="16"/>
          <w:szCs w:val="16"/>
          <w:color w:val="auto"/>
        </w:rPr>
      </w:pPr>
    </w:p>
    <w:p>
      <w:pPr>
        <w:ind w:left="11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oChairperson of the Board: $42,000;</w:t>
      </w:r>
    </w:p>
    <w:p>
      <w:pPr>
        <w:spacing w:after="0" w:line="105" w:lineRule="exact"/>
        <w:rPr>
          <w:rFonts w:ascii="Times New Roman" w:cs="Times New Roman" w:eastAsia="Times New Roman" w:hAnsi="Times New Roman"/>
          <w:sz w:val="16"/>
          <w:szCs w:val="16"/>
          <w:color w:val="auto"/>
        </w:rPr>
      </w:pPr>
    </w:p>
    <w:p>
      <w:pPr>
        <w:ind w:left="11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oLead Independent Director: $20,000;</w:t>
      </w:r>
    </w:p>
    <w:p>
      <w:pPr>
        <w:spacing w:after="0" w:line="105" w:lineRule="exact"/>
        <w:rPr>
          <w:rFonts w:ascii="Times New Roman" w:cs="Times New Roman" w:eastAsia="Times New Roman" w:hAnsi="Times New Roman"/>
          <w:sz w:val="16"/>
          <w:szCs w:val="16"/>
          <w:color w:val="auto"/>
        </w:rPr>
      </w:pPr>
    </w:p>
    <w:p>
      <w:pPr>
        <w:ind w:left="11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oChair of the Audit Committee: $20,000;</w:t>
      </w:r>
    </w:p>
    <w:p>
      <w:pPr>
        <w:spacing w:after="0" w:line="105" w:lineRule="exact"/>
        <w:rPr>
          <w:rFonts w:ascii="Times New Roman" w:cs="Times New Roman" w:eastAsia="Times New Roman" w:hAnsi="Times New Roman"/>
          <w:sz w:val="16"/>
          <w:szCs w:val="16"/>
          <w:color w:val="auto"/>
        </w:rPr>
      </w:pPr>
    </w:p>
    <w:p>
      <w:pPr>
        <w:ind w:left="11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oAudit Committee member other than the chair $10,000;</w:t>
      </w:r>
    </w:p>
    <w:p>
      <w:pPr>
        <w:spacing w:after="0" w:line="105" w:lineRule="exact"/>
        <w:rPr>
          <w:rFonts w:ascii="Times New Roman" w:cs="Times New Roman" w:eastAsia="Times New Roman" w:hAnsi="Times New Roman"/>
          <w:sz w:val="16"/>
          <w:szCs w:val="16"/>
          <w:color w:val="auto"/>
        </w:rPr>
      </w:pPr>
    </w:p>
    <w:p>
      <w:pPr>
        <w:ind w:left="11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oChair of the Human Capital Committee, $15,000;</w:t>
      </w:r>
    </w:p>
    <w:p>
      <w:pPr>
        <w:spacing w:after="0" w:line="106" w:lineRule="exact"/>
        <w:rPr>
          <w:sz w:val="20"/>
          <w:szCs w:val="20"/>
          <w:color w:val="auto"/>
        </w:rPr>
      </w:pPr>
    </w:p>
    <w:p>
      <w:pPr>
        <w:ind w:left="1740" w:hanging="584"/>
        <w:spacing w:after="0"/>
        <w:tabs>
          <w:tab w:leader="none" w:pos="17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Human Capital Committee member other than the chair, $7,500;</w:t>
      </w:r>
    </w:p>
    <w:p>
      <w:pPr>
        <w:spacing w:after="0" w:line="105" w:lineRule="exact"/>
        <w:rPr>
          <w:rFonts w:ascii="Times New Roman" w:cs="Times New Roman" w:eastAsia="Times New Roman" w:hAnsi="Times New Roman"/>
          <w:sz w:val="16"/>
          <w:szCs w:val="16"/>
          <w:color w:val="auto"/>
        </w:rPr>
      </w:pPr>
    </w:p>
    <w:p>
      <w:pPr>
        <w:ind w:left="1740" w:hanging="584"/>
        <w:spacing w:after="0"/>
        <w:tabs>
          <w:tab w:leader="none" w:pos="17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 of the Nominating and Governance Committee, $12,000; and</w:t>
      </w:r>
    </w:p>
    <w:p>
      <w:pPr>
        <w:spacing w:after="0" w:line="105" w:lineRule="exact"/>
        <w:rPr>
          <w:rFonts w:ascii="Times New Roman" w:cs="Times New Roman" w:eastAsia="Times New Roman" w:hAnsi="Times New Roman"/>
          <w:sz w:val="16"/>
          <w:szCs w:val="16"/>
          <w:color w:val="auto"/>
        </w:rPr>
      </w:pPr>
    </w:p>
    <w:p>
      <w:pPr>
        <w:ind w:left="1740" w:hanging="584"/>
        <w:spacing w:after="0"/>
        <w:tabs>
          <w:tab w:leader="none" w:pos="17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Nominating and Governance Committee member other than the chair, $6,000.</w:t>
      </w:r>
    </w:p>
    <w:p>
      <w:pPr>
        <w:spacing w:after="0" w:line="1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Director fees under the program are earned and paid monthly. Restricted stock awards represent the right to receive one share (or an equal amount in cash) following vesting of the award. Restricted stock awards granted to our non-employee directors under the program will vest in a single installment on the earlier of the day before the next annual meeting of stockholders occurring after the date of grant or the first anniversary of the date of grant, subject to continued service as a non-employee member of our Board through the applicable vesting date and accelerated vesting upon a change in control of the Company.</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Our non-employee director compensation program was amended in October 2025 to separate the roles of Chairperson of the Board and CEO. Our Chairperson of the Board, Mr. DeStefano, does not qualify as an independent director due to his recent role as CEO. As a result, Mr. Andersen will continue to serve as lead independent director. The annual fee to the lead independent director remained at $20,000. The annual fee for service as Chairperson of the Board was increased from $20,000 to $42,000. In addition, in December 2025, the members of a special search committee of the Board received a one-time cash payment of $60,000 to Mr. Gayton as Chairperson and $30,000 to each of Mr. Andersen and Ms. Radcliffe as committee members in recognition of their instrumental leadership and stewardship during the Company’s President and Chief Executive Officer succession process, culminating in the appointment of Christopher Young. This acknowledgement reflects not only the significant time and effort invested, but also the Committee’s critical role in shaping the Company’s leadership trajectory and long-term strategic direction.</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The following table sets forth information concerning the compensation of our non-employee directors for their service on our Board for the year ended December 31, 2025.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 w:type="dxa"/>
            <w:vAlign w:val="bottom"/>
            <w:tcBorders>
              <w:right w:val="single" w:sz="8" w:color="auto"/>
            </w:tcBorders>
          </w:tcPr>
          <w:p>
            <w:pPr>
              <w:spacing w:after="0"/>
              <w:rPr>
                <w:sz w:val="19"/>
                <w:szCs w:val="19"/>
                <w:color w:val="auto"/>
              </w:rPr>
            </w:pPr>
          </w:p>
        </w:tc>
        <w:tc>
          <w:tcPr>
            <w:tcW w:w="3120" w:type="dxa"/>
            <w:vAlign w:val="bottom"/>
            <w:tcBorders>
              <w:top w:val="single" w:sz="8" w:color="auto"/>
            </w:tcBorders>
            <w:shd w:val="clear" w:color="auto" w:fill="CCEEFF"/>
          </w:tcPr>
          <w:p>
            <w:pPr>
              <w:spacing w:after="0"/>
              <w:rPr>
                <w:sz w:val="19"/>
                <w:szCs w:val="19"/>
                <w:color w:val="auto"/>
              </w:rPr>
            </w:pPr>
          </w:p>
        </w:tc>
        <w:tc>
          <w:tcPr>
            <w:tcW w:w="2120" w:type="dxa"/>
            <w:vAlign w:val="bottom"/>
            <w:tcBorders>
              <w:top w:val="single" w:sz="8" w:color="auto"/>
              <w:right w:val="single" w:sz="8" w:color="auto"/>
            </w:tcBorders>
            <w:shd w:val="clear" w:color="auto" w:fill="CCEEFF"/>
          </w:tcPr>
          <w:p>
            <w:pPr>
              <w:spacing w:after="0"/>
              <w:rPr>
                <w:sz w:val="19"/>
                <w:szCs w:val="19"/>
                <w:color w:val="auto"/>
              </w:rPr>
            </w:pPr>
          </w:p>
        </w:tc>
        <w:tc>
          <w:tcPr>
            <w:tcW w:w="1720" w:type="dxa"/>
            <w:vAlign w:val="bottom"/>
            <w:tcBorders>
              <w:top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Fees Earned</w:t>
            </w:r>
          </w:p>
        </w:tc>
        <w:tc>
          <w:tcPr>
            <w:tcW w:w="1500" w:type="dxa"/>
            <w:vAlign w:val="bottom"/>
            <w:tcBorders>
              <w:top w:val="single" w:sz="8" w:color="auto"/>
              <w:right w:val="single" w:sz="8" w:color="auto"/>
            </w:tcBorders>
            <w:shd w:val="clear" w:color="auto" w:fill="CCEEFF"/>
          </w:tcPr>
          <w:p>
            <w:pPr>
              <w:spacing w:after="0"/>
              <w:rPr>
                <w:sz w:val="19"/>
                <w:szCs w:val="19"/>
                <w:color w:val="auto"/>
              </w:rPr>
            </w:pPr>
          </w:p>
        </w:tc>
        <w:tc>
          <w:tcPr>
            <w:tcW w:w="1400" w:type="dxa"/>
            <w:vAlign w:val="bottom"/>
            <w:tcBorders>
              <w:top w:val="single" w:sz="8" w:color="auto"/>
              <w:right w:val="single" w:sz="8" w:color="auto"/>
            </w:tcBorders>
            <w:shd w:val="clear" w:color="auto" w:fill="CCEEFF"/>
          </w:tcPr>
          <w:p>
            <w:pPr>
              <w:spacing w:after="0"/>
              <w:rPr>
                <w:sz w:val="19"/>
                <w:szCs w:val="19"/>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2120" w:type="dxa"/>
            <w:vAlign w:val="bottom"/>
            <w:tcBorders>
              <w:right w:val="single" w:sz="8" w:color="auto"/>
            </w:tcBorders>
            <w:shd w:val="clear" w:color="auto" w:fill="CCEEFF"/>
          </w:tcPr>
          <w:p>
            <w:pPr>
              <w:spacing w:after="0"/>
              <w:rPr>
                <w:sz w:val="19"/>
                <w:szCs w:val="19"/>
                <w:color w:val="auto"/>
              </w:rPr>
            </w:pPr>
          </w:p>
        </w:tc>
        <w:tc>
          <w:tcPr>
            <w:tcW w:w="17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 Paid in Cash</w:t>
            </w:r>
          </w:p>
        </w:tc>
        <w:tc>
          <w:tcPr>
            <w:tcW w:w="1500" w:type="dxa"/>
            <w:vAlign w:val="bottom"/>
            <w:tcBorders>
              <w:right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400" w:type="dxa"/>
            <w:vAlign w:val="bottom"/>
            <w:tcBorders>
              <w:right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3"/>
        </w:trPr>
        <w:tc>
          <w:tcPr>
            <w:tcW w:w="60" w:type="dxa"/>
            <w:vAlign w:val="bottom"/>
            <w:tcBorders>
              <w:right w:val="single" w:sz="8" w:color="auto"/>
            </w:tcBorders>
          </w:tcPr>
          <w:p>
            <w:pPr>
              <w:spacing w:after="0"/>
              <w:rPr>
                <w:sz w:val="19"/>
                <w:szCs w:val="19"/>
                <w:color w:val="auto"/>
              </w:rPr>
            </w:pPr>
          </w:p>
        </w:tc>
        <w:tc>
          <w:tcPr>
            <w:tcW w:w="31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120" w:type="dxa"/>
            <w:vAlign w:val="bottom"/>
            <w:tcBorders>
              <w:bottom w:val="single" w:sz="8" w:color="auto"/>
              <w:right w:val="single" w:sz="8" w:color="auto"/>
            </w:tcBorders>
            <w:shd w:val="clear" w:color="auto" w:fill="CCEEFF"/>
          </w:tcPr>
          <w:p>
            <w:pPr>
              <w:spacing w:after="0"/>
              <w:rPr>
                <w:sz w:val="19"/>
                <w:szCs w:val="19"/>
                <w:color w:val="auto"/>
              </w:rPr>
            </w:pP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($)(1)</w:t>
            </w:r>
          </w:p>
        </w:tc>
        <w:tc>
          <w:tcPr>
            <w:tcW w:w="1500" w:type="dxa"/>
            <w:vAlign w:val="bottom"/>
            <w:tcBorders>
              <w:bottom w:val="single" w:sz="8" w:color="auto"/>
              <w:right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w:t>
            </w:r>
          </w:p>
        </w:tc>
        <w:tc>
          <w:tcPr>
            <w:tcW w:w="1400" w:type="dxa"/>
            <w:vAlign w:val="bottom"/>
            <w:tcBorders>
              <w:bottom w:val="single" w:sz="8" w:color="auto"/>
              <w:right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1"/>
        </w:trPr>
        <w:tc>
          <w:tcPr>
            <w:tcW w:w="60" w:type="dxa"/>
            <w:vAlign w:val="bottom"/>
            <w:tcBorders>
              <w:right w:val="single" w:sz="8" w:color="auto"/>
            </w:tcBorders>
          </w:tcPr>
          <w:p>
            <w:pPr>
              <w:spacing w:after="0"/>
              <w:rPr>
                <w:sz w:val="18"/>
                <w:szCs w:val="18"/>
                <w:color w:val="auto"/>
              </w:rPr>
            </w:pPr>
          </w:p>
        </w:tc>
        <w:tc>
          <w:tcPr>
            <w:tcW w:w="3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Eric Andersen</w:t>
            </w:r>
          </w:p>
        </w:tc>
        <w:tc>
          <w:tcPr>
            <w:tcW w:w="21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105,500(3)</w:t>
            </w:r>
          </w:p>
        </w:tc>
        <w:tc>
          <w:tcPr>
            <w:tcW w:w="1500" w:type="dxa"/>
            <w:vAlign w:val="bottom"/>
            <w:tcBorders>
              <w:bottom w:val="single" w:sz="8" w:color="auto"/>
              <w:right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200,029</w:t>
            </w:r>
          </w:p>
        </w:tc>
        <w:tc>
          <w:tcPr>
            <w:tcW w:w="1400" w:type="dxa"/>
            <w:vAlign w:val="bottom"/>
            <w:tcBorders>
              <w:bottom w:val="single" w:sz="8" w:color="auto"/>
              <w:right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305,529</w:t>
            </w:r>
          </w:p>
        </w:tc>
      </w:tr>
      <w:tr>
        <w:trPr>
          <w:trHeight w:val="209"/>
        </w:trPr>
        <w:tc>
          <w:tcPr>
            <w:tcW w:w="60" w:type="dxa"/>
            <w:vAlign w:val="bottom"/>
            <w:tcBorders>
              <w:right w:val="single" w:sz="8" w:color="auto"/>
            </w:tcBorders>
          </w:tcPr>
          <w:p>
            <w:pPr>
              <w:spacing w:after="0"/>
              <w:rPr>
                <w:sz w:val="18"/>
                <w:szCs w:val="18"/>
                <w:color w:val="auto"/>
              </w:rPr>
            </w:pPr>
          </w:p>
        </w:tc>
        <w:tc>
          <w:tcPr>
            <w:tcW w:w="3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David DeStefano (4)</w:t>
            </w:r>
          </w:p>
        </w:tc>
        <w:tc>
          <w:tcPr>
            <w:tcW w:w="21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bottom w:val="single" w:sz="8" w:color="auto"/>
              <w:right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right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60" w:type="dxa"/>
            <w:vAlign w:val="bottom"/>
            <w:tcBorders>
              <w:right w:val="single" w:sz="8" w:color="auto"/>
            </w:tcBorders>
          </w:tcPr>
          <w:p>
            <w:pPr>
              <w:spacing w:after="0"/>
              <w:rPr>
                <w:sz w:val="18"/>
                <w:szCs w:val="18"/>
                <w:color w:val="auto"/>
              </w:rPr>
            </w:pPr>
          </w:p>
        </w:tc>
        <w:tc>
          <w:tcPr>
            <w:tcW w:w="3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Bradley M. Gayton</w:t>
            </w:r>
          </w:p>
        </w:tc>
        <w:tc>
          <w:tcPr>
            <w:tcW w:w="21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124,000(3)</w:t>
            </w:r>
          </w:p>
        </w:tc>
        <w:tc>
          <w:tcPr>
            <w:tcW w:w="1500" w:type="dxa"/>
            <w:vAlign w:val="bottom"/>
            <w:tcBorders>
              <w:bottom w:val="single" w:sz="8" w:color="auto"/>
              <w:right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200,029</w:t>
            </w:r>
          </w:p>
        </w:tc>
        <w:tc>
          <w:tcPr>
            <w:tcW w:w="1400" w:type="dxa"/>
            <w:vAlign w:val="bottom"/>
            <w:tcBorders>
              <w:bottom w:val="single" w:sz="8" w:color="auto"/>
              <w:right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324,029</w:t>
            </w:r>
          </w:p>
        </w:tc>
      </w:tr>
      <w:tr>
        <w:trPr>
          <w:trHeight w:val="209"/>
        </w:trPr>
        <w:tc>
          <w:tcPr>
            <w:tcW w:w="60" w:type="dxa"/>
            <w:vAlign w:val="bottom"/>
            <w:tcBorders>
              <w:right w:val="single" w:sz="8" w:color="auto"/>
            </w:tcBorders>
          </w:tcPr>
          <w:p>
            <w:pPr>
              <w:spacing w:after="0"/>
              <w:rPr>
                <w:sz w:val="18"/>
                <w:szCs w:val="18"/>
                <w:color w:val="auto"/>
              </w:rPr>
            </w:pPr>
          </w:p>
        </w:tc>
        <w:tc>
          <w:tcPr>
            <w:tcW w:w="3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Mark J. Mendola (5)</w:t>
            </w:r>
          </w:p>
        </w:tc>
        <w:tc>
          <w:tcPr>
            <w:tcW w:w="21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28,889</w:t>
            </w:r>
          </w:p>
        </w:tc>
        <w:tc>
          <w:tcPr>
            <w:tcW w:w="1500" w:type="dxa"/>
            <w:vAlign w:val="bottom"/>
            <w:tcBorders>
              <w:bottom w:val="single" w:sz="8" w:color="auto"/>
              <w:right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200,029</w:t>
            </w:r>
          </w:p>
        </w:tc>
        <w:tc>
          <w:tcPr>
            <w:tcW w:w="1400" w:type="dxa"/>
            <w:vAlign w:val="bottom"/>
            <w:tcBorders>
              <w:bottom w:val="single" w:sz="8" w:color="auto"/>
              <w:right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228,918</w:t>
            </w:r>
          </w:p>
        </w:tc>
      </w:tr>
      <w:tr>
        <w:trPr>
          <w:trHeight w:val="575"/>
        </w:trPr>
        <w:tc>
          <w:tcPr>
            <w:tcW w:w="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1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40</w:t>
            </w: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99"/>
        </w:trPr>
        <w:tc>
          <w:tcPr>
            <w:tcW w:w="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7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tbl>
      <w:tblPr>
        <w:tblLayout w:type="fixed"/>
        <w:tblInd w:w="50" w:type="dxa"/>
        <w:tblCellMar>
          <w:top w:w="0" w:type="dxa"/>
          <w:left w:w="0" w:type="dxa"/>
          <w:bottom w:w="0" w:type="dxa"/>
          <w:right w:w="0" w:type="dxa"/>
        </w:tblCellMar>
      </w:tblPr>
      <w:tr>
        <w:trPr>
          <w:trHeight w:val="225"/>
        </w:trPr>
        <w:tc>
          <w:tcPr>
            <w:tcW w:w="52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Amanda Westphal Radcliffe</w:t>
            </w:r>
          </w:p>
        </w:tc>
        <w:tc>
          <w:tcPr>
            <w:tcW w:w="1720" w:type="dxa"/>
            <w:vAlign w:val="bottom"/>
            <w:tcBorders>
              <w:top w:val="single" w:sz="8" w:color="auto"/>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78,000(3)</w:t>
            </w:r>
          </w:p>
        </w:tc>
        <w:tc>
          <w:tcPr>
            <w:tcW w:w="1480" w:type="dxa"/>
            <w:vAlign w:val="bottom"/>
            <w:tcBorders>
              <w:top w:val="single" w:sz="8" w:color="auto"/>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200,029</w:t>
            </w:r>
          </w:p>
        </w:tc>
        <w:tc>
          <w:tcPr>
            <w:tcW w:w="1400" w:type="dxa"/>
            <w:vAlign w:val="bottom"/>
            <w:tcBorders>
              <w:top w:val="single" w:sz="8" w:color="auto"/>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278,029</w:t>
            </w:r>
          </w:p>
        </w:tc>
      </w:tr>
      <w:tr>
        <w:trPr>
          <w:trHeight w:val="209"/>
        </w:trPr>
        <w:tc>
          <w:tcPr>
            <w:tcW w:w="52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Philip Saunders</w:t>
            </w:r>
          </w:p>
        </w:tc>
        <w:tc>
          <w:tcPr>
            <w:tcW w:w="172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67,000</w:t>
            </w:r>
          </w:p>
        </w:tc>
        <w:tc>
          <w:tcPr>
            <w:tcW w:w="14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200,029</w:t>
            </w:r>
          </w:p>
        </w:tc>
        <w:tc>
          <w:tcPr>
            <w:tcW w:w="140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267,029</w:t>
            </w:r>
          </w:p>
        </w:tc>
      </w:tr>
      <w:tr>
        <w:trPr>
          <w:trHeight w:val="209"/>
        </w:trPr>
        <w:tc>
          <w:tcPr>
            <w:tcW w:w="52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J. Richard Stamm</w:t>
            </w:r>
          </w:p>
        </w:tc>
        <w:tc>
          <w:tcPr>
            <w:tcW w:w="172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62,000</w:t>
            </w:r>
          </w:p>
        </w:tc>
        <w:tc>
          <w:tcPr>
            <w:tcW w:w="14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200,029</w:t>
            </w:r>
          </w:p>
        </w:tc>
        <w:tc>
          <w:tcPr>
            <w:tcW w:w="140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262,029</w:t>
            </w:r>
          </w:p>
        </w:tc>
      </w:tr>
      <w:tr>
        <w:trPr>
          <w:trHeight w:val="209"/>
        </w:trPr>
        <w:tc>
          <w:tcPr>
            <w:tcW w:w="52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Stefanie Westphal Thompson</w:t>
            </w:r>
          </w:p>
        </w:tc>
        <w:tc>
          <w:tcPr>
            <w:tcW w:w="172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49,500</w:t>
            </w:r>
          </w:p>
        </w:tc>
        <w:tc>
          <w:tcPr>
            <w:tcW w:w="14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200,029</w:t>
            </w:r>
          </w:p>
        </w:tc>
        <w:tc>
          <w:tcPr>
            <w:tcW w:w="140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249,529</w:t>
            </w:r>
          </w:p>
        </w:tc>
      </w:tr>
    </w:tbl>
    <w:p>
      <w:pPr>
        <w:spacing w:after="0" w:line="173" w:lineRule="exact"/>
        <w:rPr>
          <w:sz w:val="20"/>
          <w:szCs w:val="20"/>
          <w:color w:val="auto"/>
        </w:rPr>
      </w:pPr>
    </w:p>
    <w:p>
      <w:pPr>
        <w:ind w:left="320" w:hanging="261"/>
        <w:spacing w:after="0"/>
        <w:tabs>
          <w:tab w:leader="none" w:pos="3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annual fees for service on the Board and committees of the Board.</w:t>
      </w:r>
    </w:p>
    <w:p>
      <w:pPr>
        <w:spacing w:after="0" w:line="17" w:lineRule="exact"/>
        <w:rPr>
          <w:rFonts w:ascii="Times New Roman" w:cs="Times New Roman" w:eastAsia="Times New Roman" w:hAnsi="Times New Roman"/>
          <w:sz w:val="13"/>
          <w:szCs w:val="13"/>
          <w:color w:val="auto"/>
        </w:rPr>
      </w:pPr>
    </w:p>
    <w:p>
      <w:pPr>
        <w:ind w:left="320" w:right="100" w:hanging="261"/>
        <w:spacing w:after="0" w:line="263" w:lineRule="auto"/>
        <w:tabs>
          <w:tab w:leader="none" w:pos="3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shown reflect the grant date fair value of restricted stock awards granted during 2025 as calculated in accordance with ASC Topic 718. See Note 13 to the consolidated financial statements included in our 2025 Annual Report on Form 10-K for information regarding the assumptions used in calculating these amounts.</w:t>
      </w:r>
    </w:p>
    <w:p>
      <w:pPr>
        <w:ind w:left="320" w:hanging="261"/>
        <w:spacing w:after="0"/>
        <w:tabs>
          <w:tab w:leader="none" w:pos="3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shown include the one-time payment in recognition of their additional efforts in connection with the CEO succession process.</w:t>
      </w:r>
    </w:p>
    <w:p>
      <w:pPr>
        <w:spacing w:after="0" w:line="19" w:lineRule="exact"/>
        <w:rPr>
          <w:rFonts w:ascii="Times New Roman" w:cs="Times New Roman" w:eastAsia="Times New Roman" w:hAnsi="Times New Roman"/>
          <w:sz w:val="13"/>
          <w:szCs w:val="13"/>
          <w:color w:val="auto"/>
        </w:rPr>
      </w:pPr>
    </w:p>
    <w:p>
      <w:pPr>
        <w:ind w:left="320" w:right="100" w:hanging="261"/>
        <w:spacing w:after="0" w:line="271" w:lineRule="auto"/>
        <w:tabs>
          <w:tab w:leader="none" w:pos="3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the “All Other Compensation” column in the 2025 Summary Compensation Table above for information on the director fees earned by Mr. DeStefano for service on the Board during 2025.</w:t>
      </w:r>
    </w:p>
    <w:p>
      <w:pPr>
        <w:ind w:left="320" w:hanging="261"/>
        <w:spacing w:after="0"/>
        <w:tabs>
          <w:tab w:leader="none" w:pos="3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Mendola joined the Board in June 2025.</w:t>
      </w:r>
    </w:p>
    <w:p>
      <w:pPr>
        <w:spacing w:after="0" w:line="18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6"/>
          <w:szCs w:val="16"/>
          <w:color w:val="auto"/>
        </w:rPr>
        <w:t>The table below shows the aggregate numbers of options (exercisable and unexercisable) and restricted stock awards held as of December 31, 2025 by each non-employee director who was serving as of December 31, 2025.</w:t>
      </w:r>
    </w:p>
    <w:p>
      <w:pPr>
        <w:spacing w:after="0" w:line="152" w:lineRule="exact"/>
        <w:rPr>
          <w:sz w:val="20"/>
          <w:szCs w:val="20"/>
          <w:color w:val="auto"/>
        </w:rPr>
      </w:pPr>
    </w:p>
    <w:tbl>
      <w:tblPr>
        <w:tblLayout w:type="fixed"/>
        <w:tblInd w:w="30" w:type="dxa"/>
        <w:tblCellMar>
          <w:top w:w="0" w:type="dxa"/>
          <w:left w:w="0" w:type="dxa"/>
          <w:bottom w:w="0" w:type="dxa"/>
          <w:right w:w="0" w:type="dxa"/>
        </w:tblCellMar>
      </w:tblPr>
      <w:tr>
        <w:trPr>
          <w:trHeight w:val="223"/>
        </w:trPr>
        <w:tc>
          <w:tcPr>
            <w:tcW w:w="6220" w:type="dxa"/>
            <w:vAlign w:val="bottom"/>
            <w:tcBorders>
              <w:top w:val="single" w:sz="8" w:color="auto"/>
              <w:left w:val="single" w:sz="8" w:color="auto"/>
              <w:right w:val="single" w:sz="8" w:color="auto"/>
            </w:tcBorders>
            <w:shd w:val="clear" w:color="auto" w:fill="CCEEFF"/>
          </w:tcPr>
          <w:p>
            <w:pPr>
              <w:spacing w:after="0"/>
              <w:rPr>
                <w:sz w:val="19"/>
                <w:szCs w:val="19"/>
                <w:color w:val="auto"/>
              </w:rPr>
            </w:pPr>
          </w:p>
        </w:tc>
        <w:tc>
          <w:tcPr>
            <w:tcW w:w="1820" w:type="dxa"/>
            <w:vAlign w:val="bottom"/>
            <w:tcBorders>
              <w:top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 Outstanding at</w:t>
            </w:r>
          </w:p>
        </w:tc>
        <w:tc>
          <w:tcPr>
            <w:tcW w:w="1880" w:type="dxa"/>
            <w:vAlign w:val="bottom"/>
            <w:tcBorders>
              <w:top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Restricted Stock Awards</w:t>
            </w:r>
          </w:p>
        </w:tc>
      </w:tr>
      <w:tr>
        <w:trPr>
          <w:trHeight w:val="211"/>
        </w:trPr>
        <w:tc>
          <w:tcPr>
            <w:tcW w:w="6220" w:type="dxa"/>
            <w:vAlign w:val="bottom"/>
            <w:tcBorders>
              <w:left w:val="single" w:sz="8" w:color="auto"/>
              <w:right w:val="single" w:sz="8" w:color="auto"/>
            </w:tcBorders>
            <w:shd w:val="clear" w:color="auto" w:fill="CCEEFF"/>
          </w:tcPr>
          <w:p>
            <w:pPr>
              <w:spacing w:after="0"/>
              <w:rPr>
                <w:sz w:val="18"/>
                <w:szCs w:val="18"/>
                <w:color w:val="auto"/>
              </w:rPr>
            </w:pPr>
          </w:p>
        </w:tc>
        <w:tc>
          <w:tcPr>
            <w:tcW w:w="18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Fiscal</w:t>
            </w:r>
          </w:p>
        </w:tc>
        <w:tc>
          <w:tcPr>
            <w:tcW w:w="18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at Fiscal</w:t>
            </w:r>
          </w:p>
        </w:tc>
      </w:tr>
      <w:tr>
        <w:trPr>
          <w:trHeight w:val="235"/>
        </w:trPr>
        <w:tc>
          <w:tcPr>
            <w:tcW w:w="622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Year-End (#)</w:t>
            </w:r>
          </w:p>
        </w:tc>
        <w:tc>
          <w:tcPr>
            <w:tcW w:w="1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Year-End (#)</w:t>
            </w:r>
          </w:p>
        </w:tc>
      </w:tr>
      <w:tr>
        <w:trPr>
          <w:trHeight w:val="211"/>
        </w:trPr>
        <w:tc>
          <w:tcPr>
            <w:tcW w:w="62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Eric Andersen</w:t>
            </w:r>
          </w:p>
        </w:tc>
        <w:tc>
          <w:tcPr>
            <w:tcW w:w="182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6"/>
                <w:szCs w:val="16"/>
                <w:color w:val="auto"/>
              </w:rPr>
              <w:t>78,558</w:t>
            </w:r>
          </w:p>
        </w:tc>
        <w:tc>
          <w:tcPr>
            <w:tcW w:w="1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5,327</w:t>
            </w:r>
          </w:p>
        </w:tc>
      </w:tr>
      <w:tr>
        <w:trPr>
          <w:trHeight w:val="209"/>
        </w:trPr>
        <w:tc>
          <w:tcPr>
            <w:tcW w:w="62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Bradley M. Gayton</w:t>
            </w:r>
          </w:p>
        </w:tc>
        <w:tc>
          <w:tcPr>
            <w:tcW w:w="182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5,327</w:t>
            </w:r>
          </w:p>
        </w:tc>
      </w:tr>
      <w:tr>
        <w:trPr>
          <w:trHeight w:val="209"/>
        </w:trPr>
        <w:tc>
          <w:tcPr>
            <w:tcW w:w="62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Mark J. Mendola</w:t>
            </w:r>
          </w:p>
        </w:tc>
        <w:tc>
          <w:tcPr>
            <w:tcW w:w="182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5,327</w:t>
            </w:r>
          </w:p>
        </w:tc>
      </w:tr>
      <w:tr>
        <w:trPr>
          <w:trHeight w:val="209"/>
        </w:trPr>
        <w:tc>
          <w:tcPr>
            <w:tcW w:w="62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Amanda Westphal Radcliffe</w:t>
            </w:r>
          </w:p>
        </w:tc>
        <w:tc>
          <w:tcPr>
            <w:tcW w:w="182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5,327</w:t>
            </w:r>
          </w:p>
        </w:tc>
      </w:tr>
      <w:tr>
        <w:trPr>
          <w:trHeight w:val="209"/>
        </w:trPr>
        <w:tc>
          <w:tcPr>
            <w:tcW w:w="62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Philip Saunders</w:t>
            </w:r>
          </w:p>
        </w:tc>
        <w:tc>
          <w:tcPr>
            <w:tcW w:w="182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5,327</w:t>
            </w:r>
          </w:p>
        </w:tc>
      </w:tr>
      <w:tr>
        <w:trPr>
          <w:trHeight w:val="209"/>
        </w:trPr>
        <w:tc>
          <w:tcPr>
            <w:tcW w:w="62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J. Richard Stamm</w:t>
            </w:r>
          </w:p>
        </w:tc>
        <w:tc>
          <w:tcPr>
            <w:tcW w:w="182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6"/>
                <w:szCs w:val="16"/>
                <w:color w:val="auto"/>
              </w:rPr>
              <w:t>18,623</w:t>
            </w:r>
          </w:p>
        </w:tc>
        <w:tc>
          <w:tcPr>
            <w:tcW w:w="1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5,327</w:t>
            </w:r>
          </w:p>
        </w:tc>
      </w:tr>
      <w:tr>
        <w:trPr>
          <w:trHeight w:val="209"/>
        </w:trPr>
        <w:tc>
          <w:tcPr>
            <w:tcW w:w="62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Stefanie Westphal Thompson</w:t>
            </w:r>
          </w:p>
        </w:tc>
        <w:tc>
          <w:tcPr>
            <w:tcW w:w="182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5,327</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event of a change in control, all restricted stock awards held by any non-employee director will vest immediately prior to such change in control.</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40"/>
          </w:cols>
          <w:pgMar w:left="980" w:top="473" w:right="979" w:bottom="1440" w:gutter="0" w:footer="0" w:header="0"/>
        </w:sectPr>
      </w:pPr>
    </w:p>
    <w:bookmarkStart w:id="47" w:name="page48"/>
    <w:bookmarkEnd w:id="47"/>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ind w:left="2"/>
        <w:spacing w:after="0"/>
        <w:rPr>
          <w:sz w:val="20"/>
          <w:szCs w:val="20"/>
          <w:color w:val="auto"/>
        </w:rPr>
      </w:pPr>
      <w:r>
        <w:rPr>
          <w:rFonts w:ascii="Times New Roman" w:cs="Times New Roman" w:eastAsia="Times New Roman" w:hAnsi="Times New Roman"/>
          <w:sz w:val="26"/>
          <w:szCs w:val="26"/>
          <w:b w:val="1"/>
          <w:bCs w:val="1"/>
          <w:color w:val="auto"/>
        </w:rPr>
        <w:t>EQUITY COMPENSATION PLAN INFORMATION</w:t>
      </w:r>
    </w:p>
    <w:p>
      <w:pPr>
        <w:spacing w:after="0" w:line="32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Securities Authorized for Issuance under Equity Compensation Plans</w:t>
      </w:r>
    </w:p>
    <w:p>
      <w:pPr>
        <w:spacing w:after="0" w:line="204" w:lineRule="exact"/>
        <w:rPr>
          <w:sz w:val="20"/>
          <w:szCs w:val="20"/>
          <w:color w:val="auto"/>
        </w:rPr>
      </w:pPr>
    </w:p>
    <w:p>
      <w:pPr>
        <w:ind w:left="2" w:right="20"/>
        <w:spacing w:after="0" w:line="284" w:lineRule="auto"/>
        <w:rPr>
          <w:sz w:val="20"/>
          <w:szCs w:val="20"/>
          <w:color w:val="auto"/>
        </w:rPr>
      </w:pPr>
      <w:r>
        <w:rPr>
          <w:rFonts w:ascii="Times New Roman" w:cs="Times New Roman" w:eastAsia="Times New Roman" w:hAnsi="Times New Roman"/>
          <w:sz w:val="16"/>
          <w:szCs w:val="16"/>
          <w:color w:val="auto"/>
        </w:rPr>
        <w:t>The following table provides information with respect to shares of our Class A Common Stock that may be issued under our existing compensation plans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6311900" cy="18846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11900" cy="1884680"/>
                    </a:xfrm>
                    <a:prstGeom prst="rect">
                      <a:avLst/>
                    </a:prstGeom>
                    <a:noFill/>
                  </pic:spPr>
                </pic:pic>
              </a:graphicData>
            </a:graphic>
          </wp:anchor>
        </w:drawing>
      </w:r>
    </w:p>
    <w:p>
      <w:pPr>
        <w:spacing w:after="0" w:line="176" w:lineRule="exact"/>
        <w:rPr>
          <w:sz w:val="20"/>
          <w:szCs w:val="20"/>
          <w:color w:val="auto"/>
        </w:rPr>
      </w:pPr>
    </w:p>
    <w:tbl>
      <w:tblPr>
        <w:tblLayout w:type="fixed"/>
        <w:tblInd w:w="2" w:type="dxa"/>
        <w:tblCellMar>
          <w:top w:w="0" w:type="dxa"/>
          <w:left w:w="0" w:type="dxa"/>
          <w:bottom w:w="0" w:type="dxa"/>
          <w:right w:w="0" w:type="dxa"/>
        </w:tblCellMar>
      </w:tblPr>
      <w:tr>
        <w:trPr>
          <w:trHeight w:val="211"/>
        </w:trPr>
        <w:tc>
          <w:tcPr>
            <w:tcW w:w="25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 securities remaining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52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 to be issued</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Weighted-average exercise price of</w:t>
            </w: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available for future issuance under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5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upon exercise of outstanding</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options, warrants and</w:t>
            </w: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equity compensation plans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20" w:type="dxa"/>
            <w:vAlign w:val="bottom"/>
            <w:shd w:val="clear" w:color="auto" w:fill="CCEEFF"/>
          </w:tcPr>
          <w:p>
            <w:pPr>
              <w:spacing w:after="0"/>
              <w:rPr>
                <w:sz w:val="16"/>
                <w:szCs w:val="16"/>
                <w:color w:val="auto"/>
              </w:rPr>
            </w:pP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 warrants and rights</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rights ($)</w:t>
            </w: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(excluding securities reflected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5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column (a))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52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(a)</w:t>
            </w:r>
          </w:p>
        </w:tc>
        <w:tc>
          <w:tcPr>
            <w:tcW w:w="2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w:t>
            </w:r>
          </w:p>
        </w:tc>
        <w:tc>
          <w:tcPr>
            <w:tcW w:w="2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w:t>
            </w: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7,252,250</w:t>
            </w:r>
            <w:r>
              <w:rPr>
                <w:rFonts w:ascii="Times New Roman" w:cs="Times New Roman" w:eastAsia="Times New Roman" w:hAnsi="Times New Roman"/>
                <w:sz w:val="24"/>
                <w:szCs w:val="24"/>
                <w:color w:val="auto"/>
                <w:w w:val="94"/>
                <w:vertAlign w:val="superscript"/>
              </w:rPr>
              <w:t>(2)</w:t>
            </w: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89"/>
              </w:rPr>
              <w:t>7.32</w:t>
            </w:r>
            <w:r>
              <w:rPr>
                <w:rFonts w:ascii="Times New Roman" w:cs="Times New Roman" w:eastAsia="Times New Roman" w:hAnsi="Times New Roman"/>
                <w:sz w:val="24"/>
                <w:szCs w:val="24"/>
                <w:color w:val="auto"/>
                <w:w w:val="89"/>
                <w:vertAlign w:val="superscript"/>
              </w:rPr>
              <w:t>(3)</w:t>
            </w: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24,852,098</w:t>
            </w:r>
            <w:r>
              <w:rPr>
                <w:rFonts w:ascii="Times New Roman" w:cs="Times New Roman" w:eastAsia="Times New Roman" w:hAnsi="Times New Roman"/>
                <w:sz w:val="24"/>
                <w:szCs w:val="24"/>
                <w:color w:val="auto"/>
                <w:w w:val="94"/>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by security holders</w:t>
            </w:r>
            <w:r>
              <w:rPr>
                <w:rFonts w:ascii="Times New Roman" w:cs="Times New Roman" w:eastAsia="Times New Roman" w:hAnsi="Times New Roman"/>
                <w:sz w:val="24"/>
                <w:szCs w:val="24"/>
                <w:color w:val="auto"/>
                <w:vertAlign w:val="superscript"/>
              </w:rPr>
              <w:t>(1)</w:t>
            </w:r>
          </w:p>
        </w:tc>
        <w:tc>
          <w:tcPr>
            <w:tcW w:w="2440" w:type="dxa"/>
            <w:vAlign w:val="bottom"/>
            <w:vMerge w:val="continue"/>
          </w:tcPr>
          <w:p>
            <w:pPr>
              <w:spacing w:after="0"/>
              <w:rPr>
                <w:sz w:val="14"/>
                <w:szCs w:val="14"/>
                <w:color w:val="auto"/>
              </w:rPr>
            </w:pPr>
          </w:p>
        </w:tc>
        <w:tc>
          <w:tcPr>
            <w:tcW w:w="2500" w:type="dxa"/>
            <w:vAlign w:val="bottom"/>
            <w:vMerge w:val="continue"/>
          </w:tcPr>
          <w:p>
            <w:pPr>
              <w:spacing w:after="0"/>
              <w:rPr>
                <w:sz w:val="14"/>
                <w:szCs w:val="14"/>
                <w:color w:val="auto"/>
              </w:rPr>
            </w:pPr>
          </w:p>
        </w:tc>
        <w:tc>
          <w:tcPr>
            <w:tcW w:w="24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vMerge w:val="continue"/>
          </w:tcPr>
          <w:p>
            <w:pPr>
              <w:spacing w:after="0"/>
              <w:rPr>
                <w:sz w:val="12"/>
                <w:szCs w:val="12"/>
                <w:color w:val="auto"/>
              </w:rPr>
            </w:pPr>
          </w:p>
        </w:tc>
        <w:tc>
          <w:tcPr>
            <w:tcW w:w="24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52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w:t>
            </w: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approved by security holders</w:t>
            </w:r>
          </w:p>
        </w:tc>
        <w:tc>
          <w:tcPr>
            <w:tcW w:w="2440" w:type="dxa"/>
            <w:vAlign w:val="bottom"/>
            <w:vMerge w:val="continue"/>
          </w:tcPr>
          <w:p>
            <w:pPr>
              <w:spacing w:after="0"/>
              <w:rPr>
                <w:sz w:val="9"/>
                <w:szCs w:val="9"/>
                <w:color w:val="auto"/>
              </w:rPr>
            </w:pPr>
          </w:p>
        </w:tc>
        <w:tc>
          <w:tcPr>
            <w:tcW w:w="2500" w:type="dxa"/>
            <w:vAlign w:val="bottom"/>
            <w:vMerge w:val="continue"/>
          </w:tcPr>
          <w:p>
            <w:pPr>
              <w:spacing w:after="0"/>
              <w:rPr>
                <w:sz w:val="9"/>
                <w:szCs w:val="9"/>
                <w:color w:val="auto"/>
              </w:rPr>
            </w:pPr>
          </w:p>
        </w:tc>
        <w:tc>
          <w:tcPr>
            <w:tcW w:w="24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520" w:type="dxa"/>
            <w:vAlign w:val="bottom"/>
            <w:vMerge w:val="continue"/>
          </w:tcPr>
          <w:p>
            <w:pPr>
              <w:spacing w:after="0"/>
              <w:rPr>
                <w:sz w:val="9"/>
                <w:szCs w:val="9"/>
                <w:color w:val="auto"/>
              </w:rPr>
            </w:pPr>
          </w:p>
        </w:tc>
        <w:tc>
          <w:tcPr>
            <w:tcW w:w="24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5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7,252,250</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7.32</w:t>
            </w: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24,852,098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82" w:hanging="282"/>
        <w:spacing w:after="0"/>
        <w:tabs>
          <w:tab w:leader="none" w:pos="282"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the 2020 Plan and the Company’s 2020 Employee Stock Purchase Plan (the “2020 ESPP”).</w:t>
      </w:r>
    </w:p>
    <w:p>
      <w:pPr>
        <w:ind w:left="282" w:right="180" w:hanging="282"/>
        <w:spacing w:after="0" w:line="213" w:lineRule="auto"/>
        <w:tabs>
          <w:tab w:leader="none" w:pos="282"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1,699,536 outstanding options, 5,411,337 outstanding RSUs and 141,377 performance-based RSUs (at target) under the 2020 Plan. Excludes purchase rights accruing under the 2020 ESPP.</w:t>
      </w:r>
    </w:p>
    <w:p>
      <w:pPr>
        <w:ind w:left="282" w:right="340" w:hanging="282"/>
        <w:spacing w:after="0" w:line="229" w:lineRule="auto"/>
        <w:tabs>
          <w:tab w:leader="none" w:pos="282"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weighted average exercise price as of December 31, 2025 of options to purchase shares of our Class A Common Stock. The amount shown does not take into account RSUs which do not have an exercise price.</w:t>
      </w:r>
    </w:p>
    <w:p>
      <w:pPr>
        <w:spacing w:after="0" w:line="14" w:lineRule="exact"/>
        <w:rPr>
          <w:rFonts w:ascii="Times New Roman" w:cs="Times New Roman" w:eastAsia="Times New Roman" w:hAnsi="Times New Roman"/>
          <w:sz w:val="13"/>
          <w:szCs w:val="13"/>
          <w:color w:val="auto"/>
        </w:rPr>
      </w:pPr>
    </w:p>
    <w:p>
      <w:pPr>
        <w:jc w:val="both"/>
        <w:ind w:left="282" w:right="20" w:hanging="282"/>
        <w:spacing w:after="0" w:line="242" w:lineRule="auto"/>
        <w:tabs>
          <w:tab w:leader="none" w:pos="282"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2"/>
          <w:szCs w:val="12"/>
          <w:color w:val="auto"/>
        </w:rPr>
        <w:t>This amount includes 6,131,729 shares of Class A Common Stock under the 2020 ESPP and 18,720,369 shares of Class A Common Stock under the 2020 Plan. The number of shares available for issuance under the 2020 Plan may be increased annually on the first day of each calendar year beginning on January 1, 2021 and ending on and including January 1, 2030, by an amount equal to the lesser of (A) 4% of the aggregate number of shares of Common Stock outstanding on the final day of the immediately preceding calendar year and (B) such smaller number of shares of Class A Common Stock as is determined by the Board. The number of shares available for issuance under the 2020 ESPP may be increased annually on the first day of each calendar year beginning on January 1, 2021 and ending on and including January 1, 2030, by an amount equal to the lesser of (A) 1% of the aggregate number of shares of Common Stock outstanding on the final day of the immediately preceding calendar year and (B) such smaller number of shares of Class A Common Stock as determined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42"/>
          </w:cols>
          <w:pgMar w:left="978" w:top="473" w:right="979" w:bottom="1440" w:gutter="0" w:footer="0" w:header="0"/>
        </w:sectPr>
      </w:pPr>
    </w:p>
    <w:bookmarkStart w:id="48" w:name="page49"/>
    <w:bookmarkEnd w:id="48"/>
    <w:p>
      <w:pPr>
        <w:ind w:left="2"/>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ind w:left="2" w:right="1780"/>
        <w:spacing w:after="0" w:line="276" w:lineRule="auto"/>
        <w:rPr>
          <w:sz w:val="20"/>
          <w:szCs w:val="20"/>
          <w:color w:val="auto"/>
        </w:rPr>
      </w:pPr>
      <w:r>
        <w:rPr>
          <w:rFonts w:ascii="Times New Roman" w:cs="Times New Roman" w:eastAsia="Times New Roman" w:hAnsi="Times New Roman"/>
          <w:sz w:val="26"/>
          <w:szCs w:val="26"/>
          <w:b w:val="1"/>
          <w:bCs w:val="1"/>
          <w:color w:val="auto"/>
        </w:rPr>
        <w:t>SECURITY OWNERSHIP OF CERTAIN BENEFICIAL OWNERS AND MANAGEMENT</w:t>
      </w:r>
    </w:p>
    <w:p>
      <w:pPr>
        <w:spacing w:after="0" w:line="12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following table sets forth information with respect to the beneficial ownership of our Class A Common Stock and Class B Common Stock:</w:t>
      </w:r>
    </w:p>
    <w:p>
      <w:pPr>
        <w:spacing w:after="0" w:line="25" w:lineRule="exact"/>
        <w:rPr>
          <w:sz w:val="20"/>
          <w:szCs w:val="20"/>
          <w:color w:val="auto"/>
        </w:rPr>
      </w:pPr>
    </w:p>
    <w:p>
      <w:pPr>
        <w:ind w:left="622" w:hanging="284"/>
        <w:spacing w:after="0"/>
        <w:tabs>
          <w:tab w:leader="none" w:pos="622"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known by us to beneficially own more than 5% of our Class A Common Stock and our Class B Common Stock;</w:t>
      </w:r>
    </w:p>
    <w:p>
      <w:pPr>
        <w:spacing w:after="0" w:line="9" w:lineRule="exact"/>
        <w:rPr>
          <w:rFonts w:ascii="Times New Roman" w:cs="Times New Roman" w:eastAsia="Times New Roman" w:hAnsi="Times New Roman"/>
          <w:sz w:val="16"/>
          <w:szCs w:val="16"/>
          <w:color w:val="auto"/>
        </w:rPr>
      </w:pPr>
    </w:p>
    <w:p>
      <w:pPr>
        <w:ind w:left="622" w:hanging="284"/>
        <w:spacing w:after="0"/>
        <w:tabs>
          <w:tab w:leader="none" w:pos="622"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 and director nominees;</w:t>
      </w:r>
    </w:p>
    <w:p>
      <w:pPr>
        <w:spacing w:after="0" w:line="9" w:lineRule="exact"/>
        <w:rPr>
          <w:rFonts w:ascii="Times New Roman" w:cs="Times New Roman" w:eastAsia="Times New Roman" w:hAnsi="Times New Roman"/>
          <w:sz w:val="16"/>
          <w:szCs w:val="16"/>
          <w:color w:val="auto"/>
        </w:rPr>
      </w:pPr>
    </w:p>
    <w:p>
      <w:pPr>
        <w:ind w:left="622" w:hanging="284"/>
        <w:spacing w:after="0"/>
        <w:tabs>
          <w:tab w:leader="none" w:pos="622"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named executive officers; and</w:t>
      </w:r>
    </w:p>
    <w:p>
      <w:pPr>
        <w:spacing w:after="0" w:line="9" w:lineRule="exact"/>
        <w:rPr>
          <w:rFonts w:ascii="Times New Roman" w:cs="Times New Roman" w:eastAsia="Times New Roman" w:hAnsi="Times New Roman"/>
          <w:sz w:val="16"/>
          <w:szCs w:val="16"/>
          <w:color w:val="auto"/>
        </w:rPr>
      </w:pPr>
    </w:p>
    <w:p>
      <w:pPr>
        <w:ind w:left="622" w:hanging="284"/>
        <w:spacing w:after="0"/>
        <w:tabs>
          <w:tab w:leader="none" w:pos="622"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executive officers and directors as a group.</w:t>
      </w:r>
    </w:p>
    <w:p>
      <w:pPr>
        <w:spacing w:after="0" w:line="186" w:lineRule="exact"/>
        <w:rPr>
          <w:sz w:val="20"/>
          <w:szCs w:val="20"/>
          <w:color w:val="auto"/>
        </w:rPr>
      </w:pPr>
    </w:p>
    <w:p>
      <w:pPr>
        <w:jc w:val="both"/>
        <w:ind w:left="2"/>
        <w:spacing w:after="0" w:line="255" w:lineRule="auto"/>
        <w:rPr>
          <w:sz w:val="20"/>
          <w:szCs w:val="20"/>
          <w:color w:val="auto"/>
        </w:rPr>
      </w:pPr>
      <w:r>
        <w:rPr>
          <w:rFonts w:ascii="Times New Roman" w:cs="Times New Roman" w:eastAsia="Times New Roman" w:hAnsi="Times New Roman"/>
          <w:sz w:val="16"/>
          <w:szCs w:val="16"/>
          <w:color w:val="auto"/>
        </w:rPr>
        <w:t>The number of shares beneficially owned by each stockholder, as described in this Proxy Statement, is determined under rules issued by the SEC. Under these rules, beneficial ownership includes any shares as to which the individual or entity has sole or shared voting power or investment power. Applicable percentage ownership is based on 79,582,144 shares of Class A Common Stock and 82,155,641 shares of Class B Common Stock outstanding as of April 15, 2026. In computing the number of shares beneficially owned by an individual or entity and the percentage ownership of that person, shares of Common Stock subject to options, or other rights, held by such person that are currently exercisable or will become exercisable within 60 days of April 15, 2026, are considered outstanding, although these shares are not considered outstanding for purposes of computing the percentage ownership of any other person. Unless otherwise indicated, the address of all listed stockholders is 2301 Renaissance Blvd., King of Prussia, PA 19406. Each of the stockholders listed has sole voting and investment power with respect to the shares beneficially owned by the stockholder unless noted otherwise, subject to community property laws where applicable.</w:t>
      </w:r>
    </w:p>
    <w:p>
      <w:pPr>
        <w:spacing w:after="0" w:line="167" w:lineRule="exact"/>
        <w:rPr>
          <w:sz w:val="20"/>
          <w:szCs w:val="20"/>
          <w:color w:val="auto"/>
        </w:rPr>
      </w:pPr>
    </w:p>
    <w:tbl>
      <w:tblPr>
        <w:tblLayout w:type="fixed"/>
        <w:tblInd w:w="12" w:type="dxa"/>
        <w:tblCellMar>
          <w:top w:w="0" w:type="dxa"/>
          <w:left w:w="0" w:type="dxa"/>
          <w:bottom w:w="0" w:type="dxa"/>
          <w:right w:w="0" w:type="dxa"/>
        </w:tblCellMar>
      </w:tblPr>
      <w:tr>
        <w:trPr>
          <w:trHeight w:val="187"/>
        </w:trPr>
        <w:tc>
          <w:tcPr>
            <w:tcW w:w="2980" w:type="dxa"/>
            <w:vAlign w:val="bottom"/>
            <w:tcBorders>
              <w:right w:val="single" w:sz="8" w:color="auto"/>
            </w:tcBorders>
          </w:tcPr>
          <w:p>
            <w:pPr>
              <w:spacing w:after="0"/>
              <w:rPr>
                <w:sz w:val="16"/>
                <w:szCs w:val="16"/>
                <w:color w:val="auto"/>
              </w:rPr>
            </w:pPr>
          </w:p>
        </w:tc>
        <w:tc>
          <w:tcPr>
            <w:tcW w:w="2720" w:type="dxa"/>
            <w:vAlign w:val="bottom"/>
            <w:tcBorders>
              <w:top w:val="single" w:sz="8" w:color="auto"/>
            </w:tcBorders>
            <w:gridSpan w:val="2"/>
            <w:shd w:val="clear" w:color="auto" w:fill="CCEEFF"/>
          </w:tcPr>
          <w:p>
            <w:pPr>
              <w:jc w:val="center"/>
              <w:ind w:left="220"/>
              <w:spacing w:after="0"/>
              <w:rPr>
                <w:sz w:val="20"/>
                <w:szCs w:val="20"/>
                <w:color w:val="auto"/>
              </w:rPr>
            </w:pPr>
            <w:r>
              <w:rPr>
                <w:rFonts w:ascii="Times New Roman" w:cs="Times New Roman" w:eastAsia="Times New Roman" w:hAnsi="Times New Roman"/>
                <w:sz w:val="16"/>
                <w:szCs w:val="16"/>
                <w:b w:val="1"/>
                <w:bCs w:val="1"/>
                <w:color w:val="auto"/>
              </w:rPr>
              <w:t>Shares of Class A Common Stock</w:t>
            </w:r>
          </w:p>
        </w:tc>
        <w:tc>
          <w:tcPr>
            <w:tcW w:w="320" w:type="dxa"/>
            <w:vAlign w:val="bottom"/>
            <w:tcBorders>
              <w:top w:val="single" w:sz="8" w:color="auto"/>
              <w:right w:val="single" w:sz="8" w:color="auto"/>
            </w:tcBorders>
            <w:shd w:val="clear" w:color="auto" w:fill="CCEEFF"/>
          </w:tcPr>
          <w:p>
            <w:pPr>
              <w:spacing w:after="0"/>
              <w:rPr>
                <w:sz w:val="16"/>
                <w:szCs w:val="16"/>
                <w:color w:val="auto"/>
              </w:rPr>
            </w:pPr>
          </w:p>
        </w:tc>
        <w:tc>
          <w:tcPr>
            <w:tcW w:w="2840" w:type="dxa"/>
            <w:vAlign w:val="bottom"/>
            <w:tcBorders>
              <w:top w:val="single" w:sz="8" w:color="auto"/>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Shares of Class B Common Stock</w:t>
            </w:r>
          </w:p>
        </w:tc>
        <w:tc>
          <w:tcPr>
            <w:tcW w:w="1060" w:type="dxa"/>
            <w:vAlign w:val="bottom"/>
            <w:tcBorders>
              <w:top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Combined</w:t>
            </w:r>
          </w:p>
        </w:tc>
      </w:tr>
      <w:tr>
        <w:trPr>
          <w:trHeight w:val="193"/>
        </w:trPr>
        <w:tc>
          <w:tcPr>
            <w:tcW w:w="2980" w:type="dxa"/>
            <w:vAlign w:val="bottom"/>
            <w:tcBorders>
              <w:right w:val="single" w:sz="8" w:color="auto"/>
            </w:tcBorders>
          </w:tcPr>
          <w:p>
            <w:pPr>
              <w:spacing w:after="0"/>
              <w:rPr>
                <w:sz w:val="16"/>
                <w:szCs w:val="16"/>
                <w:color w:val="auto"/>
              </w:rPr>
            </w:pPr>
          </w:p>
        </w:tc>
        <w:tc>
          <w:tcPr>
            <w:tcW w:w="2720" w:type="dxa"/>
            <w:vAlign w:val="bottom"/>
            <w:gridSpan w:val="2"/>
            <w:shd w:val="clear" w:color="auto" w:fill="CCEEFF"/>
          </w:tcPr>
          <w:p>
            <w:pPr>
              <w:jc w:val="center"/>
              <w:ind w:left="220"/>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320" w:type="dxa"/>
            <w:vAlign w:val="bottom"/>
            <w:tcBorders>
              <w:right w:val="single" w:sz="8" w:color="auto"/>
            </w:tcBorders>
            <w:shd w:val="clear" w:color="auto" w:fill="CCEEFF"/>
          </w:tcPr>
          <w:p>
            <w:pPr>
              <w:spacing w:after="0"/>
              <w:rPr>
                <w:sz w:val="16"/>
                <w:szCs w:val="16"/>
                <w:color w:val="auto"/>
              </w:rPr>
            </w:pPr>
          </w:p>
        </w:tc>
        <w:tc>
          <w:tcPr>
            <w:tcW w:w="2840" w:type="dxa"/>
            <w:vAlign w:val="bottom"/>
            <w:tcBorders>
              <w:right w:val="single" w:sz="8" w:color="auto"/>
            </w:tcBorders>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Voting</w:t>
            </w:r>
          </w:p>
        </w:tc>
      </w:tr>
      <w:tr>
        <w:trPr>
          <w:trHeight w:val="211"/>
        </w:trPr>
        <w:tc>
          <w:tcPr>
            <w:tcW w:w="29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right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CCEEFF"/>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Power</w:t>
            </w:r>
          </w:p>
        </w:tc>
      </w:tr>
      <w:tr>
        <w:trPr>
          <w:trHeight w:val="167"/>
        </w:trPr>
        <w:tc>
          <w:tcPr>
            <w:tcW w:w="2980" w:type="dxa"/>
            <w:vAlign w:val="bottom"/>
            <w:tcBorders>
              <w:left w:val="single" w:sz="8" w:color="auto"/>
              <w:right w:val="single" w:sz="8" w:color="auto"/>
            </w:tcBorders>
            <w:shd w:val="clear" w:color="auto" w:fill="CCEEFF"/>
          </w:tcPr>
          <w:p>
            <w:pPr>
              <w:ind w:left="100"/>
              <w:spacing w:after="0" w:line="167" w:lineRule="exact"/>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640" w:type="dxa"/>
            <w:vAlign w:val="bottom"/>
            <w:tcBorders>
              <w:right w:val="single" w:sz="8" w:color="auto"/>
            </w:tcBorders>
            <w:shd w:val="clear" w:color="auto" w:fill="CCEEFF"/>
          </w:tcPr>
          <w:p>
            <w:pPr>
              <w:jc w:val="right"/>
              <w:ind w:right="460"/>
              <w:spacing w:after="0" w:line="167" w:lineRule="exact"/>
              <w:rPr>
                <w:sz w:val="20"/>
                <w:szCs w:val="20"/>
                <w:color w:val="auto"/>
              </w:rPr>
            </w:pPr>
            <w:r>
              <w:rPr>
                <w:rFonts w:ascii="Times New Roman" w:cs="Times New Roman" w:eastAsia="Times New Roman" w:hAnsi="Times New Roman"/>
                <w:sz w:val="16"/>
                <w:szCs w:val="16"/>
                <w:b w:val="1"/>
                <w:bCs w:val="1"/>
                <w:color w:val="auto"/>
              </w:rPr>
              <w:t>Number</w:t>
            </w:r>
          </w:p>
        </w:tc>
        <w:tc>
          <w:tcPr>
            <w:tcW w:w="1080" w:type="dxa"/>
            <w:vAlign w:val="bottom"/>
            <w:shd w:val="clear" w:color="auto" w:fill="CCEEFF"/>
          </w:tcPr>
          <w:p>
            <w:pPr>
              <w:ind w:left="320"/>
              <w:spacing w:after="0" w:line="167" w:lineRule="exact"/>
              <w:rPr>
                <w:sz w:val="20"/>
                <w:szCs w:val="20"/>
                <w:color w:val="auto"/>
              </w:rPr>
            </w:pPr>
            <w:r>
              <w:rPr>
                <w:rFonts w:ascii="Times New Roman" w:cs="Times New Roman" w:eastAsia="Times New Roman" w:hAnsi="Times New Roman"/>
                <w:sz w:val="16"/>
                <w:szCs w:val="16"/>
                <w:b w:val="1"/>
                <w:bCs w:val="1"/>
                <w:color w:val="auto"/>
                <w:w w:val="97"/>
              </w:rPr>
              <w:t>Percentage</w:t>
            </w:r>
          </w:p>
        </w:tc>
        <w:tc>
          <w:tcPr>
            <w:tcW w:w="320" w:type="dxa"/>
            <w:vAlign w:val="bottom"/>
            <w:tcBorders>
              <w:right w:val="single" w:sz="8" w:color="auto"/>
            </w:tcBorders>
            <w:shd w:val="clear" w:color="auto" w:fill="CCEEFF"/>
          </w:tcPr>
          <w:p>
            <w:pPr>
              <w:spacing w:after="0"/>
              <w:rPr>
                <w:sz w:val="14"/>
                <w:szCs w:val="14"/>
                <w:color w:val="auto"/>
              </w:rPr>
            </w:pPr>
          </w:p>
        </w:tc>
        <w:tc>
          <w:tcPr>
            <w:tcW w:w="1420" w:type="dxa"/>
            <w:vAlign w:val="bottom"/>
            <w:tcBorders>
              <w:right w:val="single" w:sz="8" w:color="auto"/>
            </w:tcBorders>
            <w:shd w:val="clear" w:color="auto" w:fill="CCEEFF"/>
          </w:tcPr>
          <w:p>
            <w:pPr>
              <w:jc w:val="right"/>
              <w:ind w:right="360"/>
              <w:spacing w:after="0" w:line="167" w:lineRule="exact"/>
              <w:rPr>
                <w:sz w:val="20"/>
                <w:szCs w:val="20"/>
                <w:color w:val="auto"/>
              </w:rPr>
            </w:pPr>
            <w:r>
              <w:rPr>
                <w:rFonts w:ascii="Times New Roman" w:cs="Times New Roman" w:eastAsia="Times New Roman" w:hAnsi="Times New Roman"/>
                <w:sz w:val="16"/>
                <w:szCs w:val="16"/>
                <w:b w:val="1"/>
                <w:bCs w:val="1"/>
                <w:color w:val="auto"/>
              </w:rPr>
              <w:t>Number</w:t>
            </w:r>
          </w:p>
        </w:tc>
        <w:tc>
          <w:tcPr>
            <w:tcW w:w="1420" w:type="dxa"/>
            <w:vAlign w:val="bottom"/>
            <w:tcBorders>
              <w:right w:val="single" w:sz="8" w:color="auto"/>
            </w:tcBorders>
            <w:shd w:val="clear" w:color="auto" w:fill="CCEEFF"/>
          </w:tcPr>
          <w:p>
            <w:pPr>
              <w:jc w:val="right"/>
              <w:ind w:right="280"/>
              <w:spacing w:after="0" w:line="167" w:lineRule="exact"/>
              <w:rPr>
                <w:sz w:val="20"/>
                <w:szCs w:val="20"/>
                <w:color w:val="auto"/>
              </w:rPr>
            </w:pPr>
            <w:r>
              <w:rPr>
                <w:rFonts w:ascii="Times New Roman" w:cs="Times New Roman" w:eastAsia="Times New Roman" w:hAnsi="Times New Roman"/>
                <w:sz w:val="16"/>
                <w:szCs w:val="16"/>
                <w:b w:val="1"/>
                <w:bCs w:val="1"/>
                <w:color w:val="auto"/>
              </w:rPr>
              <w:t>Percentage</w:t>
            </w:r>
          </w:p>
        </w:tc>
        <w:tc>
          <w:tcPr>
            <w:tcW w:w="1060" w:type="dxa"/>
            <w:vAlign w:val="bottom"/>
            <w:tcBorders>
              <w:right w:val="single" w:sz="8" w:color="auto"/>
            </w:tcBorders>
            <w:shd w:val="clear" w:color="auto" w:fill="CCEEFF"/>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w w:val="97"/>
              </w:rPr>
              <w:t>Percentage</w:t>
            </w:r>
          </w:p>
        </w:tc>
      </w:tr>
      <w:tr>
        <w:trPr>
          <w:trHeight w:val="211"/>
        </w:trPr>
        <w:tc>
          <w:tcPr>
            <w:tcW w:w="29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5% Stockholders</w:t>
            </w:r>
          </w:p>
        </w:tc>
        <w:tc>
          <w:tcPr>
            <w:tcW w:w="1640" w:type="dxa"/>
            <w:vAlign w:val="bottom"/>
            <w:tcBorders>
              <w:bottom w:val="single" w:sz="8" w:color="auto"/>
              <w:right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right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185"/>
        </w:trPr>
        <w:tc>
          <w:tcPr>
            <w:tcW w:w="29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The Controlling Family Group (1)</w:t>
            </w:r>
          </w:p>
        </w:tc>
        <w:tc>
          <w:tcPr>
            <w:tcW w:w="164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4,065,264</w:t>
            </w: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5.1</w:t>
            </w:r>
          </w:p>
        </w:tc>
        <w:tc>
          <w:tcPr>
            <w:tcW w:w="14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82,155,641</w:t>
            </w:r>
          </w:p>
        </w:tc>
        <w:tc>
          <w:tcPr>
            <w:tcW w:w="142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100.0</w:t>
            </w:r>
          </w:p>
        </w:tc>
        <w:tc>
          <w:tcPr>
            <w:tcW w:w="10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91.6</w:t>
            </w:r>
          </w:p>
        </w:tc>
      </w:tr>
      <w:tr>
        <w:trPr>
          <w:trHeight w:val="185"/>
        </w:trPr>
        <w:tc>
          <w:tcPr>
            <w:tcW w:w="29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BlackRock, Inc. (2)</w:t>
            </w:r>
          </w:p>
        </w:tc>
        <w:tc>
          <w:tcPr>
            <w:tcW w:w="164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5,474,762</w:t>
            </w: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6.9</w:t>
            </w:r>
          </w:p>
        </w:tc>
        <w:tc>
          <w:tcPr>
            <w:tcW w:w="14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2980" w:type="dxa"/>
            <w:vAlign w:val="bottom"/>
            <w:tcBorders>
              <w:left w:val="single" w:sz="8" w:color="auto"/>
              <w:bottom w:val="single" w:sz="8" w:color="auto"/>
              <w:right w:val="single" w:sz="8" w:color="auto"/>
            </w:tcBorders>
          </w:tcPr>
          <w:p>
            <w:pPr>
              <w:spacing w:after="0"/>
              <w:rPr>
                <w:sz w:val="16"/>
                <w:szCs w:val="16"/>
                <w:color w:val="auto"/>
              </w:rPr>
            </w:pPr>
          </w:p>
        </w:tc>
        <w:tc>
          <w:tcPr>
            <w:tcW w:w="164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r>
      <w:tr>
        <w:trPr>
          <w:trHeight w:val="167"/>
        </w:trPr>
        <w:tc>
          <w:tcPr>
            <w:tcW w:w="2980" w:type="dxa"/>
            <w:vAlign w:val="bottom"/>
            <w:tcBorders>
              <w:left w:val="single" w:sz="8" w:color="auto"/>
            </w:tcBorders>
          </w:tcPr>
          <w:p>
            <w:pPr>
              <w:ind w:left="100"/>
              <w:spacing w:after="0" w:line="167" w:lineRule="exact"/>
              <w:rPr>
                <w:sz w:val="20"/>
                <w:szCs w:val="20"/>
                <w:color w:val="auto"/>
              </w:rPr>
            </w:pPr>
            <w:r>
              <w:rPr>
                <w:rFonts w:ascii="Times New Roman" w:cs="Times New Roman" w:eastAsia="Times New Roman" w:hAnsi="Times New Roman"/>
                <w:sz w:val="16"/>
                <w:szCs w:val="16"/>
                <w:b w:val="1"/>
                <w:bCs w:val="1"/>
                <w:color w:val="auto"/>
              </w:rPr>
              <w:t>Named Executive Officers,</w:t>
            </w: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r>
      <w:tr>
        <w:trPr>
          <w:trHeight w:val="211"/>
        </w:trPr>
        <w:tc>
          <w:tcPr>
            <w:tcW w:w="29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Directors and Director Nominees</w:t>
            </w:r>
          </w:p>
        </w:tc>
        <w:tc>
          <w:tcPr>
            <w:tcW w:w="1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r>
      <w:tr>
        <w:trPr>
          <w:trHeight w:val="185"/>
        </w:trPr>
        <w:tc>
          <w:tcPr>
            <w:tcW w:w="29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Eric Andersen (3)</w:t>
            </w:r>
          </w:p>
        </w:tc>
        <w:tc>
          <w:tcPr>
            <w:tcW w:w="164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228,899</w:t>
            </w: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29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David DeStefano (4)</w:t>
            </w:r>
          </w:p>
        </w:tc>
        <w:tc>
          <w:tcPr>
            <w:tcW w:w="164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1,459,549</w:t>
            </w: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1.8</w:t>
            </w:r>
          </w:p>
        </w:tc>
        <w:tc>
          <w:tcPr>
            <w:tcW w:w="14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29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Bradley M. Gayton (5)</w:t>
            </w:r>
          </w:p>
        </w:tc>
        <w:tc>
          <w:tcPr>
            <w:tcW w:w="164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52,862</w:t>
            </w: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29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Mark J. Mendola(6)</w:t>
            </w:r>
          </w:p>
        </w:tc>
        <w:tc>
          <w:tcPr>
            <w:tcW w:w="164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5,327</w:t>
            </w: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29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Amanda Westphal Radcliffe (7)</w:t>
            </w:r>
          </w:p>
        </w:tc>
        <w:tc>
          <w:tcPr>
            <w:tcW w:w="164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143,392</w:t>
            </w: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33,129,702</w:t>
            </w:r>
          </w:p>
        </w:tc>
        <w:tc>
          <w:tcPr>
            <w:tcW w:w="142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40.3</w:t>
            </w:r>
          </w:p>
        </w:tc>
        <w:tc>
          <w:tcPr>
            <w:tcW w:w="10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36.8</w:t>
            </w:r>
          </w:p>
        </w:tc>
      </w:tr>
      <w:tr>
        <w:trPr>
          <w:trHeight w:val="185"/>
        </w:trPr>
        <w:tc>
          <w:tcPr>
            <w:tcW w:w="29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Bryan Rowland</w:t>
            </w:r>
          </w:p>
        </w:tc>
        <w:tc>
          <w:tcPr>
            <w:tcW w:w="164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12,872</w:t>
            </w: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29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Philip Saunders (8)</w:t>
            </w:r>
          </w:p>
        </w:tc>
        <w:tc>
          <w:tcPr>
            <w:tcW w:w="164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34,968</w:t>
            </w: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29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John Schwab (9)</w:t>
            </w:r>
          </w:p>
        </w:tc>
        <w:tc>
          <w:tcPr>
            <w:tcW w:w="164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501,743</w:t>
            </w: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29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J. Richard Stamm (10)</w:t>
            </w:r>
          </w:p>
        </w:tc>
        <w:tc>
          <w:tcPr>
            <w:tcW w:w="164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35,670</w:t>
            </w: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29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Stefanie Westphal Thompson (11)</w:t>
            </w:r>
          </w:p>
        </w:tc>
        <w:tc>
          <w:tcPr>
            <w:tcW w:w="164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51,357</w:t>
            </w: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32,934,905</w:t>
            </w:r>
          </w:p>
        </w:tc>
        <w:tc>
          <w:tcPr>
            <w:tcW w:w="142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40.1</w:t>
            </w:r>
          </w:p>
        </w:tc>
        <w:tc>
          <w:tcPr>
            <w:tcW w:w="10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36.6</w:t>
            </w:r>
          </w:p>
        </w:tc>
      </w:tr>
      <w:tr>
        <w:trPr>
          <w:trHeight w:val="185"/>
        </w:trPr>
        <w:tc>
          <w:tcPr>
            <w:tcW w:w="29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Christopher Young (12)</w:t>
            </w:r>
          </w:p>
        </w:tc>
        <w:tc>
          <w:tcPr>
            <w:tcW w:w="164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60,000</w:t>
            </w: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r>
      <w:tr>
        <w:trPr>
          <w:trHeight w:val="185"/>
        </w:trPr>
        <w:tc>
          <w:tcPr>
            <w:tcW w:w="29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Directors &amp; Executive Officers as a Group</w:t>
            </w:r>
          </w:p>
        </w:tc>
        <w:tc>
          <w:tcPr>
            <w:tcW w:w="164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2,322,607</w:t>
            </w: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2.9</w:t>
            </w:r>
          </w:p>
        </w:tc>
        <w:tc>
          <w:tcPr>
            <w:tcW w:w="142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66,064,607</w:t>
            </w:r>
          </w:p>
        </w:tc>
        <w:tc>
          <w:tcPr>
            <w:tcW w:w="142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80.4</w:t>
            </w:r>
          </w:p>
        </w:tc>
        <w:tc>
          <w:tcPr>
            <w:tcW w:w="106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73.6</w:t>
            </w:r>
          </w:p>
        </w:tc>
      </w:tr>
    </w:tbl>
    <w:p>
      <w:pPr>
        <w:ind w:left="282" w:hanging="282"/>
        <w:spacing w:after="0"/>
        <w:tabs>
          <w:tab w:leader="none" w:pos="28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5" w:lineRule="exact"/>
        <w:rPr>
          <w:rFonts w:ascii="Times New Roman" w:cs="Times New Roman" w:eastAsia="Times New Roman" w:hAnsi="Times New Roman"/>
          <w:sz w:val="14"/>
          <w:szCs w:val="14"/>
          <w:color w:val="auto"/>
        </w:rPr>
      </w:pPr>
    </w:p>
    <w:p>
      <w:pPr>
        <w:jc w:val="both"/>
        <w:ind w:left="522" w:right="80" w:hanging="280"/>
        <w:spacing w:after="0" w:line="269" w:lineRule="auto"/>
        <w:tabs>
          <w:tab w:leader="none" w:pos="522"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our records and information reported by the parties to the Stockholders’ Agreement (referenced in the above table as the “Controlling Family Group”) on the Schedule 13G/A filed with the SEC on August 13, 2025. The beneficial ownership of Amanda Radcliffe and Stefanie Thompson, each of whom is a member of the Controlling Family Group, is described in footnotes (7) and (11), respectively.</w:t>
      </w:r>
    </w:p>
    <w:p>
      <w:pPr>
        <w:ind w:left="522" w:right="80" w:hanging="280"/>
        <w:spacing w:after="0" w:line="290" w:lineRule="auto"/>
        <w:tabs>
          <w:tab w:leader="none" w:pos="522"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solely on information reported by BlackRock, Inc. on the Schedule 13G/A filed with the SEC on January 21, 2026. According to such Schedule 13G/A, BlackRock, Inc. has sole dispositive power over 5,474,762 shares and sole voting power over 5,590,027 shares. The address for BlackRock, Inc. is 50 Hudson Yards, New York, NY 10001.</w:t>
      </w:r>
    </w:p>
    <w:p>
      <w:pPr>
        <w:ind w:left="522" w:hanging="280"/>
        <w:spacing w:after="0"/>
        <w:tabs>
          <w:tab w:leader="none" w:pos="522"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(i) 78,558 shares subject to options that are exercisable within 60 days of April 15, 2026, and (ii) 5,327 shares of unvested restricted stock.</w:t>
      </w:r>
    </w:p>
    <w:p>
      <w:pPr>
        <w:spacing w:after="0" w:line="19" w:lineRule="exact"/>
        <w:rPr>
          <w:rFonts w:ascii="Times New Roman" w:cs="Times New Roman" w:eastAsia="Times New Roman" w:hAnsi="Times New Roman"/>
          <w:sz w:val="13"/>
          <w:szCs w:val="13"/>
          <w:color w:val="auto"/>
        </w:rPr>
      </w:pPr>
    </w:p>
    <w:p>
      <w:pPr>
        <w:ind w:left="522" w:hanging="280"/>
        <w:spacing w:after="0"/>
        <w:tabs>
          <w:tab w:leader="none" w:pos="522"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204,032 shares held in Trust for his children for which Mr. DeStefano has indirect ownership.</w:t>
      </w:r>
    </w:p>
    <w:p>
      <w:pPr>
        <w:spacing w:after="0" w:line="17" w:lineRule="exact"/>
        <w:rPr>
          <w:rFonts w:ascii="Times New Roman" w:cs="Times New Roman" w:eastAsia="Times New Roman" w:hAnsi="Times New Roman"/>
          <w:sz w:val="13"/>
          <w:szCs w:val="13"/>
          <w:color w:val="auto"/>
        </w:rPr>
      </w:pPr>
    </w:p>
    <w:p>
      <w:pPr>
        <w:ind w:left="522" w:hanging="280"/>
        <w:spacing w:after="0" w:line="219" w:lineRule="auto"/>
        <w:tabs>
          <w:tab w:leader="none" w:pos="522"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5,327 shares of unvested restricted stock.</w:t>
      </w:r>
    </w:p>
    <w:p>
      <w:pPr>
        <w:ind w:left="522" w:hanging="280"/>
        <w:spacing w:after="0" w:line="232" w:lineRule="auto"/>
        <w:tabs>
          <w:tab w:leader="none" w:pos="522"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5,327 shares of unvested restricted stock.</w:t>
      </w:r>
    </w:p>
    <w:p>
      <w:pPr>
        <w:ind w:left="522" w:right="200" w:hanging="280"/>
        <w:spacing w:after="0" w:line="276" w:lineRule="auto"/>
        <w:tabs>
          <w:tab w:leader="none" w:pos="522"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Ms. Radcliffe has sole voting and dispositive power over 59,182 shares of Class A Common Stock, including 5,327 shares of unvested restricted stock, and 33,129,702.222 shares of Class B Common Stock and has shared voting and dispositive power over 84,210 shares of Class A Common Stock.</w:t>
      </w:r>
    </w:p>
    <w:p>
      <w:pPr>
        <w:spacing w:after="0" w:line="3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322580</wp:posOffset>
            </wp:positionV>
            <wp:extent cx="6304280" cy="228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2"/>
          </w:cols>
          <w:pgMar w:left="978" w:top="47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ind w:left="520" w:hanging="280"/>
        <w:spacing w:after="0"/>
        <w:tabs>
          <w:tab w:leader="none" w:pos="5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5,327 shares of unvested restricted stock.</w:t>
      </w:r>
    </w:p>
    <w:p>
      <w:pPr>
        <w:ind w:left="520" w:hanging="280"/>
        <w:spacing w:after="0"/>
        <w:tabs>
          <w:tab w:leader="none" w:pos="5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369,472 shares subject to options that are exercisable within 60 days of April 15, 2026.</w:t>
      </w:r>
    </w:p>
    <w:p>
      <w:pPr>
        <w:spacing w:after="0" w:line="3" w:lineRule="exact"/>
        <w:rPr>
          <w:rFonts w:ascii="Times New Roman" w:cs="Times New Roman" w:eastAsia="Times New Roman" w:hAnsi="Times New Roman"/>
          <w:sz w:val="13"/>
          <w:szCs w:val="13"/>
          <w:color w:val="auto"/>
        </w:rPr>
      </w:pPr>
    </w:p>
    <w:p>
      <w:pPr>
        <w:ind w:left="520" w:hanging="280"/>
        <w:spacing w:after="0"/>
        <w:tabs>
          <w:tab w:leader="none" w:pos="5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(i) 18,623 shares subject to options that are exercisable within 60 days of April 15, 2026, and (ii) 5,327 shares of unvested restricted stock.</w:t>
      </w:r>
    </w:p>
    <w:p>
      <w:pPr>
        <w:spacing w:after="0" w:line="9" w:lineRule="exact"/>
        <w:rPr>
          <w:rFonts w:ascii="Times New Roman" w:cs="Times New Roman" w:eastAsia="Times New Roman" w:hAnsi="Times New Roman"/>
          <w:sz w:val="13"/>
          <w:szCs w:val="13"/>
          <w:color w:val="auto"/>
        </w:rPr>
      </w:pPr>
    </w:p>
    <w:p>
      <w:pPr>
        <w:ind w:left="520" w:hanging="280"/>
        <w:spacing w:after="0" w:line="269" w:lineRule="auto"/>
        <w:tabs>
          <w:tab w:leader="none" w:pos="5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Ms. Thompson has sole voting and dispositive power over 51,357 shares of Class A Common Stock, including 5,327 shares of unvested restricted stock, and 32,934,904.588 shares of Class B Common Stock.</w:t>
      </w:r>
    </w:p>
    <w:p>
      <w:pPr>
        <w:ind w:left="520" w:hanging="280"/>
        <w:spacing w:after="0"/>
        <w:tabs>
          <w:tab w:leader="none" w:pos="5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shares held in a living trust.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228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04280" cy="2286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b w:val="1"/>
          <w:bCs w:val="1"/>
          <w:color w:val="auto"/>
        </w:rPr>
        <w:t>CERTAIN RELATIONSHIPS AND RELATED PERSON TRANSACTIONS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Policies and Procedures for Related Person Transactions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Our Board has adopted written policies and procedures for transactions with related persons. As a general matter, the policy will require the Audit Committee to review and approve or disapprove of the entry by us into certain transactions with related persons. The policy will only apply to transactions, arrangements and relationships where the aggregate amount involved could reasonably be expected to exceed $120,000 in any calendar year and in which a related person has a direct or indirect interest. A related person is: (a) any director, nominee for director or executive officer of our Company; (b) any immediate family member of a director, nominee for director or executive officer; and (c) any person, and his or her immediate family members, or entity, including affiliates, that was a beneficial owner of 5% or more of any of our outstanding equity securities at the time the transaction occurred or existed.</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policy provides that if advance approval of a transaction subject to the policy is not obtained, it must be promptly submitted to the committee for possible ratification, approval, amendment, termination or rescission. In reviewing any transaction, the committee will take into account, among other factors the Audit Committee deems appropriate, recommendations from senior management, whether the transaction is on terms no less favorable than terms generally available to a third party in similar circumstances and the extent of the related person’s interest in the transaction. Any related person transaction must be conducted at arm’s length. Any member of the Audit Committee who is a related person with respect to a transaction under review may not participate in the deliberations or vote on the approval or ratification of the transaction. However, such a director may be counted in determining the presence of a quorum at a meeting of the Audit Committee that considers the transaction. Pursuant to the Stockholders Agreement, in 2025, the Company did not incur any costs in offering costs related to the registration of the sales of shares held by a selling stockholder. There were no other related party transactions in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Stockholders’ Agreement</w:t>
      </w:r>
    </w:p>
    <w:p>
      <w:pPr>
        <w:spacing w:after="0" w:line="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As mentioned in the Corporate Governance Section of this Proxy Statement, Amanda Westphal Radcliffe and Stefanie Westphal Thompson, each of whom serves as a member of our Board and Jeffrey Westphal are our principal stockholders and, together with their affiliated trust entities and family members, are parties to the Stockholders’ Agreement with the below terms:</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Transfer Restrictions</w:t>
      </w:r>
    </w:p>
    <w:p>
      <w:pPr>
        <w:spacing w:after="0" w:line="29"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6"/>
          <w:szCs w:val="16"/>
          <w:color w:val="auto"/>
        </w:rPr>
        <w:t>The parties to the Stockholders’ Agreement will not transfer shares of our Class B Common Stock, except: (i) to another holder of our Class B Common Stock; (ii) to Amanda Westphal Radcliffe, Stefanie Westphal Thompson or Jeffrey Westphal or their family members or affiliates, as described in the Stockholders’ Agreement; (iii) to the Company; or (iv) in an underwritten public offering or other transaction approved by a majority of the disinterested members of our Board or a committee of our Board authorized to take such action ("Permitted Transfers"). Each party to whom Class B Common Stock is transferred will be required to become a party to the Stockholders’ Agreement, if they are not a party already. Each share of our Class B Common Stock will convert automatically into one share of our Class A Common Stock upon any transfer, whether or not for value, except for certain permitted transfers described in our Charter, including transfers to Amanda Westphal Radcliffe, Stefanie Westphal Thompson and Jeffrey Westphal or their family members or affiliates.</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Right of First Offer / Refusal</w:t>
      </w:r>
    </w:p>
    <w:p>
      <w:pPr>
        <w:spacing w:after="0" w:line="29"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6"/>
          <w:szCs w:val="16"/>
          <w:color w:val="auto"/>
        </w:rPr>
        <w:t>Before transferring any shares of our Class B Common Stock, other than through a Permitted Transfer, the party transferring the shares must offer them, first, to the other Stockholder Parties and, next, to the Company. If neither of those offers is accepted, the selling stockholder may then transfer the shares to someone else. If any party receives an offer from someone who is not a party to the Stockholders’ Agreement to purchase some or all of their Class B Common Stock, that person must give the other parties notice of the offer and an opportunity to purchase the shares on the same terms.</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Subscription Rights</w:t>
      </w:r>
    </w:p>
    <w:p>
      <w:pPr>
        <w:spacing w:after="0" w:line="29"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6"/>
          <w:szCs w:val="16"/>
          <w:color w:val="auto"/>
        </w:rPr>
        <w:t>The parties to the Stockholders’ Agreement will have the right, but not the obligation, to purchase a number of shares of Class A Common Stock up to their proportionate interest of any new shares of Class A Common Stock, or any securities convertible into, exercisable for, or exchangeable for Class A Common Stock issued in a private offering, other than securities (including either shares of Class A Common Stock or Class B Common Stock) issued to any director, employee or consultant of the Company or any of its subsidiaries pursuant to an equity-incentive plan approved by the Board or in connection with stock splits, stock dividends, in-kind equity distributions, recapitalizations and stockholders’ rights plans, or a greater amount if any of the other parties to the Stockholders’ Agreement do not elect to purchase their proportionate share of the newly issued securities.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Registration Rights</w:t>
      </w:r>
    </w:p>
    <w:p>
      <w:pPr>
        <w:spacing w:after="0" w:line="29"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6"/>
          <w:szCs w:val="16"/>
          <w:color w:val="auto"/>
        </w:rPr>
        <w:t>Any Stockholder Party to the Stockholders’ Agreement can require us to register under the Securities Act shares of our Common Stock held by them if the anticipated aggregated offering amount exceeds $50.0 million subject to certain limitations. They will also have shelf registration rights requiring us, when we are eligible for short-form registration, to file a shelf registration statement and to keep it effective to allow sales from time to time. They will also be entitled to participate as selling stockholders on a pro rata basis in any registration of our Common Stock under the Securities Act that we may undertake. We will pay expenses relating to these registrations and will indemnify the parties participating in these offerings against liabilities that may arise from the offering process.</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Standstill</w:t>
      </w:r>
    </w:p>
    <w:p>
      <w:pPr>
        <w:spacing w:after="0" w:line="29"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6"/>
          <w:szCs w:val="16"/>
          <w:color w:val="auto"/>
        </w:rPr>
        <w:t>For so long as any Stockholder Party to the Stockholders’ Agreement owns any shares of Class B Common Stock, the Stockholder Party will not engage or participate in: (i) acquiring the Company’s securities (other than through market-based purchases of up to 2% of outstanding equity in any 12-month period, the exercise or conversion of outstanding securities or equity awards); (ii) any tender or exchange offer, merger or other business combination involving the Company, any of our subsidiaries or affiliates or our assets constituting a significant portion of the consolidated assets of the Company and its subsidiaries or affiliates; (iii) any recapitalization, restructuring, liquidation, dilution or other extraordinary transaction involving the Company; or (iv) the solicitation of any proxies or written consents involving the Company. The parties must promptly inform the Board about any approaches by a third party regarding any of these matters. The Board and holders of a majority of the Class B Common Stock may agree to waive the standstill prohibition.</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Director Designation Rights</w:t>
      </w:r>
    </w:p>
    <w:p>
      <w:pPr>
        <w:spacing w:after="0" w:line="29" w:lineRule="exact"/>
        <w:rPr>
          <w:sz w:val="20"/>
          <w:szCs w:val="20"/>
          <w:color w:val="auto"/>
        </w:rPr>
      </w:pPr>
    </w:p>
    <w:p>
      <w:pPr>
        <w:jc w:val="both"/>
        <w:ind w:left="580"/>
        <w:spacing w:after="0" w:line="255" w:lineRule="auto"/>
        <w:rPr>
          <w:sz w:val="20"/>
          <w:szCs w:val="20"/>
          <w:color w:val="auto"/>
        </w:rPr>
      </w:pPr>
      <w:r>
        <w:rPr>
          <w:rFonts w:ascii="Times New Roman" w:cs="Times New Roman" w:eastAsia="Times New Roman" w:hAnsi="Times New Roman"/>
          <w:sz w:val="16"/>
          <w:szCs w:val="16"/>
          <w:color w:val="auto"/>
        </w:rPr>
        <w:t>For so long as Amanda Westphal Radcliffe, Stefanie Westphal Thompson or Jeffrey Westphal, in each case together with his or her children and related trusts, owns at least five percent of our outstanding Common Stock, he or she each shall be entitled to designate one individual, including themselves, for nomination to our Board, and we will be required to use our best efforts to include the designee in the slate of nominees recommended to our stockholders for election as a director at the next annual or special meeting of stockholders.</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Director Voting</w:t>
      </w:r>
    </w:p>
    <w:p>
      <w:pPr>
        <w:spacing w:after="0" w:line="29" w:lineRule="exact"/>
        <w:rPr>
          <w:sz w:val="20"/>
          <w:szCs w:val="20"/>
          <w:color w:val="auto"/>
        </w:rPr>
      </w:pPr>
    </w:p>
    <w:p>
      <w:pPr>
        <w:jc w:val="both"/>
        <w:ind w:left="580"/>
        <w:spacing w:after="0" w:line="257" w:lineRule="auto"/>
        <w:rPr>
          <w:sz w:val="20"/>
          <w:szCs w:val="20"/>
          <w:color w:val="auto"/>
        </w:rPr>
      </w:pPr>
      <w:r>
        <w:rPr>
          <w:rFonts w:ascii="Times New Roman" w:cs="Times New Roman" w:eastAsia="Times New Roman" w:hAnsi="Times New Roman"/>
          <w:sz w:val="16"/>
          <w:szCs w:val="16"/>
          <w:color w:val="auto"/>
        </w:rPr>
        <w:t>At any general or special meetings of the stockholders involving the election of directors, each Stockholder Party to the Stockholders’ Agreement must vote all, or provide written consent on behalf of, his or her shares of stock in favor of each individual nominated by the parties to the Stockholders’ Agreement. For all matters other than the election of directors, voting shall be discretionary at the option of each stockholder.</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Indemnification Agreements</w:t>
      </w:r>
    </w:p>
    <w:p>
      <w:pPr>
        <w:spacing w:after="0" w:line="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Charter provides that we will indemnify our directors and officers to the fullest extent permitted by law, and we have entered into indemnification agreements with all of our directors and executive officers.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OTHER MATTERS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Delinquent Section 16(a) Reports</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Section 16(a) of the Exchange Act requires our directors, executive officers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the fiscal year ended December 31,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Stockholders’ Proposals</w:t>
      </w:r>
    </w:p>
    <w:p>
      <w:pPr>
        <w:spacing w:after="0" w:line="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Stockholders who intend to have a proposal considered for inclusion in our proxy materials for presentation at our 2027 Annual Meeting of Stockholders pursuant to Rule 14a-8 under the Exchange Act must submit the proposal to our Secretary at our offices at 2301 Renaissance Blvd., King of Prussia, PA 19406 in writing not later than December 27, 2026.</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Stockholders intending to present a proposal at the 2027 Annual Meeting of Stockholders, but not to include the proposal in our proxy statement, or to nominate a person for election as a director, must comply with the requirements set forth in our Bylaws. Our Bylaws require, among other things, that our Secretary receive written notice from the stockholder of record of their intent to present such proposal or nomination not earlier than the 120th day and not later than the 90th day prior to the first anniversary of the Annual Meeting. Therefore, we must receive notice of such a proposal or nomination for the 2027 Annual Meeting of Stockholders no earlier than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February 10, 2027, and no later than March 12, 2027. The notice must contain the information required by the Bylaws, a copy of which is available upon request to our Secretary. In the event that the date of the 2027 Annual Meeting of Stockholders is more than 30 days before or more than 60 days after the one year anniversary of the Annual Meeting, then our Secretary must receive such written notice not earlier than the 120th day prior to the 2027 Annual Meeting of Stockholders and not later than the 90th day prior to the 2027 Annual Meeting of Stockholders or, if later, the 10th day following the day on which public disclosure of the date of such meeting is first made by us. SEC rules permit management to vote proxies in its discretion in certain cases if the stockholder does not comply with this deadline and, in certain other cases notwithstanding the stockholder’s compliance with this deadline.</w:t>
      </w:r>
    </w:p>
    <w:p>
      <w:pPr>
        <w:spacing w:after="0" w:line="16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In addition to satisfying the foregoing requirements under our Bylaws, stockholders who intend to solicit proxies in support of director nominees other than the Company’s nominees must provide notice that sets forth the information required by Rule 14a-19(b) under the Exchange Act.</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In connection with our solicitation of proxies for the 2027 Annual Meeting of Stockholders, we intend to file a proxy statement and WHITE proxy card with the SEC. Stockholders may obtain our proxy statement (and any amendments and supplements thereto) and other documents as and when filed with the SEC without charge from the SEC’s website at www.sec.gov.</w:t>
      </w:r>
    </w:p>
    <w:p>
      <w:pPr>
        <w:spacing w:after="0" w:line="15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We reserve the right to reject, rule out of order, or take other appropriate action with respect to any proposal that does not comply with these or other applicable requirements.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Matters at the Annual Meeting</w:t>
      </w:r>
    </w:p>
    <w:p>
      <w:pPr>
        <w:spacing w:after="0" w:line="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will vote thereon in their discretion.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Solicitation of Proxies</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accompanying proxy is solicited by and on behalf of our Board, whose Notice of Annual Meeting is attached to this Proxy Statement, and the entire cost of our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1156970" cy="2146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5697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VERTEX’S ANNUAL REPORT ON FORM 10-K</w:t>
      </w:r>
    </w:p>
    <w:p>
      <w:pPr>
        <w:spacing w:after="0" w:line="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b w:val="1"/>
          <w:bCs w:val="1"/>
          <w:color w:val="auto"/>
        </w:rPr>
        <w:t>A copy of Vertex’s Annual Report on Form 10-K for the fiscal year ended December 31, 2025, including financial statements and schedules but not including exhibits, as filed with the SEC, will be sent to any stockholder of record on April 15, 2026 without charge upon written request addressed to: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Vertex,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2301 Renaissance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King of Prussia, PA 19406</w:t>
      </w:r>
    </w:p>
    <w:p>
      <w:pPr>
        <w:spacing w:after="0" w:line="18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A reasonable fee will be charged for copies of exhibits. You also may access this Proxy Statement and our Annual Report on Form 10-K at www.proxydocs.com/verx. You also may access our Annual Report on Form 10-K for the fiscal year ended December 31, 2025 at http://ir.vertexinc.com.</w:t>
      </w:r>
    </w:p>
    <w:p>
      <w:pPr>
        <w:spacing w:after="0" w:line="1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color w:val="auto"/>
        </w:rPr>
        <w:t>WHETHER OR NOT YOU PLAN TO ATTEND THE ANNUAL MEETING, WE URGE YOU TO VOTE YOUR SHARES VIA THE TELEPHONE NUMBER OR OVER THE INTERNET, AS DESCRIBED IN THIS PROXY STATEMENT. IF YOU REQUESTED TO RECEIVE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Order of the Board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u w:val="single" w:color="auto"/>
          <w:color w:val="auto"/>
        </w:rPr>
        <w:t>John Schwab</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John Schwab</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King of Prussia, PA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27, 2026</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6304280"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04280" cy="15240"/>
                    </a:xfrm>
                    <a:prstGeom prst="rect">
                      <a:avLst/>
                    </a:prstGeom>
                    <a:noFill/>
                  </pic:spPr>
                </pic:pic>
              </a:graphicData>
            </a:graphic>
          </wp:anchor>
        </w:drawing>
      </w:r>
    </w:p>
    <w:p>
      <w:pPr>
        <w:sectPr>
          <w:pgSz w:w="11900" w:h="16838" w:orient="portrait"/>
          <w:cols w:equalWidth="0" w:num="1">
            <w:col w:w="9920"/>
          </w:cols>
          <w:pgMar w:left="980" w:top="473" w:right="999" w:bottom="1440"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392430</wp:posOffset>
            </wp:positionH>
            <wp:positionV relativeFrom="page">
              <wp:posOffset>88900</wp:posOffset>
            </wp:positionV>
            <wp:extent cx="6764020" cy="87553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64020" cy="8755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392430</wp:posOffset>
            </wp:positionH>
            <wp:positionV relativeFrom="page">
              <wp:posOffset>88900</wp:posOffset>
            </wp:positionV>
            <wp:extent cx="6764020" cy="87553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64020" cy="87553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lvl w:ilvl="1">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2"/>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2"/>
    </w:lvl>
  </w:abstractNum>
  <w:abstractNum w:abstractNumId="27">
    <w:nsid w:val="737B8DDC"/>
    <w:multiLevelType w:val="hybridMultilevel"/>
    <w:lvl w:ilvl="0">
      <w:lvlJc w:val="left"/>
      <w:lvlText w:val="%1."/>
      <w:numFmt w:val="decimal"/>
      <w:start w:val="4"/>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o"/>
      <w:numFmt w:val="bullet"/>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lvl w:ilvl="1">
      <w:lvlJc w:val="left"/>
      <w:lvlText w:val="(%2)"/>
      <w:numFmt w:val="decimal"/>
      <w:start w:val="1"/>
    </w:lvl>
  </w:abstractNum>
  <w:abstractNum w:abstractNumId="34">
    <w:nsid w:val="5577F8E1"/>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2026-04-27T15:47:48Z</dcterms:created>
  <dcterms:modified xsi:type="dcterms:W3CDTF">2026-04-27T15:47:48Z</dcterms:modified>
</cp:coreProperties>
</file>