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51.xml.htm"/>
      <w:bookmarkStart w:id="1" w:name="ksform406122026_0806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Gayton Bradley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Inc.</w:t>
              </w:r>
            </w:hyperlink>
            <w:r>
              <w:rPr/>
              <w:t xml:space="preserve"> [ </w:t>
            </w:r>
            <w:r>
              <w:rPr>
                <w:rFonts w:ascii="Times;serif" w:hAnsi="Times;serif"/>
                <w:color w:val="0000FF"/>
                <w:sz w:val="24"/>
                <w:shd w:fill="FFFFFF" w:val="clear"/>
              </w:rPr>
              <w:t>VERX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that will vest on the earlier to occur of (i) the day immediately prior to the date of the next annual meeting of the Company's stockholders, and (ii) June 10,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0138" TargetMode="External"/><Relationship Id="rId5" Type="http://schemas.openxmlformats.org/officeDocument/2006/relationships/hyperlink" Target="http://www.sec.gov/cgi-bin/browse-edgar?action=getcompany&amp;CIK=00018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3218</Characters>
  <CharactersWithSpaces>3759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