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verx-20230331x10q.htm"/>
        <w:bookmarkStart w:id="1" w:name="ksverx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34"/>
        </w:rPr>
      </w:pPr>
      <w:bookmarkStart w:id="2" w:name="_e7ab7f7e_d678_4f9a_9d2b_8b08203a6260"/>
      <w:bookmarkEnd w:id="2"/>
      <w:r>
        <w:rPr>
          <w:rFonts w:ascii="Times New Roman;Times;serif" w:hAnsi="Times New Roman;Times;serif"/>
          <w:b/>
          <w:sz w:val="34"/>
        </w:rPr>
        <w:t>UNITED STATES</w:t>
      </w:r>
    </w:p>
    <w:p>
      <w:pPr>
        <w:pStyle w:val="TextBody"/>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spacing w:before="0" w:after="8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 w:name="Tc_jjCM7wUqOEuV5j1qs2IHog_1_2"/>
      <w:bookmarkStart w:id="4" w:name="_bf128692_be5f_4c23_8561_ac62219be472"/>
      <w:bookmarkStart w:id="5" w:name="Tc_jjCM7wUqOEuV5j1qs2IHog_1_2"/>
      <w:bookmarkStart w:id="6" w:name="_bf128692_be5f_4c23_8561_ac62219be472"/>
      <w:bookmarkEnd w:id="5"/>
      <w:bookmarkEnd w:id="6"/>
    </w:p>
    <w:tbl>
      <w:tblPr>
        <w:tblW w:w="10205" w:type="dxa"/>
        <w:jc w:val="left"/>
        <w:tblInd w:w="0" w:type="dxa"/>
        <w:tblCellMar>
          <w:top w:w="0" w:type="dxa"/>
          <w:left w:w="0" w:type="dxa"/>
          <w:bottom w:w="0" w:type="dxa"/>
          <w:right w:w="0" w:type="dxa"/>
        </w:tblCellMar>
      </w:tblPr>
      <w:tblGrid>
        <w:gridCol w:w="331"/>
        <w:gridCol w:w="326"/>
        <w:gridCol w:w="9548"/>
      </w:tblGrid>
      <w:tr>
        <w:trPr/>
        <w:tc>
          <w:tcPr>
            <w:tcW w:w="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548"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548" w:type="dxa"/>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2023</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7" w:name="Tc_w5u8ZG_Wx0mTDIEIJpNKPg_1_2"/>
      <w:bookmarkStart w:id="8" w:name="_fcfd63c3_2698_4c49_b53c_deb29d8f9193"/>
      <w:bookmarkStart w:id="9" w:name="Tc_w5u8ZG_Wx0mTDIEIJpNKPg_1_2"/>
      <w:bookmarkStart w:id="10" w:name="_fcfd63c3_2698_4c49_b53c_deb29d8f9193"/>
      <w:bookmarkEnd w:id="9"/>
      <w:bookmarkEnd w:id="10"/>
    </w:p>
    <w:tbl>
      <w:tblPr>
        <w:tblW w:w="10205" w:type="dxa"/>
        <w:jc w:val="left"/>
        <w:tblInd w:w="0" w:type="dxa"/>
        <w:tblCellMar>
          <w:top w:w="0" w:type="dxa"/>
          <w:left w:w="0" w:type="dxa"/>
          <w:bottom w:w="0" w:type="dxa"/>
          <w:right w:w="0" w:type="dxa"/>
        </w:tblCellMar>
      </w:tblPr>
      <w:tblGrid>
        <w:gridCol w:w="331"/>
        <w:gridCol w:w="326"/>
        <w:gridCol w:w="9548"/>
      </w:tblGrid>
      <w:tr>
        <w:trPr/>
        <w:tc>
          <w:tcPr>
            <w:tcW w:w="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548"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548" w:type="dxa"/>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001-39413</w:t>
      </w:r>
    </w:p>
    <w:p>
      <w:pPr>
        <w:pStyle w:val="TextBody"/>
        <w:spacing w:before="0" w:after="0"/>
        <w:ind w:left="0" w:right="0" w:hanging="0"/>
        <w:jc w:val="center"/>
        <w:rPr>
          <w:rFonts w:ascii="Times New Roman;Times;serif" w:hAnsi="Times New Roman;Times;serif"/>
          <w:b/>
          <w:i w:val="false"/>
          <w:caps w:val="false"/>
          <w:smallCaps w:val="false"/>
          <w:sz w:val="46"/>
        </w:rPr>
      </w:pPr>
      <w:r>
        <w:rPr>
          <w:rFonts w:ascii="Times New Roman;Times;serif" w:hAnsi="Times New Roman;Times;serif"/>
          <w:b/>
          <w:i w:val="false"/>
          <w:caps w:val="false"/>
          <w:smallCaps w:val="false"/>
          <w:sz w:val="46"/>
        </w:rPr>
        <w:t>VERTEX, INC.</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1" w:name="Tc_J3LFwHxkmUK7fuzgvzkAGA_5_4"/>
      <w:bookmarkStart w:id="12" w:name="Tc_hbzwdljTI0Gu96gZVeCnvg_5_0"/>
      <w:bookmarkStart w:id="13" w:name="Tc_xcI0AwV1wUClRN8SlT752Q_4_4"/>
      <w:bookmarkStart w:id="14" w:name="Tc_a-EdA5JZa0uVb-4fOpk7WA_4_0"/>
      <w:bookmarkStart w:id="15" w:name="Tc_uebGIPjYbUK7GFFenMUtzA_2_4"/>
      <w:bookmarkStart w:id="16" w:name="Tc_g5Ip-J2adkiQMg4_015ldQ_2_0"/>
      <w:bookmarkStart w:id="17" w:name="_b80f365e_57d5_4c51_95d7_52d4c2e246ab"/>
      <w:bookmarkStart w:id="18" w:name="Tc_J3LFwHxkmUK7fuzgvzkAGA_5_4"/>
      <w:bookmarkStart w:id="19" w:name="Tc_hbzwdljTI0Gu96gZVeCnvg_5_0"/>
      <w:bookmarkStart w:id="20" w:name="Tc_xcI0AwV1wUClRN8SlT752Q_4_4"/>
      <w:bookmarkStart w:id="21" w:name="Tc_a-EdA5JZa0uVb-4fOpk7WA_4_0"/>
      <w:bookmarkStart w:id="22" w:name="Tc_uebGIPjYbUK7GFFenMUtzA_2_4"/>
      <w:bookmarkStart w:id="23" w:name="Tc_g5Ip-J2adkiQMg4_015ldQ_2_0"/>
      <w:bookmarkStart w:id="24" w:name="_b80f365e_57d5_4c51_95d7_52d4c2e246ab"/>
      <w:bookmarkEnd w:id="18"/>
      <w:bookmarkEnd w:id="19"/>
      <w:bookmarkEnd w:id="20"/>
      <w:bookmarkEnd w:id="21"/>
      <w:bookmarkEnd w:id="22"/>
      <w:bookmarkEnd w:id="23"/>
      <w:bookmarkEnd w:id="24"/>
    </w:p>
    <w:tbl>
      <w:tblPr>
        <w:tblW w:w="4505" w:type="dxa"/>
        <w:jc w:val="left"/>
        <w:tblInd w:w="0" w:type="dxa"/>
        <w:tblCellMar>
          <w:top w:w="0" w:type="dxa"/>
          <w:left w:w="0" w:type="dxa"/>
          <w:bottom w:w="0" w:type="dxa"/>
          <w:right w:w="0" w:type="dxa"/>
        </w:tblCellMar>
      </w:tblPr>
      <w:tblGrid>
        <w:gridCol w:w="2461"/>
        <w:gridCol w:w="326"/>
        <w:gridCol w:w="146"/>
        <w:gridCol w:w="326"/>
        <w:gridCol w:w="1246"/>
      </w:tblGrid>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both"/>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23-2081753</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6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2301 Renaissance Blvd</w:t>
            </w:r>
            <w:r>
              <w:rPr>
                <w:rFonts w:ascii="Times New Roman;Times;serif" w:hAnsi="Times New Roman;Times;serif"/>
                <w:sz w:val="18"/>
              </w:rPr>
              <w:br/>
            </w:r>
            <w:r>
              <w:rPr>
                <w:rFonts w:ascii="Times New Roman;Times;serif" w:hAnsi="Times New Roman;Times;serif"/>
                <w:b/>
                <w:sz w:val="18"/>
              </w:rPr>
              <w:t>King of Prussia, Pennsylvania</w:t>
            </w: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19406</w:t>
            </w:r>
            <w:r>
              <w:rPr>
                <w:rFonts w:ascii="Times New Roman;Times;serif" w:hAnsi="Times New Roman;Times;serif"/>
                <w:sz w:val="20"/>
              </w:rPr>
              <w:t> </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spacing w:before="0" w:after="0"/>
        <w:ind w:left="0" w:right="0" w:hanging="0"/>
        <w:rPr/>
      </w:pPr>
      <w:r>
        <w:rPr/>
        <w:t>​</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(800) 355-3500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5" w:name="Tc_dj6Ol-WaBka3ezCivE222g_1_4"/>
      <w:bookmarkStart w:id="26" w:name="Tc_GhjghXdQHUWYKjmqFhi37g_1_2"/>
      <w:bookmarkStart w:id="27" w:name="Tc_siztqhrHnEeoOZ6m1N6kxQ_1_0"/>
      <w:bookmarkStart w:id="28" w:name="_2de39deb_a515_459a_b1f1_fd289b9c31c6"/>
      <w:bookmarkStart w:id="29" w:name="Tc_dj6Ol-WaBka3ezCivE222g_1_4"/>
      <w:bookmarkStart w:id="30" w:name="Tc_GhjghXdQHUWYKjmqFhi37g_1_2"/>
      <w:bookmarkStart w:id="31" w:name="Tc_siztqhrHnEeoOZ6m1N6kxQ_1_0"/>
      <w:bookmarkStart w:id="32" w:name="_2de39deb_a515_459a_b1f1_fd289b9c31c6"/>
      <w:bookmarkEnd w:id="29"/>
      <w:bookmarkEnd w:id="30"/>
      <w:bookmarkEnd w:id="31"/>
      <w:bookmarkEnd w:id="32"/>
    </w:p>
    <w:tbl>
      <w:tblPr>
        <w:tblW w:w="8575" w:type="dxa"/>
        <w:jc w:val="left"/>
        <w:tblInd w:w="0" w:type="dxa"/>
        <w:tblCellMar>
          <w:top w:w="0" w:type="dxa"/>
          <w:left w:w="0" w:type="dxa"/>
          <w:bottom w:w="0" w:type="dxa"/>
          <w:right w:w="0" w:type="dxa"/>
        </w:tblCellMar>
      </w:tblPr>
      <w:tblGrid>
        <w:gridCol w:w="4156"/>
        <w:gridCol w:w="326"/>
        <w:gridCol w:w="1066"/>
        <w:gridCol w:w="326"/>
        <w:gridCol w:w="2701"/>
      </w:tblGrid>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1" w:type="dxa"/>
            <w:tcBorders/>
            <w:shd w:fill="auto" w:val="clear"/>
            <w:vAlign w:val="center"/>
          </w:tcPr>
          <w:p>
            <w:pPr>
              <w:pStyle w:val="TableContents"/>
              <w:spacing w:before="0" w:after="0"/>
              <w:ind w:left="0" w:right="0" w:hanging="0"/>
              <w:rPr/>
            </w:pPr>
            <w:r>
              <w:rPr/>
              <w:t>​</w:t>
            </w:r>
          </w:p>
        </w:tc>
      </w:tr>
      <w:tr>
        <w:trPr/>
        <w:tc>
          <w:tcPr>
            <w:tcW w:w="4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shd w:fill="auto" w:val="clear"/>
            <w:vAlign w:val="center"/>
          </w:tcPr>
          <w:p>
            <w:pPr>
              <w:pStyle w:val="TableContents"/>
              <w:spacing w:before="0" w:after="0"/>
              <w:ind w:left="0" w:right="0" w:hanging="0"/>
              <w:jc w:val="both"/>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26" w:type="dxa"/>
            <w:tcBorders/>
            <w:shd w:fill="auto" w:val="clear"/>
            <w:vAlign w:val="center"/>
          </w:tcPr>
          <w:p>
            <w:pPr>
              <w:pStyle w:val="TableContents"/>
              <w:spacing w:before="0" w:after="0"/>
              <w:ind w:left="0" w:right="0" w:hanging="0"/>
              <w:jc w:val="both"/>
              <w:rPr/>
            </w:pPr>
            <w:r>
              <w:rPr/>
              <w:t>    </w:t>
            </w:r>
          </w:p>
        </w:tc>
        <w:tc>
          <w:tcPr>
            <w:tcW w:w="27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415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Par Value $0.001 Per Share</w:t>
            </w:r>
          </w:p>
        </w:tc>
        <w:tc>
          <w:tcPr>
            <w:tcW w:w="326" w:type="dxa"/>
            <w:tcBorders/>
            <w:shd w:fill="auto" w:val="clear"/>
            <w:vAlign w:val="center"/>
          </w:tcPr>
          <w:p>
            <w:pPr>
              <w:pStyle w:val="TableContents"/>
              <w:spacing w:before="0" w:after="240"/>
              <w:ind w:left="0" w:right="0" w:hanging="0"/>
              <w:jc w:val="both"/>
              <w:rPr/>
            </w:pPr>
            <w:r>
              <w:rPr/>
              <w:t>​</w:t>
            </w:r>
          </w:p>
        </w:tc>
        <w:tc>
          <w:tcPr>
            <w:tcW w:w="106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VERX</w:t>
            </w:r>
          </w:p>
        </w:tc>
        <w:tc>
          <w:tcPr>
            <w:tcW w:w="326" w:type="dxa"/>
            <w:tcBorders/>
            <w:shd w:fill="auto" w:val="clear"/>
            <w:vAlign w:val="center"/>
          </w:tcPr>
          <w:p>
            <w:pPr>
              <w:pStyle w:val="TableContents"/>
              <w:spacing w:before="0" w:after="240"/>
              <w:ind w:left="0" w:right="0" w:hanging="0"/>
              <w:jc w:val="both"/>
              <w:rPr/>
            </w:pPr>
            <w:r>
              <w:rPr/>
              <w:t>​</w:t>
            </w:r>
          </w:p>
        </w:tc>
        <w:tc>
          <w:tcPr>
            <w:tcW w:w="27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spacing w:before="0" w:after="0"/>
        <w:ind w:left="0" w:right="0" w:hanging="0"/>
        <w:rPr/>
      </w:pPr>
      <w:r>
        <w:rPr/>
        <w:t>​</w:t>
      </w:r>
    </w:p>
    <w:p>
      <w:pPr>
        <w:pStyle w:val="TextBody"/>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firstLine="518"/>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3" w:name="Tc_-QDC28kMpkmGWQYEa4Khvw_3_4"/>
      <w:bookmarkStart w:id="34" w:name="Tc_QS1ww6VO3kOb2eTey7tAiQ_3_3"/>
      <w:bookmarkStart w:id="35" w:name="Tc_4cLRph1aEkyppsRJefEVNg_2_3"/>
      <w:bookmarkStart w:id="36" w:name="Tc_f7iO_9ixD0SStsVQQXY3bQ_2_1"/>
      <w:bookmarkStart w:id="37" w:name="Tc_a9iHktUjskSg4pA5zX3Ukw_2_0"/>
      <w:bookmarkStart w:id="38" w:name="Tc_5dBgynPzuU6NmU-9PN8I0Q_1_4"/>
      <w:bookmarkStart w:id="39" w:name="Tc_gwOY0dVn30aXFThVtRsP_w_1_1"/>
      <w:bookmarkStart w:id="40" w:name="Tc_B7y_7V2Arku2GsJ9OL84ag_1_0"/>
      <w:bookmarkStart w:id="41" w:name="_7a629acc_e15b_4ae7_90f9_3d0e349b3fdd"/>
      <w:bookmarkStart w:id="42" w:name="Tc_-QDC28kMpkmGWQYEa4Khvw_3_4"/>
      <w:bookmarkStart w:id="43" w:name="Tc_QS1ww6VO3kOb2eTey7tAiQ_3_3"/>
      <w:bookmarkStart w:id="44" w:name="Tc_4cLRph1aEkyppsRJefEVNg_2_3"/>
      <w:bookmarkStart w:id="45" w:name="Tc_f7iO_9ixD0SStsVQQXY3bQ_2_1"/>
      <w:bookmarkStart w:id="46" w:name="Tc_a9iHktUjskSg4pA5zX3Ukw_2_0"/>
      <w:bookmarkStart w:id="47" w:name="Tc_5dBgynPzuU6NmU-9PN8I0Q_1_4"/>
      <w:bookmarkStart w:id="48" w:name="Tc_gwOY0dVn30aXFThVtRsP_w_1_1"/>
      <w:bookmarkStart w:id="49" w:name="Tc_B7y_7V2Arku2GsJ9OL84ag_1_0"/>
      <w:bookmarkStart w:id="50" w:name="_7a629acc_e15b_4ae7_90f9_3d0e349b3fdd"/>
      <w:bookmarkEnd w:id="42"/>
      <w:bookmarkEnd w:id="43"/>
      <w:bookmarkEnd w:id="44"/>
      <w:bookmarkEnd w:id="45"/>
      <w:bookmarkEnd w:id="46"/>
      <w:bookmarkEnd w:id="47"/>
      <w:bookmarkEnd w:id="48"/>
      <w:bookmarkEnd w:id="49"/>
      <w:bookmarkEnd w:id="50"/>
    </w:p>
    <w:tbl>
      <w:tblPr>
        <w:tblW w:w="4770" w:type="dxa"/>
        <w:jc w:val="left"/>
        <w:tblInd w:w="0" w:type="dxa"/>
        <w:tblCellMar>
          <w:top w:w="0" w:type="dxa"/>
          <w:left w:w="0" w:type="dxa"/>
          <w:bottom w:w="0" w:type="dxa"/>
          <w:right w:w="0" w:type="dxa"/>
        </w:tblCellMar>
      </w:tblPr>
      <w:tblGrid>
        <w:gridCol w:w="1666"/>
        <w:gridCol w:w="316"/>
        <w:gridCol w:w="326"/>
        <w:gridCol w:w="2041"/>
        <w:gridCol w:w="42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283"/>
              <w:ind w:left="0" w:right="0" w:hanging="0"/>
              <w:rPr>
                <w:sz w:val="4"/>
                <w:szCs w:val="4"/>
              </w:rPr>
            </w:pPr>
            <w:r>
              <w:rPr>
                <w:sz w:val="4"/>
                <w:szCs w:val="4"/>
              </w:rPr>
            </w:r>
          </w:p>
        </w:tc>
      </w:tr>
      <w:tr>
        <w:trPr/>
        <w:tc>
          <w:tcPr>
            <w:tcW w:w="1666" w:type="dxa"/>
            <w:tcBorders/>
            <w:shd w:fill="auto" w:val="clear"/>
            <w:vAlign w:val="center"/>
          </w:tcPr>
          <w:p>
            <w:pPr>
              <w:pStyle w:val="TableContents"/>
              <w:pBdr/>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04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421" w:type="dxa"/>
            <w:tcBorders/>
            <w:shd w:fill="auto" w:val="clear"/>
            <w:vAlign w:val="center"/>
          </w:tcPr>
          <w:p>
            <w:pPr>
              <w:pStyle w:val="TableContents"/>
              <w:spacing w:before="0" w:after="0"/>
              <w:ind w:left="0" w:right="0" w:hanging="0"/>
              <w:jc w:val="both"/>
              <w:rPr/>
            </w:pPr>
            <w:r>
              <w:rPr/>
              <w:t>☒ </w:t>
            </w:r>
          </w:p>
        </w:tc>
      </w:tr>
      <w:tr>
        <w:trPr/>
        <w:tc>
          <w:tcPr>
            <w:tcW w:w="1666" w:type="dxa"/>
            <w:tcBorders/>
            <w:shd w:fill="auto" w:val="clear"/>
            <w:vAlign w:val="center"/>
          </w:tcPr>
          <w:p>
            <w:pPr>
              <w:pStyle w:val="TableContents"/>
              <w:pBdr/>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240"/>
              <w:ind w:left="0" w:right="0" w:hanging="0"/>
              <w:jc w:val="both"/>
              <w:rPr/>
            </w:pPr>
            <w:r>
              <w:rPr/>
              <w:t>​</w:t>
            </w:r>
          </w:p>
        </w:tc>
        <w:tc>
          <w:tcPr>
            <w:tcW w:w="204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421" w:type="dxa"/>
            <w:tcBorders/>
            <w:shd w:fill="auto" w:val="clear"/>
            <w:vAlign w:val="center"/>
          </w:tcPr>
          <w:p>
            <w:pPr>
              <w:pStyle w:val="TableContents"/>
              <w:spacing w:before="0" w:after="0"/>
              <w:ind w:left="0" w:right="0" w:hanging="0"/>
              <w:jc w:val="both"/>
              <w:rPr/>
            </w:pPr>
            <w:r>
              <w:rPr/>
              <w:t>☐</w:t>
            </w:r>
          </w:p>
        </w:tc>
      </w:tr>
      <w:tr>
        <w:trPr/>
        <w:tc>
          <w:tcPr>
            <w:tcW w:w="1666" w:type="dxa"/>
            <w:tcBorders/>
            <w:shd w:fill="auto" w:val="clear"/>
            <w:vAlign w:val="center"/>
          </w:tcPr>
          <w:p>
            <w:pPr>
              <w:pStyle w:val="TableContents"/>
              <w:spacing w:before="0" w:after="240"/>
              <w:ind w:left="0" w:right="0" w:hanging="0"/>
              <w:jc w:val="both"/>
              <w:rPr/>
            </w:pPr>
            <w:r>
              <w:rPr/>
              <w:t>​</w:t>
            </w:r>
          </w:p>
        </w:tc>
        <w:tc>
          <w:tcPr>
            <w:tcW w:w="316" w:type="dxa"/>
            <w:tcBorders/>
            <w:shd w:fill="auto" w:val="clear"/>
            <w:vAlign w:val="center"/>
          </w:tcPr>
          <w:p>
            <w:pPr>
              <w:pStyle w:val="TableContents"/>
              <w:spacing w:before="0" w:after="240"/>
              <w:ind w:left="0" w:right="0" w:hanging="0"/>
              <w:jc w:val="both"/>
              <w:rPr/>
            </w:pPr>
            <w:r>
              <w:rPr/>
              <w:t>​</w:t>
            </w:r>
          </w:p>
        </w:tc>
        <w:tc>
          <w:tcPr>
            <w:tcW w:w="326" w:type="dxa"/>
            <w:tcBorders/>
            <w:shd w:fill="auto" w:val="clear"/>
            <w:vAlign w:val="center"/>
          </w:tcPr>
          <w:p>
            <w:pPr>
              <w:pStyle w:val="TableContents"/>
              <w:spacing w:before="0" w:after="240"/>
              <w:ind w:left="0" w:right="0" w:hanging="0"/>
              <w:jc w:val="both"/>
              <w:rPr/>
            </w:pPr>
            <w:r>
              <w:rPr/>
              <w:t>​</w:t>
            </w:r>
          </w:p>
        </w:tc>
        <w:tc>
          <w:tcPr>
            <w:tcW w:w="204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421" w:type="dxa"/>
            <w:tcBorders/>
            <w:shd w:fill="auto" w:val="clear"/>
            <w:vAlign w:val="center"/>
          </w:tcPr>
          <w:p>
            <w:pPr>
              <w:pStyle w:val="TableContents"/>
              <w:spacing w:before="0" w:after="0"/>
              <w:ind w:left="0" w:right="0" w:hanging="0"/>
              <w:jc w:val="both"/>
              <w:rPr/>
            </w:pPr>
            <w:r>
              <w:rPr/>
              <w:t>☒ </w:t>
            </w:r>
          </w:p>
        </w:tc>
      </w:tr>
    </w:tbl>
    <w:p>
      <w:pPr>
        <w:pStyle w:val="TextBody"/>
        <w:spacing w:before="0" w:after="0"/>
        <w:ind w:left="0" w:right="0" w:hanging="0"/>
        <w:rPr/>
      </w:pPr>
      <w:r>
        <w:rPr/>
        <w:t>​</w:t>
      </w:r>
    </w:p>
    <w:p>
      <w:pPr>
        <w:pStyle w:val="TextBody"/>
        <w:spacing w:before="0" w:after="80"/>
        <w:ind w:left="0" w:right="0" w:firstLine="518"/>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firstLine="518"/>
        <w:jc w:val="both"/>
        <w:rPr>
          <w:rFonts w:ascii="Times New Roman;Times;serif" w:hAnsi="Times New Roman;Times;serif"/>
          <w:sz w:val="18"/>
        </w:rPr>
      </w:pPr>
      <w:r>
        <w:rPr>
          <w:rFonts w:ascii="Times New Roman;Times;serif" w:hAnsi="Times New Roman;Times;serif"/>
          <w:sz w:val="18"/>
        </w:rPr>
        <w:t>As of May 5, 2023, the registrant had 53,860,965 shares of Class A common stock, $0.001 par value per share, and 97,718,000 shares of Class B common stock, $0.001 par value per share, outstanding.</w:t>
      </w:r>
    </w:p>
    <w:p>
      <w:pPr>
        <w:pStyle w:val="TextBody"/>
        <w:spacing w:before="0" w:after="240"/>
        <w:ind w:left="0" w:right="0" w:firstLine="518"/>
        <w:jc w:val="both"/>
        <w:rPr/>
      </w:pPr>
      <w:r>
        <w:rPr/>
        <w:t>​</w:t>
      </w:r>
    </w:p>
    <w:p>
      <w:pPr>
        <w:pStyle w:val="TextBody"/>
        <w:pBdr>
          <w:top w:val="single" w:sz="2" w:space="1" w:color="000000"/>
          <w:bottom w:val="single" w:sz="24" w:space="1" w:color="000000"/>
        </w:pBdr>
        <w:spacing w:before="0" w:after="240"/>
        <w:ind w:left="0" w:right="0" w:firstLine="523"/>
        <w:jc w:val="both"/>
        <w:rPr/>
      </w:pPr>
      <w:r>
        <w:rPr/>
        <w:t>​</w:t>
      </w:r>
    </w:p>
    <w:p>
      <w:pPr>
        <w:pStyle w:val="TextBody"/>
        <w:spacing w:before="0" w:after="240"/>
        <w:ind w:left="0" w:right="0" w:firstLine="523"/>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bookmarkStart w:id="51" w:name="TOC"/>
      <w:bookmarkStart w:id="52" w:name="_183c7d66_57dc_4992_a63d_06b7bc7aa83a"/>
      <w:bookmarkEnd w:id="51"/>
      <w:bookmarkEnd w:id="52"/>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26"/>
        <w:gridCol w:w="8907"/>
        <w:gridCol w:w="572"/>
      </w:tblGrid>
      <w:tr>
        <w:trPr/>
        <w:tc>
          <w:tcPr>
            <w:tcW w:w="726" w:type="dxa"/>
            <w:tcBorders/>
            <w:shd w:fill="auto" w:val="clear"/>
            <w:vAlign w:val="center"/>
          </w:tcPr>
          <w:p>
            <w:pPr>
              <w:pStyle w:val="TableContents"/>
              <w:spacing w:before="0" w:after="0"/>
              <w:ind w:left="0" w:right="0" w:hanging="0"/>
              <w:rPr/>
            </w:pPr>
            <w:r>
              <w:rPr/>
              <w:t>​</w:t>
            </w:r>
          </w:p>
        </w:tc>
        <w:tc>
          <w:tcPr>
            <w:tcW w:w="8907" w:type="dxa"/>
            <w:tcBorders/>
            <w:shd w:fill="auto" w:val="clear"/>
            <w:vAlign w:val="center"/>
          </w:tcPr>
          <w:p>
            <w:pPr>
              <w:pStyle w:val="TableContents"/>
              <w:spacing w:before="0" w:after="0"/>
              <w:ind w:left="0" w:right="0" w:hanging="0"/>
              <w:rPr/>
            </w:pPr>
            <w:r>
              <w:rPr/>
              <w:t> </w:t>
            </w:r>
          </w:p>
        </w:tc>
        <w:tc>
          <w:tcPr>
            <w:tcW w:w="572"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26" w:type="dxa"/>
            <w:tcBorders/>
            <w:shd w:fill="auto" w:val="clear"/>
            <w:vAlign w:val="center"/>
          </w:tcPr>
          <w:p>
            <w:pPr>
              <w:pStyle w:val="TableContents"/>
              <w:spacing w:before="0" w:after="0"/>
              <w:ind w:left="0" w:right="0" w:hanging="0"/>
              <w:rPr/>
            </w:pPr>
            <w:r>
              <w:rPr/>
              <w:t>​</w:t>
            </w:r>
          </w:p>
        </w:tc>
        <w:tc>
          <w:tcPr>
            <w:tcW w:w="8907" w:type="dxa"/>
            <w:tcBorders/>
            <w:shd w:fill="auto" w:val="clear"/>
            <w:vAlign w:val="center"/>
          </w:tcPr>
          <w:p>
            <w:pPr>
              <w:pStyle w:val="TableContents"/>
              <w:spacing w:before="0" w:after="0"/>
              <w:ind w:left="0" w:right="0" w:hanging="0"/>
              <w:jc w:val="center"/>
              <w:rPr/>
            </w:pPr>
            <w:hyperlink w:anchor="PARTIFINANCIALINFORMATION_19634">
              <w:r>
                <w:rPr>
                  <w:rStyle w:val="InternetLink"/>
                  <w:rFonts w:ascii="Times New Roman;Times;serif" w:hAnsi="Times New Roman;Times;serif"/>
                  <w:b w:val="false"/>
                  <w:i w:val="false"/>
                  <w:caps w:val="false"/>
                  <w:smallCaps w:val="false"/>
                  <w:sz w:val="20"/>
                </w:rPr>
                <w:t>Part I - Financial Information </w:t>
              </w:r>
            </w:hyperlink>
          </w:p>
        </w:tc>
        <w:tc>
          <w:tcPr>
            <w:tcW w:w="572" w:type="dxa"/>
            <w:tcBorders>
              <w:top w:val="single" w:sz="8"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726" w:type="dxa"/>
            <w:tcBorders/>
            <w:shd w:fill="auto" w:val="clear"/>
            <w:vAlign w:val="center"/>
          </w:tcPr>
          <w:p>
            <w:pPr>
              <w:pStyle w:val="TableContents"/>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Item 1.</w:t>
              </w:r>
            </w:hyperlink>
          </w:p>
        </w:tc>
        <w:tc>
          <w:tcPr>
            <w:tcW w:w="8907" w:type="dxa"/>
            <w:tcBorders/>
            <w:shd w:fill="auto" w:val="clear"/>
            <w:vAlign w:val="center"/>
          </w:tcPr>
          <w:p>
            <w:pPr>
              <w:pStyle w:val="TableContents"/>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Financial Statements</w:t>
              </w:r>
            </w:hyperlink>
          </w:p>
        </w:tc>
        <w:tc>
          <w:tcPr>
            <w:tcW w:w="572" w:type="dxa"/>
            <w:tcBorders/>
            <w:shd w:fill="auto" w:val="clear"/>
            <w:vAlign w:val="center"/>
          </w:tcPr>
          <w:p>
            <w:pPr>
              <w:pStyle w:val="TableContents"/>
              <w:spacing w:before="0" w:after="0"/>
              <w:ind w:left="0" w:right="0" w:hanging="0"/>
              <w:jc w:val="right"/>
              <w:rPr/>
            </w:pPr>
            <w:r>
              <w:rPr/>
              <w:t>​</w:t>
            </w:r>
          </w:p>
        </w:tc>
      </w:tr>
      <w:tr>
        <w:trPr/>
        <w:tc>
          <w:tcPr>
            <w:tcW w:w="726" w:type="dxa"/>
            <w:tcBorders/>
            <w:shd w:fill="auto" w:val="clear"/>
            <w:vAlign w:val="center"/>
          </w:tcPr>
          <w:p>
            <w:pPr>
              <w:pStyle w:val="TableContents"/>
              <w:spacing w:before="0" w:after="0"/>
              <w:ind w:left="0" w:right="0" w:hanging="0"/>
              <w:rPr/>
            </w:pPr>
            <w:r>
              <w:rPr/>
              <w:t>​</w:t>
            </w:r>
          </w:p>
        </w:tc>
        <w:tc>
          <w:tcPr>
            <w:tcW w:w="8907" w:type="dxa"/>
            <w:tcBorders/>
            <w:shd w:fill="auto" w:val="clear"/>
            <w:vAlign w:val="center"/>
          </w:tcPr>
          <w:p>
            <w:pPr>
              <w:pStyle w:val="TableContents"/>
              <w:spacing w:before="0" w:after="0"/>
              <w:ind w:left="0" w:right="0" w:hanging="0"/>
              <w:jc w:val="both"/>
              <w:rPr/>
            </w:pPr>
            <w:hyperlink w:anchor="CondensedConsolidatedBalanceSheets_41728">
              <w:r>
                <w:rPr>
                  <w:rStyle w:val="InternetLink"/>
                  <w:rFonts w:ascii="Times New Roman;Times;serif" w:hAnsi="Times New Roman;Times;serif"/>
                  <w:b w:val="false"/>
                  <w:i w:val="false"/>
                  <w:caps w:val="false"/>
                  <w:smallCaps w:val="false"/>
                  <w:sz w:val="20"/>
                </w:rPr>
                <w:t>Condensed Consolidated Balance Sheets as of March 31, 2023 and December 31, 2022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6" w:type="dxa"/>
            <w:tcBorders/>
            <w:shd w:fill="auto" w:val="clear"/>
            <w:vAlign w:val="center"/>
          </w:tcPr>
          <w:p>
            <w:pPr>
              <w:pStyle w:val="TableContents"/>
              <w:spacing w:before="0" w:after="0"/>
              <w:ind w:left="0" w:right="0" w:hanging="0"/>
              <w:rPr/>
            </w:pPr>
            <w:r>
              <w:rPr/>
              <w:t>​</w:t>
            </w:r>
          </w:p>
        </w:tc>
        <w:tc>
          <w:tcPr>
            <w:tcW w:w="8907" w:type="dxa"/>
            <w:tcBorders/>
            <w:shd w:fill="auto" w:val="clear"/>
            <w:vAlign w:val="center"/>
          </w:tcPr>
          <w:p>
            <w:pPr>
              <w:pStyle w:val="TableContents"/>
              <w:spacing w:before="0" w:after="0"/>
              <w:ind w:left="0" w:right="0" w:hanging="0"/>
              <w:jc w:val="both"/>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Loss for the Three Months Ended March 31, 2023 and 2022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6" w:type="dxa"/>
            <w:tcBorders/>
            <w:shd w:fill="auto" w:val="clear"/>
            <w:vAlign w:val="center"/>
          </w:tcPr>
          <w:p>
            <w:pPr>
              <w:pStyle w:val="TableContents"/>
              <w:spacing w:before="0" w:after="0"/>
              <w:ind w:left="0" w:right="0" w:hanging="0"/>
              <w:rPr/>
            </w:pPr>
            <w:r>
              <w:rPr/>
              <w:t>​</w:t>
            </w:r>
          </w:p>
        </w:tc>
        <w:tc>
          <w:tcPr>
            <w:tcW w:w="8907" w:type="dxa"/>
            <w:tcBorders/>
            <w:shd w:fill="auto" w:val="clear"/>
            <w:vAlign w:val="center"/>
          </w:tcPr>
          <w:p>
            <w:pPr>
              <w:pStyle w:val="TableContents"/>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2023 and 2022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26" w:type="dxa"/>
            <w:tcBorders/>
            <w:shd w:fill="auto" w:val="clear"/>
            <w:vAlign w:val="center"/>
          </w:tcPr>
          <w:p>
            <w:pPr>
              <w:pStyle w:val="TableContents"/>
              <w:spacing w:before="0" w:after="0"/>
              <w:ind w:left="0" w:right="0" w:hanging="0"/>
              <w:rPr/>
            </w:pPr>
            <w:r>
              <w:rPr/>
              <w:t>​</w:t>
            </w:r>
          </w:p>
        </w:tc>
        <w:tc>
          <w:tcPr>
            <w:tcW w:w="8907" w:type="dxa"/>
            <w:tcBorders/>
            <w:shd w:fill="auto" w:val="clear"/>
            <w:vAlign w:val="center"/>
          </w:tcPr>
          <w:p>
            <w:pPr>
              <w:pStyle w:val="TableContents"/>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2023 and 2022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26" w:type="dxa"/>
            <w:tcBorders/>
            <w:shd w:fill="auto" w:val="clear"/>
            <w:vAlign w:val="center"/>
          </w:tcPr>
          <w:p>
            <w:pPr>
              <w:pStyle w:val="TableContents"/>
              <w:spacing w:before="0" w:after="0"/>
              <w:ind w:left="0" w:right="0" w:hanging="0"/>
              <w:rPr/>
            </w:pPr>
            <w:r>
              <w:rPr/>
              <w:t>​</w:t>
            </w:r>
          </w:p>
        </w:tc>
        <w:tc>
          <w:tcPr>
            <w:tcW w:w="8907" w:type="dxa"/>
            <w:tcBorders/>
            <w:shd w:fill="auto" w:val="clear"/>
            <w:vAlign w:val="center"/>
          </w:tcPr>
          <w:p>
            <w:pPr>
              <w:pStyle w:val="TableContents"/>
              <w:spacing w:before="0" w:after="0"/>
              <w:ind w:left="0" w:right="0" w:hanging="0"/>
              <w:jc w:val="both"/>
              <w:rPr/>
            </w:pPr>
            <w:hyperlink w:anchor="a1SUMMARYOFSIGNIFICANTACCOUNTINGPOLICI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26" w:type="dxa"/>
            <w:tcBorders/>
            <w:shd w:fill="auto" w:val="clear"/>
            <w:vAlign w:val="center"/>
          </w:tcPr>
          <w:p>
            <w:pPr>
              <w:pStyle w:val="TableContents"/>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Item 2.</w:t>
              </w:r>
            </w:hyperlink>
          </w:p>
        </w:tc>
        <w:tc>
          <w:tcPr>
            <w:tcW w:w="8907" w:type="dxa"/>
            <w:tcBorders/>
            <w:shd w:fill="auto" w:val="clear"/>
            <w:vAlign w:val="center"/>
          </w:tcPr>
          <w:p>
            <w:pPr>
              <w:pStyle w:val="TableContents"/>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26" w:type="dxa"/>
            <w:tcBorders/>
            <w:shd w:fill="auto" w:val="clear"/>
            <w:vAlign w:val="center"/>
          </w:tcPr>
          <w:p>
            <w:pPr>
              <w:pStyle w:val="TableContents"/>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Item 3.</w:t>
              </w:r>
            </w:hyperlink>
          </w:p>
        </w:tc>
        <w:tc>
          <w:tcPr>
            <w:tcW w:w="8907" w:type="dxa"/>
            <w:tcBorders/>
            <w:shd w:fill="auto" w:val="clear"/>
            <w:vAlign w:val="center"/>
          </w:tcPr>
          <w:p>
            <w:pPr>
              <w:pStyle w:val="TableContents"/>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26" w:type="dxa"/>
            <w:tcBorders/>
            <w:shd w:fill="auto" w:val="clear"/>
            <w:vAlign w:val="center"/>
          </w:tcPr>
          <w:p>
            <w:pPr>
              <w:pStyle w:val="TableContents"/>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Item 4.</w:t>
              </w:r>
            </w:hyperlink>
          </w:p>
        </w:tc>
        <w:tc>
          <w:tcPr>
            <w:tcW w:w="8907" w:type="dxa"/>
            <w:tcBorders/>
            <w:shd w:fill="auto" w:val="clear"/>
            <w:vAlign w:val="center"/>
          </w:tcPr>
          <w:p>
            <w:pPr>
              <w:pStyle w:val="TableContents"/>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Controls and Procedures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26" w:type="dxa"/>
            <w:tcBorders/>
            <w:shd w:fill="auto" w:val="clear"/>
            <w:vAlign w:val="center"/>
          </w:tcPr>
          <w:p>
            <w:pPr>
              <w:pStyle w:val="TableContents"/>
              <w:spacing w:before="0" w:after="283"/>
              <w:ind w:left="0" w:right="0" w:hanging="0"/>
              <w:rPr>
                <w:sz w:val="4"/>
                <w:szCs w:val="4"/>
              </w:rPr>
            </w:pPr>
            <w:r>
              <w:rPr>
                <w:sz w:val="4"/>
                <w:szCs w:val="4"/>
              </w:rPr>
            </w:r>
          </w:p>
        </w:tc>
        <w:tc>
          <w:tcPr>
            <w:tcW w:w="8907" w:type="dxa"/>
            <w:tcBorders/>
            <w:shd w:fill="auto" w:val="clear"/>
            <w:vAlign w:val="center"/>
          </w:tcPr>
          <w:p>
            <w:pPr>
              <w:pStyle w:val="TableContents"/>
              <w:spacing w:before="0" w:after="0"/>
              <w:ind w:left="0" w:right="0" w:hanging="0"/>
              <w:jc w:val="center"/>
              <w:rPr/>
            </w:pPr>
            <w:hyperlink w:anchor="PARTIIOTHERINFORMATION_466846">
              <w:r>
                <w:rPr>
                  <w:rStyle w:val="InternetLink"/>
                  <w:rFonts w:ascii="Times New Roman;Times;serif" w:hAnsi="Times New Roman;Times;serif"/>
                  <w:b w:val="false"/>
                  <w:i w:val="false"/>
                  <w:caps w:val="false"/>
                  <w:smallCaps w:val="false"/>
                  <w:sz w:val="20"/>
                </w:rPr>
                <w:t>Part II - Other Information</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6" w:type="dxa"/>
            <w:tcBorders/>
            <w:shd w:fill="auto" w:val="clear"/>
            <w:vAlign w:val="center"/>
          </w:tcPr>
          <w:p>
            <w:pPr>
              <w:pStyle w:val="TableContents"/>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Item 1.</w:t>
              </w:r>
            </w:hyperlink>
          </w:p>
        </w:tc>
        <w:tc>
          <w:tcPr>
            <w:tcW w:w="8907" w:type="dxa"/>
            <w:tcBorders/>
            <w:shd w:fill="auto" w:val="clear"/>
            <w:vAlign w:val="center"/>
          </w:tcPr>
          <w:p>
            <w:pPr>
              <w:pStyle w:val="TableContents"/>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Legal Proceedings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6" w:type="dxa"/>
            <w:tcBorders/>
            <w:shd w:fill="auto" w:val="clear"/>
            <w:vAlign w:val="center"/>
          </w:tcPr>
          <w:p>
            <w:pPr>
              <w:pStyle w:val="TableContents"/>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Item 1A.</w:t>
              </w:r>
            </w:hyperlink>
          </w:p>
        </w:tc>
        <w:tc>
          <w:tcPr>
            <w:tcW w:w="8907" w:type="dxa"/>
            <w:tcBorders/>
            <w:shd w:fill="auto" w:val="clear"/>
            <w:vAlign w:val="center"/>
          </w:tcPr>
          <w:p>
            <w:pPr>
              <w:pStyle w:val="TableContents"/>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Risk Factors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6" w:type="dxa"/>
            <w:tcBorders/>
            <w:shd w:fill="auto" w:val="clear"/>
            <w:vAlign w:val="center"/>
          </w:tcPr>
          <w:p>
            <w:pPr>
              <w:pStyle w:val="TableContents"/>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07" w:type="dxa"/>
            <w:tcBorders/>
            <w:shd w:fill="auto" w:val="clear"/>
            <w:vAlign w:val="center"/>
          </w:tcPr>
          <w:p>
            <w:pPr>
              <w:pStyle w:val="TableContents"/>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6" w:type="dxa"/>
            <w:tcBorders/>
            <w:shd w:fill="auto" w:val="clear"/>
            <w:vAlign w:val="center"/>
          </w:tcPr>
          <w:p>
            <w:pPr>
              <w:pStyle w:val="TableContents"/>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Item 3.</w:t>
              </w:r>
            </w:hyperlink>
          </w:p>
        </w:tc>
        <w:tc>
          <w:tcPr>
            <w:tcW w:w="8907" w:type="dxa"/>
            <w:tcBorders/>
            <w:shd w:fill="auto" w:val="clear"/>
            <w:vAlign w:val="center"/>
          </w:tcPr>
          <w:p>
            <w:pPr>
              <w:pStyle w:val="TableContents"/>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6" w:type="dxa"/>
            <w:tcBorders/>
            <w:shd w:fill="auto" w:val="clear"/>
            <w:vAlign w:val="center"/>
          </w:tcPr>
          <w:p>
            <w:pPr>
              <w:pStyle w:val="TableContents"/>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Item 4.</w:t>
              </w:r>
            </w:hyperlink>
          </w:p>
        </w:tc>
        <w:tc>
          <w:tcPr>
            <w:tcW w:w="8907" w:type="dxa"/>
            <w:tcBorders/>
            <w:shd w:fill="auto" w:val="clear"/>
            <w:vAlign w:val="center"/>
          </w:tcPr>
          <w:p>
            <w:pPr>
              <w:pStyle w:val="TableContents"/>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Mine Safety Disclosures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6" w:type="dxa"/>
            <w:tcBorders/>
            <w:shd w:fill="auto" w:val="clear"/>
            <w:vAlign w:val="center"/>
          </w:tcPr>
          <w:p>
            <w:pPr>
              <w:pStyle w:val="TableContents"/>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Item 5.</w:t>
              </w:r>
            </w:hyperlink>
          </w:p>
        </w:tc>
        <w:tc>
          <w:tcPr>
            <w:tcW w:w="8907" w:type="dxa"/>
            <w:tcBorders/>
            <w:shd w:fill="auto" w:val="clear"/>
            <w:vAlign w:val="center"/>
          </w:tcPr>
          <w:p>
            <w:pPr>
              <w:pStyle w:val="TableContents"/>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 xml:space="preserve">Other Information </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726" w:type="dxa"/>
            <w:tcBorders/>
            <w:shd w:fill="auto" w:val="clear"/>
            <w:vAlign w:val="center"/>
          </w:tcPr>
          <w:p>
            <w:pPr>
              <w:pStyle w:val="TableContents"/>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Item 6.</w:t>
              </w:r>
            </w:hyperlink>
          </w:p>
        </w:tc>
        <w:tc>
          <w:tcPr>
            <w:tcW w:w="8907" w:type="dxa"/>
            <w:tcBorders/>
            <w:shd w:fill="auto" w:val="clear"/>
            <w:vAlign w:val="center"/>
          </w:tcPr>
          <w:p>
            <w:pPr>
              <w:pStyle w:val="TableContents"/>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Exhibits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6" w:type="dxa"/>
            <w:tcBorders/>
            <w:shd w:fill="auto" w:val="clear"/>
            <w:vAlign w:val="center"/>
          </w:tcPr>
          <w:p>
            <w:pPr>
              <w:pStyle w:val="TableContents"/>
              <w:spacing w:before="0" w:after="283"/>
              <w:ind w:left="0" w:right="0" w:hanging="0"/>
              <w:rPr>
                <w:sz w:val="4"/>
                <w:szCs w:val="4"/>
              </w:rPr>
            </w:pPr>
            <w:r>
              <w:rPr>
                <w:sz w:val="4"/>
                <w:szCs w:val="4"/>
              </w:rPr>
            </w:r>
          </w:p>
        </w:tc>
        <w:tc>
          <w:tcPr>
            <w:tcW w:w="8907" w:type="dxa"/>
            <w:tcBorders/>
            <w:shd w:fill="auto" w:val="clear"/>
            <w:vAlign w:val="center"/>
          </w:tcPr>
          <w:p>
            <w:pPr>
              <w:pStyle w:val="TableContents"/>
              <w:spacing w:before="0" w:after="0"/>
              <w:ind w:left="0" w:right="0" w:hanging="0"/>
              <w:jc w:val="both"/>
              <w:rPr/>
            </w:pPr>
            <w:hyperlink w:anchor="SIGNATURES_99336">
              <w:r>
                <w:rPr>
                  <w:rStyle w:val="InternetLink"/>
                  <w:rFonts w:ascii="Times New Roman;Times;serif" w:hAnsi="Times New Roman;Times;serif"/>
                  <w:b w:val="false"/>
                  <w:i w:val="false"/>
                  <w:caps w:val="false"/>
                  <w:smallCaps w:val="false"/>
                  <w:sz w:val="20"/>
                </w:rPr>
                <w:t>Signatures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bookmarkStart w:id="53" w:name="_23abd1a6_1610_4376_baa7_36fb7ab03436"/>
      <w:bookmarkEnd w:id="53"/>
      <w:r>
        <w:rPr>
          <w:rFonts w:ascii="Times New Roman;Times;serif" w:hAnsi="Times New Roman;Times;serif"/>
          <w:b/>
          <w:sz w:val="20"/>
        </w:rPr>
        <w:t xml:space="preserve">SPECIAL NOTE REGARDING FORWARD-LOOKING STATEMENTS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on a cost-effective basis and the extent to which existing customers renew and upgrade their subscriptions;</w:t>
            </w:r>
          </w:p>
        </w:tc>
      </w:tr>
    </w:tbl>
    <w:tbl>
      <w:tblPr>
        <w:tblW w:w="9951" w:type="dxa"/>
        <w:jc w:val="left"/>
        <w:tblInd w:w="0" w:type="dxa"/>
        <w:tblCellMar>
          <w:top w:w="28" w:type="dxa"/>
          <w:left w:w="28" w:type="dxa"/>
          <w:bottom w:w="28" w:type="dxa"/>
          <w:right w:w="28" w:type="dxa"/>
        </w:tblCellMar>
      </w:tblPr>
      <w:tblGrid>
        <w:gridCol w:w="124"/>
        <w:gridCol w:w="256"/>
        <w:gridCol w:w="95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 expand revenues, maintain profitability, and to effectively manage our anticipated growth;</w:t>
            </w:r>
          </w:p>
        </w:tc>
      </w:tr>
    </w:tbl>
    <w:tbl>
      <w:tblPr>
        <w:tblW w:w="6996" w:type="dxa"/>
        <w:jc w:val="left"/>
        <w:tblInd w:w="0" w:type="dxa"/>
        <w:tblCellMar>
          <w:top w:w="28" w:type="dxa"/>
          <w:left w:w="28" w:type="dxa"/>
          <w:bottom w:w="28" w:type="dxa"/>
          <w:right w:w="28" w:type="dxa"/>
        </w:tblCellMar>
      </w:tblPr>
      <w:tblGrid>
        <w:gridCol w:w="124"/>
        <w:gridCol w:w="256"/>
        <w:gridCol w:w="66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our introduction of new solutions or updates to existing solutions;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diversify our solutions by developing or introducing new solutions or acquiring and integrating additional businesses, products, services or content;</w:t>
            </w:r>
          </w:p>
        </w:tc>
      </w:tr>
    </w:tbl>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strategic relationships with third parties;</w:t>
            </w:r>
          </w:p>
        </w:tc>
      </w:tr>
    </w:tbl>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expanding international operations;</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to customers without disruption or delay;</w:t>
            </w:r>
          </w:p>
        </w:tc>
      </w:tr>
    </w:tbl>
    <w:tbl>
      <w:tblPr>
        <w:tblW w:w="9351" w:type="dxa"/>
        <w:jc w:val="left"/>
        <w:tblInd w:w="0" w:type="dxa"/>
        <w:tblCellMar>
          <w:top w:w="28" w:type="dxa"/>
          <w:left w:w="28" w:type="dxa"/>
          <w:bottom w:w="28" w:type="dxa"/>
          <w:right w:w="28" w:type="dxa"/>
        </w:tblCellMar>
      </w:tblPr>
      <w:tblGrid>
        <w:gridCol w:w="124"/>
        <w:gridCol w:w="256"/>
        <w:gridCol w:w="8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liability from errors, delays, fraud or system failures, which may not be covered by insurance;</w:t>
            </w:r>
          </w:p>
        </w:tc>
      </w:tr>
    </w:tbl>
    <w:tbl>
      <w:tblPr>
        <w:tblW w:w="7191" w:type="dxa"/>
        <w:jc w:val="left"/>
        <w:tblInd w:w="0" w:type="dxa"/>
        <w:tblCellMar>
          <w:top w:w="28" w:type="dxa"/>
          <w:left w:w="28" w:type="dxa"/>
          <w:bottom w:w="28" w:type="dxa"/>
          <w:right w:w="28" w:type="dxa"/>
        </w:tblCellMar>
      </w:tblPr>
      <w:tblGrid>
        <w:gridCol w:w="124"/>
        <w:gridCol w:w="256"/>
        <w:gridCol w:w="6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determinations of customers’ transaction tax and tax payments;</w:t>
            </w:r>
          </w:p>
        </w:tc>
      </w:tr>
    </w:tbl>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tax laws and regulations or their interpretation or enforcement;</w:t>
            </w:r>
          </w:p>
        </w:tc>
      </w:tr>
    </w:tbl>
    <w:tbl>
      <w:tblPr>
        <w:tblW w:w="5286" w:type="dxa"/>
        <w:jc w:val="left"/>
        <w:tblInd w:w="0" w:type="dxa"/>
        <w:tblCellMar>
          <w:top w:w="28" w:type="dxa"/>
          <w:left w:w="28" w:type="dxa"/>
          <w:bottom w:w="28" w:type="dxa"/>
          <w:right w:w="28" w:type="dxa"/>
        </w:tblCellMar>
      </w:tblPr>
      <w:tblGrid>
        <w:gridCol w:w="124"/>
        <w:gridCol w:w="256"/>
        <w:gridCol w:w="4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cybersecurity and data privacy risks;</w:t>
            </w:r>
          </w:p>
        </w:tc>
      </w:tr>
    </w:tbl>
    <w:tbl>
      <w:tblPr>
        <w:tblW w:w="8466" w:type="dxa"/>
        <w:jc w:val="left"/>
        <w:tblInd w:w="0" w:type="dxa"/>
        <w:tblCellMar>
          <w:top w:w="28" w:type="dxa"/>
          <w:left w:w="28" w:type="dxa"/>
          <w:bottom w:w="28" w:type="dxa"/>
          <w:right w:w="28" w:type="dxa"/>
        </w:tblCellMar>
      </w:tblPr>
      <w:tblGrid>
        <w:gridCol w:w="124"/>
        <w:gridCol w:w="256"/>
        <w:gridCol w:w="8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failures in information technology, infrastructure and third-party service providers;</w:t>
            </w:r>
          </w:p>
        </w:tc>
      </w:tr>
    </w:tbl>
    <w:tbl>
      <w:tblPr>
        <w:tblW w:w="5886" w:type="dxa"/>
        <w:jc w:val="left"/>
        <w:tblInd w:w="0" w:type="dxa"/>
        <w:tblCellMar>
          <w:top w:w="28" w:type="dxa"/>
          <w:left w:w="28" w:type="dxa"/>
          <w:bottom w:w="28" w:type="dxa"/>
          <w:right w:w="28" w:type="dxa"/>
        </w:tblCellMar>
      </w:tblPr>
      <w:tblGrid>
        <w:gridCol w:w="124"/>
        <w:gridCol w:w="25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protect, maintain and enhance our brand;</w:t>
            </w:r>
          </w:p>
        </w:tc>
      </w:tr>
    </w:tbl>
    <w:tbl>
      <w:tblPr>
        <w:tblW w:w="8121" w:type="dxa"/>
        <w:jc w:val="left"/>
        <w:tblInd w:w="0" w:type="dxa"/>
        <w:tblCellMar>
          <w:top w:w="28" w:type="dxa"/>
          <w:left w:w="28" w:type="dxa"/>
          <w:bottom w:w="28" w:type="dxa"/>
          <w:right w:w="28" w:type="dxa"/>
        </w:tblCellMar>
      </w:tblPr>
      <w:tblGrid>
        <w:gridCol w:w="124"/>
        <w:gridCol w:w="256"/>
        <w:gridCol w:w="77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7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weakness and uncertainties, and disruption in the capital and credit markets;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disruptions related to natural disasters, epidemic outbreaks, terrorist acts, political events or other events outside of our control;</w:t>
            </w:r>
          </w:p>
        </w:tc>
      </w:tr>
    </w:tbl>
    <w:tbl>
      <w:tblPr>
        <w:tblW w:w="7731" w:type="dxa"/>
        <w:jc w:val="left"/>
        <w:tblInd w:w="0" w:type="dxa"/>
        <w:tblCellMar>
          <w:top w:w="28" w:type="dxa"/>
          <w:left w:w="28" w:type="dxa"/>
          <w:bottom w:w="28" w:type="dxa"/>
          <w:right w:w="28" w:type="dxa"/>
        </w:tblCellMar>
      </w:tblPr>
      <w:tblGrid>
        <w:gridCol w:w="124"/>
        <w:gridCol w:w="256"/>
        <w:gridCol w:w="73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effects on our business from the existence of a global endemic or pandemic;</w:t>
            </w:r>
          </w:p>
        </w:tc>
      </w:tr>
    </w:tbl>
    <w:tbl>
      <w:tblPr>
        <w:tblW w:w="6396" w:type="dxa"/>
        <w:jc w:val="left"/>
        <w:tblInd w:w="0" w:type="dxa"/>
        <w:tblCellMar>
          <w:top w:w="28" w:type="dxa"/>
          <w:left w:w="28" w:type="dxa"/>
          <w:bottom w:w="28" w:type="dxa"/>
          <w:right w:w="28" w:type="dxa"/>
        </w:tblCellMar>
      </w:tblPr>
      <w:tblGrid>
        <w:gridCol w:w="124"/>
        <w:gridCol w:w="256"/>
        <w:gridCol w:w="6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anti-corruption, anti-bribery and similar laws;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security ratings and market perceptions of the industry in which we operate, or our ability to obtain capital on commercially reasonable terms or at all;</w:t>
            </w:r>
          </w:p>
        </w:tc>
      </w:tr>
    </w:tbl>
    <w:tbl>
      <w:tblPr>
        <w:tblW w:w="8346" w:type="dxa"/>
        <w:jc w:val="left"/>
        <w:tblInd w:w="0" w:type="dxa"/>
        <w:tblCellMar>
          <w:top w:w="28" w:type="dxa"/>
          <w:left w:w="28" w:type="dxa"/>
          <w:bottom w:w="28" w:type="dxa"/>
          <w:right w:w="28" w:type="dxa"/>
        </w:tblCellMar>
      </w:tblPr>
      <w:tblGrid>
        <w:gridCol w:w="124"/>
        <w:gridCol w:w="256"/>
        <w:gridCol w:w="79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of belief and any statements of assumptions underlying any of the foregoing; and</w:t>
            </w:r>
          </w:p>
        </w:tc>
      </w:tr>
    </w:tbl>
    <w:tbl>
      <w:tblPr>
        <w:tblW w:w="3186" w:type="dxa"/>
        <w:jc w:val="left"/>
        <w:tblInd w:w="0" w:type="dxa"/>
        <w:tblCellMar>
          <w:top w:w="28" w:type="dxa"/>
          <w:left w:w="28" w:type="dxa"/>
          <w:bottom w:w="28" w:type="dxa"/>
          <w:right w:w="28" w:type="dxa"/>
        </w:tblCellMar>
      </w:tblPr>
      <w:tblGrid>
        <w:gridCol w:w="124"/>
        <w:gridCol w:w="256"/>
        <w:gridCol w:w="28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beyond our control.</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2022, filed with the Securities and Exchange Commission (the “SEC”) on March 10, 2023 (the “2022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7"/>
        </w:rPr>
      </w:pPr>
      <w:bookmarkStart w:id="54" w:name="PARTIFINANCIALINFORMATION_19634"/>
      <w:bookmarkStart w:id="55" w:name="_743f0eff_f55e_468d_b7c5_89a10b3dd802"/>
      <w:bookmarkEnd w:id="54"/>
      <w:bookmarkEnd w:id="55"/>
      <w:r>
        <w:rPr>
          <w:rFonts w:ascii="Times New Roman;Times;serif" w:hAnsi="Times New Roman;Times;serif"/>
          <w:b/>
          <w:sz w:val="17"/>
        </w:rPr>
        <w:t>PART I - FINANCIAL INFORMATION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6"/>
        </w:rPr>
      </w:pPr>
      <w:bookmarkStart w:id="56" w:name="Item1FINANCIALSTATEMENTS_787624"/>
      <w:bookmarkEnd w:id="56"/>
      <w:r>
        <w:rPr>
          <w:rFonts w:ascii="Times New Roman;Times;serif" w:hAnsi="Times New Roman;Times;serif"/>
          <w:b/>
          <w:sz w:val="16"/>
        </w:rPr>
        <w:t>Item 1. FINANCIAL STATEMENTS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Vertex, Inc. and Subsidiaries</w:t>
      </w:r>
    </w:p>
    <w:p>
      <w:pPr>
        <w:pStyle w:val="TextBody"/>
        <w:spacing w:before="0" w:after="0"/>
        <w:ind w:left="0" w:right="0" w:hanging="0"/>
        <w:jc w:val="center"/>
        <w:rPr>
          <w:rFonts w:ascii="Times New Roman;Times;serif" w:hAnsi="Times New Roman;Times;serif"/>
          <w:b/>
          <w:sz w:val="16"/>
        </w:rPr>
      </w:pPr>
      <w:bookmarkStart w:id="57" w:name="CondensedConsolidatedBalanceSheets_41728"/>
      <w:bookmarkEnd w:id="57"/>
      <w:r>
        <w:rPr>
          <w:rFonts w:ascii="Times New Roman;Times;serif" w:hAnsi="Times New Roman;Times;serif"/>
          <w:b/>
          <w:sz w:val="16"/>
        </w:rPr>
        <w:t>Condensed Consolidated Balance Sheets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2023 and December 31, 2022</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58" w:name="Tc_fTjJnY6_vEKPXG2j8lHyOQ_52_4"/>
      <w:bookmarkStart w:id="59" w:name="Tc__w9T_8hILUOVdRNtB0Fd_Q_52_1"/>
      <w:bookmarkStart w:id="60" w:name="Tc_vblhbyqss0eUvDTQUtSQYw_52_0"/>
      <w:bookmarkStart w:id="61" w:name="Tc_tUl5KwJhvEybv8dn1nWq0g_51_0"/>
      <w:bookmarkStart w:id="62" w:name="Tc_zrKVrdhIjkW0joP13Sr8ig_50_0"/>
      <w:bookmarkStart w:id="63" w:name="Tc_VEj1Aa7TbkehCNiiIxZGlQ_49_0"/>
      <w:bookmarkStart w:id="64" w:name="Tc_a5JRv3SFqEe9fYEtf-Ld4g_48_0"/>
      <w:bookmarkStart w:id="65" w:name="Tc_vrRVcpBU6U2gxaPlmEUQGg_47_0"/>
      <w:bookmarkStart w:id="66" w:name="Tc_DM5HkG-N60eX9acnqQR6yw_46_0"/>
      <w:bookmarkStart w:id="67" w:name="_c22eb737_72e9_4a57_8485_cb84a75af111_3"/>
      <w:bookmarkStart w:id="68" w:name="_c22eb737_72e9_4a57_8485_cb84a75af111_2"/>
      <w:bookmarkStart w:id="69" w:name="_c22eb737_72e9_4a57_8485_cb84a75af111"/>
      <w:bookmarkStart w:id="70" w:name="Tc_gxWsXZm7HEuP1JM9x6iN2w_45_0"/>
      <w:bookmarkStart w:id="71" w:name="Tc_UAKDopaSbkeKoXii3D5cLA_44_0"/>
      <w:bookmarkStart w:id="72" w:name="Tc_TaKokwAm4EKZqIvk4KWsbw_42_0"/>
      <w:bookmarkStart w:id="73" w:name="Tc_zYzSWcSQXUahMk99Jw8ntQ_41_0"/>
      <w:bookmarkStart w:id="74" w:name="Tc_Mu18Ro5UlUGlt-mMZvVTnw_40_0"/>
      <w:bookmarkStart w:id="75" w:name="Tc_ed5JAXkvBU2BD7VTxUwcgw_39_0"/>
      <w:bookmarkStart w:id="76" w:name="Tc_XLLhjqsGb0OpSWvac5ZbfA_38_2"/>
      <w:bookmarkStart w:id="77" w:name="Tc_pjk1KGRaGEWlsOQh9TM6Tw_38_0"/>
      <w:bookmarkStart w:id="78" w:name="Tc_rt3-23Tovk-_uO18dMdrhg_37_0"/>
      <w:bookmarkStart w:id="79" w:name="Tc_oZGeWRhBc0OYEXWK0qEP1A_36_0"/>
      <w:bookmarkStart w:id="80" w:name="Tc_kpKIMK5jR0CwvvhFEXLrHQ_35_0"/>
      <w:bookmarkStart w:id="81" w:name="Tc_EXFYuDfyAUGvKPREeM9U_Q_34_0"/>
      <w:bookmarkStart w:id="82" w:name="Tc_aP8NOrgj7ka2Ov8oszE9Lg_33_0"/>
      <w:bookmarkStart w:id="83" w:name="Tc_jNbH_9k3gk-fOBWYgKbzFQ_32_0"/>
      <w:bookmarkStart w:id="84" w:name="Tc_fMyDemTHS06q4qnlyb_8KQ_31_0"/>
      <w:bookmarkStart w:id="85" w:name="Tc_9bBcNqlHREaWr5AzTMGbYw_30_0"/>
      <w:bookmarkStart w:id="86" w:name="Tc_w05V41WjRE6RxMdoHMO1OA_29_0"/>
      <w:bookmarkStart w:id="87" w:name="Tc_GpF1wYd970CusKh1LVvOGA_28_0"/>
      <w:bookmarkStart w:id="88" w:name="Tc_wwCdHubC_0SKRxBrYKNgig_27_0"/>
      <w:bookmarkStart w:id="89" w:name="Tc_HP9xzwDvpE-TBVRNl45Aew_26_0"/>
      <w:bookmarkStart w:id="90" w:name="Tc_YUhCvSPXpU2kaHq6_UwK3g_25_0"/>
      <w:bookmarkStart w:id="91" w:name="Tc__m-nrtQSpE6opB16393CTw_24_0"/>
      <w:bookmarkStart w:id="92" w:name="Tc_6ozo-kThL0K1ekg6_IgqrQ_23_0"/>
      <w:bookmarkStart w:id="93" w:name="Tc_HAGHUYMpxEijlNiPcgF0Lg_22_4"/>
      <w:bookmarkStart w:id="94" w:name="Tc_JLsGJIiz4EeOOGigpGkEHA_22_1"/>
      <w:bookmarkStart w:id="95" w:name="Tc_c3tjlMrSsUakRotT6urx8g_22_0"/>
      <w:bookmarkStart w:id="96" w:name="Tc_y2StT3I69EuTt-8wF5ci6A_21_0"/>
      <w:bookmarkStart w:id="97" w:name="Tc_djxC0PV5iUqw2l1-4A15SA_20_5"/>
      <w:bookmarkStart w:id="98" w:name="Tc_X0629iour0K5_TZW1bahMA_20_2"/>
      <w:bookmarkStart w:id="99" w:name="Tc_EI9-qX0YL0mb5V_o4RbTHw_20_0"/>
      <w:bookmarkStart w:id="100" w:name="Tc_QYsxW4A58kuwargr3R_iLw_19_4"/>
      <w:bookmarkStart w:id="101" w:name="Tc_S4fuU8fh8k-Etwp5nz_m8w_19_1"/>
      <w:bookmarkStart w:id="102" w:name="Tc_mjyRP8L9pk2SvTRNVTrSxg_19_0"/>
      <w:bookmarkStart w:id="103" w:name="Tc_s5dsJosPgUycMrjBM87xfQ_18_0"/>
      <w:bookmarkStart w:id="104" w:name="Tc_9Z3Ql99vhUSRiCqNs5k8ZA_17_0"/>
      <w:bookmarkStart w:id="105" w:name="Tc_8h5O_cG3IkqqVGgJbzeGYg_16_0"/>
      <w:bookmarkStart w:id="106" w:name="Tc_EWtxMfRe00-QskKYeh_hOQ_15_0"/>
      <w:bookmarkStart w:id="107" w:name="Tc_pl03qdsnoUiGtQbP9QHJGw_14_0"/>
      <w:bookmarkStart w:id="108" w:name="Tc_KZL8w_AmMEePO-f4LnV3pg_13_0"/>
      <w:bookmarkStart w:id="109" w:name="Tc__Xdt2u5TO067IT7ZLnTsAQ_12_0"/>
      <w:bookmarkStart w:id="110" w:name="Tc_Wg5V3lqvWE6lq89tjcPmWw_11_0"/>
      <w:bookmarkStart w:id="111" w:name="Tc_Jsoz5Qkiq0e-M_P952CYzA_10_0"/>
      <w:bookmarkStart w:id="112" w:name="Tc_iwjvRLM5C0iooFhBQ7HKaA_9_0"/>
      <w:bookmarkStart w:id="113" w:name="Tc_7dRub92GjEuXRrRVOmfmUQ_8_0"/>
      <w:bookmarkStart w:id="114" w:name="Tc_KAtFIn0IPEG6d9s0259N0Q_7_0"/>
      <w:bookmarkStart w:id="115" w:name="Tc_ku74gPaPCkmMIXuxYeWc4A_6_4"/>
      <w:bookmarkStart w:id="116" w:name="Tc_v95wV82Ifku4-4TcHqjvLQ_6_1"/>
      <w:bookmarkStart w:id="117" w:name="Tc_1Br1xIFv7EesSPAMBJpzBA_6_0"/>
      <w:bookmarkStart w:id="118" w:name="Tc_i-szzhiEe0ihmPfKO30W1g_5_0"/>
      <w:bookmarkStart w:id="119" w:name="Tc_po9Vb5ByPEGF0-Z1i--V7g_4_0"/>
      <w:bookmarkStart w:id="120" w:name="Tc_8zWlO52EX0KHYfcMM2Fp4Q_3_1"/>
      <w:bookmarkStart w:id="121" w:name="Tc_D5KdUe4qyEaCCcOouqWaaw_2_4"/>
      <w:bookmarkStart w:id="122" w:name="Tc_Hn78nBKzW02YXbbo0fHX8A_2_1"/>
      <w:bookmarkStart w:id="123" w:name="Tc_mfBQNAah_UmkCdgn6ZJ4EA_1_4"/>
      <w:bookmarkStart w:id="124" w:name="Tc_fdu2RQS_QEa-YStjbXe4Jw_1_1"/>
      <w:bookmarkStart w:id="125" w:name="_bf713315_f8fd_4cb8_8c2b_575f331673ed"/>
      <w:bookmarkStart w:id="126" w:name="Tc_fTjJnY6_vEKPXG2j8lHyOQ_52_4"/>
      <w:bookmarkStart w:id="127" w:name="Tc__w9T_8hILUOVdRNtB0Fd_Q_52_1"/>
      <w:bookmarkStart w:id="128" w:name="Tc_vblhbyqss0eUvDTQUtSQYw_52_0"/>
      <w:bookmarkStart w:id="129" w:name="Tc_tUl5KwJhvEybv8dn1nWq0g_51_0"/>
      <w:bookmarkStart w:id="130" w:name="Tc_zrKVrdhIjkW0joP13Sr8ig_50_0"/>
      <w:bookmarkStart w:id="131" w:name="Tc_VEj1Aa7TbkehCNiiIxZGlQ_49_0"/>
      <w:bookmarkStart w:id="132" w:name="Tc_a5JRv3SFqEe9fYEtf-Ld4g_48_0"/>
      <w:bookmarkStart w:id="133" w:name="Tc_vrRVcpBU6U2gxaPlmEUQGg_47_0"/>
      <w:bookmarkStart w:id="134" w:name="Tc_DM5HkG-N60eX9acnqQR6yw_46_0"/>
      <w:bookmarkStart w:id="135" w:name="_c22eb737_72e9_4a57_8485_cb84a75af111_3"/>
      <w:bookmarkStart w:id="136" w:name="_c22eb737_72e9_4a57_8485_cb84a75af111_2"/>
      <w:bookmarkStart w:id="137" w:name="_c22eb737_72e9_4a57_8485_cb84a75af111"/>
      <w:bookmarkStart w:id="138" w:name="Tc_gxWsXZm7HEuP1JM9x6iN2w_45_0"/>
      <w:bookmarkStart w:id="139" w:name="Tc_UAKDopaSbkeKoXii3D5cLA_44_0"/>
      <w:bookmarkStart w:id="140" w:name="Tc_TaKokwAm4EKZqIvk4KWsbw_42_0"/>
      <w:bookmarkStart w:id="141" w:name="Tc_zYzSWcSQXUahMk99Jw8ntQ_41_0"/>
      <w:bookmarkStart w:id="142" w:name="Tc_Mu18Ro5UlUGlt-mMZvVTnw_40_0"/>
      <w:bookmarkStart w:id="143" w:name="Tc_ed5JAXkvBU2BD7VTxUwcgw_39_0"/>
      <w:bookmarkStart w:id="144" w:name="Tc_XLLhjqsGb0OpSWvac5ZbfA_38_2"/>
      <w:bookmarkStart w:id="145" w:name="Tc_pjk1KGRaGEWlsOQh9TM6Tw_38_0"/>
      <w:bookmarkStart w:id="146" w:name="Tc_rt3-23Tovk-_uO18dMdrhg_37_0"/>
      <w:bookmarkStart w:id="147" w:name="Tc_oZGeWRhBc0OYEXWK0qEP1A_36_0"/>
      <w:bookmarkStart w:id="148" w:name="Tc_kpKIMK5jR0CwvvhFEXLrHQ_35_0"/>
      <w:bookmarkStart w:id="149" w:name="Tc_EXFYuDfyAUGvKPREeM9U_Q_34_0"/>
      <w:bookmarkStart w:id="150" w:name="Tc_aP8NOrgj7ka2Ov8oszE9Lg_33_0"/>
      <w:bookmarkStart w:id="151" w:name="Tc_jNbH_9k3gk-fOBWYgKbzFQ_32_0"/>
      <w:bookmarkStart w:id="152" w:name="Tc_fMyDemTHS06q4qnlyb_8KQ_31_0"/>
      <w:bookmarkStart w:id="153" w:name="Tc_9bBcNqlHREaWr5AzTMGbYw_30_0"/>
      <w:bookmarkStart w:id="154" w:name="Tc_w05V41WjRE6RxMdoHMO1OA_29_0"/>
      <w:bookmarkStart w:id="155" w:name="Tc_GpF1wYd970CusKh1LVvOGA_28_0"/>
      <w:bookmarkStart w:id="156" w:name="Tc_wwCdHubC_0SKRxBrYKNgig_27_0"/>
      <w:bookmarkStart w:id="157" w:name="Tc_HP9xzwDvpE-TBVRNl45Aew_26_0"/>
      <w:bookmarkStart w:id="158" w:name="Tc_YUhCvSPXpU2kaHq6_UwK3g_25_0"/>
      <w:bookmarkStart w:id="159" w:name="Tc__m-nrtQSpE6opB16393CTw_24_0"/>
      <w:bookmarkStart w:id="160" w:name="Tc_6ozo-kThL0K1ekg6_IgqrQ_23_0"/>
      <w:bookmarkStart w:id="161" w:name="Tc_HAGHUYMpxEijlNiPcgF0Lg_22_4"/>
      <w:bookmarkStart w:id="162" w:name="Tc_JLsGJIiz4EeOOGigpGkEHA_22_1"/>
      <w:bookmarkStart w:id="163" w:name="Tc_c3tjlMrSsUakRotT6urx8g_22_0"/>
      <w:bookmarkStart w:id="164" w:name="Tc_y2StT3I69EuTt-8wF5ci6A_21_0"/>
      <w:bookmarkStart w:id="165" w:name="Tc_djxC0PV5iUqw2l1-4A15SA_20_5"/>
      <w:bookmarkStart w:id="166" w:name="Tc_X0629iour0K5_TZW1bahMA_20_2"/>
      <w:bookmarkStart w:id="167" w:name="Tc_EI9-qX0YL0mb5V_o4RbTHw_20_0"/>
      <w:bookmarkStart w:id="168" w:name="Tc_QYsxW4A58kuwargr3R_iLw_19_4"/>
      <w:bookmarkStart w:id="169" w:name="Tc_S4fuU8fh8k-Etwp5nz_m8w_19_1"/>
      <w:bookmarkStart w:id="170" w:name="Tc_mjyRP8L9pk2SvTRNVTrSxg_19_0"/>
      <w:bookmarkStart w:id="171" w:name="Tc_s5dsJosPgUycMrjBM87xfQ_18_0"/>
      <w:bookmarkStart w:id="172" w:name="Tc_9Z3Ql99vhUSRiCqNs5k8ZA_17_0"/>
      <w:bookmarkStart w:id="173" w:name="Tc_8h5O_cG3IkqqVGgJbzeGYg_16_0"/>
      <w:bookmarkStart w:id="174" w:name="Tc_EWtxMfRe00-QskKYeh_hOQ_15_0"/>
      <w:bookmarkStart w:id="175" w:name="Tc_pl03qdsnoUiGtQbP9QHJGw_14_0"/>
      <w:bookmarkStart w:id="176" w:name="Tc_KZL8w_AmMEePO-f4LnV3pg_13_0"/>
      <w:bookmarkStart w:id="177" w:name="Tc__Xdt2u5TO067IT7ZLnTsAQ_12_0"/>
      <w:bookmarkStart w:id="178" w:name="Tc_Wg5V3lqvWE6lq89tjcPmWw_11_0"/>
      <w:bookmarkStart w:id="179" w:name="Tc_Jsoz5Qkiq0e-M_P952CYzA_10_0"/>
      <w:bookmarkStart w:id="180" w:name="Tc_iwjvRLM5C0iooFhBQ7HKaA_9_0"/>
      <w:bookmarkStart w:id="181" w:name="Tc_7dRub92GjEuXRrRVOmfmUQ_8_0"/>
      <w:bookmarkStart w:id="182" w:name="Tc_KAtFIn0IPEG6d9s0259N0Q_7_0"/>
      <w:bookmarkStart w:id="183" w:name="Tc_ku74gPaPCkmMIXuxYeWc4A_6_4"/>
      <w:bookmarkStart w:id="184" w:name="Tc_v95wV82Ifku4-4TcHqjvLQ_6_1"/>
      <w:bookmarkStart w:id="185" w:name="Tc_1Br1xIFv7EesSPAMBJpzBA_6_0"/>
      <w:bookmarkStart w:id="186" w:name="Tc_i-szzhiEe0ihmPfKO30W1g_5_0"/>
      <w:bookmarkStart w:id="187" w:name="Tc_po9Vb5ByPEGF0-Z1i--V7g_4_0"/>
      <w:bookmarkStart w:id="188" w:name="Tc_8zWlO52EX0KHYfcMM2Fp4Q_3_1"/>
      <w:bookmarkStart w:id="189" w:name="Tc_D5KdUe4qyEaCCcOouqWaaw_2_4"/>
      <w:bookmarkStart w:id="190" w:name="Tc_Hn78nBKzW02YXbbo0fHX8A_2_1"/>
      <w:bookmarkStart w:id="191" w:name="Tc_mfBQNAah_UmkCdgn6ZJ4EA_1_4"/>
      <w:bookmarkStart w:id="192" w:name="Tc_fdu2RQS_QEa-YStjbXe4Jw_1_1"/>
      <w:bookmarkStart w:id="193" w:name="_bf713315_f8fd_4cb8_8c2b_575f331673ed"/>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10205" w:type="dxa"/>
        <w:jc w:val="left"/>
        <w:tblInd w:w="0" w:type="dxa"/>
        <w:tblCellMar>
          <w:top w:w="0" w:type="dxa"/>
          <w:left w:w="0" w:type="dxa"/>
          <w:bottom w:w="0" w:type="dxa"/>
          <w:right w:w="0" w:type="dxa"/>
        </w:tblCellMar>
      </w:tblPr>
      <w:tblGrid>
        <w:gridCol w:w="7785"/>
        <w:gridCol w:w="200"/>
        <w:gridCol w:w="730"/>
        <w:gridCol w:w="326"/>
        <w:gridCol w:w="230"/>
        <w:gridCol w:w="934"/>
      </w:tblGrid>
      <w:tr>
        <w:trPr/>
        <w:tc>
          <w:tcPr>
            <w:tcW w:w="77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943475" cy="175260"/>
                      <wp:effectExtent l="0" t="0" r="0" b="0"/>
                      <wp:wrapNone/>
                      <wp:docPr id="1" name="Frame1"/>
                      <a:graphic xmlns:a="http://schemas.openxmlformats.org/drawingml/2006/main">
                        <a:graphicData uri="http://schemas.microsoft.com/office/word/2010/wordprocessingShape">
                          <wps:wsp>
                            <wps:cNvSpPr txBox="1"/>
                            <wps:spPr>
                              <a:xfrm>
                                <a:off x="0" y="0"/>
                                <a:ext cx="4943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7000" cy="175260"/>
                      <wp:effectExtent l="0" t="0" r="0" b="0"/>
                      <wp:wrapNone/>
                      <wp:docPr id="2" name="Frame2"/>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3550" cy="175260"/>
                      <wp:effectExtent l="0" t="0" r="0" b="0"/>
                      <wp:wrapNone/>
                      <wp:docPr id="3" name="Frame3"/>
                      <a:graphic xmlns:a="http://schemas.openxmlformats.org/drawingml/2006/main">
                        <a:graphicData uri="http://schemas.microsoft.com/office/word/2010/wordprocessingShape">
                          <wps:wsp>
                            <wps:cNvSpPr txBox="1"/>
                            <wps:spPr>
                              <a:xfrm>
                                <a:off x="0" y="0"/>
                                <a:ext cx="4635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6050" cy="175260"/>
                      <wp:effectExtent l="0" t="0" r="0" b="0"/>
                      <wp:wrapNone/>
                      <wp:docPr id="5" name="Frame5"/>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3090" cy="175260"/>
                      <wp:effectExtent l="0" t="0" r="0" b="0"/>
                      <wp:wrapNone/>
                      <wp:docPr id="6" name="Frame6"/>
                      <a:graphic xmlns:a="http://schemas.openxmlformats.org/drawingml/2006/main">
                        <a:graphicData uri="http://schemas.microsoft.com/office/word/2010/wordprocessingShape">
                          <wps:wsp>
                            <wps:cNvSpPr txBox="1"/>
                            <wps:spPr>
                              <a:xfrm>
                                <a:off x="0" y="0"/>
                                <a:ext cx="593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785" w:type="dxa"/>
            <w:tcBorders/>
            <w:shd w:fill="auto" w:val="clear"/>
            <w:vAlign w:val="center"/>
          </w:tcPr>
          <w:p>
            <w:pPr>
              <w:pStyle w:val="TableContents"/>
              <w:spacing w:before="0" w:after="1"/>
              <w:ind w:left="0" w:right="0" w:hanging="0"/>
              <w:rPr/>
            </w:pPr>
            <w:r>
              <w:rPr/>
              <w:t>​</w:t>
            </w:r>
          </w:p>
        </w:tc>
        <w:tc>
          <w:tcPr>
            <w:tcW w:w="93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center"/>
              <w:rPr/>
            </w:pPr>
            <w:r>
              <w:rPr/>
              <w:t>    </w:t>
            </w:r>
          </w:p>
        </w:tc>
        <w:tc>
          <w:tcPr>
            <w:tcW w:w="116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785" w:type="dxa"/>
            <w:tcBorders/>
            <w:shd w:fill="auto" w:val="clear"/>
            <w:vAlign w:val="center"/>
          </w:tcPr>
          <w:p>
            <w:pPr>
              <w:pStyle w:val="TableContents"/>
              <w:spacing w:before="0" w:after="1"/>
              <w:ind w:left="0" w:right="0" w:hanging="0"/>
              <w:rPr/>
            </w:pPr>
            <w:r>
              <w:rPr/>
              <w:t>​</w:t>
            </w:r>
          </w:p>
        </w:tc>
        <w:tc>
          <w:tcPr>
            <w:tcW w:w="93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w:t>
            </w:r>
          </w:p>
        </w:tc>
        <w:tc>
          <w:tcPr>
            <w:tcW w:w="116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785" w:type="dxa"/>
            <w:tcBorders/>
            <w:shd w:fill="auto" w:val="clear"/>
            <w:vAlign w:val="center"/>
          </w:tcPr>
          <w:p>
            <w:pPr>
              <w:pStyle w:val="TableContents"/>
              <w:spacing w:before="0" w:after="1"/>
              <w:ind w:left="0" w:right="0" w:hanging="0"/>
              <w:rPr/>
            </w:pPr>
            <w:r>
              <w:rPr/>
              <w:t>​</w:t>
            </w:r>
          </w:p>
        </w:tc>
        <w:tc>
          <w:tcPr>
            <w:tcW w:w="93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1"/>
              <w:ind w:left="0" w:right="0" w:hanging="0"/>
              <w:jc w:val="center"/>
              <w:rPr/>
            </w:pPr>
            <w:r>
              <w:rPr/>
              <w:t>    </w:t>
            </w:r>
          </w:p>
        </w:tc>
        <w:tc>
          <w:tcPr>
            <w:tcW w:w="230" w:type="dxa"/>
            <w:tcBorders/>
            <w:shd w:fill="auto" w:val="clear"/>
            <w:vAlign w:val="center"/>
          </w:tcPr>
          <w:p>
            <w:pPr>
              <w:pStyle w:val="TableContents"/>
              <w:spacing w:before="0" w:after="1"/>
              <w:ind w:left="0" w:right="0" w:hanging="0"/>
              <w:jc w:val="center"/>
              <w:rPr/>
            </w:pPr>
            <w:r>
              <w:rPr/>
              <w:t>​</w:t>
            </w:r>
          </w:p>
        </w:tc>
        <w:tc>
          <w:tcPr>
            <w:tcW w:w="934" w:type="dxa"/>
            <w:tcBorders/>
            <w:shd w:fill="auto" w:val="clear"/>
            <w:vAlign w:val="center"/>
          </w:tcPr>
          <w:p>
            <w:pPr>
              <w:pStyle w:val="TableContents"/>
              <w:spacing w:before="0" w:after="1"/>
              <w:ind w:left="0" w:right="0" w:hanging="0"/>
              <w:jc w:val="center"/>
              <w:rPr/>
            </w:pPr>
            <w:r>
              <w:rPr/>
              <w:t>​</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200" w:type="dxa"/>
            <w:tcBorders/>
            <w:shd w:fill="CCEEFF" w:val="clear"/>
            <w:vAlign w:val="center"/>
          </w:tcPr>
          <w:p>
            <w:pPr>
              <w:pStyle w:val="TableContents"/>
              <w:spacing w:before="0" w:after="1"/>
              <w:ind w:left="0" w:right="0" w:hanging="0"/>
              <w:jc w:val="center"/>
              <w:rPr/>
            </w:pPr>
            <w:r>
              <w:rPr/>
              <w:t>​</w:t>
            </w:r>
          </w:p>
        </w:tc>
        <w:tc>
          <w:tcPr>
            <w:tcW w:w="730"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230" w:type="dxa"/>
            <w:tcBorders/>
            <w:shd w:fill="CCEEFF" w:val="clear"/>
            <w:vAlign w:val="center"/>
          </w:tcPr>
          <w:p>
            <w:pPr>
              <w:pStyle w:val="TableContents"/>
              <w:spacing w:before="0" w:after="1"/>
              <w:ind w:left="0" w:right="0" w:hanging="0"/>
              <w:jc w:val="center"/>
              <w:rPr/>
            </w:pPr>
            <w:r>
              <w:rPr/>
              <w:t>​</w:t>
            </w:r>
          </w:p>
        </w:tc>
        <w:tc>
          <w:tcPr>
            <w:tcW w:w="934" w:type="dxa"/>
            <w:tcBorders/>
            <w:shd w:fill="CCEEFF" w:val="clear"/>
            <w:vAlign w:val="center"/>
          </w:tcPr>
          <w:p>
            <w:pPr>
              <w:pStyle w:val="TableContents"/>
              <w:spacing w:before="0" w:after="1"/>
              <w:ind w:left="0" w:right="0" w:hanging="0"/>
              <w:jc w:val="center"/>
              <w:rPr/>
            </w:pPr>
            <w:r>
              <w:rPr/>
              <w:t>​</w:t>
            </w:r>
          </w:p>
        </w:tc>
      </w:tr>
      <w:tr>
        <w:trPr/>
        <w:tc>
          <w:tcPr>
            <w:tcW w:w="7785"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20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30" w:type="dxa"/>
            <w:tcBorders/>
            <w:shd w:fill="auto" w:val="clear"/>
            <w:vAlign w:val="center"/>
          </w:tcPr>
          <w:p>
            <w:pPr>
              <w:pStyle w:val="TableContents"/>
              <w:spacing w:before="0" w:after="1"/>
              <w:ind w:left="0" w:right="0" w:hanging="0"/>
              <w:rPr/>
            </w:pPr>
            <w:r>
              <w:rPr/>
              <w:t>​</w:t>
            </w:r>
          </w:p>
        </w:tc>
        <w:tc>
          <w:tcPr>
            <w:tcW w:w="934" w:type="dxa"/>
            <w:tcBorders/>
            <w:shd w:fill="auto" w:val="clear"/>
            <w:vAlign w:val="center"/>
          </w:tcPr>
          <w:p>
            <w:pPr>
              <w:pStyle w:val="TableContents"/>
              <w:spacing w:before="0" w:after="1"/>
              <w:ind w:left="0" w:right="0" w:hanging="0"/>
              <w:jc w:val="right"/>
              <w:rPr/>
            </w:pPr>
            <w:r>
              <w:rPr/>
              <w:t>  </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20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68,643</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91,803</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Funds held for customers</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25,972</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14,945</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 net of allowance of $10,641 and $9,554, respectively</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102,760</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102,885</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22,536</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20,383</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Investment securities available-for-sale, current, at fair value (amortized cost of $11,552 and $11,220, respectively)</w:t>
            </w:r>
          </w:p>
        </w:tc>
        <w:tc>
          <w:tcPr>
            <w:tcW w:w="20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11,524</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11,173</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assets</w:t>
            </w:r>
          </w:p>
        </w:tc>
        <w:tc>
          <w:tcPr>
            <w:tcW w:w="20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231,435</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241,189</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117,444</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115,768</w:t>
            </w:r>
          </w:p>
        </w:tc>
      </w:tr>
      <w:tr>
        <w:trPr/>
        <w:tc>
          <w:tcPr>
            <w:tcW w:w="7785"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38,790</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39,012</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259,303</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257,023</w:t>
            </w:r>
          </w:p>
        </w:tc>
      </w:tr>
      <w:tr>
        <w:trPr/>
        <w:tc>
          <w:tcPr>
            <w:tcW w:w="7785"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15,921</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15,463</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200"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43,542</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30,938</w:t>
            </w:r>
          </w:p>
        </w:tc>
      </w:tr>
      <w:tr>
        <w:trPr/>
        <w:tc>
          <w:tcPr>
            <w:tcW w:w="7785"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20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16,462</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17,187</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20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2,621</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2,612</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assets</w:t>
            </w:r>
          </w:p>
        </w:tc>
        <w:tc>
          <w:tcPr>
            <w:tcW w:w="20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725,518</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3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719,192</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pPr>
            <w:r>
              <w:rPr/>
              <w:t>​</w:t>
            </w:r>
          </w:p>
        </w:tc>
      </w:tr>
      <w:tr>
        <w:trPr/>
        <w:tc>
          <w:tcPr>
            <w:tcW w:w="7785"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pPr>
            <w:r>
              <w:rPr/>
              <w:t>  </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long-term debt</w:t>
            </w:r>
          </w:p>
        </w:tc>
        <w:tc>
          <w:tcPr>
            <w:tcW w:w="20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2,500</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2,188</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20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17,420</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14,329</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expenses</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55,896</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38,234</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Customer funds obligations</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23,110</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12,121</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salaries and benefits</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15,142</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10,790</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variable compensation</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8,045</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23,729</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compensation, current</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2,352</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2,809</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revenue, current</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276,004</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268,847</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operating lease liabilities</w:t>
            </w:r>
          </w:p>
        </w:tc>
        <w:tc>
          <w:tcPr>
            <w:tcW w:w="200"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3,141</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4,086</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finance lease liabilities</w:t>
            </w:r>
          </w:p>
        </w:tc>
        <w:tc>
          <w:tcPr>
            <w:tcW w:w="20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purchase consideration, current</w:t>
            </w:r>
          </w:p>
        </w:tc>
        <w:tc>
          <w:tcPr>
            <w:tcW w:w="200"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9,924</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19,824</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20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8,340</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6,149</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20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421,949</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403,209</w:t>
            </w:r>
          </w:p>
        </w:tc>
      </w:tr>
      <w:tr>
        <w:trPr/>
        <w:tc>
          <w:tcPr>
            <w:tcW w:w="7785"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7,112</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10,289</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Debt, net of current portion</w:t>
            </w:r>
          </w:p>
        </w:tc>
        <w:tc>
          <w:tcPr>
            <w:tcW w:w="200"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46,093</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46,709</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 net of current portion</w:t>
            </w:r>
          </w:p>
        </w:tc>
        <w:tc>
          <w:tcPr>
            <w:tcW w:w="20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20,057</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20,421</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Finance lease liabilities, net of current portion</w:t>
            </w:r>
          </w:p>
        </w:tc>
        <w:tc>
          <w:tcPr>
            <w:tcW w:w="200"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6,813</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8,412</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20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417</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liabilities</w:t>
            </w:r>
          </w:p>
        </w:tc>
        <w:tc>
          <w:tcPr>
            <w:tcW w:w="20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502,043</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489,467</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11)</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pPr>
            <w:r>
              <w:rPr/>
              <w:t>  </w:t>
            </w:r>
          </w:p>
        </w:tc>
      </w:tr>
      <w:tr>
        <w:trPr/>
        <w:tc>
          <w:tcPr>
            <w:tcW w:w="7785" w:type="dxa"/>
            <w:tcBorders/>
            <w:shd w:fill="auto" w:val="clear"/>
            <w:vAlign w:val="center"/>
          </w:tcPr>
          <w:p>
            <w:pPr>
              <w:pStyle w:val="TableContents"/>
              <w:spacing w:before="0" w:after="1"/>
              <w:ind w:left="0" w:right="0" w:hanging="0"/>
              <w:jc w:val="both"/>
              <w:rPr/>
            </w:pPr>
            <w:r>
              <w:rPr/>
              <w:t>​</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pPr>
            <w:r>
              <w:rPr/>
              <w:t>​</w:t>
            </w:r>
          </w:p>
        </w:tc>
      </w:tr>
      <w:tr>
        <w:trPr/>
        <w:tc>
          <w:tcPr>
            <w:tcW w:w="7785"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200" w:type="dxa"/>
            <w:tcBorders/>
            <w:shd w:fill="CCEEFF" w:val="clear"/>
            <w:vAlign w:val="center"/>
          </w:tcPr>
          <w:p>
            <w:pPr>
              <w:pStyle w:val="TableContents"/>
              <w:spacing w:before="0" w:after="1"/>
              <w:ind w:left="0" w:right="0" w:hanging="0"/>
              <w:rPr/>
            </w:pPr>
            <w:r>
              <w:rPr/>
              <w:t> </w:t>
            </w:r>
          </w:p>
        </w:tc>
        <w:tc>
          <w:tcPr>
            <w:tcW w:w="73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934" w:type="dxa"/>
            <w:tcBorders/>
            <w:shd w:fill="CCEEFF" w:val="clear"/>
            <w:vAlign w:val="center"/>
          </w:tcPr>
          <w:p>
            <w:pPr>
              <w:pStyle w:val="TableContents"/>
              <w:spacing w:before="0" w:after="1"/>
              <w:ind w:left="0" w:right="0" w:hanging="0"/>
              <w:jc w:val="right"/>
              <w:rPr/>
            </w:pPr>
            <w:r>
              <w:rPr/>
              <w:t>  </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20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16"/>
              </w:rPr>
              <w:t>Class A voting common stock, $0.001</w:t>
            </w:r>
            <w:r>
              <w:rPr>
                <w:rFonts w:ascii="Times New Roman;Times;serif" w:hAnsi="Times New Roman;Times;serif"/>
                <w:sz w:val="20"/>
              </w:rPr>
              <w:t xml:space="preserve"> </w:t>
            </w:r>
            <w:r>
              <w:rPr>
                <w:rFonts w:ascii="Times New Roman;Times;serif" w:hAnsi="Times New Roman;Times;serif"/>
                <w:sz w:val="16"/>
              </w:rPr>
              <w:t>par value, 300,000</w:t>
            </w:r>
            <w:r>
              <w:rPr>
                <w:rFonts w:ascii="Times New Roman;Times;serif" w:hAnsi="Times New Roman;Times;serif"/>
                <w:sz w:val="20"/>
              </w:rPr>
              <w:t xml:space="preserve"> </w:t>
            </w:r>
            <w:r>
              <w:rPr>
                <w:rFonts w:ascii="Times New Roman;Times;serif" w:hAnsi="Times New Roman;Times;serif"/>
                <w:sz w:val="16"/>
              </w:rPr>
              <w:t>shares authorized; 53,586</w:t>
            </w:r>
            <w:r>
              <w:rPr>
                <w:rFonts w:ascii="Times New Roman;Times;serif" w:hAnsi="Times New Roman;Times;serif"/>
                <w:sz w:val="20"/>
              </w:rPr>
              <w:t xml:space="preserve"> </w:t>
            </w:r>
            <w:r>
              <w:rPr>
                <w:rFonts w:ascii="Times New Roman;Times;serif" w:hAnsi="Times New Roman;Times;serif"/>
                <w:sz w:val="16"/>
              </w:rPr>
              <w:t>and 50,014</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200"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16"/>
              </w:rPr>
              <w:t>Class B voting common stock, $0.001</w:t>
            </w:r>
            <w:r>
              <w:rPr>
                <w:rFonts w:ascii="Times New Roman;Times;serif" w:hAnsi="Times New Roman;Times;serif"/>
                <w:sz w:val="20"/>
              </w:rPr>
              <w:t xml:space="preserve"> </w:t>
            </w:r>
            <w:r>
              <w:rPr>
                <w:rFonts w:ascii="Times New Roman;Times;serif" w:hAnsi="Times New Roman;Times;serif"/>
                <w:sz w:val="16"/>
              </w:rPr>
              <w:t>par value, 150,000</w:t>
            </w:r>
            <w:r>
              <w:rPr>
                <w:rFonts w:ascii="Times New Roman;Times;serif" w:hAnsi="Times New Roman;Times;serif"/>
                <w:sz w:val="20"/>
              </w:rPr>
              <w:t xml:space="preserve"> </w:t>
            </w:r>
            <w:r>
              <w:rPr>
                <w:rFonts w:ascii="Times New Roman;Times;serif" w:hAnsi="Times New Roman;Times;serif"/>
                <w:sz w:val="16"/>
              </w:rPr>
              <w:t>shares authorized; 97,718</w:t>
            </w:r>
            <w:r>
              <w:rPr>
                <w:rFonts w:ascii="Times New Roman;Times;serif" w:hAnsi="Times New Roman;Times;serif"/>
                <w:sz w:val="20"/>
              </w:rPr>
              <w:t xml:space="preserve"> </w:t>
            </w:r>
            <w:r>
              <w:rPr>
                <w:rFonts w:ascii="Times New Roman;Times;serif" w:hAnsi="Times New Roman;Times;serif"/>
                <w:sz w:val="16"/>
              </w:rPr>
              <w:t>and 100,307</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20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Additional paid in capital</w:t>
            </w:r>
          </w:p>
        </w:tc>
        <w:tc>
          <w:tcPr>
            <w:tcW w:w="200" w:type="dxa"/>
            <w:tcBorders/>
            <w:shd w:fill="CCEEFF" w:val="clear"/>
            <w:vAlign w:val="center"/>
          </w:tcPr>
          <w:p>
            <w:pPr>
              <w:pStyle w:val="TableContents"/>
              <w:spacing w:before="0" w:after="1"/>
              <w:ind w:left="0" w:right="0" w:hanging="0"/>
              <w:rPr/>
            </w:pPr>
            <w:r>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253,566</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9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244,820</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deficit) retained earnings</w:t>
            </w:r>
          </w:p>
        </w:tc>
        <w:tc>
          <w:tcPr>
            <w:tcW w:w="200" w:type="dxa"/>
            <w:tcBorders/>
            <w:shd w:fill="auto" w:val="clear"/>
            <w:vAlign w:val="center"/>
          </w:tcPr>
          <w:p>
            <w:pPr>
              <w:pStyle w:val="TableContents"/>
              <w:spacing w:before="0" w:after="1"/>
              <w:ind w:left="0" w:right="0" w:hanging="0"/>
              <w:rPr/>
            </w:pPr>
            <w:r>
              <w:rPr/>
              <w:t> </w:t>
            </w:r>
          </w:p>
        </w:tc>
        <w:tc>
          <w:tcPr>
            <w:tcW w:w="73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(5,625)</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9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12,507</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loss</w:t>
            </w:r>
          </w:p>
        </w:tc>
        <w:tc>
          <w:tcPr>
            <w:tcW w:w="20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(24,617)</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(27,752)</w:t>
            </w:r>
          </w:p>
        </w:tc>
      </w:tr>
      <w:tr>
        <w:trPr/>
        <w:tc>
          <w:tcPr>
            <w:tcW w:w="778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20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223,475</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229,725</w:t>
            </w:r>
          </w:p>
        </w:tc>
      </w:tr>
      <w:tr>
        <w:trPr/>
        <w:tc>
          <w:tcPr>
            <w:tcW w:w="778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liabilities and stockholders' equity</w:t>
            </w:r>
          </w:p>
        </w:tc>
        <w:tc>
          <w:tcPr>
            <w:tcW w:w="20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3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725,518</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34" w:type="dxa"/>
            <w:tcBorders>
              <w:bottom w:val="double" w:sz="6" w:space="0" w:color="000000"/>
            </w:tcBorders>
            <w:shd w:fill="CCEEFF" w:val="clear"/>
            <w:tcMar>
              <w:bottom w:w="28" w:type="dxa"/>
            </w:tcMar>
            <w:vAlign w:val="center"/>
          </w:tcPr>
          <w:p>
            <w:pPr>
              <w:pStyle w:val="TableContents"/>
              <w:spacing w:before="0" w:after="1"/>
              <w:ind w:left="0" w:right="50" w:hanging="0"/>
              <w:jc w:val="right"/>
              <w:rPr>
                <w:rFonts w:ascii="Times New Roman;Times;serif" w:hAnsi="Times New Roman;Times;serif"/>
                <w:sz w:val="16"/>
              </w:rPr>
            </w:pPr>
            <w:r>
              <w:rPr>
                <w:rFonts w:ascii="Times New Roman;Times;serif" w:hAnsi="Times New Roman;Times;serif"/>
                <w:sz w:val="16"/>
              </w:rPr>
              <w:t>719,192</w:t>
            </w:r>
          </w:p>
        </w:tc>
      </w:tr>
    </w:tbl>
    <w:p>
      <w:pPr>
        <w:pStyle w:val="TextBody"/>
        <w:spacing w:before="0" w:after="240"/>
        <w:ind w:left="0" w:right="0" w:firstLine="360"/>
        <w:jc w:val="center"/>
        <w:rPr/>
      </w:pPr>
      <w:r>
        <w:rPr/>
        <w:t>​</w:t>
      </w:r>
    </w:p>
    <w:p>
      <w:pPr>
        <w:pStyle w:val="TextBody"/>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bookmarkStart w:id="194" w:name="_0d2f6a83_381e_4b3e_b90b_71c043a3ddde"/>
      <w:bookmarkEnd w:id="194"/>
      <w:r>
        <w:rPr>
          <w:rFonts w:ascii="Times New Roman;Times;serif" w:hAnsi="Times New Roman;Times;serif"/>
          <w:b/>
          <w:sz w:val="18"/>
        </w:rPr>
        <w:t>Vertex, Inc. and Subsidiaries</w:t>
      </w:r>
    </w:p>
    <w:p>
      <w:pPr>
        <w:pStyle w:val="TextBody"/>
        <w:spacing w:before="0" w:after="0"/>
        <w:ind w:left="0" w:right="0" w:hanging="0"/>
        <w:jc w:val="center"/>
        <w:rPr>
          <w:rFonts w:ascii="Times New Roman;Times;serif" w:hAnsi="Times New Roman;Times;serif"/>
          <w:b/>
          <w:sz w:val="18"/>
        </w:rPr>
      </w:pPr>
      <w:bookmarkStart w:id="195" w:name="CondensedConsolidatedStatementsofCompreh"/>
      <w:bookmarkEnd w:id="195"/>
      <w:r>
        <w:rPr>
          <w:rFonts w:ascii="Times New Roman;Times;serif" w:hAnsi="Times New Roman;Times;serif"/>
          <w:b/>
          <w:sz w:val="18"/>
        </w:rPr>
        <w:t>Condensed Consolidated Statements of Comprehensive Loss</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 March 31, 2023 and 2022</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(Amounts in thousands, except per share data)</w:t>
      </w:r>
    </w:p>
    <w:p>
      <w:pPr>
        <w:pStyle w:val="TextBody"/>
        <w:spacing w:before="0" w:after="0"/>
        <w:ind w:left="0" w:right="0" w:hanging="0"/>
        <w:rPr/>
      </w:pPr>
      <w:r>
        <w:rPr/>
        <w:t>​</w:t>
      </w:r>
    </w:p>
    <w:p>
      <w:pPr>
        <w:pStyle w:val="Normal"/>
        <w:spacing w:before="0" w:after="0"/>
        <w:rPr>
          <w:sz w:val="4"/>
          <w:szCs w:val="4"/>
        </w:rPr>
      </w:pPr>
      <w:r>
        <w:rPr>
          <w:sz w:val="4"/>
          <w:szCs w:val="4"/>
        </w:rPr>
      </w:r>
      <w:bookmarkStart w:id="196" w:name="Tc_pRrH4Hte6EawvtCOjYpDEg_42_0"/>
      <w:bookmarkStart w:id="197" w:name="Tc_gmjMEXyUF0qjays_Nr4LlA_41_5"/>
      <w:bookmarkStart w:id="198" w:name="Tc_ZSGL6T7l6Eqkg0aW3UKrbg_41_2"/>
      <w:bookmarkStart w:id="199" w:name="Tc_S_Z3Ry4p3kmTW0aSlHTq1w_41_0"/>
      <w:bookmarkStart w:id="200" w:name="Tc_P4YUIZ_NlE29_BlA3zZjQg_40_5"/>
      <w:bookmarkStart w:id="201" w:name="Tc_Du3uDmLmCkaQgJFNAPYsDg_40_2"/>
      <w:bookmarkStart w:id="202" w:name="Tc_hgaiIRLANUyxFIyMcomIow_40_0"/>
      <w:bookmarkStart w:id="203" w:name="Tc_YdzyiRQDw0yI_qSKeAUCwA_39_0"/>
      <w:bookmarkStart w:id="204" w:name="Tc_B22dio_FYE68JeaLKZE5Eg_38_5"/>
      <w:bookmarkStart w:id="205" w:name="Tc_vfcYX9iLMUyh5rF9WD21zg_38_2"/>
      <w:bookmarkStart w:id="206" w:name="Tc_BrxoE76LUUi086UmcYaRQA_38_0"/>
      <w:bookmarkStart w:id="207" w:name="Tc_DeF_nJ1LB0qAysNlxKDDZA_37_5"/>
      <w:bookmarkStart w:id="208" w:name="Tc_Y6ODlMd2sUyJsW2mp-aXyg_37_2"/>
      <w:bookmarkStart w:id="209" w:name="Tc_Coh_IhqWDUqof8EBz4rSqQ_37_0"/>
      <w:bookmarkStart w:id="210" w:name="Tc_XdEC1CXUOEO89NHdOwqL4g_36_0"/>
      <w:bookmarkStart w:id="211" w:name="Tc_FuS_ZOXHr0-wkWiWshbUvw_35_5"/>
      <w:bookmarkStart w:id="212" w:name="Tc_Ke9k1MJoOEm1y_GuWJaBuw_35_2"/>
      <w:bookmarkStart w:id="213" w:name="Tc_Hs7qYbMXqk-LIVxoUp6OtA_35_0"/>
      <w:bookmarkStart w:id="214" w:name="Tc_0znyomPDnEeqx8waEuowSw_34_5"/>
      <w:bookmarkStart w:id="215" w:name="Tc_uFvy86fT8EeJwLMqp4ExNA_34_2"/>
      <w:bookmarkStart w:id="216" w:name="Tc_Y6iroE1ivEWFidXw-XrOpg_34_0"/>
      <w:bookmarkStart w:id="217" w:name="Tc_diZ9c9_jTkqGfrC6Zb7MxA_33_0"/>
      <w:bookmarkStart w:id="218" w:name="Tc_eeeFT3Oer0-BcUVJ5JSr3Q_32_5"/>
      <w:bookmarkStart w:id="219" w:name="Tc_YdN14U_lI0aFmoXdZNzrFA_32_2"/>
      <w:bookmarkStart w:id="220" w:name="Tc_-wwzWo68B0C8oa4f9xZZfA_32_0"/>
      <w:bookmarkStart w:id="221" w:name="Tc_UnJxW1EzI02qHWM6AWMcug_31_5"/>
      <w:bookmarkStart w:id="222" w:name="Tc_weDmlOMO1k2MfUkIfzoCWg_31_2"/>
      <w:bookmarkStart w:id="223" w:name="Tc_PKmKzEPaSUi8JIXy1X4cwQ_31_0"/>
      <w:bookmarkStart w:id="224" w:name="Tc_w7VSOgCLgUOrKsCaN3ygBw_29_5"/>
      <w:bookmarkStart w:id="225" w:name="Tc_tADAaPmCyk2CfIql42x_ew_29_2"/>
      <w:bookmarkStart w:id="226" w:name="Tc_xVXHYIVL3kWvBmnYKrKCrA_29_0"/>
      <w:bookmarkStart w:id="227" w:name="Tc_7hVttb1BqESbXcRP5N389w_28_0"/>
      <w:bookmarkStart w:id="228" w:name="Tc_6pQ26O8zsUuvgCbc8CNaIQ_27_6"/>
      <w:bookmarkStart w:id="229" w:name="Tc_kid5EhM68kCe92bUXMGitQ_27_0"/>
      <w:bookmarkStart w:id="230" w:name="Tc_yvwd5vttEk-8KQfL8AlVmQ_26_0"/>
      <w:bookmarkStart w:id="231" w:name="Tc_UByBPa5_LUCy1L82UqquzA_25_0"/>
      <w:bookmarkStart w:id="232" w:name="Tc_HFCINNgmcU6YZRBmOIj33Q_24_0"/>
      <w:bookmarkStart w:id="233" w:name="Tc_ODXFbjH9VEqF030X6Fb10g_23_0"/>
      <w:bookmarkStart w:id="234" w:name="Tc_dg6_LmQyfUikdHahwa8DDA_22_0"/>
      <w:bookmarkStart w:id="235" w:name="Tc_EvBrMfuC20yXB3OOPQ23fA_21_0"/>
      <w:bookmarkStart w:id="236" w:name="Tc_mBBtCEbsx0GE_oMtYNzv7w_20_0"/>
      <w:bookmarkStart w:id="237" w:name="Tc_UBECNhWuZUCqAbac6cK9pQ_19_0"/>
      <w:bookmarkStart w:id="238" w:name="Tc_VfCDRPuY3U2LsPx1d-SfbQ_18_0"/>
      <w:bookmarkStart w:id="239" w:name="Tc_MojMN62xEUeN9NbolhT7Fg_17_0"/>
      <w:bookmarkStart w:id="240" w:name="Tc_8ONb02-t5kKQcV5w1Id9Fg_16_0"/>
      <w:bookmarkStart w:id="241" w:name="Tc_Ab212XebFEeTq7Ut0V5GpQ_15_0"/>
      <w:bookmarkStart w:id="242" w:name="Tc_imzobxr5SUuLE5gJUktqKw_14_0"/>
      <w:bookmarkStart w:id="243" w:name="Tc_n0gOvEde10GEsMB3zZYz_Q_13_0"/>
      <w:bookmarkStart w:id="244" w:name="Tc_qzMBFQ-pUUqqeOLla4lM1g_12_0"/>
      <w:bookmarkStart w:id="245" w:name="Tc_oB53GUFZe0ueRn9L3eNQNw_11_0"/>
      <w:bookmarkStart w:id="246" w:name="Tc_RUpu3et850eBNoDxmcTKUg_10_0"/>
      <w:bookmarkStart w:id="247" w:name="Tc_VTcKIU9JtECAAaWmLiEozw_9_0"/>
      <w:bookmarkStart w:id="248" w:name="Tc_fm1pHX-CJU-Jg9GwV_5DGQ_8_0"/>
      <w:bookmarkStart w:id="249" w:name="Tc_GwW3AnYcw0SQ_KUdIEdeDg_7_0"/>
      <w:bookmarkStart w:id="250" w:name="Tc_bzFQ5tnp3keXADpTRAbP-g_6_0"/>
      <w:bookmarkStart w:id="251" w:name="Tc_K9reucrob0-N_USgj7pDdA_5_5"/>
      <w:bookmarkStart w:id="252" w:name="Tc_6UpCc-Kii0auPk1-N6WfAA_5_2"/>
      <w:bookmarkStart w:id="253" w:name="Tc_3axchL7iFUO4jmMIAfzbJQ_5_0"/>
      <w:bookmarkStart w:id="254" w:name="Tc_f69gDcOyB0KA_2YU3AN2WQ_4_0"/>
      <w:bookmarkStart w:id="255" w:name="Tc_I5dZXC7K1EKh3K7e48qlnA_3_2"/>
      <w:bookmarkStart w:id="256" w:name="Tc_DgcdvD88YESM06RLtvr8Mg_2_5"/>
      <w:bookmarkStart w:id="257" w:name="Tc_kMCT7qu45E-D_nCTqlTqIw_2_2"/>
      <w:bookmarkStart w:id="258" w:name="Tc_f_iVh6TgzkWcQhXySB3wRQ_1_2"/>
      <w:bookmarkStart w:id="259" w:name="_4efb1144_cceb_4af3_a271_720eb64a402b"/>
      <w:bookmarkStart w:id="260" w:name="Tc_pRrH4Hte6EawvtCOjYpDEg_42_0"/>
      <w:bookmarkStart w:id="261" w:name="Tc_gmjMEXyUF0qjays_Nr4LlA_41_5"/>
      <w:bookmarkStart w:id="262" w:name="Tc_ZSGL6T7l6Eqkg0aW3UKrbg_41_2"/>
      <w:bookmarkStart w:id="263" w:name="Tc_S_Z3Ry4p3kmTW0aSlHTq1w_41_0"/>
      <w:bookmarkStart w:id="264" w:name="Tc_P4YUIZ_NlE29_BlA3zZjQg_40_5"/>
      <w:bookmarkStart w:id="265" w:name="Tc_Du3uDmLmCkaQgJFNAPYsDg_40_2"/>
      <w:bookmarkStart w:id="266" w:name="Tc_hgaiIRLANUyxFIyMcomIow_40_0"/>
      <w:bookmarkStart w:id="267" w:name="Tc_YdzyiRQDw0yI_qSKeAUCwA_39_0"/>
      <w:bookmarkStart w:id="268" w:name="Tc_B22dio_FYE68JeaLKZE5Eg_38_5"/>
      <w:bookmarkStart w:id="269" w:name="Tc_vfcYX9iLMUyh5rF9WD21zg_38_2"/>
      <w:bookmarkStart w:id="270" w:name="Tc_BrxoE76LUUi086UmcYaRQA_38_0"/>
      <w:bookmarkStart w:id="271" w:name="Tc_DeF_nJ1LB0qAysNlxKDDZA_37_5"/>
      <w:bookmarkStart w:id="272" w:name="Tc_Y6ODlMd2sUyJsW2mp-aXyg_37_2"/>
      <w:bookmarkStart w:id="273" w:name="Tc_Coh_IhqWDUqof8EBz4rSqQ_37_0"/>
      <w:bookmarkStart w:id="274" w:name="Tc_XdEC1CXUOEO89NHdOwqL4g_36_0"/>
      <w:bookmarkStart w:id="275" w:name="Tc_FuS_ZOXHr0-wkWiWshbUvw_35_5"/>
      <w:bookmarkStart w:id="276" w:name="Tc_Ke9k1MJoOEm1y_GuWJaBuw_35_2"/>
      <w:bookmarkStart w:id="277" w:name="Tc_Hs7qYbMXqk-LIVxoUp6OtA_35_0"/>
      <w:bookmarkStart w:id="278" w:name="Tc_0znyomPDnEeqx8waEuowSw_34_5"/>
      <w:bookmarkStart w:id="279" w:name="Tc_uFvy86fT8EeJwLMqp4ExNA_34_2"/>
      <w:bookmarkStart w:id="280" w:name="Tc_Y6iroE1ivEWFidXw-XrOpg_34_0"/>
      <w:bookmarkStart w:id="281" w:name="Tc_diZ9c9_jTkqGfrC6Zb7MxA_33_0"/>
      <w:bookmarkStart w:id="282" w:name="Tc_eeeFT3Oer0-BcUVJ5JSr3Q_32_5"/>
      <w:bookmarkStart w:id="283" w:name="Tc_YdN14U_lI0aFmoXdZNzrFA_32_2"/>
      <w:bookmarkStart w:id="284" w:name="Tc_-wwzWo68B0C8oa4f9xZZfA_32_0"/>
      <w:bookmarkStart w:id="285" w:name="Tc_UnJxW1EzI02qHWM6AWMcug_31_5"/>
      <w:bookmarkStart w:id="286" w:name="Tc_weDmlOMO1k2MfUkIfzoCWg_31_2"/>
      <w:bookmarkStart w:id="287" w:name="Tc_PKmKzEPaSUi8JIXy1X4cwQ_31_0"/>
      <w:bookmarkStart w:id="288" w:name="Tc_w7VSOgCLgUOrKsCaN3ygBw_29_5"/>
      <w:bookmarkStart w:id="289" w:name="Tc_tADAaPmCyk2CfIql42x_ew_29_2"/>
      <w:bookmarkStart w:id="290" w:name="Tc_xVXHYIVL3kWvBmnYKrKCrA_29_0"/>
      <w:bookmarkStart w:id="291" w:name="Tc_7hVttb1BqESbXcRP5N389w_28_0"/>
      <w:bookmarkStart w:id="292" w:name="Tc_6pQ26O8zsUuvgCbc8CNaIQ_27_6"/>
      <w:bookmarkStart w:id="293" w:name="Tc_kid5EhM68kCe92bUXMGitQ_27_0"/>
      <w:bookmarkStart w:id="294" w:name="Tc_yvwd5vttEk-8KQfL8AlVmQ_26_0"/>
      <w:bookmarkStart w:id="295" w:name="Tc_UByBPa5_LUCy1L82UqquzA_25_0"/>
      <w:bookmarkStart w:id="296" w:name="Tc_HFCINNgmcU6YZRBmOIj33Q_24_0"/>
      <w:bookmarkStart w:id="297" w:name="Tc_ODXFbjH9VEqF030X6Fb10g_23_0"/>
      <w:bookmarkStart w:id="298" w:name="Tc_dg6_LmQyfUikdHahwa8DDA_22_0"/>
      <w:bookmarkStart w:id="299" w:name="Tc_EvBrMfuC20yXB3OOPQ23fA_21_0"/>
      <w:bookmarkStart w:id="300" w:name="Tc_mBBtCEbsx0GE_oMtYNzv7w_20_0"/>
      <w:bookmarkStart w:id="301" w:name="Tc_UBECNhWuZUCqAbac6cK9pQ_19_0"/>
      <w:bookmarkStart w:id="302" w:name="Tc_VfCDRPuY3U2LsPx1d-SfbQ_18_0"/>
      <w:bookmarkStart w:id="303" w:name="Tc_MojMN62xEUeN9NbolhT7Fg_17_0"/>
      <w:bookmarkStart w:id="304" w:name="Tc_8ONb02-t5kKQcV5w1Id9Fg_16_0"/>
      <w:bookmarkStart w:id="305" w:name="Tc_Ab212XebFEeTq7Ut0V5GpQ_15_0"/>
      <w:bookmarkStart w:id="306" w:name="Tc_imzobxr5SUuLE5gJUktqKw_14_0"/>
      <w:bookmarkStart w:id="307" w:name="Tc_n0gOvEde10GEsMB3zZYz_Q_13_0"/>
      <w:bookmarkStart w:id="308" w:name="Tc_qzMBFQ-pUUqqeOLla4lM1g_12_0"/>
      <w:bookmarkStart w:id="309" w:name="Tc_oB53GUFZe0ueRn9L3eNQNw_11_0"/>
      <w:bookmarkStart w:id="310" w:name="Tc_RUpu3et850eBNoDxmcTKUg_10_0"/>
      <w:bookmarkStart w:id="311" w:name="Tc_VTcKIU9JtECAAaWmLiEozw_9_0"/>
      <w:bookmarkStart w:id="312" w:name="Tc_fm1pHX-CJU-Jg9GwV_5DGQ_8_0"/>
      <w:bookmarkStart w:id="313" w:name="Tc_GwW3AnYcw0SQ_KUdIEdeDg_7_0"/>
      <w:bookmarkStart w:id="314" w:name="Tc_bzFQ5tnp3keXADpTRAbP-g_6_0"/>
      <w:bookmarkStart w:id="315" w:name="Tc_K9reucrob0-N_USgj7pDdA_5_5"/>
      <w:bookmarkStart w:id="316" w:name="Tc_6UpCc-Kii0auPk1-N6WfAA_5_2"/>
      <w:bookmarkStart w:id="317" w:name="Tc_3axchL7iFUO4jmMIAfzbJQ_5_0"/>
      <w:bookmarkStart w:id="318" w:name="Tc_f69gDcOyB0KA_2YU3AN2WQ_4_0"/>
      <w:bookmarkStart w:id="319" w:name="Tc_I5dZXC7K1EKh3K7e48qlnA_3_2"/>
      <w:bookmarkStart w:id="320" w:name="Tc_DgcdvD88YESM06RLtvr8Mg_2_5"/>
      <w:bookmarkStart w:id="321" w:name="Tc_kMCT7qu45E-D_nCTqlTqIw_2_2"/>
      <w:bookmarkStart w:id="322" w:name="Tc_f_iVh6TgzkWcQhXySB3wRQ_1_2"/>
      <w:bookmarkStart w:id="323" w:name="_4efb1144_cceb_4af3_a271_720eb64a402b"/>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tbl>
      <w:tblPr>
        <w:tblW w:w="8569" w:type="dxa"/>
        <w:jc w:val="left"/>
        <w:tblInd w:w="0" w:type="dxa"/>
        <w:tblCellMar>
          <w:top w:w="0" w:type="dxa"/>
          <w:left w:w="0" w:type="dxa"/>
          <w:bottom w:w="0" w:type="dxa"/>
          <w:right w:w="0" w:type="dxa"/>
        </w:tblCellMar>
      </w:tblPr>
      <w:tblGrid>
        <w:gridCol w:w="5686"/>
        <w:gridCol w:w="109"/>
        <w:gridCol w:w="247"/>
        <w:gridCol w:w="932"/>
        <w:gridCol w:w="381"/>
        <w:gridCol w:w="247"/>
        <w:gridCol w:w="967"/>
      </w:tblGrid>
      <w:tr>
        <w:trPr/>
        <w:tc>
          <w:tcPr>
            <w:tcW w:w="5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610610" cy="175260"/>
                      <wp:effectExtent l="0" t="0" r="0" b="0"/>
                      <wp:wrapNone/>
                      <wp:docPr id="7" name="Frame7"/>
                      <a:graphic xmlns:a="http://schemas.openxmlformats.org/drawingml/2006/main">
                        <a:graphicData uri="http://schemas.microsoft.com/office/word/2010/wordprocessingShape">
                          <wps:wsp>
                            <wps:cNvSpPr txBox="1"/>
                            <wps:spPr>
                              <a:xfrm>
                                <a:off x="0" y="0"/>
                                <a:ext cx="3610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56845" cy="175260"/>
                      <wp:effectExtent l="0" t="0" r="0" b="0"/>
                      <wp:wrapNone/>
                      <wp:docPr id="9" name="Frame9"/>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820" cy="175260"/>
                      <wp:effectExtent l="0" t="0" r="0" b="0"/>
                      <wp:wrapNone/>
                      <wp:docPr id="10" name="Frame10"/>
                      <a:graphic xmlns:a="http://schemas.openxmlformats.org/drawingml/2006/main">
                        <a:graphicData uri="http://schemas.microsoft.com/office/word/2010/wordprocessingShape">
                          <wps:wsp>
                            <wps:cNvSpPr txBox="1"/>
                            <wps:spPr>
                              <a:xfrm>
                                <a:off x="0" y="0"/>
                                <a:ext cx="591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1935" cy="175260"/>
                      <wp:effectExtent l="0" t="0" r="0" b="0"/>
                      <wp:wrapNone/>
                      <wp:docPr id="11" name="Frame11"/>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56845" cy="175260"/>
                      <wp:effectExtent l="0" t="0" r="0" b="0"/>
                      <wp:wrapNone/>
                      <wp:docPr id="12" name="Frame12"/>
                      <a:graphic xmlns:a="http://schemas.openxmlformats.org/drawingml/2006/main">
                        <a:graphicData uri="http://schemas.microsoft.com/office/word/2010/wordprocessingShape">
                          <wps:wsp>
                            <wps:cNvSpPr txBox="1"/>
                            <wps:spPr>
                              <a:xfrm>
                                <a:off x="0" y="0"/>
                                <a:ext cx="156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14045" cy="175260"/>
                      <wp:effectExtent l="0" t="0" r="0" b="0"/>
                      <wp:wrapNone/>
                      <wp:docPr id="13" name="Frame13"/>
                      <a:graphic xmlns:a="http://schemas.openxmlformats.org/drawingml/2006/main">
                        <a:graphicData uri="http://schemas.microsoft.com/office/word/2010/wordprocessingShape">
                          <wps:wsp>
                            <wps:cNvSpPr txBox="1"/>
                            <wps:spPr>
                              <a:xfrm>
                                <a:off x="0" y="0"/>
                                <a:ext cx="614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6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77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56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7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81" w:type="dxa"/>
            <w:tcBorders/>
            <w:shd w:fill="auto" w:val="clear"/>
            <w:vAlign w:val="center"/>
          </w:tcPr>
          <w:p>
            <w:pPr>
              <w:pStyle w:val="TableContents"/>
              <w:spacing w:before="0" w:after="1"/>
              <w:ind w:left="0" w:right="0" w:hanging="0"/>
              <w:jc w:val="center"/>
              <w:rPr/>
            </w:pPr>
            <w:r>
              <w:rPr/>
              <w:t>​</w:t>
            </w:r>
          </w:p>
        </w:tc>
        <w:tc>
          <w:tcPr>
            <w:tcW w:w="121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8569"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56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774"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932" w:type="dxa"/>
            <w:tcBorders/>
            <w:shd w:fill="CCEEFF" w:val="clear"/>
            <w:vAlign w:val="center"/>
          </w:tcPr>
          <w:p>
            <w:pPr>
              <w:pStyle w:val="TableContents"/>
              <w:spacing w:before="0" w:after="1"/>
              <w:ind w:left="0" w:right="0" w:hanging="0"/>
              <w:jc w:val="right"/>
              <w:rPr/>
            </w:pPr>
            <w:r>
              <w:rPr/>
              <w:t>  </w:t>
            </w:r>
          </w:p>
        </w:tc>
        <w:tc>
          <w:tcPr>
            <w:tcW w:w="381" w:type="dxa"/>
            <w:tcBorders/>
            <w:shd w:fill="CCEEFF" w:val="clear"/>
            <w:vAlign w:val="center"/>
          </w:tcPr>
          <w:p>
            <w:pPr>
              <w:pStyle w:val="TableContents"/>
              <w:spacing w:before="0" w:after="1"/>
              <w:ind w:left="0" w:right="0" w:hanging="0"/>
              <w:rPr/>
            </w:pPr>
            <w:r>
              <w:rPr/>
              <w:t>    </w:t>
            </w:r>
          </w:p>
        </w:tc>
        <w:tc>
          <w:tcPr>
            <w:tcW w:w="247" w:type="dxa"/>
            <w:tcBorders/>
            <w:shd w:fill="CCEEFF" w:val="clear"/>
            <w:vAlign w:val="center"/>
          </w:tcPr>
          <w:p>
            <w:pPr>
              <w:pStyle w:val="TableContents"/>
              <w:spacing w:before="0" w:after="1"/>
              <w:ind w:left="0" w:right="0" w:hanging="0"/>
              <w:rPr/>
            </w:pPr>
            <w:r>
              <w:rPr/>
              <w:t>​</w:t>
            </w:r>
          </w:p>
        </w:tc>
        <w:tc>
          <w:tcPr>
            <w:tcW w:w="967" w:type="dxa"/>
            <w:tcBorders/>
            <w:shd w:fill="CCEEFF" w:val="clear"/>
            <w:vAlign w:val="center"/>
          </w:tcPr>
          <w:p>
            <w:pPr>
              <w:pStyle w:val="TableContents"/>
              <w:spacing w:before="0" w:after="1"/>
              <w:ind w:left="0" w:right="0" w:hanging="0"/>
              <w:jc w:val="right"/>
              <w:rPr/>
            </w:pPr>
            <w:r>
              <w:rPr/>
              <w:t>  </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 subscriptions</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111,014</w:t>
            </w:r>
          </w:p>
        </w:tc>
        <w:tc>
          <w:tcPr>
            <w:tcW w:w="381"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97,131</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Services</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21,737</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17,853</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revenues</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132,751</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114,984</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32" w:type="dxa"/>
            <w:tcBorders/>
            <w:shd w:fill="CCEEFF" w:val="clear"/>
            <w:vAlign w:val="center"/>
          </w:tcPr>
          <w:p>
            <w:pPr>
              <w:pStyle w:val="TableContents"/>
              <w:spacing w:before="0" w:after="1"/>
              <w:ind w:left="0" w:right="0" w:hanging="0"/>
              <w:jc w:val="right"/>
              <w:rPr/>
            </w:pPr>
            <w:r>
              <w:rPr/>
              <w:t>  </w:t>
            </w:r>
          </w:p>
        </w:tc>
        <w:tc>
          <w:tcPr>
            <w:tcW w:w="381"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67" w:type="dxa"/>
            <w:tcBorders/>
            <w:shd w:fill="CCEEFF" w:val="clear"/>
            <w:vAlign w:val="center"/>
          </w:tcPr>
          <w:p>
            <w:pPr>
              <w:pStyle w:val="TableContents"/>
              <w:spacing w:before="0" w:after="1"/>
              <w:ind w:left="0" w:right="0" w:hanging="0"/>
              <w:jc w:val="right"/>
              <w:rPr/>
            </w:pPr>
            <w:r>
              <w:rPr/>
              <w:t>  </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 subscriptions</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37,403</w:t>
            </w:r>
          </w:p>
        </w:tc>
        <w:tc>
          <w:tcPr>
            <w:tcW w:w="381"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32,913</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Services</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14,344</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11,953</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cost of revenues</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51,747</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44,866</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81,004</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70,118</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expenses:</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32" w:type="dxa"/>
            <w:tcBorders/>
            <w:shd w:fill="auto" w:val="clear"/>
            <w:vAlign w:val="center"/>
          </w:tcPr>
          <w:p>
            <w:pPr>
              <w:pStyle w:val="TableContents"/>
              <w:spacing w:before="0" w:after="1"/>
              <w:ind w:left="0" w:right="0" w:hanging="0"/>
              <w:jc w:val="right"/>
              <w:rPr/>
            </w:pPr>
            <w:r>
              <w:rPr/>
              <w:t>  </w:t>
            </w:r>
          </w:p>
        </w:tc>
        <w:tc>
          <w:tcPr>
            <w:tcW w:w="381"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67" w:type="dxa"/>
            <w:tcBorders/>
            <w:shd w:fill="auto" w:val="clear"/>
            <w:vAlign w:val="center"/>
          </w:tcPr>
          <w:p>
            <w:pPr>
              <w:pStyle w:val="TableContents"/>
              <w:spacing w:before="0" w:after="1"/>
              <w:ind w:left="0" w:right="0" w:hanging="0"/>
              <w:jc w:val="right"/>
              <w:rPr/>
            </w:pPr>
            <w:r>
              <w:rPr/>
              <w:t>  </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15,862</w:t>
            </w:r>
          </w:p>
        </w:tc>
        <w:tc>
          <w:tcPr>
            <w:tcW w:w="381"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9,633</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and marketing</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35,736</w:t>
            </w:r>
          </w:p>
        </w:tc>
        <w:tc>
          <w:tcPr>
            <w:tcW w:w="381"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27,452</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34,310</w:t>
            </w:r>
          </w:p>
        </w:tc>
        <w:tc>
          <w:tcPr>
            <w:tcW w:w="381"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28,757</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3,741</w:t>
            </w:r>
          </w:p>
        </w:tc>
        <w:tc>
          <w:tcPr>
            <w:tcW w:w="381"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2,960</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operating expense, net</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89,933</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69,650</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(8,929)</w:t>
            </w:r>
          </w:p>
        </w:tc>
        <w:tc>
          <w:tcPr>
            <w:tcW w:w="381"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(8,579)</w:t>
            </w:r>
          </w:p>
        </w:tc>
        <w:tc>
          <w:tcPr>
            <w:tcW w:w="381"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Income tax expense</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9,553</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808</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(18,132)</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 </w:t>
            </w:r>
          </w:p>
        </w:tc>
        <w:tc>
          <w:tcPr>
            <w:tcW w:w="932" w:type="dxa"/>
            <w:tcBorders/>
            <w:shd w:fill="auto" w:val="clear"/>
            <w:vAlign w:val="center"/>
          </w:tcPr>
          <w:p>
            <w:pPr>
              <w:pStyle w:val="TableContents"/>
              <w:spacing w:before="0" w:after="1"/>
              <w:ind w:left="0" w:right="0" w:hanging="0"/>
              <w:rPr/>
            </w:pPr>
            <w:r>
              <w:rPr/>
              <w:t>​</w:t>
            </w:r>
          </w:p>
        </w:tc>
        <w:tc>
          <w:tcPr>
            <w:tcW w:w="381"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967" w:type="dxa"/>
            <w:tcBorders/>
            <w:shd w:fill="auto" w:val="clear"/>
            <w:vAlign w:val="center"/>
          </w:tcPr>
          <w:p>
            <w:pPr>
              <w:pStyle w:val="TableContents"/>
              <w:spacing w:before="0" w:after="1"/>
              <w:ind w:left="0" w:right="0" w:hanging="0"/>
              <w:rPr/>
            </w:pPr>
            <w:r>
              <w:rPr/>
              <w:t>​</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 and revaluations, net of tax</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(3,122)</w:t>
            </w:r>
          </w:p>
        </w:tc>
        <w:tc>
          <w:tcPr>
            <w:tcW w:w="381"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 </w:t>
            </w:r>
          </w:p>
        </w:tc>
        <w:tc>
          <w:tcPr>
            <w:tcW w:w="9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2,049</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 on investments, net of tax</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6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6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comprehensive (income) loss, net of tax</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(3,135)</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6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2,049</w:t>
            </w:r>
          </w:p>
        </w:tc>
      </w:tr>
      <w:tr>
        <w:trPr/>
        <w:tc>
          <w:tcPr>
            <w:tcW w:w="56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(14,997)</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568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932" w:type="dxa"/>
            <w:tcBorders/>
            <w:shd w:fill="CCEEFF" w:val="clear"/>
            <w:vAlign w:val="center"/>
          </w:tcPr>
          <w:p>
            <w:pPr>
              <w:pStyle w:val="TableContents"/>
              <w:spacing w:before="0" w:after="1"/>
              <w:ind w:left="0" w:right="0" w:hanging="0"/>
              <w:jc w:val="right"/>
              <w:rPr/>
            </w:pPr>
            <w:r>
              <w:rPr/>
              <w:t>​</w:t>
            </w:r>
          </w:p>
        </w:tc>
        <w:tc>
          <w:tcPr>
            <w:tcW w:w="381" w:type="dxa"/>
            <w:tcBorders/>
            <w:shd w:fill="CCEEFF" w:val="clear"/>
            <w:vAlign w:val="center"/>
          </w:tcPr>
          <w:p>
            <w:pPr>
              <w:pStyle w:val="TableContents"/>
              <w:spacing w:before="0" w:after="1"/>
              <w:ind w:left="0" w:right="0" w:hanging="0"/>
              <w:rPr/>
            </w:pPr>
            <w:r>
              <w:rPr/>
              <w:t>​</w:t>
            </w:r>
          </w:p>
        </w:tc>
        <w:tc>
          <w:tcPr>
            <w:tcW w:w="247" w:type="dxa"/>
            <w:tcBorders/>
            <w:shd w:fill="CCEEFF" w:val="clear"/>
            <w:vAlign w:val="center"/>
          </w:tcPr>
          <w:p>
            <w:pPr>
              <w:pStyle w:val="TableContents"/>
              <w:spacing w:before="0" w:after="1"/>
              <w:ind w:left="0" w:right="0" w:hanging="0"/>
              <w:rPr/>
            </w:pPr>
            <w:r>
              <w:rPr/>
              <w:t>​</w:t>
            </w:r>
          </w:p>
        </w:tc>
        <w:tc>
          <w:tcPr>
            <w:tcW w:w="967" w:type="dxa"/>
            <w:tcBorders/>
            <w:shd w:fill="CCEEFF" w:val="clear"/>
            <w:vAlign w:val="center"/>
          </w:tcPr>
          <w:p>
            <w:pPr>
              <w:pStyle w:val="TableContents"/>
              <w:spacing w:before="0" w:after="1"/>
              <w:ind w:left="0" w:right="0" w:hanging="0"/>
              <w:jc w:val="right"/>
              <w:rPr/>
            </w:pPr>
            <w:r>
              <w:rPr/>
              <w:t>​</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attributable to Class A stockholders, basic</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(6,072)</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per Class A share, basic</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Class A common stock, basic</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50,456</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9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42,349</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attributable to Class A stockholders, diluted</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(6,072)</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per Class A share, diluted</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Weighted average Class A common stock, diluted </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9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50,456</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9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42,349</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attributable to Class B stockholders, basic</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(12,060)</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per Class B share, basic</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Weighted average Class B common stock, basic </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100,221</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9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106,807</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attributable to Class B stockholders, diluted</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(12,060)</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56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per Class B share, diluted</w:t>
            </w:r>
          </w:p>
        </w:tc>
        <w:tc>
          <w:tcPr>
            <w:tcW w:w="109"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81" w:type="dxa"/>
            <w:tcBorders/>
            <w:shd w:fill="auto" w:val="clear"/>
            <w:vAlign w:val="center"/>
          </w:tcPr>
          <w:p>
            <w:pPr>
              <w:pStyle w:val="TableContents"/>
              <w:spacing w:before="0" w:after="1"/>
              <w:ind w:left="0" w:right="0" w:hanging="0"/>
              <w:rPr/>
            </w:pPr>
            <w:r>
              <w:rPr/>
              <w:t>​</w:t>
            </w:r>
          </w:p>
        </w:tc>
        <w:tc>
          <w:tcPr>
            <w:tcW w:w="24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56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Weighted average Class B common stock, diluted </w:t>
            </w:r>
          </w:p>
        </w:tc>
        <w:tc>
          <w:tcPr>
            <w:tcW w:w="109"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93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100,221</w:t>
            </w:r>
          </w:p>
        </w:tc>
        <w:tc>
          <w:tcPr>
            <w:tcW w:w="381" w:type="dxa"/>
            <w:tcBorders/>
            <w:shd w:fill="CCEEFF" w:val="clear"/>
            <w:vAlign w:val="center"/>
          </w:tcPr>
          <w:p>
            <w:pPr>
              <w:pStyle w:val="TableContents"/>
              <w:spacing w:before="0" w:after="1"/>
              <w:ind w:left="0" w:right="0" w:hanging="0"/>
              <w:rPr/>
            </w:pPr>
            <w:r>
              <w:rPr/>
              <w:t>​</w:t>
            </w:r>
          </w:p>
        </w:tc>
        <w:tc>
          <w:tcPr>
            <w:tcW w:w="247"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96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106,807</w:t>
            </w:r>
          </w:p>
        </w:tc>
      </w:tr>
      <w:tr>
        <w:trPr/>
        <w:tc>
          <w:tcPr>
            <w:tcW w:w="56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932" w:type="dxa"/>
            <w:tcBorders/>
            <w:shd w:fill="auto" w:val="clear"/>
            <w:vAlign w:val="center"/>
          </w:tcPr>
          <w:p>
            <w:pPr>
              <w:pStyle w:val="TableContents"/>
              <w:spacing w:before="0" w:after="1"/>
              <w:ind w:left="0" w:right="0" w:hanging="0"/>
              <w:jc w:val="right"/>
              <w:rPr/>
            </w:pPr>
            <w:r>
              <w:rPr/>
              <w:t>​</w:t>
            </w:r>
          </w:p>
        </w:tc>
        <w:tc>
          <w:tcPr>
            <w:tcW w:w="381" w:type="dxa"/>
            <w:tcBorders/>
            <w:shd w:fill="auto" w:val="clear"/>
            <w:vAlign w:val="center"/>
          </w:tcPr>
          <w:p>
            <w:pPr>
              <w:pStyle w:val="TableContents"/>
              <w:spacing w:before="0" w:after="1"/>
              <w:ind w:left="0" w:right="0" w:hanging="0"/>
              <w:rPr/>
            </w:pPr>
            <w:r>
              <w:rPr/>
              <w:t>​</w:t>
            </w:r>
          </w:p>
        </w:tc>
        <w:tc>
          <w:tcPr>
            <w:tcW w:w="247" w:type="dxa"/>
            <w:tcBorders/>
            <w:shd w:fill="auto" w:val="clear"/>
            <w:vAlign w:val="center"/>
          </w:tcPr>
          <w:p>
            <w:pPr>
              <w:pStyle w:val="TableContents"/>
              <w:spacing w:before="0" w:after="1"/>
              <w:ind w:left="0" w:right="0" w:hanging="0"/>
              <w:rPr/>
            </w:pPr>
            <w:r>
              <w:rPr/>
              <w:t>​</w:t>
            </w:r>
          </w:p>
        </w:tc>
        <w:tc>
          <w:tcPr>
            <w:tcW w:w="967" w:type="dxa"/>
            <w:tcBorders/>
            <w:shd w:fill="auto" w:val="clear"/>
            <w:vAlign w:val="center"/>
          </w:tcPr>
          <w:p>
            <w:pPr>
              <w:pStyle w:val="TableContents"/>
              <w:spacing w:before="0" w:after="1"/>
              <w:ind w:left="0" w:right="0" w:hanging="0"/>
              <w:jc w:val="right"/>
              <w:rPr/>
            </w:pPr>
            <w:r>
              <w:rPr/>
              <w:t>​</w:t>
            </w:r>
          </w:p>
        </w:tc>
      </w:tr>
    </w:tbl>
    <w:p>
      <w:pPr>
        <w:pStyle w:val="TextBody"/>
        <w:spacing w:before="0" w:after="0"/>
        <w:ind w:left="0" w:right="0" w:firstLine="360"/>
        <w:jc w:val="center"/>
        <w:rPr>
          <w:rFonts w:ascii="Times New Roman;Times;serif" w:hAnsi="Times New Roman;Times;serif"/>
          <w:sz w:val="18"/>
        </w:rPr>
      </w:pPr>
      <w:r>
        <w:rPr>
          <w:rFonts w:ascii="Times New Roman;Times;serif" w:hAnsi="Times New Roman;Times;serif"/>
          <w:sz w:val="18"/>
        </w:rPr>
        <w:t>The accompanying notes are an integral part of these condensed consolidated financial statements.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pPr>
      <w:bookmarkStart w:id="324" w:name="_38f06596_f004_4340_9e15_125b5e05923e"/>
      <w:bookmarkEnd w:id="324"/>
      <w:r>
        <w:rPr/>
        <w:t>​</w:t>
      </w:r>
    </w:p>
    <w:p>
      <w:pPr>
        <w:pStyle w:val="Normal"/>
        <w:spacing w:before="0" w:after="0"/>
        <w:rPr>
          <w:sz w:val="4"/>
          <w:szCs w:val="4"/>
        </w:rPr>
      </w:pPr>
      <w:r>
        <w:rPr>
          <w:sz w:val="4"/>
          <w:szCs w:val="4"/>
        </w:rPr>
      </w:r>
      <w:bookmarkStart w:id="325" w:name="CondensedConsolidatedStatementsofChanges"/>
      <w:bookmarkStart w:id="326" w:name="CondensedConsolidatedStatementsofChanges"/>
      <w:bookmarkEnd w:id="326"/>
    </w:p>
    <w:tbl>
      <w:tblPr>
        <w:tblW w:w="6241" w:type="dxa"/>
        <w:jc w:val="left"/>
        <w:tblInd w:w="0" w:type="dxa"/>
        <w:tblCellMar>
          <w:top w:w="0" w:type="dxa"/>
          <w:left w:w="0" w:type="dxa"/>
          <w:bottom w:w="0" w:type="dxa"/>
          <w:right w:w="0" w:type="dxa"/>
        </w:tblCellMar>
      </w:tblPr>
      <w:tblGrid>
        <w:gridCol w:w="6241"/>
      </w:tblGrid>
      <w:tr>
        <w:trPr/>
        <w:tc>
          <w:tcPr>
            <w:tcW w:w="6241" w:type="dxa"/>
            <w:tcBorders/>
            <w:shd w:fill="auto" w:val="clear"/>
            <w:vAlign w:val="center"/>
          </w:tcPr>
          <w:p>
            <w:pPr>
              <w:pStyle w:val="TableContents"/>
              <w:spacing w:before="0" w:after="0"/>
              <w:ind w:left="0" w:right="0" w:hanging="0"/>
              <w:rPr/>
            </w:pPr>
            <w:r>
              <w:rPr/>
              <w:t>​</w:t>
            </w:r>
          </w:p>
        </w:tc>
      </w:tr>
      <w:tr>
        <w:trPr/>
        <w:tc>
          <w:tcPr>
            <w:tcW w:w="62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2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Condensed Consolidated Statements of Changes in Stockholders’ Equity</w:t>
            </w:r>
            <w:r>
              <w:rPr>
                <w:rFonts w:ascii="Times New Roman;Times;serif" w:hAnsi="Times New Roman;Times;serif"/>
                <w:sz w:val="20"/>
              </w:rPr>
              <w:t xml:space="preserve"> </w:t>
            </w:r>
          </w:p>
        </w:tc>
      </w:tr>
      <w:tr>
        <w:trPr/>
        <w:tc>
          <w:tcPr>
            <w:tcW w:w="62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For the three months ended March 31, 2023 and 2022 (unaudited)</w:t>
            </w:r>
          </w:p>
        </w:tc>
      </w:tr>
      <w:tr>
        <w:trPr/>
        <w:tc>
          <w:tcPr>
            <w:tcW w:w="62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in thousands)</w:t>
            </w:r>
          </w:p>
        </w:tc>
      </w:tr>
    </w:tbl>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327" w:name="Tc_REPGhVXUvUyhteuv9wCCxw_25_22"/>
      <w:bookmarkStart w:id="328" w:name="Tc_H1W-DXdeAEOqeWngOo2f-w_25_19"/>
      <w:bookmarkStart w:id="329" w:name="Tc_bqCiruwYK0KNYffvcneTMA_25_16"/>
      <w:bookmarkStart w:id="330" w:name="Tc_5VgRA_bC30eguDaAoICXdw_25_13"/>
      <w:bookmarkStart w:id="331" w:name="Tc_3DtZX2JWkkWDToA8yfOFbQ_25_10"/>
      <w:bookmarkStart w:id="332" w:name="Tc_cnjUVNdjGkaMki-PpPClgA_25_5"/>
      <w:bookmarkStart w:id="333" w:name="Tc_aHPyylHzPk2QqE_4COuNmQ_25_0"/>
      <w:bookmarkStart w:id="334" w:name="Tc_pEBWS7cOB0SvD-QR9jWV4Q_24_20"/>
      <w:bookmarkStart w:id="335" w:name="Tc_yT_defkA0EWNYmWyJ11iog_24_14"/>
      <w:bookmarkStart w:id="336" w:name="Tc_t58j4vkDfUKBC9warP-cEw_24_11"/>
      <w:bookmarkStart w:id="337" w:name="Tc_CvK6KkldxEiS4WgS6l3h9Q_24_8"/>
      <w:bookmarkStart w:id="338" w:name="Tc_9sQwH86OPU-BKqi1dt_vIQ_24_6"/>
      <w:bookmarkStart w:id="339" w:name="Tc_kDo1jhdP8EWCP5hyRdDDnw_24_3"/>
      <w:bookmarkStart w:id="340" w:name="Tc_rykVagR6R0KM0D8WyNrAuw_24_0"/>
      <w:bookmarkStart w:id="341" w:name="Tc_Wgk-eTXTgkC1frx-TaxuNQ_23_17"/>
      <w:bookmarkStart w:id="342" w:name="Tc_2vrs-PGKDEqrS70FWfm-UA_23_14"/>
      <w:bookmarkStart w:id="343" w:name="Tc_7VW1hbVPtEW5iP4I1xj10A_23_11"/>
      <w:bookmarkStart w:id="344" w:name="Tc_MdnB_i-MH0ur0LdpLib2hQ_23_8"/>
      <w:bookmarkStart w:id="345" w:name="Tc_Ctfg3hAolkyF3B5yZAwfUw_23_6"/>
      <w:bookmarkStart w:id="346" w:name="Tc_ao8xTnw8fkWS9zmOgitC5Q_23_3"/>
      <w:bookmarkStart w:id="347" w:name="Tc_57-mitkTnUeS-a7PyxNsRw_23_0"/>
      <w:bookmarkStart w:id="348" w:name="Tc_jrqZ2N0Z7EauoYJ5BArYVg_22_17"/>
      <w:bookmarkStart w:id="349" w:name="Tc_9f2FyBaI2kOYEgdOiEzgvA_22_14"/>
      <w:bookmarkStart w:id="350" w:name="Tc_QJoX8CCYykqoFHaF44EYyA_22_11"/>
      <w:bookmarkStart w:id="351" w:name="Tc_u9P4BNIiREqp9q_1PvOf9A_22_8"/>
      <w:bookmarkStart w:id="352" w:name="Tc_efZO7NMyjEqUVcIWSLVSwA_22_6"/>
      <w:bookmarkStart w:id="353" w:name="Tc_k8G2XBWy7ESwF-EAl80IoA_22_3"/>
      <w:bookmarkStart w:id="354" w:name="Tc_-g1ghuh5qka4eNuHlRsNIQ_22_0"/>
      <w:bookmarkStart w:id="355" w:name="Tc_rdljQI9C8kSa2ZGzx_kShw_21_23"/>
      <w:bookmarkStart w:id="356" w:name="Tc_kEKD8eF1AUeYScS5lzXhaQ_21_20"/>
      <w:bookmarkStart w:id="357" w:name="Tc_0HpdmLcBNEilOs0Uz62dEw_21_17"/>
      <w:bookmarkStart w:id="358" w:name="Tc_asZoToNi3UuvrqP5T5AODg_21_14"/>
      <w:bookmarkStart w:id="359" w:name="Tc_2H_I5cmzsEOcVErIXESxmA_21_0"/>
      <w:bookmarkStart w:id="360" w:name="Tc_PLlojAxD7EypiXrbdzuonw_20_20"/>
      <w:bookmarkStart w:id="361" w:name="Tc_VRS184DdiES9VP86uZ8DYA_20_17"/>
      <w:bookmarkStart w:id="362" w:name="Tc_kUkLL9qSnEqFau8qRtnw9Q_20_11"/>
      <w:bookmarkStart w:id="363" w:name="Tc_zzreBHK0PUaLAEPHRe21kA_20_8"/>
      <w:bookmarkStart w:id="364" w:name="Tc_ZQ3Regwrak6E-UdOk9CvFQ_20_6"/>
      <w:bookmarkStart w:id="365" w:name="Tc_2FZv_1yrhE-kbHPekGy4GA_20_3"/>
      <w:bookmarkStart w:id="366" w:name="Tc_Y1QSs9pTgU6LBRsdXBWyTQ_20_0"/>
      <w:bookmarkStart w:id="367" w:name="Tc_PJExAARq50KZO46ZNXAjlQ_19_20"/>
      <w:bookmarkStart w:id="368" w:name="Tc_icdgSEOHS0C21YMtKrTu4Q_19_17"/>
      <w:bookmarkStart w:id="369" w:name="Tc_HlodQXMax02Fks47GSizEg_19_11"/>
      <w:bookmarkStart w:id="370" w:name="Tc_mqn2oRI53U2j05QZLB2HXw_19_8"/>
      <w:bookmarkStart w:id="371" w:name="Tc_6vVYKWf4sU2BxjepV_xZVQ_19_6"/>
      <w:bookmarkStart w:id="372" w:name="Tc_yLEU7ZyB5kaxh-u4fr6LaA_19_0"/>
      <w:bookmarkStart w:id="373" w:name="Tc_tBM6vvPbxkaV7gy0hjxOBw_18_20"/>
      <w:bookmarkStart w:id="374" w:name="Tc_VkqeoUznyEOH4jatt1jc4g_18_17"/>
      <w:bookmarkStart w:id="375" w:name="Tc_whk8kOrjbEiAQQ5dyvyUxg_18_11"/>
      <w:bookmarkStart w:id="376" w:name="Tc_dUsNOgk3R0S5dLbq1nVmeg_18_8"/>
      <w:bookmarkStart w:id="377" w:name="Tc_WKjUjAkl5kyQ4kBSQB5K5g_18_0"/>
      <w:bookmarkStart w:id="378" w:name="Tc_20L9kAmSSkyyXvcIpmquRA_17_22"/>
      <w:bookmarkStart w:id="379" w:name="Tc_VK3N_nx-30WjJ5O1RaGw5w_17_19"/>
      <w:bookmarkStart w:id="380" w:name="Tc_cCtBNSgSQUigRPQd-M2yJg_17_16"/>
      <w:bookmarkStart w:id="381" w:name="Tc_TjocUIi2D06PKfztqDwXqQ_17_13"/>
      <w:bookmarkStart w:id="382" w:name="Tc_IViRYeX0KUuvGL0mytEq8A_17_10"/>
      <w:bookmarkStart w:id="383" w:name="Tc_ZNtdFwCBv0m9zIGdo8_a8Q_17_5"/>
      <w:bookmarkStart w:id="384" w:name="Tc_X2uwO3OCvECSQCUlvSxbLg_17_0"/>
      <w:bookmarkStart w:id="385" w:name="Tc_4ZKToWVqp0Ga5K0-PXiZVA_16_22"/>
      <w:bookmarkStart w:id="386" w:name="Tc_AGkmzgOPp0G7ikQBhkddHw_16_19"/>
      <w:bookmarkStart w:id="387" w:name="Tc_RalJmc6ErEG9i0my234QmQ_16_16"/>
      <w:bookmarkStart w:id="388" w:name="Tc_5xJM7J5c90-u37Kmh0GIsQ_16_13"/>
      <w:bookmarkStart w:id="389" w:name="Tc__InRRLJmPEi4UVKQuQXurg_16_10"/>
      <w:bookmarkStart w:id="390" w:name="Tc_Tzst2mM5GUao_HhiucPdfg_16_8"/>
      <w:bookmarkStart w:id="391" w:name="Tc_8SxYNFXRlUSf9VsQ08IVKQ_16_5"/>
      <w:bookmarkStart w:id="392" w:name="Tc_VyLY6F2rNEW79QGYG70a1Q_16_3"/>
      <w:bookmarkStart w:id="393" w:name="Tc_l0c3d6YusEmJ5rJ4mOiiYw_15_22"/>
      <w:bookmarkStart w:id="394" w:name="Tc_NHw_Hhk8A02xGa9T8TUPWQ_15_19"/>
      <w:bookmarkStart w:id="395" w:name="Tc_s9wir_vv40mFzBzhl3nX1Q_15_16"/>
      <w:bookmarkStart w:id="396" w:name="Tc_w_DyV6YWZ0-6fbG5j2ixOQ_15_13"/>
      <w:bookmarkStart w:id="397" w:name="Tc_vfKGHDx39E6Yr96kFRkoxw_15_10"/>
      <w:bookmarkStart w:id="398" w:name="Tc_1tuw5JYzEkSsXJdxr8ECBQ_15_8"/>
      <w:bookmarkStart w:id="399" w:name="Tc_XleKJOJR1UmbJa7KE1rPzg_15_5"/>
      <w:bookmarkStart w:id="400" w:name="Tc_2khKDOd3EUiXqQRKNujCTA_15_3"/>
      <w:bookmarkStart w:id="401" w:name="Tc_UhbXO8TLlUuBW-pYN09h0A_14_22"/>
      <w:bookmarkStart w:id="402" w:name="Tc_pylv6d-8Tkyp8d3dQ1Aqcw_14_19"/>
      <w:bookmarkStart w:id="403" w:name="Tc_WKWbqQxmf0yRpm_H_StgfQ_14_16"/>
      <w:bookmarkStart w:id="404" w:name="Tc_A__uVpIpFE-39Xu9HvxmWg_14_13"/>
      <w:bookmarkStart w:id="405" w:name="Tc_-nMDbVoBg0-XrsS5YBVaQg_14_10"/>
      <w:bookmarkStart w:id="406" w:name="Tc_7P2-ddS_8EWvJ_yX31GafA_14_8"/>
      <w:bookmarkStart w:id="407" w:name="Tc_245CC1VK_06PuBHem-DxFg_14_5"/>
      <w:bookmarkStart w:id="408" w:name="Tc_2xVkA0A4TEOndhPPnjYkMw_14_3"/>
      <w:bookmarkStart w:id="409" w:name="Tc_3Lm5c4__IECMfrtyradN7A_13_19"/>
      <w:bookmarkStart w:id="410" w:name="Tc_j7-atQMl5Eu8FK8uZLM4Fw_13_16"/>
      <w:bookmarkStart w:id="411" w:name="Tc_MiFOKA_XtUufaeRYhWa1-A_11_22"/>
      <w:bookmarkStart w:id="412" w:name="Tc_ms9cnkVQ50GNhV7kyxb24w_11_19"/>
      <w:bookmarkStart w:id="413" w:name="Tc_kCc3Bi5ZOEq4Df-KDQE3RQ_11_16"/>
      <w:bookmarkStart w:id="414" w:name="Tc_ZFCu4Zuo_UmnIaTJBsSCCg_11_13"/>
      <w:bookmarkStart w:id="415" w:name="Tc_gNDuSI90EU2jciIF89v6hw_11_10"/>
      <w:bookmarkStart w:id="416" w:name="Tc_l_lHQKucuU2jpR3EXyp5Hg_11_5"/>
      <w:bookmarkStart w:id="417" w:name="Tc_zh3zdAxnk0uBuJvwu_2EsA_11_0"/>
      <w:bookmarkStart w:id="418" w:name="Tc_B_AIQ12zpkumDCR_M5BSsw_10_20"/>
      <w:bookmarkStart w:id="419" w:name="Tc_qiuWlFVspkacm2YGSniLNA_10_14"/>
      <w:bookmarkStart w:id="420" w:name="Tc_5Xo3_5lEkkyQB2fxtSSVEQ_10_11"/>
      <w:bookmarkStart w:id="421" w:name="Tc_WmBh-GgSEECgb9vJuahFVQ_10_8"/>
      <w:bookmarkStart w:id="422" w:name="Tc__pTYwdGgAUWADnu9R5qO4w_10_6"/>
      <w:bookmarkStart w:id="423" w:name="Tc_-MH-kbCm5EKXTDC4Jhq0tQ_10_3"/>
      <w:bookmarkStart w:id="424" w:name="Tc_mdpqDZTmv0yfAqbACfqkBg_10_0"/>
      <w:bookmarkStart w:id="425" w:name="Tc_vGoVDpj6MkCOdTVY9ZPFvg_9_17"/>
      <w:bookmarkStart w:id="426" w:name="Tc_50w--UCJk0qLbXIDqSUvfw_9_14"/>
      <w:bookmarkStart w:id="427" w:name="Tc_YjZ-HyXwTUm0tNXGU0dMmA_9_11"/>
      <w:bookmarkStart w:id="428" w:name="Tc_j2CODwrjokeGVXCK8yNxrw_9_8"/>
      <w:bookmarkStart w:id="429" w:name="Tc_6gqI7a6ULkia9UPz8B9GXQ_9_6"/>
      <w:bookmarkStart w:id="430" w:name="Tc_Yt_a9jneOEC2zBERXlHatQ_9_3"/>
      <w:bookmarkStart w:id="431" w:name="Tc_npbC_8IPxUK9Bm28Elpmog_9_0"/>
      <w:bookmarkStart w:id="432" w:name="Tc_QstEyyLL0EWDU7q7NDLfZw_8_20"/>
      <w:bookmarkStart w:id="433" w:name="Tc_JF-bH5FvX0S2qobuQx6EaQ_8_17"/>
      <w:bookmarkStart w:id="434" w:name="Tc_68S2a-gPwUSI4-CkklU5gg_8_11"/>
      <w:bookmarkStart w:id="435" w:name="Tc_t86o6TopTkeQtbnT2dOXIg_8_8"/>
      <w:bookmarkStart w:id="436" w:name="Tc_MvsbAWbCCkOAGACgR-jMJQ_8_6"/>
      <w:bookmarkStart w:id="437" w:name="Tc_UEYW_LmPcUG86uL94u0U-g_8_3"/>
      <w:bookmarkStart w:id="438" w:name="Tc_4EcfVOfZyUeMotvABCEg6g_8_0"/>
      <w:bookmarkStart w:id="439" w:name="Tc_1R-raNwQGkKdiyqXWfELvA_7_20"/>
      <w:bookmarkStart w:id="440" w:name="Tc_IkUFzEkn-U6gaXR6J0OGOQ_7_17"/>
      <w:bookmarkStart w:id="441" w:name="Tc_r2p6nq9e_0ieujzZdvu7ow_7_11"/>
      <w:bookmarkStart w:id="442" w:name="Tc_WijWn_XmS0GhGsRZNceADg_7_8"/>
      <w:bookmarkStart w:id="443" w:name="Tc_MGoy7-scLkeNc48x4l0aDw_7_6"/>
      <w:bookmarkStart w:id="444" w:name="Tc_hRahcetcL0y6gczaqKgv4g_7_0"/>
      <w:bookmarkStart w:id="445" w:name="Tc_EyAYFHFT2U6mDlGdG_2e9A_6_20"/>
      <w:bookmarkStart w:id="446" w:name="Tc_0qBUq2kQ8EqKQ9CRiNhiRw_6_17"/>
      <w:bookmarkStart w:id="447" w:name="Tc_s7mTWeEVakCR_y2P9hyUUw_6_11"/>
      <w:bookmarkStart w:id="448" w:name="Tc_rtD6kBhz-UGtNkhDDbl8zw_6_8"/>
      <w:bookmarkStart w:id="449" w:name="Tc_9exqZWxM-kyw6WVGfvwv9A_6_6"/>
      <w:bookmarkStart w:id="450" w:name="Tc_3PR2zv8PD0eF347OpJHi9w_6_0"/>
      <w:bookmarkStart w:id="451" w:name="Tc_EGpQCXGMtkGnuIDWOMGcPg_5_22"/>
      <w:bookmarkStart w:id="452" w:name="Tc_DbvYNPlDPkSpLesj58m8nw_5_19"/>
      <w:bookmarkStart w:id="453" w:name="Tc_fb81uExJlka2kAH1_xeQYQ_5_16"/>
      <w:bookmarkStart w:id="454" w:name="Tc_uTovqA6phU-qAM98ERS47Q_5_13"/>
      <w:bookmarkStart w:id="455" w:name="Tc_8MXlFkHr4kKqDcnBx2Nffw_5_10"/>
      <w:bookmarkStart w:id="456" w:name="Tc_0SO8gw6g-0y_d5suiGPuGQ_5_5"/>
      <w:bookmarkStart w:id="457" w:name="Tc_QBBL7aW57UWG-BuxKNfC7w_5_0"/>
      <w:bookmarkStart w:id="458" w:name="Tc_eqc3zsEVwEazZ3nWpEDVcA_4_22"/>
      <w:bookmarkStart w:id="459" w:name="Tc_Yj1alCRV-0ad1pdrodmNgg_4_19"/>
      <w:bookmarkStart w:id="460" w:name="Tc_MpQ0a2NpHkOFMwxoKnJfiQ_4_16"/>
      <w:bookmarkStart w:id="461" w:name="Tc_a_4KoFXLZEStLWGLo7NxFQ_4_13"/>
      <w:bookmarkStart w:id="462" w:name="Tc_9egp0NZ1ZU-isNAZU4SCNw_4_10"/>
      <w:bookmarkStart w:id="463" w:name="Tc_4iGytd45VkaohoKylsQRDA_4_8"/>
      <w:bookmarkStart w:id="464" w:name="Tc_3b7Ki35vkES5xNoEw5g5bg_4_5"/>
      <w:bookmarkStart w:id="465" w:name="Tc_Lw87AopecEm7R6oPupMpbA_4_3"/>
      <w:bookmarkStart w:id="466" w:name="Tc_GepfkMEvGUujH-mTDmMQRA_3_22"/>
      <w:bookmarkStart w:id="467" w:name="Tc_ycnYGiNYckuTUkP2IMRf7w_3_19"/>
      <w:bookmarkStart w:id="468" w:name="Tc_ZPuXAvZlfUe86J1y_oki4g_3_16"/>
      <w:bookmarkStart w:id="469" w:name="Tc_vXAHi6mXnECkstpMmKIBiw_3_13"/>
      <w:bookmarkStart w:id="470" w:name="Tc_PVWzCTOVMEmhUZzvx4tYag_3_10"/>
      <w:bookmarkStart w:id="471" w:name="Tc_frn-ZRtVoUmwskh7Ku3d6A_3_8"/>
      <w:bookmarkStart w:id="472" w:name="Tc_TPURskTHwkKoRsJUKKNpEA_3_5"/>
      <w:bookmarkStart w:id="473" w:name="Tc_wVUOqKtgjEGguT_B-pjl0g_3_3"/>
      <w:bookmarkStart w:id="474" w:name="Tc_IQUkmfel1kK5h_AVh2iNhw_2_22"/>
      <w:bookmarkStart w:id="475" w:name="Tc_a2DrakvIukemoM6MU9Fd5g_2_19"/>
      <w:bookmarkStart w:id="476" w:name="Tc_UMrP5bsvUUGmTkc3G5cjIA_2_13"/>
      <w:bookmarkStart w:id="477" w:name="Tc_Pni4vA3zJUWaDpFFJT0dEw_2_10"/>
      <w:bookmarkStart w:id="478" w:name="Tc__vzkxnCLCEuTGekJdh7KgQ_2_8"/>
      <w:bookmarkStart w:id="479" w:name="Tc_o1vjJHzkVkObp4qwreuqPQ_2_5"/>
      <w:bookmarkStart w:id="480" w:name="Tc_PEg4B87_L0GKzla3YTS96A_2_3"/>
      <w:bookmarkStart w:id="481" w:name="Tc_xP9Tf8BLo0CttuVO_efwtA_1_19"/>
      <w:bookmarkStart w:id="482" w:name="_c1822de3_fdd3_4e9d_9b46_c8810f77df1d"/>
      <w:bookmarkStart w:id="483" w:name="Tc_REPGhVXUvUyhteuv9wCCxw_25_22"/>
      <w:bookmarkStart w:id="484" w:name="Tc_H1W-DXdeAEOqeWngOo2f-w_25_19"/>
      <w:bookmarkStart w:id="485" w:name="Tc_bqCiruwYK0KNYffvcneTMA_25_16"/>
      <w:bookmarkStart w:id="486" w:name="Tc_5VgRA_bC30eguDaAoICXdw_25_13"/>
      <w:bookmarkStart w:id="487" w:name="Tc_3DtZX2JWkkWDToA8yfOFbQ_25_10"/>
      <w:bookmarkStart w:id="488" w:name="Tc_cnjUVNdjGkaMki-PpPClgA_25_5"/>
      <w:bookmarkStart w:id="489" w:name="Tc_aHPyylHzPk2QqE_4COuNmQ_25_0"/>
      <w:bookmarkStart w:id="490" w:name="Tc_pEBWS7cOB0SvD-QR9jWV4Q_24_20"/>
      <w:bookmarkStart w:id="491" w:name="Tc_yT_defkA0EWNYmWyJ11iog_24_14"/>
      <w:bookmarkStart w:id="492" w:name="Tc_t58j4vkDfUKBC9warP-cEw_24_11"/>
      <w:bookmarkStart w:id="493" w:name="Tc_CvK6KkldxEiS4WgS6l3h9Q_24_8"/>
      <w:bookmarkStart w:id="494" w:name="Tc_9sQwH86OPU-BKqi1dt_vIQ_24_6"/>
      <w:bookmarkStart w:id="495" w:name="Tc_kDo1jhdP8EWCP5hyRdDDnw_24_3"/>
      <w:bookmarkStart w:id="496" w:name="Tc_rykVagR6R0KM0D8WyNrAuw_24_0"/>
      <w:bookmarkStart w:id="497" w:name="Tc_Wgk-eTXTgkC1frx-TaxuNQ_23_17"/>
      <w:bookmarkStart w:id="498" w:name="Tc_2vrs-PGKDEqrS70FWfm-UA_23_14"/>
      <w:bookmarkStart w:id="499" w:name="Tc_7VW1hbVPtEW5iP4I1xj10A_23_11"/>
      <w:bookmarkStart w:id="500" w:name="Tc_MdnB_i-MH0ur0LdpLib2hQ_23_8"/>
      <w:bookmarkStart w:id="501" w:name="Tc_Ctfg3hAolkyF3B5yZAwfUw_23_6"/>
      <w:bookmarkStart w:id="502" w:name="Tc_ao8xTnw8fkWS9zmOgitC5Q_23_3"/>
      <w:bookmarkStart w:id="503" w:name="Tc_57-mitkTnUeS-a7PyxNsRw_23_0"/>
      <w:bookmarkStart w:id="504" w:name="Tc_jrqZ2N0Z7EauoYJ5BArYVg_22_17"/>
      <w:bookmarkStart w:id="505" w:name="Tc_9f2FyBaI2kOYEgdOiEzgvA_22_14"/>
      <w:bookmarkStart w:id="506" w:name="Tc_QJoX8CCYykqoFHaF44EYyA_22_11"/>
      <w:bookmarkStart w:id="507" w:name="Tc_u9P4BNIiREqp9q_1PvOf9A_22_8"/>
      <w:bookmarkStart w:id="508" w:name="Tc_efZO7NMyjEqUVcIWSLVSwA_22_6"/>
      <w:bookmarkStart w:id="509" w:name="Tc_k8G2XBWy7ESwF-EAl80IoA_22_3"/>
      <w:bookmarkStart w:id="510" w:name="Tc_-g1ghuh5qka4eNuHlRsNIQ_22_0"/>
      <w:bookmarkStart w:id="511" w:name="Tc_rdljQI9C8kSa2ZGzx_kShw_21_23"/>
      <w:bookmarkStart w:id="512" w:name="Tc_kEKD8eF1AUeYScS5lzXhaQ_21_20"/>
      <w:bookmarkStart w:id="513" w:name="Tc_0HpdmLcBNEilOs0Uz62dEw_21_17"/>
      <w:bookmarkStart w:id="514" w:name="Tc_asZoToNi3UuvrqP5T5AODg_21_14"/>
      <w:bookmarkStart w:id="515" w:name="Tc_2H_I5cmzsEOcVErIXESxmA_21_0"/>
      <w:bookmarkStart w:id="516" w:name="Tc_PLlojAxD7EypiXrbdzuonw_20_20"/>
      <w:bookmarkStart w:id="517" w:name="Tc_VRS184DdiES9VP86uZ8DYA_20_17"/>
      <w:bookmarkStart w:id="518" w:name="Tc_kUkLL9qSnEqFau8qRtnw9Q_20_11"/>
      <w:bookmarkStart w:id="519" w:name="Tc_zzreBHK0PUaLAEPHRe21kA_20_8"/>
      <w:bookmarkStart w:id="520" w:name="Tc_ZQ3Regwrak6E-UdOk9CvFQ_20_6"/>
      <w:bookmarkStart w:id="521" w:name="Tc_2FZv_1yrhE-kbHPekGy4GA_20_3"/>
      <w:bookmarkStart w:id="522" w:name="Tc_Y1QSs9pTgU6LBRsdXBWyTQ_20_0"/>
      <w:bookmarkStart w:id="523" w:name="Tc_PJExAARq50KZO46ZNXAjlQ_19_20"/>
      <w:bookmarkStart w:id="524" w:name="Tc_icdgSEOHS0C21YMtKrTu4Q_19_17"/>
      <w:bookmarkStart w:id="525" w:name="Tc_HlodQXMax02Fks47GSizEg_19_11"/>
      <w:bookmarkStart w:id="526" w:name="Tc_mqn2oRI53U2j05QZLB2HXw_19_8"/>
      <w:bookmarkStart w:id="527" w:name="Tc_6vVYKWf4sU2BxjepV_xZVQ_19_6"/>
      <w:bookmarkStart w:id="528" w:name="Tc_yLEU7ZyB5kaxh-u4fr6LaA_19_0"/>
      <w:bookmarkStart w:id="529" w:name="Tc_tBM6vvPbxkaV7gy0hjxOBw_18_20"/>
      <w:bookmarkStart w:id="530" w:name="Tc_VkqeoUznyEOH4jatt1jc4g_18_17"/>
      <w:bookmarkStart w:id="531" w:name="Tc_whk8kOrjbEiAQQ5dyvyUxg_18_11"/>
      <w:bookmarkStart w:id="532" w:name="Tc_dUsNOgk3R0S5dLbq1nVmeg_18_8"/>
      <w:bookmarkStart w:id="533" w:name="Tc_WKjUjAkl5kyQ4kBSQB5K5g_18_0"/>
      <w:bookmarkStart w:id="534" w:name="Tc_20L9kAmSSkyyXvcIpmquRA_17_22"/>
      <w:bookmarkStart w:id="535" w:name="Tc_VK3N_nx-30WjJ5O1RaGw5w_17_19"/>
      <w:bookmarkStart w:id="536" w:name="Tc_cCtBNSgSQUigRPQd-M2yJg_17_16"/>
      <w:bookmarkStart w:id="537" w:name="Tc_TjocUIi2D06PKfztqDwXqQ_17_13"/>
      <w:bookmarkStart w:id="538" w:name="Tc_IViRYeX0KUuvGL0mytEq8A_17_10"/>
      <w:bookmarkStart w:id="539" w:name="Tc_ZNtdFwCBv0m9zIGdo8_a8Q_17_5"/>
      <w:bookmarkStart w:id="540" w:name="Tc_X2uwO3OCvECSQCUlvSxbLg_17_0"/>
      <w:bookmarkStart w:id="541" w:name="Tc_4ZKToWVqp0Ga5K0-PXiZVA_16_22"/>
      <w:bookmarkStart w:id="542" w:name="Tc_AGkmzgOPp0G7ikQBhkddHw_16_19"/>
      <w:bookmarkStart w:id="543" w:name="Tc_RalJmc6ErEG9i0my234QmQ_16_16"/>
      <w:bookmarkStart w:id="544" w:name="Tc_5xJM7J5c90-u37Kmh0GIsQ_16_13"/>
      <w:bookmarkStart w:id="545" w:name="Tc__InRRLJmPEi4UVKQuQXurg_16_10"/>
      <w:bookmarkStart w:id="546" w:name="Tc_Tzst2mM5GUao_HhiucPdfg_16_8"/>
      <w:bookmarkStart w:id="547" w:name="Tc_8SxYNFXRlUSf9VsQ08IVKQ_16_5"/>
      <w:bookmarkStart w:id="548" w:name="Tc_VyLY6F2rNEW79QGYG70a1Q_16_3"/>
      <w:bookmarkStart w:id="549" w:name="Tc_l0c3d6YusEmJ5rJ4mOiiYw_15_22"/>
      <w:bookmarkStart w:id="550" w:name="Tc_NHw_Hhk8A02xGa9T8TUPWQ_15_19"/>
      <w:bookmarkStart w:id="551" w:name="Tc_s9wir_vv40mFzBzhl3nX1Q_15_16"/>
      <w:bookmarkStart w:id="552" w:name="Tc_w_DyV6YWZ0-6fbG5j2ixOQ_15_13"/>
      <w:bookmarkStart w:id="553" w:name="Tc_vfKGHDx39E6Yr96kFRkoxw_15_10"/>
      <w:bookmarkStart w:id="554" w:name="Tc_1tuw5JYzEkSsXJdxr8ECBQ_15_8"/>
      <w:bookmarkStart w:id="555" w:name="Tc_XleKJOJR1UmbJa7KE1rPzg_15_5"/>
      <w:bookmarkStart w:id="556" w:name="Tc_2khKDOd3EUiXqQRKNujCTA_15_3"/>
      <w:bookmarkStart w:id="557" w:name="Tc_UhbXO8TLlUuBW-pYN09h0A_14_22"/>
      <w:bookmarkStart w:id="558" w:name="Tc_pylv6d-8Tkyp8d3dQ1Aqcw_14_19"/>
      <w:bookmarkStart w:id="559" w:name="Tc_WKWbqQxmf0yRpm_H_StgfQ_14_16"/>
      <w:bookmarkStart w:id="560" w:name="Tc_A__uVpIpFE-39Xu9HvxmWg_14_13"/>
      <w:bookmarkStart w:id="561" w:name="Tc_-nMDbVoBg0-XrsS5YBVaQg_14_10"/>
      <w:bookmarkStart w:id="562" w:name="Tc_7P2-ddS_8EWvJ_yX31GafA_14_8"/>
      <w:bookmarkStart w:id="563" w:name="Tc_245CC1VK_06PuBHem-DxFg_14_5"/>
      <w:bookmarkStart w:id="564" w:name="Tc_2xVkA0A4TEOndhPPnjYkMw_14_3"/>
      <w:bookmarkStart w:id="565" w:name="Tc_3Lm5c4__IECMfrtyradN7A_13_19"/>
      <w:bookmarkStart w:id="566" w:name="Tc_j7-atQMl5Eu8FK8uZLM4Fw_13_16"/>
      <w:bookmarkStart w:id="567" w:name="Tc_MiFOKA_XtUufaeRYhWa1-A_11_22"/>
      <w:bookmarkStart w:id="568" w:name="Tc_ms9cnkVQ50GNhV7kyxb24w_11_19"/>
      <w:bookmarkStart w:id="569" w:name="Tc_kCc3Bi5ZOEq4Df-KDQE3RQ_11_16"/>
      <w:bookmarkStart w:id="570" w:name="Tc_ZFCu4Zuo_UmnIaTJBsSCCg_11_13"/>
      <w:bookmarkStart w:id="571" w:name="Tc_gNDuSI90EU2jciIF89v6hw_11_10"/>
      <w:bookmarkStart w:id="572" w:name="Tc_l_lHQKucuU2jpR3EXyp5Hg_11_5"/>
      <w:bookmarkStart w:id="573" w:name="Tc_zh3zdAxnk0uBuJvwu_2EsA_11_0"/>
      <w:bookmarkStart w:id="574" w:name="Tc_B_AIQ12zpkumDCR_M5BSsw_10_20"/>
      <w:bookmarkStart w:id="575" w:name="Tc_qiuWlFVspkacm2YGSniLNA_10_14"/>
      <w:bookmarkStart w:id="576" w:name="Tc_5Xo3_5lEkkyQB2fxtSSVEQ_10_11"/>
      <w:bookmarkStart w:id="577" w:name="Tc_WmBh-GgSEECgb9vJuahFVQ_10_8"/>
      <w:bookmarkStart w:id="578" w:name="Tc__pTYwdGgAUWADnu9R5qO4w_10_6"/>
      <w:bookmarkStart w:id="579" w:name="Tc_-MH-kbCm5EKXTDC4Jhq0tQ_10_3"/>
      <w:bookmarkStart w:id="580" w:name="Tc_mdpqDZTmv0yfAqbACfqkBg_10_0"/>
      <w:bookmarkStart w:id="581" w:name="Tc_vGoVDpj6MkCOdTVY9ZPFvg_9_17"/>
      <w:bookmarkStart w:id="582" w:name="Tc_50w--UCJk0qLbXIDqSUvfw_9_14"/>
      <w:bookmarkStart w:id="583" w:name="Tc_YjZ-HyXwTUm0tNXGU0dMmA_9_11"/>
      <w:bookmarkStart w:id="584" w:name="Tc_j2CODwrjokeGVXCK8yNxrw_9_8"/>
      <w:bookmarkStart w:id="585" w:name="Tc_6gqI7a6ULkia9UPz8B9GXQ_9_6"/>
      <w:bookmarkStart w:id="586" w:name="Tc_Yt_a9jneOEC2zBERXlHatQ_9_3"/>
      <w:bookmarkStart w:id="587" w:name="Tc_npbC_8IPxUK9Bm28Elpmog_9_0"/>
      <w:bookmarkStart w:id="588" w:name="Tc_QstEyyLL0EWDU7q7NDLfZw_8_20"/>
      <w:bookmarkStart w:id="589" w:name="Tc_JF-bH5FvX0S2qobuQx6EaQ_8_17"/>
      <w:bookmarkStart w:id="590" w:name="Tc_68S2a-gPwUSI4-CkklU5gg_8_11"/>
      <w:bookmarkStart w:id="591" w:name="Tc_t86o6TopTkeQtbnT2dOXIg_8_8"/>
      <w:bookmarkStart w:id="592" w:name="Tc_MvsbAWbCCkOAGACgR-jMJQ_8_6"/>
      <w:bookmarkStart w:id="593" w:name="Tc_UEYW_LmPcUG86uL94u0U-g_8_3"/>
      <w:bookmarkStart w:id="594" w:name="Tc_4EcfVOfZyUeMotvABCEg6g_8_0"/>
      <w:bookmarkStart w:id="595" w:name="Tc_1R-raNwQGkKdiyqXWfELvA_7_20"/>
      <w:bookmarkStart w:id="596" w:name="Tc_IkUFzEkn-U6gaXR6J0OGOQ_7_17"/>
      <w:bookmarkStart w:id="597" w:name="Tc_r2p6nq9e_0ieujzZdvu7ow_7_11"/>
      <w:bookmarkStart w:id="598" w:name="Tc_WijWn_XmS0GhGsRZNceADg_7_8"/>
      <w:bookmarkStart w:id="599" w:name="Tc_MGoy7-scLkeNc48x4l0aDw_7_6"/>
      <w:bookmarkStart w:id="600" w:name="Tc_hRahcetcL0y6gczaqKgv4g_7_0"/>
      <w:bookmarkStart w:id="601" w:name="Tc_EyAYFHFT2U6mDlGdG_2e9A_6_20"/>
      <w:bookmarkStart w:id="602" w:name="Tc_0qBUq2kQ8EqKQ9CRiNhiRw_6_17"/>
      <w:bookmarkStart w:id="603" w:name="Tc_s7mTWeEVakCR_y2P9hyUUw_6_11"/>
      <w:bookmarkStart w:id="604" w:name="Tc_rtD6kBhz-UGtNkhDDbl8zw_6_8"/>
      <w:bookmarkStart w:id="605" w:name="Tc_9exqZWxM-kyw6WVGfvwv9A_6_6"/>
      <w:bookmarkStart w:id="606" w:name="Tc_3PR2zv8PD0eF347OpJHi9w_6_0"/>
      <w:bookmarkStart w:id="607" w:name="Tc_EGpQCXGMtkGnuIDWOMGcPg_5_22"/>
      <w:bookmarkStart w:id="608" w:name="Tc_DbvYNPlDPkSpLesj58m8nw_5_19"/>
      <w:bookmarkStart w:id="609" w:name="Tc_fb81uExJlka2kAH1_xeQYQ_5_16"/>
      <w:bookmarkStart w:id="610" w:name="Tc_uTovqA6phU-qAM98ERS47Q_5_13"/>
      <w:bookmarkStart w:id="611" w:name="Tc_8MXlFkHr4kKqDcnBx2Nffw_5_10"/>
      <w:bookmarkStart w:id="612" w:name="Tc_0SO8gw6g-0y_d5suiGPuGQ_5_5"/>
      <w:bookmarkStart w:id="613" w:name="Tc_QBBL7aW57UWG-BuxKNfC7w_5_0"/>
      <w:bookmarkStart w:id="614" w:name="Tc_eqc3zsEVwEazZ3nWpEDVcA_4_22"/>
      <w:bookmarkStart w:id="615" w:name="Tc_Yj1alCRV-0ad1pdrodmNgg_4_19"/>
      <w:bookmarkStart w:id="616" w:name="Tc_MpQ0a2NpHkOFMwxoKnJfiQ_4_16"/>
      <w:bookmarkStart w:id="617" w:name="Tc_a_4KoFXLZEStLWGLo7NxFQ_4_13"/>
      <w:bookmarkStart w:id="618" w:name="Tc_9egp0NZ1ZU-isNAZU4SCNw_4_10"/>
      <w:bookmarkStart w:id="619" w:name="Tc_4iGytd45VkaohoKylsQRDA_4_8"/>
      <w:bookmarkStart w:id="620" w:name="Tc_3b7Ki35vkES5xNoEw5g5bg_4_5"/>
      <w:bookmarkStart w:id="621" w:name="Tc_Lw87AopecEm7R6oPupMpbA_4_3"/>
      <w:bookmarkStart w:id="622" w:name="Tc_GepfkMEvGUujH-mTDmMQRA_3_22"/>
      <w:bookmarkStart w:id="623" w:name="Tc_ycnYGiNYckuTUkP2IMRf7w_3_19"/>
      <w:bookmarkStart w:id="624" w:name="Tc_ZPuXAvZlfUe86J1y_oki4g_3_16"/>
      <w:bookmarkStart w:id="625" w:name="Tc_vXAHi6mXnECkstpMmKIBiw_3_13"/>
      <w:bookmarkStart w:id="626" w:name="Tc_PVWzCTOVMEmhUZzvx4tYag_3_10"/>
      <w:bookmarkStart w:id="627" w:name="Tc_frn-ZRtVoUmwskh7Ku3d6A_3_8"/>
      <w:bookmarkStart w:id="628" w:name="Tc_TPURskTHwkKoRsJUKKNpEA_3_5"/>
      <w:bookmarkStart w:id="629" w:name="Tc_wVUOqKtgjEGguT_B-pjl0g_3_3"/>
      <w:bookmarkStart w:id="630" w:name="Tc_IQUkmfel1kK5h_AVh2iNhw_2_22"/>
      <w:bookmarkStart w:id="631" w:name="Tc_a2DrakvIukemoM6MU9Fd5g_2_19"/>
      <w:bookmarkStart w:id="632" w:name="Tc_UMrP5bsvUUGmTkc3G5cjIA_2_13"/>
      <w:bookmarkStart w:id="633" w:name="Tc_Pni4vA3zJUWaDpFFJT0dEw_2_10"/>
      <w:bookmarkStart w:id="634" w:name="Tc__vzkxnCLCEuTGekJdh7KgQ_2_8"/>
      <w:bookmarkStart w:id="635" w:name="Tc_o1vjJHzkVkObp4qwreuqPQ_2_5"/>
      <w:bookmarkStart w:id="636" w:name="Tc_PEg4B87_L0GKzla3YTS96A_2_3"/>
      <w:bookmarkStart w:id="637" w:name="Tc_xP9Tf8BLo0CttuVO_efwtA_1_19"/>
      <w:bookmarkStart w:id="638" w:name="_c1822de3_fdd3_4e9d_9b46_c8810f77df1d"/>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tbl>
      <w:tblPr>
        <w:tblW w:w="10205" w:type="dxa"/>
        <w:jc w:val="left"/>
        <w:tblInd w:w="0" w:type="dxa"/>
        <w:tblCellMar>
          <w:top w:w="0" w:type="dxa"/>
          <w:left w:w="0" w:type="dxa"/>
          <w:bottom w:w="0" w:type="dxa"/>
          <w:right w:w="0" w:type="dxa"/>
        </w:tblCellMar>
      </w:tblPr>
      <w:tblGrid>
        <w:gridCol w:w="1798"/>
        <w:gridCol w:w="206"/>
        <w:gridCol w:w="206"/>
        <w:gridCol w:w="856"/>
        <w:gridCol w:w="206"/>
        <w:gridCol w:w="215"/>
        <w:gridCol w:w="416"/>
        <w:gridCol w:w="206"/>
        <w:gridCol w:w="856"/>
        <w:gridCol w:w="206"/>
        <w:gridCol w:w="215"/>
        <w:gridCol w:w="416"/>
        <w:gridCol w:w="109"/>
        <w:gridCol w:w="181"/>
        <w:gridCol w:w="586"/>
        <w:gridCol w:w="206"/>
        <w:gridCol w:w="224"/>
        <w:gridCol w:w="692"/>
        <w:gridCol w:w="206"/>
        <w:gridCol w:w="257"/>
        <w:gridCol w:w="794"/>
        <w:gridCol w:w="206"/>
        <w:gridCol w:w="197"/>
        <w:gridCol w:w="745"/>
      </w:tblGrid>
      <w:tr>
        <w:trPr/>
        <w:tc>
          <w:tcPr>
            <w:tcW w:w="17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141730" cy="175260"/>
                      <wp:effectExtent l="0" t="0" r="0" b="0"/>
                      <wp:wrapNone/>
                      <wp:docPr id="14" name="Frame14"/>
                      <a:graphic xmlns:a="http://schemas.openxmlformats.org/drawingml/2006/main">
                        <a:graphicData uri="http://schemas.microsoft.com/office/word/2010/wordprocessingShape">
                          <wps:wsp>
                            <wps:cNvSpPr txBox="1"/>
                            <wps:spPr>
                              <a:xfrm>
                                <a:off x="0" y="0"/>
                                <a:ext cx="1141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0810" cy="175260"/>
                      <wp:effectExtent l="0" t="0" r="0" b="0"/>
                      <wp:wrapNone/>
                      <wp:docPr id="15" name="Frame1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0810" cy="175260"/>
                      <wp:effectExtent l="0" t="0" r="0" b="0"/>
                      <wp:wrapNone/>
                      <wp:docPr id="16" name="Frame1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43560" cy="175260"/>
                      <wp:effectExtent l="0" t="0" r="0" b="0"/>
                      <wp:wrapNone/>
                      <wp:docPr id="17" name="Frame1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0810" cy="175260"/>
                      <wp:effectExtent l="0" t="0" r="0" b="0"/>
                      <wp:wrapNone/>
                      <wp:docPr id="18" name="Frame1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6525" cy="175260"/>
                      <wp:effectExtent l="0" t="0" r="0" b="0"/>
                      <wp:wrapNone/>
                      <wp:docPr id="19" name="Frame19"/>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64160" cy="175260"/>
                      <wp:effectExtent l="0" t="0" r="0" b="0"/>
                      <wp:wrapNone/>
                      <wp:docPr id="20" name="Frame20"/>
                      <a:graphic xmlns:a="http://schemas.openxmlformats.org/drawingml/2006/main">
                        <a:graphicData uri="http://schemas.microsoft.com/office/word/2010/wordprocessingShape">
                          <wps:wsp>
                            <wps:cNvSpPr txBox="1"/>
                            <wps:spPr>
                              <a:xfrm>
                                <a:off x="0" y="0"/>
                                <a:ext cx="264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0810" cy="175260"/>
                      <wp:effectExtent l="0" t="0" r="0" b="0"/>
                      <wp:wrapNone/>
                      <wp:docPr id="21" name="Frame2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43560" cy="175260"/>
                      <wp:effectExtent l="0" t="0" r="0" b="0"/>
                      <wp:wrapNone/>
                      <wp:docPr id="22" name="Frame22"/>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0810" cy="175260"/>
                      <wp:effectExtent l="0" t="0" r="0" b="0"/>
                      <wp:wrapNone/>
                      <wp:docPr id="23" name="Frame2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6525" cy="175260"/>
                      <wp:effectExtent l="0" t="0" r="0" b="0"/>
                      <wp:wrapNone/>
                      <wp:docPr id="24" name="Frame24"/>
                      <a:graphic xmlns:a="http://schemas.openxmlformats.org/drawingml/2006/main">
                        <a:graphicData uri="http://schemas.microsoft.com/office/word/2010/wordprocessingShape">
                          <wps:wsp>
                            <wps:cNvSpPr txBox="1"/>
                            <wps:spPr>
                              <a:xfrm>
                                <a:off x="0" y="0"/>
                                <a:ext cx="136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64160" cy="175260"/>
                      <wp:effectExtent l="0" t="0" r="0" b="0"/>
                      <wp:wrapNone/>
                      <wp:docPr id="25" name="Frame25"/>
                      <a:graphic xmlns:a="http://schemas.openxmlformats.org/drawingml/2006/main">
                        <a:graphicData uri="http://schemas.microsoft.com/office/word/2010/wordprocessingShape">
                          <wps:wsp>
                            <wps:cNvSpPr txBox="1"/>
                            <wps:spPr>
                              <a:xfrm>
                                <a:off x="0" y="0"/>
                                <a:ext cx="264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14935" cy="175260"/>
                      <wp:effectExtent l="0" t="0" r="0" b="0"/>
                      <wp:wrapNone/>
                      <wp:docPr id="27" name="Frame27"/>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72110" cy="175260"/>
                      <wp:effectExtent l="0" t="0" r="0" b="0"/>
                      <wp:wrapNone/>
                      <wp:docPr id="28" name="Frame28"/>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0810" cy="175260"/>
                      <wp:effectExtent l="0" t="0" r="0" b="0"/>
                      <wp:wrapNone/>
                      <wp:docPr id="29" name="Frame2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2240" cy="175260"/>
                      <wp:effectExtent l="0" t="0" r="0" b="0"/>
                      <wp:wrapNone/>
                      <wp:docPr id="30" name="Frame30"/>
                      <a:graphic xmlns:a="http://schemas.openxmlformats.org/drawingml/2006/main">
                        <a:graphicData uri="http://schemas.microsoft.com/office/word/2010/wordprocessingShape">
                          <wps:wsp>
                            <wps:cNvSpPr txBox="1"/>
                            <wps:spPr>
                              <a:xfrm>
                                <a:off x="0" y="0"/>
                                <a:ext cx="142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9420" cy="175260"/>
                      <wp:effectExtent l="0" t="0" r="0" b="0"/>
                      <wp:wrapNone/>
                      <wp:docPr id="31" name="Frame31"/>
                      <a:graphic xmlns:a="http://schemas.openxmlformats.org/drawingml/2006/main">
                        <a:graphicData uri="http://schemas.microsoft.com/office/word/2010/wordprocessingShape">
                          <wps:wsp>
                            <wps:cNvSpPr txBox="1"/>
                            <wps:spPr>
                              <a:xfrm>
                                <a:off x="0" y="0"/>
                                <a:ext cx="439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0810" cy="175260"/>
                      <wp:effectExtent l="0" t="0" r="0" b="0"/>
                      <wp:wrapNone/>
                      <wp:docPr id="32" name="Frame3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3195" cy="175260"/>
                      <wp:effectExtent l="0" t="0" r="0" b="0"/>
                      <wp:wrapNone/>
                      <wp:docPr id="33" name="Frame33"/>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4190" cy="175260"/>
                      <wp:effectExtent l="0" t="0" r="0" b="0"/>
                      <wp:wrapNone/>
                      <wp:docPr id="34" name="Frame34"/>
                      <a:graphic xmlns:a="http://schemas.openxmlformats.org/drawingml/2006/main">
                        <a:graphicData uri="http://schemas.microsoft.com/office/word/2010/wordprocessingShape">
                          <wps:wsp>
                            <wps:cNvSpPr txBox="1"/>
                            <wps:spPr>
                              <a:xfrm>
                                <a:off x="0" y="0"/>
                                <a:ext cx="504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5095" cy="175260"/>
                      <wp:effectExtent l="0" t="0" r="0" b="0"/>
                      <wp:wrapNone/>
                      <wp:docPr id="36" name="Frame36"/>
                      <a:graphic xmlns:a="http://schemas.openxmlformats.org/drawingml/2006/main">
                        <a:graphicData uri="http://schemas.microsoft.com/office/word/2010/wordprocessingShape">
                          <wps:wsp>
                            <wps:cNvSpPr txBox="1"/>
                            <wps:spPr>
                              <a:xfrm>
                                <a:off x="0" y="0"/>
                                <a:ext cx="125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73075" cy="175260"/>
                      <wp:effectExtent l="0" t="0" r="0" b="0"/>
                      <wp:wrapNone/>
                      <wp:docPr id="37" name="Frame37"/>
                      <a:graphic xmlns:a="http://schemas.openxmlformats.org/drawingml/2006/main">
                        <a:graphicData uri="http://schemas.microsoft.com/office/word/2010/wordprocessingShape">
                          <wps:wsp>
                            <wps:cNvSpPr txBox="1"/>
                            <wps:spPr>
                              <a:xfrm>
                                <a:off x="0" y="0"/>
                                <a:ext cx="473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916"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rPr/>
            </w:pPr>
            <w:r>
              <w:rPr/>
              <w:t>​</w: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109" w:type="dxa"/>
            <w:tcBorders/>
            <w:shd w:fill="auto" w:val="clear"/>
            <w:vAlign w:val="center"/>
          </w:tcPr>
          <w:p>
            <w:pPr>
              <w:pStyle w:val="TableContents"/>
              <w:spacing w:before="0" w:after="0"/>
              <w:ind w:left="0" w:right="0" w:hanging="0"/>
              <w:jc w:val="center"/>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0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06" w:type="dxa"/>
            <w:tcBorders/>
            <w:shd w:fill="auto" w:val="clear"/>
            <w:vAlign w:val="center"/>
          </w:tcPr>
          <w:p>
            <w:pPr>
              <w:pStyle w:val="TableContents"/>
              <w:spacing w:before="0" w:after="0"/>
              <w:ind w:left="0" w:right="0" w:hanging="0"/>
              <w:jc w:val="center"/>
              <w:rPr/>
            </w:pPr>
            <w:r>
              <w:rPr/>
              <w:t>  </w:t>
            </w:r>
          </w:p>
        </w:tc>
        <w:tc>
          <w:tcPr>
            <w:tcW w:w="9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109" w:type="dxa"/>
            <w:tcBorders/>
            <w:shd w:fill="auto" w:val="clear"/>
            <w:vAlign w:val="center"/>
          </w:tcPr>
          <w:p>
            <w:pPr>
              <w:pStyle w:val="TableContents"/>
              <w:spacing w:before="0" w:after="0"/>
              <w:ind w:left="0" w:right="0" w:hanging="0"/>
              <w:jc w:val="center"/>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20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206" w:type="dxa"/>
            <w:tcBorders/>
            <w:shd w:fill="auto" w:val="clear"/>
            <w:vAlign w:val="center"/>
          </w:tcPr>
          <w:p>
            <w:pPr>
              <w:pStyle w:val="TableContents"/>
              <w:spacing w:before="0" w:after="0"/>
              <w:ind w:left="0" w:right="0" w:hanging="0"/>
              <w:jc w:val="center"/>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 </w:t>
            </w:r>
          </w:p>
        </w:tc>
        <w:tc>
          <w:tcPr>
            <w:tcW w:w="206" w:type="dxa"/>
            <w:tcBorders/>
            <w:shd w:fill="auto" w:val="clear"/>
            <w:vAlign w:val="center"/>
          </w:tcPr>
          <w:p>
            <w:pPr>
              <w:pStyle w:val="TableContents"/>
              <w:spacing w:before="0" w:after="0"/>
              <w:ind w:left="0" w:right="0" w:hanging="0"/>
              <w:jc w:val="center"/>
              <w:rPr/>
            </w:pPr>
            <w:r>
              <w:rPr/>
              <w:t>​</w:t>
            </w:r>
          </w:p>
        </w:tc>
        <w:tc>
          <w:tcPr>
            <w:tcW w:w="9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798"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center"/>
              <w:rPr/>
            </w:pPr>
            <w:r>
              <w:rPr/>
              <w:t>  </w:t>
            </w:r>
          </w:p>
        </w:tc>
        <w:tc>
          <w:tcPr>
            <w:tcW w:w="20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4"/>
              </w:rPr>
              <w:t>Stock</w:t>
            </w:r>
          </w:p>
        </w:tc>
        <w:tc>
          <w:tcPr>
            <w:tcW w:w="20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shd w:fill="auto" w:val="clear"/>
            <w:vAlign w:val="center"/>
          </w:tcPr>
          <w:p>
            <w:pPr>
              <w:pStyle w:val="TableContents"/>
              <w:spacing w:before="0" w:after="0"/>
              <w:ind w:left="0" w:right="0" w:hanging="0"/>
              <w:jc w:val="center"/>
              <w:rPr/>
            </w:pPr>
            <w:r>
              <w:rPr/>
              <w:t>​</w:t>
            </w:r>
          </w:p>
        </w:tc>
        <w:tc>
          <w:tcPr>
            <w:tcW w:w="7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0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20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206" w:type="dxa"/>
            <w:tcBorders/>
            <w:shd w:fill="auto" w:val="clear"/>
            <w:vAlign w:val="center"/>
          </w:tcPr>
          <w:p>
            <w:pPr>
              <w:pStyle w:val="TableContents"/>
              <w:spacing w:before="0" w:after="0"/>
              <w:ind w:left="0" w:right="0" w:hanging="0"/>
              <w:jc w:val="center"/>
              <w:rPr/>
            </w:pPr>
            <w:r>
              <w:rPr/>
              <w:t>  </w:t>
            </w:r>
          </w:p>
        </w:tc>
        <w:tc>
          <w:tcPr>
            <w:tcW w:w="9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January 1, 2022</w:t>
            </w:r>
          </w:p>
        </w:tc>
        <w:tc>
          <w:tcPr>
            <w:tcW w:w="206" w:type="dxa"/>
            <w:tcBorders/>
            <w:shd w:fill="CCEEFF" w:val="clear"/>
            <w:vAlign w:val="center"/>
          </w:tcPr>
          <w:p>
            <w:pPr>
              <w:pStyle w:val="TableContents"/>
              <w:spacing w:before="0" w:after="0"/>
              <w:ind w:left="0" w:right="0" w:hanging="0"/>
              <w:jc w:val="center"/>
              <w:rPr/>
            </w:pPr>
            <w:r>
              <w:rPr/>
              <w:t>​</w:t>
            </w:r>
          </w:p>
        </w:tc>
        <w:tc>
          <w:tcPr>
            <w:tcW w:w="206" w:type="dxa"/>
            <w:tcBorders/>
            <w:shd w:fill="CCEEFF" w:val="clear"/>
            <w:vAlign w:val="center"/>
          </w:tcPr>
          <w:p>
            <w:pPr>
              <w:pStyle w:val="TableContents"/>
              <w:spacing w:before="0" w:after="0"/>
              <w:ind w:left="0" w:right="0" w:hanging="0"/>
              <w:jc w:val="center"/>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42,286</w:t>
            </w:r>
          </w:p>
        </w:tc>
        <w:tc>
          <w:tcPr>
            <w:tcW w:w="206" w:type="dxa"/>
            <w:tcBorders/>
            <w:shd w:fill="CCEEFF" w:val="clear"/>
            <w:vAlign w:val="center"/>
          </w:tcPr>
          <w:p>
            <w:pPr>
              <w:pStyle w:val="TableContents"/>
              <w:spacing w:before="0" w:after="0"/>
              <w:ind w:left="0" w:right="0" w:hanging="0"/>
              <w:jc w:val="center"/>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06" w:type="dxa"/>
            <w:tcBorders/>
            <w:shd w:fill="CCEEFF" w:val="clear"/>
            <w:vAlign w:val="center"/>
          </w:tcPr>
          <w:p>
            <w:pPr>
              <w:pStyle w:val="TableContents"/>
              <w:spacing w:before="0" w:after="0"/>
              <w:ind w:left="0" w:right="0" w:hanging="0"/>
              <w:jc w:val="center"/>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106,807</w:t>
            </w:r>
          </w:p>
        </w:tc>
        <w:tc>
          <w:tcPr>
            <w:tcW w:w="206" w:type="dxa"/>
            <w:tcBorders/>
            <w:shd w:fill="CCEEFF" w:val="clear"/>
            <w:vAlign w:val="center"/>
          </w:tcPr>
          <w:p>
            <w:pPr>
              <w:pStyle w:val="TableContents"/>
              <w:spacing w:before="0" w:after="0"/>
              <w:ind w:left="0" w:right="0" w:hanging="0"/>
              <w:jc w:val="center"/>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shd w:fill="CCEEFF" w:val="clear"/>
            <w:vAlign w:val="center"/>
          </w:tcPr>
          <w:p>
            <w:pPr>
              <w:pStyle w:val="TableContents"/>
              <w:spacing w:before="0" w:after="0"/>
              <w:ind w:left="0" w:right="0" w:hanging="0"/>
              <w:jc w:val="center"/>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222,621</w:t>
            </w:r>
          </w:p>
        </w:tc>
        <w:tc>
          <w:tcPr>
            <w:tcW w:w="206" w:type="dxa"/>
            <w:tcBorders/>
            <w:shd w:fill="CCEEFF" w:val="clear"/>
            <w:vAlign w:val="center"/>
          </w:tcPr>
          <w:p>
            <w:pPr>
              <w:pStyle w:val="TableContents"/>
              <w:spacing w:before="0" w:after="0"/>
              <w:ind w:left="0" w:right="0" w:hanging="0"/>
              <w:jc w:val="center"/>
              <w:rPr/>
            </w:pPr>
            <w:r>
              <w:rPr/>
              <w:t>​</w:t>
            </w:r>
          </w:p>
        </w:tc>
        <w:tc>
          <w:tcPr>
            <w:tcW w:w="22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24,811</w:t>
            </w:r>
          </w:p>
        </w:tc>
        <w:tc>
          <w:tcPr>
            <w:tcW w:w="206" w:type="dxa"/>
            <w:tcBorders/>
            <w:shd w:fill="CCEEFF" w:val="clear"/>
            <w:vAlign w:val="center"/>
          </w:tcPr>
          <w:p>
            <w:pPr>
              <w:pStyle w:val="TableContents"/>
              <w:spacing w:before="0" w:after="0"/>
              <w:ind w:left="0" w:right="0" w:hanging="0"/>
              <w:jc w:val="center"/>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(17,497)</w:t>
            </w:r>
          </w:p>
        </w:tc>
        <w:tc>
          <w:tcPr>
            <w:tcW w:w="206" w:type="dxa"/>
            <w:tcBorders/>
            <w:shd w:fill="CCEEFF" w:val="clear"/>
            <w:vAlign w:val="center"/>
          </w:tcPr>
          <w:p>
            <w:pPr>
              <w:pStyle w:val="TableContents"/>
              <w:spacing w:before="0" w:after="0"/>
              <w:ind w:left="0" w:right="0" w:hanging="0"/>
              <w:jc w:val="center"/>
              <w:rPr/>
            </w:pPr>
            <w:r>
              <w:rPr/>
              <w:t>​</w:t>
            </w:r>
          </w:p>
        </w:tc>
        <w:tc>
          <w:tcPr>
            <w:tcW w:w="197"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230,084</w:t>
            </w:r>
          </w:p>
        </w:tc>
      </w:tr>
      <w:tr>
        <w:trPr/>
        <w:tc>
          <w:tcPr>
            <w:tcW w:w="1798"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Exercise of stock options, net</w:t>
            </w:r>
          </w:p>
        </w:tc>
        <w:tc>
          <w:tcPr>
            <w:tcW w:w="206" w:type="dxa"/>
            <w:tcBorders/>
            <w:shd w:fill="auto" w:val="clear"/>
            <w:vAlign w:val="center"/>
          </w:tcPr>
          <w:p>
            <w:pPr>
              <w:pStyle w:val="TableContents"/>
              <w:spacing w:before="0" w:after="0"/>
              <w:ind w:left="0" w:right="0" w:hanging="0"/>
              <w:rPr/>
            </w:pPr>
            <w:r>
              <w:rPr/>
              <w:t> </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4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 </w:t>
            </w:r>
          </w:p>
        </w:tc>
        <w:tc>
          <w:tcPr>
            <w:tcW w:w="41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rPr/>
            </w:pPr>
            <w:r>
              <w:rPr/>
              <w:t> </w:t>
            </w:r>
          </w:p>
        </w:tc>
        <w:tc>
          <w:tcPr>
            <w:tcW w:w="69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794"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1798"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Stock-based compensation expense</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4,867</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9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4,867</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206"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41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 </w:t>
            </w:r>
          </w:p>
        </w:tc>
        <w:tc>
          <w:tcPr>
            <w:tcW w:w="85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 </w:t>
            </w:r>
          </w:p>
        </w:tc>
        <w:tc>
          <w:tcPr>
            <w:tcW w:w="41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shd w:fill="CCEEFF" w:val="clear"/>
            <w:vAlign w:val="center"/>
          </w:tcPr>
          <w:p>
            <w:pPr>
              <w:pStyle w:val="TableContents"/>
              <w:spacing w:before="0" w:after="0"/>
              <w:ind w:left="0" w:right="0" w:hanging="0"/>
              <w:rPr/>
            </w:pPr>
            <w:r>
              <w:rPr/>
              <w:t> </w:t>
            </w:r>
          </w:p>
        </w:tc>
        <w:tc>
          <w:tcPr>
            <w:tcW w:w="69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(2,049)</w:t>
            </w:r>
          </w:p>
        </w:tc>
        <w:tc>
          <w:tcPr>
            <w:tcW w:w="206"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 </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(2,049)</w:t>
            </w:r>
          </w:p>
        </w:tc>
      </w:tr>
      <w:tr>
        <w:trPr/>
        <w:tc>
          <w:tcPr>
            <w:tcW w:w="1798"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loss</w:t>
            </w:r>
          </w:p>
        </w:tc>
        <w:tc>
          <w:tcPr>
            <w:tcW w:w="206" w:type="dxa"/>
            <w:tcBorders/>
            <w:shd w:fill="auto" w:val="clear"/>
            <w:vAlign w:val="center"/>
          </w:tcPr>
          <w:p>
            <w:pPr>
              <w:pStyle w:val="TableContents"/>
              <w:spacing w:before="0" w:after="0"/>
              <w:ind w:left="0" w:right="0" w:hanging="0"/>
              <w:rPr/>
            </w:pPr>
            <w:r>
              <w:rPr/>
              <w:t> </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c>
          <w:tcPr>
            <w:tcW w:w="20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March 31, 2022</w:t>
            </w:r>
          </w:p>
        </w:tc>
        <w:tc>
          <w:tcPr>
            <w:tcW w:w="206"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42,561</w:t>
            </w:r>
          </w:p>
        </w:tc>
        <w:tc>
          <w:tcPr>
            <w:tcW w:w="206"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206" w:type="dxa"/>
            <w:tcBorders/>
            <w:shd w:fill="CCEEFF" w:val="clear"/>
            <w:vAlign w:val="center"/>
          </w:tcPr>
          <w:p>
            <w:pPr>
              <w:pStyle w:val="TableContents"/>
              <w:spacing w:before="0" w:after="0"/>
              <w:ind w:left="0" w:right="0" w:hanging="0"/>
              <w:rPr/>
            </w:pPr>
            <w:r>
              <w:rPr/>
              <w:t> </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106,807</w:t>
            </w:r>
          </w:p>
        </w:tc>
        <w:tc>
          <w:tcPr>
            <w:tcW w:w="206" w:type="dxa"/>
            <w:tcBorders/>
            <w:shd w:fill="CCEEFF" w:val="clear"/>
            <w:vAlign w:val="center"/>
          </w:tcPr>
          <w:p>
            <w:pPr>
              <w:pStyle w:val="TableContents"/>
              <w:spacing w:before="0" w:after="0"/>
              <w:ind w:left="0" w:right="0" w:hanging="0"/>
              <w:jc w:val="right"/>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227,751</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24,477</w:t>
            </w:r>
          </w:p>
        </w:tc>
        <w:tc>
          <w:tcPr>
            <w:tcW w:w="206" w:type="dxa"/>
            <w:tcBorders/>
            <w:shd w:fill="CCEEFF" w:val="clear"/>
            <w:vAlign w:val="center"/>
          </w:tcPr>
          <w:p>
            <w:pPr>
              <w:pStyle w:val="TableContents"/>
              <w:spacing w:before="0" w:after="0"/>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(19,546)</w:t>
            </w:r>
          </w:p>
        </w:tc>
        <w:tc>
          <w:tcPr>
            <w:tcW w:w="206"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232,831</w: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4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jc w:val="right"/>
              <w:rPr/>
            </w:pPr>
            <w:r>
              <w:rPr/>
              <w:t>​</w:t>
            </w:r>
          </w:p>
        </w:tc>
        <w:tc>
          <w:tcPr>
            <w:tcW w:w="41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58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jc w:val="right"/>
              <w:rPr/>
            </w:pPr>
            <w:r>
              <w:rPr/>
              <w:t>​</w:t>
            </w:r>
          </w:p>
        </w:tc>
        <w:tc>
          <w:tcPr>
            <w:tcW w:w="69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9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jc w:val="right"/>
              <w:rPr/>
            </w:pPr>
            <w:r>
              <w:rPr/>
              <w:t>​</w:t>
            </w:r>
          </w:p>
        </w:tc>
        <w:tc>
          <w:tcPr>
            <w:tcW w:w="4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15" w:type="dxa"/>
            <w:tcBorders/>
            <w:shd w:fill="auto" w:val="clear"/>
            <w:vAlign w:val="center"/>
          </w:tcPr>
          <w:p>
            <w:pPr>
              <w:pStyle w:val="TableContents"/>
              <w:spacing w:before="0" w:after="0"/>
              <w:ind w:left="0" w:right="0" w:hanging="0"/>
              <w:jc w:val="right"/>
              <w:rPr/>
            </w:pPr>
            <w:r>
              <w:rPr/>
              <w:t>​</w:t>
            </w:r>
          </w:p>
        </w:tc>
        <w:tc>
          <w:tcPr>
            <w:tcW w:w="41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58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pPr>
            <w:r>
              <w:rPr/>
              <w:t>​</w: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109" w:type="dxa"/>
            <w:tcBorders/>
            <w:shd w:fill="auto" w:val="clear"/>
            <w:vAlign w:val="center"/>
          </w:tcPr>
          <w:p>
            <w:pPr>
              <w:pStyle w:val="TableContents"/>
              <w:spacing w:before="0" w:after="0"/>
              <w:ind w:left="0" w:right="0" w:hanging="0"/>
              <w:jc w:val="center"/>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0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20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06" w:type="dxa"/>
            <w:tcBorders/>
            <w:shd w:fill="auto" w:val="clear"/>
            <w:vAlign w:val="center"/>
          </w:tcPr>
          <w:p>
            <w:pPr>
              <w:pStyle w:val="TableContents"/>
              <w:spacing w:before="0" w:after="0"/>
              <w:ind w:left="0" w:right="0" w:hanging="0"/>
              <w:jc w:val="center"/>
              <w:rPr/>
            </w:pPr>
            <w:r>
              <w:rPr/>
              <w:t>  </w:t>
            </w:r>
          </w:p>
        </w:tc>
        <w:tc>
          <w:tcPr>
            <w:tcW w:w="9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shd w:fill="auto" w:val="clear"/>
            <w:vAlign w:val="center"/>
          </w:tcPr>
          <w:p>
            <w:pPr>
              <w:pStyle w:val="TableContents"/>
              <w:spacing w:before="0" w:after="0"/>
              <w:ind w:left="0" w:right="0" w:hanging="0"/>
              <w:jc w:val="center"/>
              <w:rPr/>
            </w:pPr>
            <w:r>
              <w:rPr/>
              <w:t>​</w:t>
            </w:r>
          </w:p>
        </w:tc>
        <w:tc>
          <w:tcPr>
            <w:tcW w:w="63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109" w:type="dxa"/>
            <w:tcBorders/>
            <w:shd w:fill="auto" w:val="clear"/>
            <w:vAlign w:val="center"/>
          </w:tcPr>
          <w:p>
            <w:pPr>
              <w:pStyle w:val="TableContents"/>
              <w:spacing w:before="0" w:after="0"/>
              <w:ind w:left="0" w:right="0" w:hanging="0"/>
              <w:jc w:val="center"/>
              <w:rPr/>
            </w:pPr>
            <w:r>
              <w:rPr/>
              <w:t>​</w:t>
            </w:r>
          </w:p>
        </w:tc>
        <w:tc>
          <w:tcPr>
            <w:tcW w:w="7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20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206" w:type="dxa"/>
            <w:tcBorders/>
            <w:shd w:fill="auto" w:val="clear"/>
            <w:vAlign w:val="center"/>
          </w:tcPr>
          <w:p>
            <w:pPr>
              <w:pStyle w:val="TableContents"/>
              <w:spacing w:before="0" w:after="0"/>
              <w:ind w:left="0" w:right="0" w:hanging="0"/>
              <w:jc w:val="center"/>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 </w:t>
            </w:r>
          </w:p>
        </w:tc>
        <w:tc>
          <w:tcPr>
            <w:tcW w:w="206" w:type="dxa"/>
            <w:tcBorders/>
            <w:shd w:fill="auto" w:val="clear"/>
            <w:vAlign w:val="center"/>
          </w:tcPr>
          <w:p>
            <w:pPr>
              <w:pStyle w:val="TableContents"/>
              <w:spacing w:before="0" w:after="0"/>
              <w:ind w:left="0" w:right="0" w:hanging="0"/>
              <w:jc w:val="center"/>
              <w:rPr/>
            </w:pPr>
            <w:r>
              <w:rPr/>
              <w:t>​</w:t>
            </w:r>
          </w:p>
        </w:tc>
        <w:tc>
          <w:tcPr>
            <w:tcW w:w="9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798"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4"/>
              </w:rPr>
              <w:t>Stock</w:t>
            </w:r>
          </w:p>
        </w:tc>
        <w:tc>
          <w:tcPr>
            <w:tcW w:w="206" w:type="dxa"/>
            <w:tcBorders/>
            <w:shd w:fill="auto" w:val="clear"/>
            <w:vAlign w:val="center"/>
          </w:tcPr>
          <w:p>
            <w:pPr>
              <w:pStyle w:val="TableContents"/>
              <w:spacing w:before="0" w:after="0"/>
              <w:ind w:left="0" w:right="0" w:hanging="0"/>
              <w:jc w:val="center"/>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109" w:type="dxa"/>
            <w:tcBorders/>
            <w:shd w:fill="auto" w:val="clear"/>
            <w:vAlign w:val="center"/>
          </w:tcPr>
          <w:p>
            <w:pPr>
              <w:pStyle w:val="TableContents"/>
              <w:spacing w:before="0" w:after="0"/>
              <w:ind w:left="0" w:right="0" w:hanging="0"/>
              <w:jc w:val="center"/>
              <w:rPr/>
            </w:pPr>
            <w:r>
              <w:rPr/>
              <w:t>​</w:t>
            </w:r>
          </w:p>
        </w:tc>
        <w:tc>
          <w:tcPr>
            <w:tcW w:w="7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0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20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206" w:type="dxa"/>
            <w:tcBorders/>
            <w:shd w:fill="auto" w:val="clear"/>
            <w:vAlign w:val="center"/>
          </w:tcPr>
          <w:p>
            <w:pPr>
              <w:pStyle w:val="TableContents"/>
              <w:spacing w:before="0" w:after="0"/>
              <w:ind w:left="0" w:right="0" w:hanging="0"/>
              <w:jc w:val="center"/>
              <w:rPr/>
            </w:pPr>
            <w:r>
              <w:rPr/>
              <w:t>  </w:t>
            </w:r>
          </w:p>
        </w:tc>
        <w:tc>
          <w:tcPr>
            <w:tcW w:w="9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January 1, 2023</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50,014</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20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100,307</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244,820</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692"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12,507</w:t>
            </w:r>
          </w:p>
        </w:tc>
        <w:tc>
          <w:tcPr>
            <w:tcW w:w="20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(27,752)</w:t>
            </w:r>
          </w:p>
        </w:tc>
        <w:tc>
          <w:tcPr>
            <w:tcW w:w="206"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229,725</w:t>
            </w:r>
          </w:p>
        </w:tc>
      </w:tr>
      <w:tr>
        <w:trPr/>
        <w:tc>
          <w:tcPr>
            <w:tcW w:w="1798"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Exercise of stock options, net</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592</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1,279</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9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1,280</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391</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(3,471)</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794"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(3,471)</w:t>
            </w:r>
          </w:p>
        </w:tc>
      </w:tr>
      <w:tr>
        <w:trPr/>
        <w:tc>
          <w:tcPr>
            <w:tcW w:w="1798"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Stock-based compensation expense</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10,938</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94"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10,938</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Class B shares exchanged for Class A shares</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2,589</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20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(2,589)</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794"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pPr>
            <w:r>
              <w:rPr/>
              <w:t>—</w:t>
            </w:r>
          </w:p>
        </w:tc>
      </w:tr>
      <w:tr>
        <w:trPr/>
        <w:tc>
          <w:tcPr>
            <w:tcW w:w="1798"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1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rPr/>
            </w:pPr>
            <w:r>
              <w:rPr/>
              <w:t>​</w:t>
            </w:r>
          </w:p>
        </w:tc>
        <w:tc>
          <w:tcPr>
            <w:tcW w:w="69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3,122</w:t>
            </w:r>
          </w:p>
        </w:tc>
        <w:tc>
          <w:tcPr>
            <w:tcW w:w="206" w:type="dxa"/>
            <w:tcBorders/>
            <w:shd w:fill="auto" w:val="clear"/>
            <w:vAlign w:val="center"/>
          </w:tcPr>
          <w:p>
            <w:pPr>
              <w:pStyle w:val="TableContents"/>
              <w:spacing w:before="0" w:after="0"/>
              <w:ind w:left="0" w:right="0" w:hanging="0"/>
              <w:rPr/>
            </w:pPr>
            <w:r>
              <w:rPr/>
              <w:t>​</w:t>
            </w:r>
          </w:p>
        </w:tc>
        <w:tc>
          <w:tcPr>
            <w:tcW w:w="197" w:type="dxa"/>
            <w:tcBorders/>
            <w:shd w:fill="auto" w:val="clear"/>
            <w:vAlign w:val="center"/>
          </w:tcPr>
          <w:p>
            <w:pPr>
              <w:pStyle w:val="TableContents"/>
              <w:spacing w:before="0" w:after="0"/>
              <w:ind w:left="0" w:right="0" w:hanging="0"/>
              <w:rPr/>
            </w:pPr>
            <w:r>
              <w:rPr/>
              <w:t>​</w:t>
            </w:r>
          </w:p>
        </w:tc>
        <w:tc>
          <w:tcPr>
            <w:tcW w:w="74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3,122</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Unrealized gain from available-for-sale investments, net of tax</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1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shd w:fill="CCEEFF" w:val="clear"/>
            <w:vAlign w:val="center"/>
          </w:tcPr>
          <w:p>
            <w:pPr>
              <w:pStyle w:val="TableContents"/>
              <w:spacing w:before="0" w:after="0"/>
              <w:ind w:left="0" w:right="0" w:hanging="0"/>
              <w:rPr/>
            </w:pPr>
            <w:r>
              <w:rPr/>
              <w:t>​</w:t>
            </w:r>
          </w:p>
        </w:tc>
        <w:tc>
          <w:tcPr>
            <w:tcW w:w="69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206" w:type="dxa"/>
            <w:tcBorders/>
            <w:shd w:fill="CCEEFF" w:val="clear"/>
            <w:vAlign w:val="center"/>
          </w:tcPr>
          <w:p>
            <w:pPr>
              <w:pStyle w:val="TableContents"/>
              <w:spacing w:before="0" w:after="0"/>
              <w:ind w:left="0" w:right="0" w:hanging="0"/>
              <w:rPr/>
            </w:pPr>
            <w:r>
              <w:rPr/>
              <w:t>​</w:t>
            </w:r>
          </w:p>
        </w:tc>
        <w:tc>
          <w:tcPr>
            <w:tcW w:w="197" w:type="dxa"/>
            <w:tcBorders/>
            <w:shd w:fill="CCEEFF" w:val="clear"/>
            <w:vAlign w:val="center"/>
          </w:tcPr>
          <w:p>
            <w:pPr>
              <w:pStyle w:val="TableContents"/>
              <w:spacing w:before="0" w:after="0"/>
              <w:ind w:left="0" w:right="0" w:hanging="0"/>
              <w:rPr/>
            </w:pPr>
            <w:r>
              <w:rPr/>
              <w:t>​</w:t>
            </w:r>
          </w:p>
        </w:tc>
        <w:tc>
          <w:tcPr>
            <w:tcW w:w="745"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798"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loss</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1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(18,132)</w:t>
            </w:r>
          </w:p>
        </w:tc>
        <w:tc>
          <w:tcPr>
            <w:tcW w:w="20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(18,132)</w:t>
            </w:r>
          </w:p>
        </w:tc>
      </w:tr>
      <w:tr>
        <w:trPr/>
        <w:tc>
          <w:tcPr>
            <w:tcW w:w="1798"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March 31, 2023</w:t>
            </w:r>
          </w:p>
        </w:tc>
        <w:tc>
          <w:tcPr>
            <w:tcW w:w="206"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jc w:val="right"/>
              <w:rPr/>
            </w:pPr>
            <w:r>
              <w:rPr/>
              <w:t>​</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53,586</w:t>
            </w:r>
          </w:p>
        </w:tc>
        <w:tc>
          <w:tcPr>
            <w:tcW w:w="206" w:type="dxa"/>
            <w:tcBorders/>
            <w:shd w:fill="CCEEFF" w:val="clear"/>
            <w:vAlign w:val="center"/>
          </w:tcPr>
          <w:p>
            <w:pPr>
              <w:pStyle w:val="TableContents"/>
              <w:spacing w:before="0" w:after="0"/>
              <w:ind w:left="0" w:right="0" w:hanging="0"/>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w:t>
            </w:r>
          </w:p>
        </w:tc>
        <w:tc>
          <w:tcPr>
            <w:tcW w:w="206" w:type="dxa"/>
            <w:tcBorders/>
            <w:shd w:fill="CCEEFF" w:val="clear"/>
            <w:vAlign w:val="center"/>
          </w:tcPr>
          <w:p>
            <w:pPr>
              <w:pStyle w:val="TableContents"/>
              <w:spacing w:before="0" w:after="0"/>
              <w:ind w:left="0" w:right="0" w:hanging="0"/>
              <w:rPr/>
            </w:pPr>
            <w:r>
              <w:rPr/>
              <w:t>​</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97,718</w:t>
            </w:r>
          </w:p>
        </w:tc>
        <w:tc>
          <w:tcPr>
            <w:tcW w:w="206" w:type="dxa"/>
            <w:tcBorders/>
            <w:shd w:fill="CCEEFF" w:val="clear"/>
            <w:vAlign w:val="center"/>
          </w:tcPr>
          <w:p>
            <w:pPr>
              <w:pStyle w:val="TableContents"/>
              <w:spacing w:before="0" w:after="0"/>
              <w:ind w:left="0" w:right="0" w:hanging="0"/>
              <w:jc w:val="right"/>
              <w:rPr/>
            </w:pPr>
            <w:r>
              <w:rPr/>
              <w:t>​</w:t>
            </w:r>
          </w:p>
        </w:tc>
        <w:tc>
          <w:tcPr>
            <w:tcW w:w="2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253,566</w:t>
            </w:r>
          </w:p>
        </w:tc>
        <w:tc>
          <w:tcPr>
            <w:tcW w:w="206" w:type="dxa"/>
            <w:tcBorders/>
            <w:shd w:fill="CCEEFF" w:val="clear"/>
            <w:vAlign w:val="center"/>
          </w:tcPr>
          <w:p>
            <w:pPr>
              <w:pStyle w:val="TableContents"/>
              <w:spacing w:before="0" w:after="0"/>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(5,625)</w:t>
            </w:r>
          </w:p>
        </w:tc>
        <w:tc>
          <w:tcPr>
            <w:tcW w:w="206" w:type="dxa"/>
            <w:tcBorders/>
            <w:shd w:fill="CCEEFF" w:val="clear"/>
            <w:vAlign w:val="center"/>
          </w:tcPr>
          <w:p>
            <w:pPr>
              <w:pStyle w:val="TableContents"/>
              <w:spacing w:before="0" w:after="0"/>
              <w:ind w:left="0" w:right="0" w:hanging="0"/>
              <w:rPr/>
            </w:pPr>
            <w:r>
              <w:rPr/>
              <w:t>​</w:t>
            </w:r>
          </w:p>
        </w:tc>
        <w:tc>
          <w:tcPr>
            <w:tcW w:w="2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(24,617)</w:t>
            </w:r>
          </w:p>
        </w:tc>
        <w:tc>
          <w:tcPr>
            <w:tcW w:w="206" w:type="dxa"/>
            <w:tcBorders/>
            <w:shd w:fill="CCEEFF" w:val="clear"/>
            <w:vAlign w:val="center"/>
          </w:tcPr>
          <w:p>
            <w:pPr>
              <w:pStyle w:val="TableContents"/>
              <w:spacing w:before="0" w:after="0"/>
              <w:ind w:left="0" w:right="0" w:hanging="0"/>
              <w:rPr/>
            </w:pPr>
            <w:r>
              <w:rPr/>
              <w:t>​</w:t>
            </w:r>
          </w:p>
        </w:tc>
        <w:tc>
          <w:tcPr>
            <w:tcW w:w="19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45" w:type="dxa"/>
            <w:tcBorders>
              <w:bottom w:val="double" w:sz="6" w:space="0" w:color="000000"/>
            </w:tcBorders>
            <w:shd w:fill="CCEEFF" w:val="clear"/>
            <w:tcMar>
              <w:bottom w:w="28" w:type="dxa"/>
            </w:tcMar>
            <w:vAlign w:val="center"/>
          </w:tcPr>
          <w:p>
            <w:pPr>
              <w:pStyle w:val="TableContents"/>
              <w:spacing w:before="0" w:after="0"/>
              <w:ind w:left="0" w:right="50" w:hanging="0"/>
              <w:jc w:val="right"/>
              <w:rPr>
                <w:rFonts w:ascii="Times New Roman;Times;serif" w:hAnsi="Times New Roman;Times;serif"/>
                <w:sz w:val="14"/>
              </w:rPr>
            </w:pPr>
            <w:r>
              <w:rPr>
                <w:rFonts w:ascii="Times New Roman;Times;serif" w:hAnsi="Times New Roman;Times;serif"/>
                <w:sz w:val="14"/>
              </w:rPr>
              <w:t>223,475</w:t>
            </w:r>
          </w:p>
        </w:tc>
      </w:tr>
    </w:tbl>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pPr>
      <w:bookmarkStart w:id="639" w:name="_d25f7798_d591_4a83_bc0d_30a666fda4c0"/>
      <w:bookmarkEnd w:id="639"/>
      <w:r>
        <w:rPr/>
        <w:t>​</w:t>
      </w:r>
    </w:p>
    <w:p>
      <w:pPr>
        <w:pStyle w:val="Normal"/>
        <w:spacing w:before="0" w:after="0"/>
        <w:rPr>
          <w:sz w:val="4"/>
          <w:szCs w:val="4"/>
        </w:rPr>
      </w:pPr>
      <w:r>
        <w:rPr>
          <w:sz w:val="4"/>
          <w:szCs w:val="4"/>
        </w:rPr>
      </w:r>
      <w:bookmarkStart w:id="640" w:name="CondensedConsolidatedStatementsofCashFlo"/>
      <w:bookmarkStart w:id="641" w:name="CondensedConsolidatedStatementsofCashFlo"/>
      <w:bookmarkEnd w:id="641"/>
    </w:p>
    <w:tbl>
      <w:tblPr>
        <w:tblW w:w="4666" w:type="dxa"/>
        <w:jc w:val="left"/>
        <w:tblInd w:w="0" w:type="dxa"/>
        <w:tblCellMar>
          <w:top w:w="0" w:type="dxa"/>
          <w:left w:w="0" w:type="dxa"/>
          <w:bottom w:w="0" w:type="dxa"/>
          <w:right w:w="0" w:type="dxa"/>
        </w:tblCellMar>
      </w:tblPr>
      <w:tblGrid>
        <w:gridCol w:w="4666"/>
      </w:tblGrid>
      <w:tr>
        <w:trPr/>
        <w:tc>
          <w:tcPr>
            <w:tcW w:w="4666" w:type="dxa"/>
            <w:tcBorders/>
            <w:shd w:fill="auto" w:val="clear"/>
            <w:vAlign w:val="center"/>
          </w:tcPr>
          <w:p>
            <w:pPr>
              <w:pStyle w:val="TableContents"/>
              <w:spacing w:before="0" w:after="0"/>
              <w:ind w:left="0" w:right="0" w:hanging="0"/>
              <w:rPr/>
            </w:pPr>
            <w:r>
              <w:rPr/>
              <w:t>​</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b/>
                <w:sz w:val="20"/>
              </w:rPr>
              <w:t>Condensed Consolidated Statements of Cash Flows</w:t>
            </w:r>
            <w:r>
              <w:rPr>
                <w:rFonts w:ascii="Times New Roman;Times;serif" w:hAnsi="Times New Roman;Times;serif"/>
                <w:sz w:val="20"/>
              </w:rPr>
              <w:t xml:space="preserve"> </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For the three months ended March 31, 2023 and 2022</w:t>
            </w:r>
          </w:p>
        </w:tc>
      </w:tr>
      <w:tr>
        <w:trPr/>
        <w:tc>
          <w:tcPr>
            <w:tcW w:w="46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in thousands)</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642" w:name="Tc_e4y2yhC9uUOUXTLpqhazNw_52_4"/>
      <w:bookmarkStart w:id="643" w:name="Tc_wAR3llhjm0uhTwtNvXoyFA_52_1"/>
      <w:bookmarkStart w:id="644" w:name="Tc_ZGTUqiSxXki-5ylGYrcPCw_52_0"/>
      <w:bookmarkStart w:id="645" w:name="Tc_13Uu7svFrkyybDmNBCOuvg_51_0"/>
      <w:bookmarkStart w:id="646" w:name="Tc_eNuZT7-UjESr0V25icnCEQ_50_4"/>
      <w:bookmarkStart w:id="647" w:name="Tc_lj0OODDkw0uWRrwk8dZCVg_50_1"/>
      <w:bookmarkStart w:id="648" w:name="Tc_IbM5b-cN60iTzcn2ePVyQw_50_0"/>
      <w:bookmarkStart w:id="649" w:name="Tc_SsmvCWxILEuuhd59yltS8w_49_0"/>
      <w:bookmarkStart w:id="650" w:name="Tc_5FmJNzKHGUO1t0atDOU1PA_48_4"/>
      <w:bookmarkStart w:id="651" w:name="Tc_ri0cwvS4pEOLLJiCNPwuKQ_48_1"/>
      <w:bookmarkStart w:id="652" w:name="Tc_avol0D0fdUa3ZqAGj73pew_48_0"/>
      <w:bookmarkStart w:id="653" w:name="Tc_GgzRX9rQ1U2s_QOGtc8gSw_47_0"/>
      <w:bookmarkStart w:id="654" w:name="Tc_vlcHiGDZOkmPNFXiI8HBHg_46_0"/>
      <w:bookmarkStart w:id="655" w:name="Tc_REMnwIDOT06hdHgdBFmazA_45_0"/>
      <w:bookmarkStart w:id="656" w:name="Tc_B0fYjueDUkeCiVh43wVdpw_44_0"/>
      <w:bookmarkStart w:id="657" w:name="Tc_ilLelwiWEUiIfyBWu5BT5w_43_0"/>
      <w:bookmarkStart w:id="658" w:name="Tc_QWaeZ5zJ4UOSVRSsNeISAw_42_5"/>
      <w:bookmarkStart w:id="659" w:name="Tc_IPm_4OpFH0ukUw4-AsMDEA_42_0"/>
      <w:bookmarkStart w:id="660" w:name="Tc_2JF4MQq48UCDuk_V_p1dCA_41_2"/>
      <w:bookmarkStart w:id="661" w:name="Tc_QhlPP4-wz0OpiczG1roFxQ_41_0"/>
      <w:bookmarkStart w:id="662" w:name="Tc_m30ihfbNWku67HleLigIYA_40_0"/>
      <w:bookmarkStart w:id="663" w:name="Tc_u-BSBLFjtU-nY7CAh4aYsw_39_0"/>
      <w:bookmarkStart w:id="664" w:name="Tc_Exn4Fnen5EWmb8Exznv0Xw_38_2"/>
      <w:bookmarkStart w:id="665" w:name="Tc_OvVq9eVH40WtLXtJQwBiqg_38_0"/>
      <w:bookmarkStart w:id="666" w:name="Tc_rRkoqOHMZEm9r36HxWFHuw_37_5"/>
      <w:bookmarkStart w:id="667" w:name="Tc_5RfOMt5c6UmaHlnbN2BWuA_37_0"/>
      <w:bookmarkStart w:id="668" w:name="Tc_OoJNX9uMNEyR379Mvl4QXg_36_2"/>
      <w:bookmarkStart w:id="669" w:name="Tc_tgtjfU0hbUejpuYubMswwQ_36_0"/>
      <w:bookmarkStart w:id="670" w:name="Tc_MpPqRpkBrEG6MvBrn0BR2Q_35_0"/>
      <w:bookmarkStart w:id="671" w:name="Tc_h-Oehtpry0m0laWAGFS2jQ_34_0"/>
      <w:bookmarkStart w:id="672" w:name="Tc_-TMXmWl6VkK0wHCOGy2ImA_33_0"/>
      <w:bookmarkStart w:id="673" w:name="Tc_majyXN8gvkuiI1oe_UnrUg_32_5"/>
      <w:bookmarkStart w:id="674" w:name="Tc_j5j81U9iukmRIuSsC2zKjg_32_0"/>
      <w:bookmarkStart w:id="675" w:name="Tc_or6442dazU64fC_gT96qcw_31_5"/>
      <w:bookmarkStart w:id="676" w:name="Tc_NHeHt6tnE0evmKs-TD83TQ_31_0"/>
      <w:bookmarkStart w:id="677" w:name="Tc_9ZJRl8DmIk66Y05hxtgUGQ_30_0"/>
      <w:bookmarkStart w:id="678" w:name="Tc_jWejruAaQkOhvrzg7X-fLw_29_0"/>
      <w:bookmarkStart w:id="679" w:name="Tc_bOflbtVH3E-41AMytmB-IQ_28_2"/>
      <w:bookmarkStart w:id="680" w:name="Tc_s9Duq6uoc0m-GFdZ3M4Fhg_28_0"/>
      <w:bookmarkStart w:id="681" w:name="Tc_DHpEaE6ggkmKEzPbpEYEBw_27_0"/>
      <w:bookmarkStart w:id="682" w:name="Tc_D2JJ-iJCsU-wwOTpfKdhvA_26_0"/>
      <w:bookmarkStart w:id="683" w:name="Tc_uJs-hU1Lv02gCxz-ZhcYCg_25_0"/>
      <w:bookmarkStart w:id="684" w:name="Tc_ho-s0WnzXkmyfbGELAJxXA_24_0"/>
      <w:bookmarkStart w:id="685" w:name="Tc_qCZP8PW42EetJdfhFS5csA_23_0"/>
      <w:bookmarkStart w:id="686" w:name="Tc_3m2oGUtjhkaAR_P5IfdW_Q_22_0"/>
      <w:bookmarkStart w:id="687" w:name="Tc_q0xTnhGAL0qIW-9BGC3pRQ_21_0"/>
      <w:bookmarkStart w:id="688" w:name="Tc_y5t6jCK_mEut5GcsUpLaRQ_20_0"/>
      <w:bookmarkStart w:id="689" w:name="Tc_jWcZU5puOkOztj6537Rf5Q_19_0"/>
      <w:bookmarkStart w:id="690" w:name="Tc_PjlCvRn1oEebQIdmNpZU5Q_18_0"/>
      <w:bookmarkStart w:id="691" w:name="Tc_z5OvgTyguUiWhrZEoOvkwA_17_0"/>
      <w:bookmarkStart w:id="692" w:name="Tc_esTiqXPUDkK7zugF7aGxnw_16_0"/>
      <w:bookmarkStart w:id="693" w:name="Tc_WX1No1WooU6SjSLIUOhWog_15_0"/>
      <w:bookmarkStart w:id="694" w:name="Tc_gl_DrI0kSk6ygEluGNHN-A_14_0"/>
      <w:bookmarkStart w:id="695" w:name="Tc_tLPW5k_uiUCNB3pl4C1GRQ_13_0"/>
      <w:bookmarkStart w:id="696" w:name="Tc_Q31jQMTZhk-Kma04S3Fz_A_12_0"/>
      <w:bookmarkStart w:id="697" w:name="Tc_mxjAX_lSF0CMZTeaacyTDg_11_2"/>
      <w:bookmarkStart w:id="698" w:name="Tc_0Q8rNNKm4kGFfyNeD8Cv5w_11_0"/>
      <w:bookmarkStart w:id="699" w:name="Tc_BipT8PkCkku2n3wQ6YdDvw_10_0"/>
      <w:bookmarkStart w:id="700" w:name="Tc_m7WX3ekoj0ufja39IcUHkQ_9_0"/>
      <w:bookmarkStart w:id="701" w:name="Tc_eaUJ4cfLyk-BMhjON5OWTw_8_0"/>
      <w:bookmarkStart w:id="702" w:name="Tc_WgemNcoOMEmuLj-49MhjpQ_7_0"/>
      <w:bookmarkStart w:id="703" w:name="Tc_XDch_ZN_Uk6KtcneONhVMg_6_0"/>
      <w:bookmarkStart w:id="704" w:name="Tc_fAFcpzW-f02bIirUhNrUNA_5_4"/>
      <w:bookmarkStart w:id="705" w:name="Tc_igKkd8_XkEicjA87GOf4Yw_5_1"/>
      <w:bookmarkStart w:id="706" w:name="Tc_tG21_C_qc0qUpkUlbtRofw_5_0"/>
      <w:bookmarkStart w:id="707" w:name="Tc_fq72MBTcnUSVi6W3Eug5Hg_4_0"/>
      <w:bookmarkStart w:id="708" w:name="Tc_hIi0TkIQ7Ua3ufcZtFzCKQ_3_1"/>
      <w:bookmarkStart w:id="709" w:name="Tc_HWv6n8ibbk604sexER51WQ_2_4"/>
      <w:bookmarkStart w:id="710" w:name="Tc_ODAdjVo0GE6wcKWGqwyByA_2_1"/>
      <w:bookmarkStart w:id="711" w:name="Tc_nDFqyJj4Dkyyt7W1u0PJhw_1_1"/>
      <w:bookmarkStart w:id="712" w:name="_d23708cc_07e8_43bc_9d98_00249e25ce80"/>
      <w:bookmarkStart w:id="713" w:name="Tc_e4y2yhC9uUOUXTLpqhazNw_52_4"/>
      <w:bookmarkStart w:id="714" w:name="Tc_wAR3llhjm0uhTwtNvXoyFA_52_1"/>
      <w:bookmarkStart w:id="715" w:name="Tc_ZGTUqiSxXki-5ylGYrcPCw_52_0"/>
      <w:bookmarkStart w:id="716" w:name="Tc_13Uu7svFrkyybDmNBCOuvg_51_0"/>
      <w:bookmarkStart w:id="717" w:name="Tc_eNuZT7-UjESr0V25icnCEQ_50_4"/>
      <w:bookmarkStart w:id="718" w:name="Tc_lj0OODDkw0uWRrwk8dZCVg_50_1"/>
      <w:bookmarkStart w:id="719" w:name="Tc_IbM5b-cN60iTzcn2ePVyQw_50_0"/>
      <w:bookmarkStart w:id="720" w:name="Tc_SsmvCWxILEuuhd59yltS8w_49_0"/>
      <w:bookmarkStart w:id="721" w:name="Tc_5FmJNzKHGUO1t0atDOU1PA_48_4"/>
      <w:bookmarkStart w:id="722" w:name="Tc_ri0cwvS4pEOLLJiCNPwuKQ_48_1"/>
      <w:bookmarkStart w:id="723" w:name="Tc_avol0D0fdUa3ZqAGj73pew_48_0"/>
      <w:bookmarkStart w:id="724" w:name="Tc_GgzRX9rQ1U2s_QOGtc8gSw_47_0"/>
      <w:bookmarkStart w:id="725" w:name="Tc_vlcHiGDZOkmPNFXiI8HBHg_46_0"/>
      <w:bookmarkStart w:id="726" w:name="Tc_REMnwIDOT06hdHgdBFmazA_45_0"/>
      <w:bookmarkStart w:id="727" w:name="Tc_B0fYjueDUkeCiVh43wVdpw_44_0"/>
      <w:bookmarkStart w:id="728" w:name="Tc_ilLelwiWEUiIfyBWu5BT5w_43_0"/>
      <w:bookmarkStart w:id="729" w:name="Tc_QWaeZ5zJ4UOSVRSsNeISAw_42_5"/>
      <w:bookmarkStart w:id="730" w:name="Tc_IPm_4OpFH0ukUw4-AsMDEA_42_0"/>
      <w:bookmarkStart w:id="731" w:name="Tc_2JF4MQq48UCDuk_V_p1dCA_41_2"/>
      <w:bookmarkStart w:id="732" w:name="Tc_QhlPP4-wz0OpiczG1roFxQ_41_0"/>
      <w:bookmarkStart w:id="733" w:name="Tc_m30ihfbNWku67HleLigIYA_40_0"/>
      <w:bookmarkStart w:id="734" w:name="Tc_u-BSBLFjtU-nY7CAh4aYsw_39_0"/>
      <w:bookmarkStart w:id="735" w:name="Tc_Exn4Fnen5EWmb8Exznv0Xw_38_2"/>
      <w:bookmarkStart w:id="736" w:name="Tc_OvVq9eVH40WtLXtJQwBiqg_38_0"/>
      <w:bookmarkStart w:id="737" w:name="Tc_rRkoqOHMZEm9r36HxWFHuw_37_5"/>
      <w:bookmarkStart w:id="738" w:name="Tc_5RfOMt5c6UmaHlnbN2BWuA_37_0"/>
      <w:bookmarkStart w:id="739" w:name="Tc_OoJNX9uMNEyR379Mvl4QXg_36_2"/>
      <w:bookmarkStart w:id="740" w:name="Tc_tgtjfU0hbUejpuYubMswwQ_36_0"/>
      <w:bookmarkStart w:id="741" w:name="Tc_MpPqRpkBrEG6MvBrn0BR2Q_35_0"/>
      <w:bookmarkStart w:id="742" w:name="Tc_h-Oehtpry0m0laWAGFS2jQ_34_0"/>
      <w:bookmarkStart w:id="743" w:name="Tc_-TMXmWl6VkK0wHCOGy2ImA_33_0"/>
      <w:bookmarkStart w:id="744" w:name="Tc_majyXN8gvkuiI1oe_UnrUg_32_5"/>
      <w:bookmarkStart w:id="745" w:name="Tc_j5j81U9iukmRIuSsC2zKjg_32_0"/>
      <w:bookmarkStart w:id="746" w:name="Tc_or6442dazU64fC_gT96qcw_31_5"/>
      <w:bookmarkStart w:id="747" w:name="Tc_NHeHt6tnE0evmKs-TD83TQ_31_0"/>
      <w:bookmarkStart w:id="748" w:name="Tc_9ZJRl8DmIk66Y05hxtgUGQ_30_0"/>
      <w:bookmarkStart w:id="749" w:name="Tc_jWejruAaQkOhvrzg7X-fLw_29_0"/>
      <w:bookmarkStart w:id="750" w:name="Tc_bOflbtVH3E-41AMytmB-IQ_28_2"/>
      <w:bookmarkStart w:id="751" w:name="Tc_s9Duq6uoc0m-GFdZ3M4Fhg_28_0"/>
      <w:bookmarkStart w:id="752" w:name="Tc_DHpEaE6ggkmKEzPbpEYEBw_27_0"/>
      <w:bookmarkStart w:id="753" w:name="Tc_D2JJ-iJCsU-wwOTpfKdhvA_26_0"/>
      <w:bookmarkStart w:id="754" w:name="Tc_uJs-hU1Lv02gCxz-ZhcYCg_25_0"/>
      <w:bookmarkStart w:id="755" w:name="Tc_ho-s0WnzXkmyfbGELAJxXA_24_0"/>
      <w:bookmarkStart w:id="756" w:name="Tc_qCZP8PW42EetJdfhFS5csA_23_0"/>
      <w:bookmarkStart w:id="757" w:name="Tc_3m2oGUtjhkaAR_P5IfdW_Q_22_0"/>
      <w:bookmarkStart w:id="758" w:name="Tc_q0xTnhGAL0qIW-9BGC3pRQ_21_0"/>
      <w:bookmarkStart w:id="759" w:name="Tc_y5t6jCK_mEut5GcsUpLaRQ_20_0"/>
      <w:bookmarkStart w:id="760" w:name="Tc_jWcZU5puOkOztj6537Rf5Q_19_0"/>
      <w:bookmarkStart w:id="761" w:name="Tc_PjlCvRn1oEebQIdmNpZU5Q_18_0"/>
      <w:bookmarkStart w:id="762" w:name="Tc_z5OvgTyguUiWhrZEoOvkwA_17_0"/>
      <w:bookmarkStart w:id="763" w:name="Tc_esTiqXPUDkK7zugF7aGxnw_16_0"/>
      <w:bookmarkStart w:id="764" w:name="Tc_WX1No1WooU6SjSLIUOhWog_15_0"/>
      <w:bookmarkStart w:id="765" w:name="Tc_gl_DrI0kSk6ygEluGNHN-A_14_0"/>
      <w:bookmarkStart w:id="766" w:name="Tc_tLPW5k_uiUCNB3pl4C1GRQ_13_0"/>
      <w:bookmarkStart w:id="767" w:name="Tc_Q31jQMTZhk-Kma04S3Fz_A_12_0"/>
      <w:bookmarkStart w:id="768" w:name="Tc_mxjAX_lSF0CMZTeaacyTDg_11_2"/>
      <w:bookmarkStart w:id="769" w:name="Tc_0Q8rNNKm4kGFfyNeD8Cv5w_11_0"/>
      <w:bookmarkStart w:id="770" w:name="Tc_BipT8PkCkku2n3wQ6YdDvw_10_0"/>
      <w:bookmarkStart w:id="771" w:name="Tc_m7WX3ekoj0ufja39IcUHkQ_9_0"/>
      <w:bookmarkStart w:id="772" w:name="Tc_eaUJ4cfLyk-BMhjON5OWTw_8_0"/>
      <w:bookmarkStart w:id="773" w:name="Tc_WgemNcoOMEmuLj-49MhjpQ_7_0"/>
      <w:bookmarkStart w:id="774" w:name="Tc_XDch_ZN_Uk6KtcneONhVMg_6_0"/>
      <w:bookmarkStart w:id="775" w:name="Tc_fAFcpzW-f02bIirUhNrUNA_5_4"/>
      <w:bookmarkStart w:id="776" w:name="Tc_igKkd8_XkEicjA87GOf4Yw_5_1"/>
      <w:bookmarkStart w:id="777" w:name="Tc_tG21_C_qc0qUpkUlbtRofw_5_0"/>
      <w:bookmarkStart w:id="778" w:name="Tc_fq72MBTcnUSVi6W3Eug5Hg_4_0"/>
      <w:bookmarkStart w:id="779" w:name="Tc_hIi0TkIQ7Ua3ufcZtFzCKQ_3_1"/>
      <w:bookmarkStart w:id="780" w:name="Tc_HWv6n8ibbk604sexER51WQ_2_4"/>
      <w:bookmarkStart w:id="781" w:name="Tc_ODAdjVo0GE6wcKWGqwyByA_2_1"/>
      <w:bookmarkStart w:id="782" w:name="Tc_nDFqyJj4Dkyyt7W1u0PJhw_1_1"/>
      <w:bookmarkStart w:id="783" w:name="_d23708cc_07e8_43bc_9d98_00249e25ce80"/>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tbl>
      <w:tblPr>
        <w:tblW w:w="10205" w:type="dxa"/>
        <w:jc w:val="left"/>
        <w:tblInd w:w="0" w:type="dxa"/>
        <w:tblCellMar>
          <w:top w:w="0" w:type="dxa"/>
          <w:left w:w="0" w:type="dxa"/>
          <w:bottom w:w="0" w:type="dxa"/>
          <w:right w:w="0" w:type="dxa"/>
        </w:tblCellMar>
      </w:tblPr>
      <w:tblGrid>
        <w:gridCol w:w="7485"/>
        <w:gridCol w:w="238"/>
        <w:gridCol w:w="874"/>
        <w:gridCol w:w="397"/>
        <w:gridCol w:w="238"/>
        <w:gridCol w:w="973"/>
      </w:tblGrid>
      <w:tr>
        <w:trPr/>
        <w:tc>
          <w:tcPr>
            <w:tcW w:w="74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752975" cy="175260"/>
                      <wp:effectExtent l="0" t="0" r="0" b="0"/>
                      <wp:wrapNone/>
                      <wp:docPr id="38" name="Frame38"/>
                      <a:graphic xmlns:a="http://schemas.openxmlformats.org/drawingml/2006/main">
                        <a:graphicData uri="http://schemas.microsoft.com/office/word/2010/wordprocessingShape">
                          <wps:wsp>
                            <wps:cNvSpPr txBox="1"/>
                            <wps:spPr>
                              <a:xfrm>
                                <a:off x="0" y="0"/>
                                <a:ext cx="4752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1130" cy="175260"/>
                      <wp:effectExtent l="0" t="0" r="0" b="0"/>
                      <wp:wrapNone/>
                      <wp:docPr id="39" name="Frame39"/>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54990" cy="175260"/>
                      <wp:effectExtent l="0" t="0" r="0" b="0"/>
                      <wp:wrapNone/>
                      <wp:docPr id="40" name="Frame40"/>
                      <a:graphic xmlns:a="http://schemas.openxmlformats.org/drawingml/2006/main">
                        <a:graphicData uri="http://schemas.microsoft.com/office/word/2010/wordprocessingShape">
                          <wps:wsp>
                            <wps:cNvSpPr txBox="1"/>
                            <wps:spPr>
                              <a:xfrm>
                                <a:off x="0" y="0"/>
                                <a:ext cx="554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52095" cy="175260"/>
                      <wp:effectExtent l="0" t="0" r="0" b="0"/>
                      <wp:wrapNone/>
                      <wp:docPr id="41" name="Frame41"/>
                      <a:graphic xmlns:a="http://schemas.openxmlformats.org/drawingml/2006/main">
                        <a:graphicData uri="http://schemas.microsoft.com/office/word/2010/wordprocessingShape">
                          <wps:wsp>
                            <wps:cNvSpPr txBox="1"/>
                            <wps:spPr>
                              <a:xfrm>
                                <a:off x="0" y="0"/>
                                <a:ext cx="252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1130" cy="175260"/>
                      <wp:effectExtent l="0" t="0" r="0" b="0"/>
                      <wp:wrapNone/>
                      <wp:docPr id="42" name="Frame42"/>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17855" cy="175260"/>
                      <wp:effectExtent l="0" t="0" r="0" b="0"/>
                      <wp:wrapNone/>
                      <wp:docPr id="43" name="Frame43"/>
                      <a:graphic xmlns:a="http://schemas.openxmlformats.org/drawingml/2006/main">
                        <a:graphicData uri="http://schemas.microsoft.com/office/word/2010/wordprocessingShape">
                          <wps:wsp>
                            <wps:cNvSpPr txBox="1"/>
                            <wps:spPr>
                              <a:xfrm>
                                <a:off x="0" y="0"/>
                                <a:ext cx="6178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485" w:type="dxa"/>
            <w:tcBorders/>
            <w:shd w:fill="auto" w:val="clear"/>
            <w:vAlign w:val="center"/>
          </w:tcPr>
          <w:p>
            <w:pPr>
              <w:pStyle w:val="TableContents"/>
              <w:spacing w:before="0" w:after="1"/>
              <w:ind w:left="0" w:right="0" w:hanging="0"/>
              <w:rPr/>
            </w:pPr>
            <w:r>
              <w:rPr/>
              <w:t>​</w:t>
            </w:r>
          </w:p>
        </w:tc>
        <w:tc>
          <w:tcPr>
            <w:tcW w:w="27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7485" w:type="dxa"/>
            <w:tcBorders/>
            <w:shd w:fill="auto" w:val="clear"/>
            <w:vAlign w:val="center"/>
          </w:tcPr>
          <w:p>
            <w:pPr>
              <w:pStyle w:val="TableContents"/>
              <w:spacing w:before="0" w:after="1"/>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97" w:type="dxa"/>
            <w:tcBorders/>
            <w:shd w:fill="auto" w:val="clear"/>
            <w:vAlign w:val="center"/>
          </w:tcPr>
          <w:p>
            <w:pPr>
              <w:pStyle w:val="TableContents"/>
              <w:spacing w:before="0" w:after="1"/>
              <w:ind w:left="0" w:right="0" w:hanging="0"/>
              <w:rPr/>
            </w:pPr>
            <w:r>
              <w:rPr/>
              <w:t>    </w:t>
            </w:r>
          </w:p>
        </w:tc>
        <w:tc>
          <w:tcPr>
            <w:tcW w:w="12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10205"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7485" w:type="dxa"/>
            <w:tcBorders/>
            <w:shd w:fill="auto" w:val="clear"/>
            <w:vAlign w:val="center"/>
          </w:tcPr>
          <w:p>
            <w:pPr>
              <w:pStyle w:val="TableContents"/>
              <w:spacing w:before="0" w:after="1"/>
              <w:ind w:left="0" w:right="0" w:hanging="0"/>
              <w:rPr/>
            </w:pPr>
            <w:r>
              <w:rPr/>
              <w:t>​</w:t>
            </w:r>
          </w:p>
        </w:tc>
        <w:tc>
          <w:tcPr>
            <w:tcW w:w="272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7485"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operating activities:</w:t>
            </w:r>
          </w:p>
        </w:tc>
        <w:tc>
          <w:tcPr>
            <w:tcW w:w="238"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pPr>
            <w:r>
              <w:rPr/>
              <w:t>  </w:t>
            </w:r>
          </w:p>
        </w:tc>
        <w:tc>
          <w:tcPr>
            <w:tcW w:w="397" w:type="dxa"/>
            <w:tcBorders/>
            <w:shd w:fill="CCEEFF" w:val="clear"/>
            <w:vAlign w:val="center"/>
          </w:tcPr>
          <w:p>
            <w:pPr>
              <w:pStyle w:val="TableContents"/>
              <w:spacing w:before="0" w:after="1"/>
              <w:ind w:left="0" w:right="0" w:hanging="0"/>
              <w:rPr/>
            </w:pPr>
            <w:r>
              <w:rPr/>
              <w:t> </w:t>
            </w:r>
          </w:p>
        </w:tc>
        <w:tc>
          <w:tcPr>
            <w:tcW w:w="238" w:type="dxa"/>
            <w:tcBorders/>
            <w:shd w:fill="CCEEFF" w:val="clear"/>
            <w:vAlign w:val="center"/>
          </w:tcPr>
          <w:p>
            <w:pPr>
              <w:pStyle w:val="TableContents"/>
              <w:spacing w:before="0" w:after="1"/>
              <w:ind w:left="0" w:right="0" w:hanging="0"/>
              <w:rPr/>
            </w:pPr>
            <w:r>
              <w:rPr/>
              <w:t>​</w:t>
            </w:r>
          </w:p>
        </w:tc>
        <w:tc>
          <w:tcPr>
            <w:tcW w:w="973" w:type="dxa"/>
            <w:tcBorders/>
            <w:shd w:fill="CCEEFF" w:val="clear"/>
            <w:vAlign w:val="center"/>
          </w:tcPr>
          <w:p>
            <w:pPr>
              <w:pStyle w:val="TableContents"/>
              <w:spacing w:before="0" w:after="1"/>
              <w:ind w:left="0" w:right="0" w:hanging="0"/>
              <w:jc w:val="right"/>
              <w:rPr/>
            </w:pPr>
            <w:r>
              <w:rPr/>
              <w:t>  </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loss</w:t>
            </w:r>
          </w:p>
        </w:tc>
        <w:tc>
          <w:tcPr>
            <w:tcW w:w="238"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(18,132)</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(334)</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pPr>
            <w:r>
              <w:rPr/>
              <w:t>​</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pPr>
            <w:r>
              <w:rPr/>
              <w:t>  </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16,942</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12,906</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Provision for subscription cancellations and non-renewals, net of deferred allowance</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697</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(279)</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Amortization of deferred financing costs</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53</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Change in fair value of contingent consideration liability</w:t>
            </w:r>
          </w:p>
        </w:tc>
        <w:tc>
          <w:tcPr>
            <w:tcW w:w="238"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200</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700</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Write-off of deferred financing costs</w:t>
            </w:r>
          </w:p>
        </w:tc>
        <w:tc>
          <w:tcPr>
            <w:tcW w:w="238" w:type="dxa"/>
            <w:tcBorders/>
            <w:shd w:fill="auto" w:val="clear"/>
            <w:vAlign w:val="center"/>
          </w:tcPr>
          <w:p>
            <w:pPr>
              <w:pStyle w:val="TableContents"/>
              <w:spacing w:before="0" w:after="1"/>
              <w:ind w:left="0" w:right="0" w:hanging="0"/>
              <w:rPr/>
            </w:pPr>
            <w:r>
              <w:rPr/>
              <w:t>​</w:t>
            </w:r>
          </w:p>
        </w:tc>
        <w:tc>
          <w:tcPr>
            <w:tcW w:w="874" w:type="dxa"/>
            <w:tcBorders/>
            <w:shd w:fill="auto" w:val="clear"/>
            <w:vAlign w:val="center"/>
          </w:tcPr>
          <w:p>
            <w:pPr>
              <w:pStyle w:val="TableContents"/>
              <w:spacing w:before="0" w:after="1"/>
              <w:ind w:left="0" w:right="0" w:hanging="0"/>
              <w:jc w:val="right"/>
              <w:rPr/>
            </w:pPr>
            <w:r>
              <w:rPr/>
              <w:t>—</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372</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11,434</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4,933</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income tax (benefit) expense</w:t>
            </w:r>
          </w:p>
        </w:tc>
        <w:tc>
          <w:tcPr>
            <w:tcW w:w="238" w:type="dxa"/>
            <w:tcBorders/>
            <w:shd w:fill="auto" w:val="clear"/>
            <w:vAlign w:val="center"/>
          </w:tcPr>
          <w:p>
            <w:pPr>
              <w:pStyle w:val="TableContents"/>
              <w:spacing w:before="0" w:after="1"/>
              <w:ind w:left="0" w:right="0" w:hanging="0"/>
              <w:rPr/>
            </w:pPr>
            <w:r>
              <w:rPr/>
              <w:t>​</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(12,984)</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Non-cash operating lease costs</w:t>
            </w:r>
          </w:p>
        </w:tc>
        <w:tc>
          <w:tcPr>
            <w:tcW w:w="238"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726</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622</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Changes in operating assets and liabilities:</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pPr>
            <w:r>
              <w:rPr/>
              <w:t>​</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pPr>
            <w:r>
              <w:rPr/>
              <w:t>  </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Accounts receivable</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(795)</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2,688</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Prepaid expenses and other current assets</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(2,109)</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(1,091)</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commissions</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(459)</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875</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Accounts payable</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3,065</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1,555</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Accrued expenses</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17,578</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3,806</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Accrued and deferred compensation</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(12,452)</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(19,254)</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revenue</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4,352</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(3,718)</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Operating lease liabilities</w:t>
            </w:r>
          </w:p>
        </w:tc>
        <w:tc>
          <w:tcPr>
            <w:tcW w:w="238"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(1,309)</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(763)</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97"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(950)</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cash provided by operating activities</w:t>
            </w:r>
          </w:p>
        </w:tc>
        <w:tc>
          <w:tcPr>
            <w:tcW w:w="23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6,755</w:t>
            </w:r>
          </w:p>
        </w:tc>
        <w:tc>
          <w:tcPr>
            <w:tcW w:w="397" w:type="dxa"/>
            <w:tcBorders/>
            <w:shd w:fill="CCEEFF" w:val="clear"/>
            <w:vAlign w:val="center"/>
          </w:tcPr>
          <w:p>
            <w:pPr>
              <w:pStyle w:val="TableContents"/>
              <w:spacing w:before="0" w:after="1"/>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7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2,595</w:t>
            </w:r>
          </w:p>
        </w:tc>
      </w:tr>
      <w:tr>
        <w:trPr/>
        <w:tc>
          <w:tcPr>
            <w:tcW w:w="7485"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investing activities:</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pPr>
            <w:r>
              <w:rPr/>
              <w:t>  </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pPr>
            <w:r>
              <w:rPr/>
              <w:t>  </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Acquisition of business, net of cash acquired</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pPr>
            <w:r>
              <w:rPr/>
              <w:t>—</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(474)</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Property and equipment additions</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(13,313)</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(13,873)</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Capitalized software additions</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(4,007)</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(2,912)</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Purchase of investment securities, available-for-sale</w:t>
            </w:r>
          </w:p>
        </w:tc>
        <w:tc>
          <w:tcPr>
            <w:tcW w:w="238" w:type="dxa"/>
            <w:tcBorders/>
            <w:shd w:fill="auto" w:val="clear"/>
            <w:vAlign w:val="center"/>
          </w:tcPr>
          <w:p>
            <w:pPr>
              <w:pStyle w:val="TableContents"/>
              <w:spacing w:before="0" w:after="1"/>
              <w:ind w:left="0" w:right="0" w:hanging="0"/>
              <w:rPr/>
            </w:pPr>
            <w:r>
              <w:rPr/>
              <w:t>​</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(3,491)</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w:t>
            </w:r>
          </w:p>
        </w:tc>
        <w:tc>
          <w:tcPr>
            <w:tcW w:w="973" w:type="dxa"/>
            <w:tcBorders/>
            <w:shd w:fill="auto" w:val="clear"/>
            <w:vAlign w:val="center"/>
          </w:tcPr>
          <w:p>
            <w:pPr>
              <w:pStyle w:val="TableContents"/>
              <w:spacing w:before="0" w:after="1"/>
              <w:ind w:left="0" w:right="0" w:hanging="0"/>
              <w:jc w:val="right"/>
              <w:rPr/>
            </w:pPr>
            <w:r>
              <w:rPr/>
              <w:t>—</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Proceeds from maturities of investment securities, available-for-sale</w:t>
            </w:r>
          </w:p>
        </w:tc>
        <w:tc>
          <w:tcPr>
            <w:tcW w:w="238"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7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3,250</w:t>
            </w:r>
          </w:p>
        </w:tc>
        <w:tc>
          <w:tcPr>
            <w:tcW w:w="397" w:type="dxa"/>
            <w:tcBorders/>
            <w:shd w:fill="CCEEFF" w:val="clear"/>
            <w:vAlign w:val="center"/>
          </w:tcPr>
          <w:p>
            <w:pPr>
              <w:pStyle w:val="TableContents"/>
              <w:spacing w:before="0" w:after="1"/>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7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cash used in investing activities</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(17,561)</w:t>
            </w:r>
          </w:p>
        </w:tc>
        <w:tc>
          <w:tcPr>
            <w:tcW w:w="397"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(17,259)</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Cash flows from financing activities:</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pPr>
            <w:r>
              <w:rPr/>
              <w:t>  </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pPr>
            <w:r>
              <w:rPr/>
              <w:t>  </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increase in customer funds obligations</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10,989</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1,046</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Proceeds from term loan</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pPr>
            <w:r>
              <w:rPr/>
              <w:t>—</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Principal payments on long-term debt</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(313)</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pPr>
            <w:r>
              <w:rPr/>
              <w:t>—</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Payments for deferred financing costs</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pPr>
            <w:r>
              <w:rPr/>
              <w:t>—</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(993)</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Payments for taxes related to net share settlement of stock-based awards</w:t>
            </w:r>
          </w:p>
        </w:tc>
        <w:tc>
          <w:tcPr>
            <w:tcW w:w="238" w:type="dxa"/>
            <w:tcBorders/>
            <w:shd w:fill="auto" w:val="clear"/>
            <w:vAlign w:val="center"/>
          </w:tcPr>
          <w:p>
            <w:pPr>
              <w:pStyle w:val="TableContents"/>
              <w:spacing w:before="0" w:after="1"/>
              <w:ind w:left="0" w:right="0" w:hanging="0"/>
              <w:rPr/>
            </w:pPr>
            <w:r>
              <w:rPr/>
              <w:t>​</w:t>
            </w:r>
          </w:p>
        </w:tc>
        <w:tc>
          <w:tcPr>
            <w:tcW w:w="874"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(3,681)</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(337)</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Proceeds from exercise of stock options</w:t>
            </w:r>
          </w:p>
        </w:tc>
        <w:tc>
          <w:tcPr>
            <w:tcW w:w="238"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1,490</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 </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600</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Distributions under Tax Sharing Agreement</w:t>
            </w:r>
          </w:p>
        </w:tc>
        <w:tc>
          <w:tcPr>
            <w:tcW w:w="238" w:type="dxa"/>
            <w:tcBorders/>
            <w:shd w:fill="auto" w:val="clear"/>
            <w:vAlign w:val="center"/>
          </w:tcPr>
          <w:p>
            <w:pPr>
              <w:pStyle w:val="TableContents"/>
              <w:spacing w:before="0" w:after="1"/>
              <w:ind w:left="0" w:right="0" w:hanging="0"/>
              <w:rPr/>
            </w:pPr>
            <w:r>
              <w:rPr/>
              <w:t>​</w:t>
            </w:r>
          </w:p>
        </w:tc>
        <w:tc>
          <w:tcPr>
            <w:tcW w:w="874" w:type="dxa"/>
            <w:tcBorders/>
            <w:shd w:fill="auto" w:val="clear"/>
            <w:vAlign w:val="center"/>
          </w:tcPr>
          <w:p>
            <w:pPr>
              <w:pStyle w:val="TableContents"/>
              <w:spacing w:before="0" w:after="1"/>
              <w:ind w:left="0" w:right="0" w:hanging="0"/>
              <w:jc w:val="right"/>
              <w:rPr/>
            </w:pPr>
            <w:r>
              <w:rPr/>
              <w:t>—</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w:t>
            </w:r>
          </w:p>
        </w:tc>
        <w:tc>
          <w:tcPr>
            <w:tcW w:w="973"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(536)</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Payments of finance lease liabilities</w:t>
            </w:r>
          </w:p>
        </w:tc>
        <w:tc>
          <w:tcPr>
            <w:tcW w:w="238"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73" w:type="dxa"/>
            <w:tcBorders/>
            <w:shd w:fill="CCEEFF" w:val="clear"/>
            <w:vAlign w:val="center"/>
          </w:tcPr>
          <w:p>
            <w:pPr>
              <w:pStyle w:val="TableContents"/>
              <w:spacing w:before="0" w:after="1"/>
              <w:ind w:left="0" w:right="0" w:hanging="0"/>
              <w:jc w:val="right"/>
              <w:rPr/>
            </w:pPr>
            <w:r>
              <w:rPr/>
              <w:t>—</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Payments for deferred purchase commitments</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97"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cash (used in) provided by financing activities</w:t>
            </w:r>
          </w:p>
        </w:tc>
        <w:tc>
          <w:tcPr>
            <w:tcW w:w="23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(1,531)</w:t>
            </w:r>
          </w:p>
        </w:tc>
        <w:tc>
          <w:tcPr>
            <w:tcW w:w="397" w:type="dxa"/>
            <w:tcBorders/>
            <w:shd w:fill="CCEEFF" w:val="clear"/>
            <w:vAlign w:val="center"/>
          </w:tcPr>
          <w:p>
            <w:pPr>
              <w:pStyle w:val="TableContents"/>
              <w:spacing w:before="0" w:after="1"/>
              <w:ind w:left="0" w:right="0" w:hanging="0"/>
              <w:rPr/>
            </w:pPr>
            <w:r>
              <w:rPr/>
              <w:t>​</w:t>
            </w:r>
          </w:p>
        </w:tc>
        <w:tc>
          <w:tcPr>
            <w:tcW w:w="23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7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39,780</w:t>
            </w:r>
          </w:p>
        </w:tc>
      </w:tr>
      <w:tr>
        <w:trPr/>
        <w:tc>
          <w:tcPr>
            <w:tcW w:w="7485"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204</w:t>
            </w:r>
          </w:p>
        </w:tc>
        <w:tc>
          <w:tcPr>
            <w:tcW w:w="397"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(83)</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(decrease) increase in cash, cash equivalents and restricted cash</w:t>
            </w:r>
          </w:p>
        </w:tc>
        <w:tc>
          <w:tcPr>
            <w:tcW w:w="238" w:type="dxa"/>
            <w:tcBorders/>
            <w:shd w:fill="CCEEFF" w:val="clear"/>
            <w:vAlign w:val="center"/>
          </w:tcPr>
          <w:p>
            <w:pPr>
              <w:pStyle w:val="TableContents"/>
              <w:spacing w:before="0" w:after="1"/>
              <w:ind w:left="0" w:right="0" w:hanging="0"/>
              <w:rPr/>
            </w:pPr>
            <w:r>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(12,133)</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pPr>
            <w:r>
              <w:rPr/>
              <w:t>​</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25,033</w:t>
            </w:r>
          </w:p>
        </w:tc>
      </w:tr>
      <w:tr>
        <w:trPr/>
        <w:tc>
          <w:tcPr>
            <w:tcW w:w="7485"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Cash, cash equivalents and restricted cash, beginning of period</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106,748</w:t>
            </w:r>
          </w:p>
        </w:tc>
        <w:tc>
          <w:tcPr>
            <w:tcW w:w="397"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98,206</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Cash, cash equivalents and restricted cash, end of period</w:t>
            </w:r>
          </w:p>
        </w:tc>
        <w:tc>
          <w:tcPr>
            <w:tcW w:w="23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94,615</w:t>
            </w:r>
          </w:p>
        </w:tc>
        <w:tc>
          <w:tcPr>
            <w:tcW w:w="397" w:type="dxa"/>
            <w:tcBorders/>
            <w:shd w:fill="CCEEFF" w:val="clear"/>
            <w:vAlign w:val="center"/>
          </w:tcPr>
          <w:p>
            <w:pPr>
              <w:pStyle w:val="TableContents"/>
              <w:spacing w:before="0" w:after="1"/>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123,239</w:t>
            </w:r>
          </w:p>
        </w:tc>
      </w:tr>
      <w:tr>
        <w:trPr/>
        <w:tc>
          <w:tcPr>
            <w:tcW w:w="7485"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Reconciliation of cash, cash equivalents and restricted cash to the Condensed Consolidated Balance Sheets, end of period:</w:t>
            </w:r>
          </w:p>
        </w:tc>
        <w:tc>
          <w:tcPr>
            <w:tcW w:w="238"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pPr>
            <w:r>
              <w:rPr/>
              <w:t>  </w:t>
            </w:r>
          </w:p>
        </w:tc>
        <w:tc>
          <w:tcPr>
            <w:tcW w:w="397" w:type="dxa"/>
            <w:tcBorders/>
            <w:shd w:fill="auto" w:val="clear"/>
            <w:vAlign w:val="center"/>
          </w:tcPr>
          <w:p>
            <w:pPr>
              <w:pStyle w:val="TableContents"/>
              <w:spacing w:before="0" w:after="1"/>
              <w:ind w:left="0" w:right="0" w:hanging="0"/>
              <w:rPr/>
            </w:pPr>
            <w:r>
              <w:rPr/>
              <w:t>​</w:t>
            </w:r>
          </w:p>
        </w:tc>
        <w:tc>
          <w:tcPr>
            <w:tcW w:w="238" w:type="dxa"/>
            <w:tcBorders/>
            <w:shd w:fill="auto" w:val="clear"/>
            <w:vAlign w:val="center"/>
          </w:tcPr>
          <w:p>
            <w:pPr>
              <w:pStyle w:val="TableContents"/>
              <w:spacing w:before="0" w:after="1"/>
              <w:ind w:left="0" w:right="0" w:hanging="0"/>
              <w:rPr/>
            </w:pPr>
            <w:r>
              <w:rPr/>
              <w:t> </w:t>
            </w:r>
          </w:p>
        </w:tc>
        <w:tc>
          <w:tcPr>
            <w:tcW w:w="973" w:type="dxa"/>
            <w:tcBorders/>
            <w:shd w:fill="auto" w:val="clear"/>
            <w:vAlign w:val="center"/>
          </w:tcPr>
          <w:p>
            <w:pPr>
              <w:pStyle w:val="TableContents"/>
              <w:spacing w:before="0" w:after="1"/>
              <w:ind w:left="0" w:right="0" w:hanging="0"/>
              <w:jc w:val="right"/>
              <w:rPr/>
            </w:pPr>
            <w:r>
              <w:rPr/>
              <w:t>  </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238"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68,643</w:t>
            </w:r>
          </w:p>
        </w:tc>
        <w:tc>
          <w:tcPr>
            <w:tcW w:w="397" w:type="dxa"/>
            <w:tcBorders/>
            <w:shd w:fill="CCEEFF" w:val="clear"/>
            <w:vAlign w:val="center"/>
          </w:tcPr>
          <w:p>
            <w:pPr>
              <w:pStyle w:val="TableContents"/>
              <w:spacing w:before="0" w:after="1"/>
              <w:ind w:left="0" w:right="0" w:hanging="0"/>
              <w:rPr/>
            </w:pPr>
            <w:r>
              <w:rPr/>
              <w:t>​</w:t>
            </w:r>
          </w:p>
        </w:tc>
        <w:tc>
          <w:tcPr>
            <w:tcW w:w="238"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97,340</w:t>
            </w:r>
          </w:p>
        </w:tc>
      </w:tr>
      <w:tr>
        <w:trPr/>
        <w:tc>
          <w:tcPr>
            <w:tcW w:w="748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Restricted cash—funds held for customers</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25,972</w:t>
            </w:r>
          </w:p>
        </w:tc>
        <w:tc>
          <w:tcPr>
            <w:tcW w:w="397" w:type="dxa"/>
            <w:tcBorders/>
            <w:shd w:fill="auto" w:val="clear"/>
            <w:vAlign w:val="center"/>
          </w:tcPr>
          <w:p>
            <w:pPr>
              <w:pStyle w:val="TableContents"/>
              <w:spacing w:before="0" w:after="1"/>
              <w:ind w:left="0" w:right="0" w:hanging="0"/>
              <w:rPr/>
            </w:pPr>
            <w:r>
              <w:rPr/>
              <w:t>​</w:t>
            </w:r>
          </w:p>
        </w:tc>
        <w:tc>
          <w:tcPr>
            <w:tcW w:w="23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25,899</w:t>
            </w:r>
          </w:p>
        </w:tc>
      </w:tr>
      <w:tr>
        <w:trPr/>
        <w:tc>
          <w:tcPr>
            <w:tcW w:w="748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cash, cash equivalents and restricted cash, end of period</w:t>
            </w:r>
          </w:p>
        </w:tc>
        <w:tc>
          <w:tcPr>
            <w:tcW w:w="23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94,615</w:t>
            </w:r>
          </w:p>
        </w:tc>
        <w:tc>
          <w:tcPr>
            <w:tcW w:w="397" w:type="dxa"/>
            <w:tcBorders/>
            <w:shd w:fill="CCEEFF" w:val="clear"/>
            <w:vAlign w:val="center"/>
          </w:tcPr>
          <w:p>
            <w:pPr>
              <w:pStyle w:val="TableContents"/>
              <w:spacing w:before="0" w:after="1"/>
              <w:ind w:left="0" w:right="0" w:hanging="0"/>
              <w:rPr/>
            </w:pPr>
            <w:r>
              <w:rPr/>
              <w:t>​</w:t>
            </w:r>
          </w:p>
        </w:tc>
        <w:tc>
          <w:tcPr>
            <w:tcW w:w="23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8"/>
              </w:rPr>
            </w:pPr>
            <w:r>
              <w:rPr>
                <w:rFonts w:ascii="Times New Roman;Times;serif" w:hAnsi="Times New Roman;Times;serif"/>
                <w:sz w:val="18"/>
              </w:rPr>
              <w:t>123,239</w:t>
            </w:r>
          </w:p>
        </w:tc>
      </w:tr>
    </w:tbl>
    <w:p>
      <w:pPr>
        <w:pStyle w:val="TextBody"/>
        <w:spacing w:before="0" w:after="240"/>
        <w:ind w:left="0" w:right="0" w:firstLine="360"/>
        <w:jc w:val="center"/>
        <w:rPr/>
      </w:pPr>
      <w:r>
        <w:rPr/>
        <w:t>​</w:t>
      </w:r>
    </w:p>
    <w:p>
      <w:pPr>
        <w:pStyle w:val="TextBody"/>
        <w:spacing w:before="0" w:after="0"/>
        <w:ind w:left="0" w:right="0" w:firstLine="360"/>
        <w:jc w:val="center"/>
        <w:rPr>
          <w:rFonts w:ascii="Times New Roman;Times;serif" w:hAnsi="Times New Roman;Times;serif"/>
          <w:sz w:val="16"/>
        </w:rPr>
      </w:pPr>
      <w:r>
        <w:rPr>
          <w:rFonts w:ascii="Times New Roman;Times;serif" w:hAnsi="Times New Roman;Times;serif"/>
          <w:sz w:val="18"/>
        </w:rPr>
        <w:t>The accompanying notes are an integral part</w:t>
      </w:r>
      <w:r>
        <w:rPr>
          <w:rFonts w:ascii="Times New Roman;Times;serif" w:hAnsi="Times New Roman;Times;serif"/>
          <w:sz w:val="16"/>
        </w:rPr>
        <w:t xml:space="preserve"> </w:t>
      </w:r>
      <w:r>
        <w:rPr>
          <w:rFonts w:ascii="Times New Roman;Times;serif" w:hAnsi="Times New Roman;Times;serif"/>
          <w:sz w:val="18"/>
        </w:rPr>
        <w:t>of these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Normal"/>
        <w:spacing w:before="600" w:after="283"/>
        <w:rPr>
          <w:sz w:val="4"/>
          <w:szCs w:val="4"/>
        </w:rPr>
      </w:pPr>
      <w:r>
        <w:rPr>
          <w:sz w:val="4"/>
          <w:szCs w:val="4"/>
        </w:rPr>
      </w:r>
      <w:bookmarkStart w:id="784" w:name="_187b08a8_d3b1_4645_8a37_43bbc609a8ef"/>
      <w:bookmarkStart w:id="785" w:name="_19231002_bb03_433a_a4f2_6f003e7a0cff"/>
      <w:bookmarkStart w:id="786" w:name="_187b08a8_d3b1_4645_8a37_43bbc609a8ef"/>
      <w:bookmarkStart w:id="787" w:name="_19231002_bb03_433a_a4f2_6f003e7a0cff"/>
      <w:bookmarkEnd w:id="786"/>
      <w:bookmarkEnd w:id="787"/>
    </w:p>
    <w:tbl>
      <w:tblPr>
        <w:tblW w:w="5776" w:type="dxa"/>
        <w:jc w:val="left"/>
        <w:tblInd w:w="0" w:type="dxa"/>
        <w:tblCellMar>
          <w:top w:w="0" w:type="dxa"/>
          <w:left w:w="0" w:type="dxa"/>
          <w:bottom w:w="0" w:type="dxa"/>
          <w:right w:w="0" w:type="dxa"/>
        </w:tblCellMar>
      </w:tblPr>
      <w:tblGrid>
        <w:gridCol w:w="5776"/>
      </w:tblGrid>
      <w:tr>
        <w:trPr/>
        <w:tc>
          <w:tcPr>
            <w:tcW w:w="5776" w:type="dxa"/>
            <w:tcBorders/>
            <w:shd w:fill="auto"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w:t>
            </w:r>
          </w:p>
        </w:tc>
      </w:tr>
      <w:tr>
        <w:trPr/>
        <w:tc>
          <w:tcPr>
            <w:tcW w:w="57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in thousands, except per share data)</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88" w:name="_Hlk78445138"/>
      <w:bookmarkStart w:id="789" w:name="_Hlk78445093"/>
      <w:bookmarkStart w:id="790" w:name="a1SUMMARYOFSIGNIFICANTACCOUNTINGPOLICIES"/>
      <w:bookmarkEnd w:id="788"/>
      <w:bookmarkEnd w:id="789"/>
      <w:bookmarkEnd w:id="790"/>
      <w:r>
        <w:rPr>
          <w:rFonts w:ascii="Times New Roman;Times;serif" w:hAnsi="Times New Roman;Times;serif"/>
          <w:b/>
          <w:sz w:val="20"/>
        </w:rPr>
        <w:t>1.    SUMMARY OF SIGNIFICANT ACCOUNTING POLICIES</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Nature of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Basis of Consolidation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are prepared in accordance with accounting principles generally accepted in the U.S. (“U.S. GAAP”) and include the accounts of the Company. All intercompany transactions have been eliminated in consolidation.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a 65% controlling equity interest in Systax Sistemas Fiscais LTDA (“Systax”), a provider of Brazilian transaction tax content and software. Systax was determined to be a VIE and the accounts are included in the condensed consolidated condensed financial statements. Vertex does not have full decision-making authority over Systax; however, Vertex is the entity that most significantly participates in the variability of the fair value of Systax’s net assets and is considered the entity most closely associated to Systax. As such, Vertex is deemed the primary beneficiary of Systax and consolidates Systax into its condensed consolidated financial statements. </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2022 included in the Company’s Annual Report on Form 10-K for the year ended December 31, 2022 (the “2022 Annual Report”) filed with the SEC on March 10, 2023. The condensed consolidated balance sheet as of December 31, 2022 has been derived from audited financial statements included in the 2022 Annual Report. The accompanying interim condensed consolidated balance sheet as of March 31, 2023, the interim condensed consolidated statements of comprehensive loss for the three months ended March 31, 2023 and 2022, and the interim condensed consolidated statements of changes in stockholders’ equity and the interim condensed consolidated statements of cash flows for the three months ended March 31, 2023 and 2022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months ended March 31, 2023 are not necessarily indicative of the results expected for the full year ending December 31, 2023.</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Segments</w:t>
      </w:r>
    </w:p>
    <w:p>
      <w:pPr>
        <w:pStyle w:val="TextBody"/>
        <w:spacing w:lineRule="auto" w:line="309" w:before="0" w:after="0"/>
        <w:ind w:left="60" w:right="59" w:firstLine="324"/>
        <w:jc w:val="both"/>
        <w:rPr>
          <w:rFonts w:ascii="Times New Roman;Times;serif" w:hAnsi="Times New Roman;Times;serif"/>
          <w:sz w:val="20"/>
        </w:rPr>
      </w:pPr>
      <w:r>
        <w:rPr>
          <w:rFonts w:ascii="Times New Roman;Times;serif" w:hAnsi="Times New Roman;Times;serif"/>
          <w:sz w:val="20"/>
        </w:rPr>
        <w:t>The Company operates its business as one operating segment. For the three months ended March 31, 2023 and 2022, approximately 7% and 5%, respectively, of the Company’s revenues were generated from customers located outside the U.S. As of March 31, 2023 and December 31, 2022, $895 and $827, respectively, of the Company’s property and equipment assets were held outside the U.S.</w:t>
      </w:r>
    </w:p>
    <w:p>
      <w:pPr>
        <w:pStyle w:val="TextBody"/>
        <w:spacing w:lineRule="auto" w:line="309" w:before="0" w:after="0"/>
        <w:ind w:left="60" w:right="59" w:firstLine="324"/>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600" w:after="283"/>
        <w:rPr>
          <w:sz w:val="4"/>
          <w:szCs w:val="4"/>
        </w:rPr>
      </w:pPr>
      <w:r>
        <w:rPr>
          <w:sz w:val="4"/>
          <w:szCs w:val="4"/>
        </w:rPr>
      </w:r>
      <w:bookmarkStart w:id="791" w:name="_78a021f5_d01a_47e9_912b_37cc970bd994"/>
      <w:bookmarkStart w:id="792" w:name="_9c90de2b_6591_4438_86e8_66dcc31a3eaf"/>
      <w:bookmarkStart w:id="793" w:name="_cd911ff2_8085_4fbe_8f72_7fded4fe3b0c"/>
      <w:bookmarkStart w:id="794" w:name="_78a021f5_d01a_47e9_912b_37cc970bd994"/>
      <w:bookmarkStart w:id="795" w:name="_9c90de2b_6591_4438_86e8_66dcc31a3eaf"/>
      <w:bookmarkStart w:id="796" w:name="_cd911ff2_8085_4fbe_8f72_7fded4fe3b0c"/>
      <w:bookmarkEnd w:id="794"/>
      <w:bookmarkEnd w:id="795"/>
      <w:bookmarkEnd w:id="796"/>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sz w:val="20"/>
        </w:rPr>
      </w:pPr>
      <w:bookmarkStart w:id="797" w:name="Tc_YhlWuCOPKU6r4b_cCxN0NQ_14_5"/>
      <w:bookmarkStart w:id="798" w:name="Tc_Y4fy5noBUE-FbXjDeV12nA_14_2"/>
      <w:bookmarkStart w:id="799" w:name="Tc_L_kTqEQjoUuO3g0viRrGXA_14_0"/>
      <w:bookmarkStart w:id="800" w:name="Tc_EIxPJGXykkmZYlqf0WtDzw_13_0"/>
      <w:bookmarkStart w:id="801" w:name="Tc_6mXA1kWrK02rJoXX886TjQ_12_0"/>
      <w:bookmarkStart w:id="802" w:name="Tc_lAcGtfB2FEOz43ywJBLbFg_11_5"/>
      <w:bookmarkStart w:id="803" w:name="Tc_BEbJY2v50EWmr1tLVML94A_11_2"/>
      <w:bookmarkStart w:id="804" w:name="Tc_MN6wyioceE-Y672KEF5Tug_11_0"/>
      <w:bookmarkStart w:id="805" w:name="Tc_LEZhVjEH4ECLYL5Ecmhzew_10_0"/>
      <w:bookmarkStart w:id="806" w:name="Tc_BX9rtsjnb0mmmPy4kgSwZw_8_5"/>
      <w:bookmarkStart w:id="807" w:name="Tc_F5hxs4Xe0ku2fr1omhYL_Q_8_2"/>
      <w:bookmarkStart w:id="808" w:name="Tc_3Vh8jrfcVkuKXI1nqk8idw_8_0"/>
      <w:bookmarkStart w:id="809" w:name="Tc_jd6BYA9jjk-0wdVMGqRkMQ_7_0"/>
      <w:bookmarkStart w:id="810" w:name="Tc_TDbnjRxac0q4-W0fLmWrvg_6_0"/>
      <w:bookmarkStart w:id="811" w:name="Tc_o_WvQcqilUumyhz1Xh6AiQ_5_5"/>
      <w:bookmarkStart w:id="812" w:name="Tc_AxQq8X2uSkyz_CQDyhaHCA_5_2"/>
      <w:bookmarkStart w:id="813" w:name="Tc_cxys4WJxIU6IQCpN170tPg_5_0"/>
      <w:bookmarkStart w:id="814" w:name="Tc_-l3vjgnXSkG9qIj-eJBtzA_4_0"/>
      <w:bookmarkStart w:id="815" w:name="Tc__PepF0dMs0edL-ammtWG1Q_3_2"/>
      <w:bookmarkStart w:id="816" w:name="Tc_7Bh99KooE0O0runab27beQ_2_5"/>
      <w:bookmarkStart w:id="817" w:name="Tc_OjXHsCMRDE24mIJAj9rtBQ_2_2"/>
      <w:bookmarkStart w:id="818" w:name="Tc_A9cU7pN9i0-YMDfzxmXBCA_1_6"/>
      <w:bookmarkStart w:id="819" w:name="Tc_efwycLb3wUiHzzoZsNaJhw_1_3"/>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b/>
          <w:sz w:val="20"/>
        </w:rPr>
        <w:t xml:space="preserve">Use of Estimates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and intangible assets, (viii) potential impairment of goodwill, (ix) determination of the fair value of tangible and intangible assets acquired, liabilities assumed and consideration transferred in acquisitions, (x) amortization period of material rights and deferred commissions (xi) Black-Scholes-Merton option pricing model (“Black-Scholes model”) input assumptions used to determine the fair value of certain stock-based compensation awards and Employee Stock Purchase Plan (“ESPP”) purchase rights (xii) measurement of future purchase commitment, contingent consideration liabilities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Supplemental Balance Sheet Disclosures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balance sheet disclosures are as follows for the respective periods:</w:t>
      </w:r>
    </w:p>
    <w:p>
      <w:pPr>
        <w:pStyle w:val="TextBody"/>
        <w:spacing w:before="0" w:after="240"/>
        <w:ind w:left="0" w:right="0" w:firstLine="360"/>
        <w:jc w:val="both"/>
        <w:rPr/>
      </w:pPr>
      <w:r>
        <w:rPr/>
        <w:t>​</w:t>
      </w:r>
    </w:p>
    <w:tbl>
      <w:tblPr>
        <w:tblW w:w="6597" w:type="dxa"/>
        <w:jc w:val="left"/>
        <w:tblInd w:w="0" w:type="dxa"/>
        <w:tblCellMar>
          <w:top w:w="0" w:type="dxa"/>
          <w:left w:w="0" w:type="dxa"/>
          <w:bottom w:w="0" w:type="dxa"/>
          <w:right w:w="0" w:type="dxa"/>
        </w:tblCellMar>
      </w:tblPr>
      <w:tblGrid>
        <w:gridCol w:w="3706"/>
        <w:gridCol w:w="326"/>
        <w:gridCol w:w="211"/>
        <w:gridCol w:w="856"/>
        <w:gridCol w:w="146"/>
        <w:gridCol w:w="211"/>
        <w:gridCol w:w="1141"/>
      </w:tblGrid>
      <w:tr>
        <w:trPr/>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53310" cy="175260"/>
                      <wp:effectExtent l="0" t="0" r="0" b="0"/>
                      <wp:wrapNone/>
                      <wp:docPr id="44" name="Frame44"/>
                      <a:graphic xmlns:a="http://schemas.openxmlformats.org/drawingml/2006/main">
                        <a:graphicData uri="http://schemas.microsoft.com/office/word/2010/wordprocessingShape">
                          <wps:wsp>
                            <wps:cNvSpPr txBox="1"/>
                            <wps:spPr>
                              <a:xfrm>
                                <a:off x="0" y="0"/>
                                <a:ext cx="2353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43560" cy="175260"/>
                      <wp:effectExtent l="0" t="0" r="0" b="0"/>
                      <wp:wrapNone/>
                      <wp:docPr id="47" name="Frame47"/>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2710" cy="175260"/>
                      <wp:effectExtent l="0" t="0" r="0" b="0"/>
                      <wp:wrapNone/>
                      <wp:docPr id="48" name="Frame4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24535" cy="175260"/>
                      <wp:effectExtent l="0" t="0" r="0" b="0"/>
                      <wp:wrapNone/>
                      <wp:docPr id="50" name="Frame5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shd w:fill="auto" w:val="clear"/>
            <w:vAlign w:val="center"/>
          </w:tcPr>
          <w:p>
            <w:pPr>
              <w:pStyle w:val="TableContents"/>
              <w:spacing w:before="0" w:after="0"/>
              <w:ind w:left="0" w:right="0" w:hanging="0"/>
              <w:jc w:val="center"/>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rPr/>
            </w:pPr>
            <w:r>
              <w:rPr/>
              <w:t>​</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9,244</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5,875</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licenses and support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11,823</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22,536</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20,383</w:t>
            </w:r>
          </w:p>
        </w:tc>
      </w:tr>
      <w:tr>
        <w:trPr/>
        <w:tc>
          <w:tcPr>
            <w:tcW w:w="3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general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18,485</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contract labor and professional fees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14,579</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17,421</w:t>
            </w:r>
          </w:p>
        </w:tc>
      </w:tr>
      <w:tr>
        <w:trPr/>
        <w:tc>
          <w:tcPr>
            <w:tcW w:w="37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income and other taxes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23,718</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r>
      <w:tr>
        <w:trPr/>
        <w:tc>
          <w:tcPr>
            <w:tcW w:w="37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55,896</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38,234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 xml:space="preserve">Recently Issued or Adopted Accounting Pronouncements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Deferred Revenue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October 2021, the Financial Accounting Standard Board issued ASU No. 2021-08, Business Combinations (“ASU 2021-08”). ASU 2021-08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The Company adopted this standard effective January 1, 2023 on a prospective basis for business combinations occurring on or after this date. Although this standard does not have a material impact on the Company’s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 condensed consolidated financial statements, adoption could have a material impact on the accounting for future acquisitions reflected in the Company’s condensed consolidated financial statements.  </w:t>
      </w:r>
    </w:p>
    <w:p>
      <w:pPr>
        <w:pStyle w:val="TextBody"/>
        <w:spacing w:before="0" w:after="240"/>
        <w:ind w:left="0" w:right="0" w:hanging="0"/>
        <w:rPr>
          <w:rFonts w:ascii="Times New Roman;Times;serif" w:hAnsi="Times New Roman;Times;serif"/>
          <w:b/>
          <w:sz w:val="20"/>
        </w:rPr>
      </w:pPr>
      <w:bookmarkStart w:id="820" w:name="Tc_ib_F0mU3eEe8S9JC2dEsuw_5_5"/>
      <w:bookmarkStart w:id="821" w:name="Tc_AkbEmhHMOU2QEtVRFPpqxQ_5_2"/>
      <w:bookmarkStart w:id="822" w:name="Tc_zmtzmaAWHEeMNQf0OkjplA_5_0"/>
      <w:bookmarkStart w:id="823" w:name="Tc_p5nGanVNh0CqGPhEWwM5Xg_4_0"/>
      <w:bookmarkStart w:id="824" w:name="Tc_Vy795dkPXkSx46RlFr4eMA_3_5"/>
      <w:bookmarkStart w:id="825" w:name="Tc_AJm1KU6Hi0CZCvUaD8OTtg_3_2"/>
      <w:bookmarkStart w:id="826" w:name="Tc_B_ZK9-qdiUuqYP20DthT0g_3_0"/>
      <w:bookmarkStart w:id="827" w:name="Tc_pF5_6d5lOU6xrzUNa-ns8A_2_2"/>
      <w:bookmarkStart w:id="828" w:name="Tc_lLfV-PnGY0-dd3L5KZYiwQ_1_5"/>
      <w:bookmarkStart w:id="829" w:name="Tc_rSNn0vY9ckCFQShAsp3Rlg_1_2"/>
      <w:bookmarkStart w:id="830" w:name="Tc_Gvt9zCWPiE6ARmkMSS1dow_9_5"/>
      <w:bookmarkStart w:id="831" w:name="Tc_tQ9o0Ai2UUa2Ppi4OzwIGw_9_2"/>
      <w:bookmarkStart w:id="832" w:name="Tc_8eavdKBHzUmQDyzi2Wa4rw_9_0"/>
      <w:bookmarkStart w:id="833" w:name="Tc_GF_ACwOTH0SjOnsYmpjV6A_8_0"/>
      <w:bookmarkStart w:id="834" w:name="Tc_4NbeZMmiAkC_rHK9CewCUw_7_0"/>
      <w:bookmarkStart w:id="835" w:name="Tc_8YRKczGJ3EObJ4_cKWDqGg_6_0"/>
      <w:bookmarkStart w:id="836" w:name="Tc_XI67JWmMkU-StgpSSSIVdg_5_5"/>
      <w:bookmarkStart w:id="837" w:name="Tc_FgbV_qohtkSxcsXfkSCuPA_5_2"/>
      <w:bookmarkStart w:id="838" w:name="Tc_Xj-EUOHyuUKRzNxsJuR0aA_5_0"/>
      <w:bookmarkStart w:id="839" w:name="Tc_pv0YXSlRI0arVdX8NwjC7A_4_0"/>
      <w:bookmarkStart w:id="840" w:name="Tc_lEqpURsjt0aGruimiOd8Aw_3_2"/>
      <w:bookmarkStart w:id="841" w:name="Tc_8O7FAtrT1kKm3JNyFUmiNw_2_5"/>
      <w:bookmarkStart w:id="842" w:name="Tc_jHrBg5vMg0WVcE3oUuYlNg_2_3"/>
      <w:bookmarkStart w:id="843" w:name="Tc_rHxYlMNUrE2PEB--y_UgeA_1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sz w:val="20"/>
        </w:rPr>
        <w:t>2.     REVENUE RECOGNITION</w:t>
      </w:r>
    </w:p>
    <w:p>
      <w:pPr>
        <w:pStyle w:val="TextBody"/>
        <w:spacing w:before="0" w:after="240"/>
        <w:ind w:left="0" w:right="0" w:firstLine="360"/>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spacing w:before="0" w:after="0"/>
        <w:ind w:left="0" w:right="0" w:hanging="0"/>
        <w:rPr/>
      </w:pPr>
      <w:r>
        <w:rPr/>
        <w:t>​</w:t>
      </w:r>
    </w:p>
    <w:tbl>
      <w:tblPr>
        <w:tblW w:w="4779" w:type="dxa"/>
        <w:jc w:val="left"/>
        <w:tblInd w:w="0" w:type="dxa"/>
        <w:tblCellMar>
          <w:top w:w="0" w:type="dxa"/>
          <w:left w:w="0" w:type="dxa"/>
          <w:bottom w:w="0" w:type="dxa"/>
          <w:right w:w="0" w:type="dxa"/>
        </w:tblCellMar>
      </w:tblPr>
      <w:tblGrid>
        <w:gridCol w:w="2011"/>
        <w:gridCol w:w="326"/>
        <w:gridCol w:w="212"/>
        <w:gridCol w:w="787"/>
        <w:gridCol w:w="328"/>
        <w:gridCol w:w="212"/>
        <w:gridCol w:w="903"/>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76985" cy="175260"/>
                      <wp:effectExtent l="0" t="0" r="0" b="0"/>
                      <wp:wrapNone/>
                      <wp:docPr id="51" name="Frame51"/>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4620" cy="175260"/>
                      <wp:effectExtent l="0" t="0" r="0" b="0"/>
                      <wp:wrapNone/>
                      <wp:docPr id="53" name="Frame53"/>
                      <a:graphic xmlns:a="http://schemas.openxmlformats.org/drawingml/2006/main">
                        <a:graphicData uri="http://schemas.microsoft.com/office/word/2010/wordprocessingShape">
                          <wps:wsp>
                            <wps:cNvSpPr txBox="1"/>
                            <wps:spPr>
                              <a:xfrm>
                                <a:off x="0" y="0"/>
                                <a:ext cx="134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9745" cy="175260"/>
                      <wp:effectExtent l="0" t="0" r="0" b="0"/>
                      <wp:wrapNone/>
                      <wp:docPr id="54" name="Frame54"/>
                      <a:graphic xmlns:a="http://schemas.openxmlformats.org/drawingml/2006/main">
                        <a:graphicData uri="http://schemas.microsoft.com/office/word/2010/wordprocessingShape">
                          <wps:wsp>
                            <wps:cNvSpPr txBox="1"/>
                            <wps:spPr>
                              <a:xfrm>
                                <a:off x="0" y="0"/>
                                <a:ext cx="4997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8280" cy="175260"/>
                      <wp:effectExtent l="0" t="0" r="0" b="0"/>
                      <wp:wrapNone/>
                      <wp:docPr id="55" name="Frame55"/>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4620" cy="175260"/>
                      <wp:effectExtent l="0" t="0" r="0" b="0"/>
                      <wp:wrapNone/>
                      <wp:docPr id="56" name="Frame56"/>
                      <a:graphic xmlns:a="http://schemas.openxmlformats.org/drawingml/2006/main">
                        <a:graphicData uri="http://schemas.microsoft.com/office/word/2010/wordprocessingShape">
                          <wps:wsp>
                            <wps:cNvSpPr txBox="1"/>
                            <wps:spPr>
                              <a:xfrm>
                                <a:off x="0" y="0"/>
                                <a:ext cx="134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3405" cy="175260"/>
                      <wp:effectExtent l="0" t="0" r="0" b="0"/>
                      <wp:wrapNone/>
                      <wp:docPr id="57" name="Frame57"/>
                      <a:graphic xmlns:a="http://schemas.openxmlformats.org/drawingml/2006/main">
                        <a:graphicData uri="http://schemas.microsoft.com/office/word/2010/wordprocessingShape">
                          <wps:wsp>
                            <wps:cNvSpPr txBox="1"/>
                            <wps:spPr>
                              <a:xfrm>
                                <a:off x="0" y="0"/>
                                <a:ext cx="573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4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2"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8" w:type="dxa"/>
            <w:tcBorders/>
            <w:shd w:fill="auto" w:val="clear"/>
            <w:vAlign w:val="center"/>
          </w:tcPr>
          <w:p>
            <w:pPr>
              <w:pStyle w:val="TableContents"/>
              <w:spacing w:before="0" w:after="0"/>
              <w:ind w:left="0" w:right="0" w:hanging="0"/>
              <w:rPr/>
            </w:pPr>
            <w:r>
              <w:rPr/>
              <w:t>    </w:t>
            </w:r>
          </w:p>
        </w:tc>
        <w:tc>
          <w:tcPr>
            <w:tcW w:w="11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79"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42"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0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spacing w:before="0" w:after="0"/>
              <w:ind w:left="0" w:right="0" w:hanging="0"/>
              <w:rPr/>
            </w:pPr>
            <w:r>
              <w:rPr/>
              <w:t>​</w:t>
            </w:r>
          </w:p>
        </w:tc>
        <w:tc>
          <w:tcPr>
            <w:tcW w:w="212" w:type="dxa"/>
            <w:tcBorders/>
            <w:shd w:fill="CCEEFF" w:val="clear"/>
            <w:vAlign w:val="center"/>
          </w:tcPr>
          <w:p>
            <w:pPr>
              <w:pStyle w:val="TableContents"/>
              <w:spacing w:before="0" w:after="0"/>
              <w:ind w:left="0" w:right="0" w:hanging="0"/>
              <w:rPr/>
            </w:pPr>
            <w:r>
              <w:rPr/>
              <w:t>​</w:t>
            </w:r>
          </w:p>
        </w:tc>
        <w:tc>
          <w:tcPr>
            <w:tcW w:w="787" w:type="dxa"/>
            <w:tcBorders/>
            <w:shd w:fill="CCEEFF" w:val="clear"/>
            <w:vAlign w:val="center"/>
          </w:tcPr>
          <w:p>
            <w:pPr>
              <w:pStyle w:val="TableContents"/>
              <w:spacing w:before="0" w:after="0"/>
              <w:ind w:left="0" w:right="0" w:hanging="0"/>
              <w:rPr>
                <w:color w:val="FF0000"/>
              </w:rPr>
            </w:pPr>
            <w:r>
              <w:rPr>
                <w:color w:val="FF0000"/>
              </w:rPr>
              <w:t>​</w:t>
            </w:r>
          </w:p>
        </w:tc>
        <w:tc>
          <w:tcPr>
            <w:tcW w:w="328" w:type="dxa"/>
            <w:tcBorders/>
            <w:shd w:fill="CCEEFF" w:val="clear"/>
            <w:vAlign w:val="center"/>
          </w:tcPr>
          <w:p>
            <w:pPr>
              <w:pStyle w:val="TableContents"/>
              <w:spacing w:before="0" w:after="0"/>
              <w:ind w:left="0" w:right="0" w:hanging="0"/>
              <w:rPr/>
            </w:pPr>
            <w:r>
              <w:rPr/>
              <w:t>​</w:t>
            </w:r>
          </w:p>
        </w:tc>
        <w:tc>
          <w:tcPr>
            <w:tcW w:w="212" w:type="dxa"/>
            <w:tcBorders/>
            <w:shd w:fill="CCEEFF" w:val="clear"/>
            <w:vAlign w:val="center"/>
          </w:tcPr>
          <w:p>
            <w:pPr>
              <w:pStyle w:val="TableContents"/>
              <w:spacing w:before="0" w:after="0"/>
              <w:ind w:left="0" w:right="0" w:hanging="0"/>
              <w:rPr/>
            </w:pPr>
            <w:r>
              <w:rPr/>
              <w:t>​</w:t>
            </w:r>
          </w:p>
        </w:tc>
        <w:tc>
          <w:tcPr>
            <w:tcW w:w="903" w:type="dxa"/>
            <w:tcBorders/>
            <w:shd w:fill="CCEEFF" w:val="clear"/>
            <w:vAlign w:val="center"/>
          </w:tcPr>
          <w:p>
            <w:pPr>
              <w:pStyle w:val="TableContents"/>
              <w:spacing w:before="0" w:after="0"/>
              <w:ind w:left="0" w:right="0" w:hanging="0"/>
              <w:jc w:val="right"/>
              <w:rPr/>
            </w:pPr>
            <w:r>
              <w:rPr/>
              <w:t>  </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licenses</w:t>
            </w:r>
          </w:p>
        </w:tc>
        <w:tc>
          <w:tcPr>
            <w:tcW w:w="326" w:type="dxa"/>
            <w:tcBorders/>
            <w:shd w:fill="auto" w:val="clear"/>
            <w:vAlign w:val="center"/>
          </w:tcPr>
          <w:p>
            <w:pPr>
              <w:pStyle w:val="TableContents"/>
              <w:spacing w:before="0" w:after="0"/>
              <w:ind w:left="0" w:right="0" w:hanging="0"/>
              <w:rPr/>
            </w:pPr>
            <w:r>
              <w:rPr/>
              <w:t>​</w:t>
            </w:r>
          </w:p>
        </w:tc>
        <w:tc>
          <w:tcPr>
            <w:tcW w:w="21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62,808</w:t>
            </w:r>
          </w:p>
        </w:tc>
        <w:tc>
          <w:tcPr>
            <w:tcW w:w="328" w:type="dxa"/>
            <w:tcBorders/>
            <w:shd w:fill="auto" w:val="clear"/>
            <w:vAlign w:val="center"/>
          </w:tcPr>
          <w:p>
            <w:pPr>
              <w:pStyle w:val="TableContents"/>
              <w:spacing w:before="0" w:after="0"/>
              <w:ind w:left="0" w:right="0" w:hanging="0"/>
              <w:rPr/>
            </w:pPr>
            <w:r>
              <w:rPr/>
              <w:t>​</w:t>
            </w:r>
          </w:p>
        </w:tc>
        <w:tc>
          <w:tcPr>
            <w:tcW w:w="21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58,857</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subscriptions</w:t>
            </w:r>
          </w:p>
        </w:tc>
        <w:tc>
          <w:tcPr>
            <w:tcW w:w="326" w:type="dxa"/>
            <w:tcBorders/>
            <w:shd w:fill="CCEEFF" w:val="clear"/>
            <w:vAlign w:val="center"/>
          </w:tcPr>
          <w:p>
            <w:pPr>
              <w:pStyle w:val="TableContents"/>
              <w:spacing w:before="0" w:after="0"/>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48,206</w:t>
            </w:r>
          </w:p>
        </w:tc>
        <w:tc>
          <w:tcPr>
            <w:tcW w:w="328" w:type="dxa"/>
            <w:tcBorders/>
            <w:shd w:fill="CCEEFF" w:val="clear"/>
            <w:vAlign w:val="center"/>
          </w:tcPr>
          <w:p>
            <w:pPr>
              <w:pStyle w:val="TableContents"/>
              <w:spacing w:before="0" w:after="0"/>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38,274</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auto" w:val="clear"/>
            <w:vAlign w:val="center"/>
          </w:tcPr>
          <w:p>
            <w:pPr>
              <w:pStyle w:val="TableContents"/>
              <w:spacing w:before="0" w:after="0"/>
              <w:ind w:left="0" w:right="0" w:hanging="0"/>
              <w:rPr/>
            </w:pPr>
            <w:r>
              <w:rPr/>
              <w:t>​</w:t>
            </w:r>
          </w:p>
        </w:tc>
        <w:tc>
          <w:tcPr>
            <w:tcW w:w="212" w:type="dxa"/>
            <w:tcBorders/>
            <w:shd w:fill="auto" w:val="clear"/>
            <w:vAlign w:val="center"/>
          </w:tcPr>
          <w:p>
            <w:pPr>
              <w:pStyle w:val="TableContents"/>
              <w:spacing w:before="0" w:after="0"/>
              <w:ind w:left="0" w:right="0" w:hanging="0"/>
              <w:rPr/>
            </w:pPr>
            <w:r>
              <w:rPr/>
              <w:t>​</w:t>
            </w:r>
          </w:p>
        </w:tc>
        <w:tc>
          <w:tcPr>
            <w:tcW w:w="78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111,014</w:t>
            </w:r>
          </w:p>
        </w:tc>
        <w:tc>
          <w:tcPr>
            <w:tcW w:w="328" w:type="dxa"/>
            <w:tcBorders/>
            <w:shd w:fill="auto" w:val="clear"/>
            <w:vAlign w:val="center"/>
          </w:tcPr>
          <w:p>
            <w:pPr>
              <w:pStyle w:val="TableContents"/>
              <w:spacing w:before="0" w:after="0"/>
              <w:ind w:left="0" w:right="0" w:hanging="0"/>
              <w:rPr/>
            </w:pPr>
            <w:r>
              <w:rPr/>
              <w:t>​</w:t>
            </w:r>
          </w:p>
        </w:tc>
        <w:tc>
          <w:tcPr>
            <w:tcW w:w="212" w:type="dxa"/>
            <w:tcBorders/>
            <w:shd w:fill="auto" w:val="clear"/>
            <w:vAlign w:val="center"/>
          </w:tcPr>
          <w:p>
            <w:pPr>
              <w:pStyle w:val="TableContents"/>
              <w:spacing w:before="0" w:after="0"/>
              <w:ind w:left="0" w:right="0" w:hanging="0"/>
              <w:rPr/>
            </w:pPr>
            <w:r>
              <w:rPr/>
              <w:t>​</w:t>
            </w:r>
          </w:p>
        </w:tc>
        <w:tc>
          <w:tcPr>
            <w:tcW w:w="9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97,131</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21,737</w:t>
            </w:r>
          </w:p>
        </w:tc>
        <w:tc>
          <w:tcPr>
            <w:tcW w:w="328" w:type="dxa"/>
            <w:tcBorders/>
            <w:shd w:fill="CCEEFF" w:val="clear"/>
            <w:vAlign w:val="center"/>
          </w:tcPr>
          <w:p>
            <w:pPr>
              <w:pStyle w:val="TableContents"/>
              <w:spacing w:before="0" w:after="0"/>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17,853</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132,751</w:t>
            </w:r>
          </w:p>
        </w:tc>
        <w:tc>
          <w:tcPr>
            <w:tcW w:w="328" w:type="dxa"/>
            <w:tcBorders/>
            <w:shd w:fill="auto" w:val="clear"/>
            <w:vAlign w:val="center"/>
          </w:tcPr>
          <w:p>
            <w:pPr>
              <w:pStyle w:val="TableContents"/>
              <w:spacing w:before="0" w:after="0"/>
              <w:ind w:left="0" w:right="0" w:hanging="0"/>
              <w:rPr/>
            </w:pPr>
            <w:r>
              <w:rPr/>
              <w:t>​</w:t>
            </w:r>
          </w:p>
        </w:tc>
        <w:tc>
          <w:tcPr>
            <w:tcW w:w="21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114,984</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Contract balances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$10,641 and $9,554 at March 31, 2023 and December 31, 2022, respectively. The allowance for potentially uncollectible accounts represents future expected credit losses over the life of the receivables based on past experience, current information and forward-looking economic considerations.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spacing w:before="0" w:after="0"/>
        <w:ind w:left="0" w:right="0" w:hanging="0"/>
        <w:rPr/>
      </w:pPr>
      <w:r>
        <w:rPr/>
        <w:t>​</w:t>
      </w:r>
    </w:p>
    <w:tbl>
      <w:tblPr>
        <w:tblW w:w="8979" w:type="dxa"/>
        <w:jc w:val="left"/>
        <w:tblInd w:w="0" w:type="dxa"/>
        <w:tblCellMar>
          <w:top w:w="0" w:type="dxa"/>
          <w:left w:w="0" w:type="dxa"/>
          <w:bottom w:w="0" w:type="dxa"/>
          <w:right w:w="0" w:type="dxa"/>
        </w:tblCellMar>
      </w:tblPr>
      <w:tblGrid>
        <w:gridCol w:w="2491"/>
        <w:gridCol w:w="109"/>
        <w:gridCol w:w="701"/>
        <w:gridCol w:w="2599"/>
        <w:gridCol w:w="109"/>
        <w:gridCol w:w="603"/>
        <w:gridCol w:w="2367"/>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581785" cy="175260"/>
                      <wp:effectExtent l="0" t="0" r="0" b="0"/>
                      <wp:wrapNone/>
                      <wp:docPr id="58" name="Frame58"/>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45135" cy="175260"/>
                      <wp:effectExtent l="0" t="0" r="0" b="0"/>
                      <wp:wrapNone/>
                      <wp:docPr id="60" name="Frame60"/>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650365" cy="175260"/>
                      <wp:effectExtent l="0" t="0" r="0" b="0"/>
                      <wp:wrapNone/>
                      <wp:docPr id="61" name="Frame61"/>
                      <a:graphic xmlns:a="http://schemas.openxmlformats.org/drawingml/2006/main">
                        <a:graphicData uri="http://schemas.microsoft.com/office/word/2010/wordprocessingShape">
                          <wps:wsp>
                            <wps:cNvSpPr txBox="1"/>
                            <wps:spPr>
                              <a:xfrm>
                                <a:off x="0" y="0"/>
                                <a:ext cx="1650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2905" cy="175260"/>
                      <wp:effectExtent l="0" t="0" r="0" b="0"/>
                      <wp:wrapNone/>
                      <wp:docPr id="63" name="Frame63"/>
                      <a:graphic xmlns:a="http://schemas.openxmlformats.org/drawingml/2006/main">
                        <a:graphicData uri="http://schemas.microsoft.com/office/word/2010/wordprocessingShape">
                          <wps:wsp>
                            <wps:cNvSpPr txBox="1"/>
                            <wps:spPr>
                              <a:xfrm>
                                <a:off x="0" y="0"/>
                                <a:ext cx="382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503045" cy="175260"/>
                      <wp:effectExtent l="0" t="0" r="0" b="0"/>
                      <wp:wrapNone/>
                      <wp:docPr id="64" name="Frame64"/>
                      <a:graphic xmlns:a="http://schemas.openxmlformats.org/drawingml/2006/main">
                        <a:graphicData uri="http://schemas.microsoft.com/office/word/2010/wordprocessingShape">
                          <wps:wsp>
                            <wps:cNvSpPr txBox="1"/>
                            <wps:spPr>
                              <a:xfrm>
                                <a:off x="0" y="0"/>
                                <a:ext cx="1503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33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2023</w:t>
            </w:r>
          </w:p>
        </w:tc>
        <w:tc>
          <w:tcPr>
            <w:tcW w:w="109" w:type="dxa"/>
            <w:tcBorders/>
            <w:shd w:fill="auto" w:val="clear"/>
            <w:vAlign w:val="center"/>
          </w:tcPr>
          <w:p>
            <w:pPr>
              <w:pStyle w:val="TableContents"/>
              <w:spacing w:before="0" w:after="1"/>
              <w:ind w:left="0" w:right="0" w:hanging="0"/>
              <w:jc w:val="center"/>
              <w:rPr/>
            </w:pPr>
            <w:r>
              <w:rPr/>
              <w:t>​</w:t>
            </w:r>
          </w:p>
        </w:tc>
        <w:tc>
          <w:tcPr>
            <w:tcW w:w="29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24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33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jc w:val="center"/>
              <w:rPr/>
            </w:pPr>
            <w:r>
              <w:rPr/>
              <w:t>​</w:t>
            </w:r>
          </w:p>
        </w:tc>
        <w:tc>
          <w:tcPr>
            <w:tcW w:w="603" w:type="dxa"/>
            <w:tcBorders/>
            <w:shd w:fill="auto" w:val="clear"/>
            <w:vAlign w:val="center"/>
          </w:tcPr>
          <w:p>
            <w:pPr>
              <w:pStyle w:val="TableContents"/>
              <w:spacing w:before="0" w:after="1"/>
              <w:ind w:left="0" w:right="0" w:hanging="0"/>
              <w:jc w:val="center"/>
              <w:rPr/>
            </w:pPr>
            <w:r>
              <w:rPr/>
              <w:t>​</w:t>
            </w:r>
          </w:p>
        </w:tc>
        <w:tc>
          <w:tcPr>
            <w:tcW w:w="2367" w:type="dxa"/>
            <w:tcBorders/>
            <w:shd w:fill="auto" w:val="clear"/>
            <w:vAlign w:val="center"/>
          </w:tcPr>
          <w:p>
            <w:pPr>
              <w:pStyle w:val="TableContents"/>
              <w:spacing w:before="0" w:after="1"/>
              <w:ind w:left="0" w:right="0" w:hanging="0"/>
              <w:jc w:val="center"/>
              <w:rPr/>
            </w:pPr>
            <w:r>
              <w:rPr/>
              <w:t>​</w:t>
            </w:r>
          </w:p>
        </w:tc>
      </w:tr>
      <w:tr>
        <w:trPr/>
        <w:tc>
          <w:tcPr>
            <w:tcW w:w="249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5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102,885</w:t>
            </w:r>
          </w:p>
        </w:tc>
        <w:tc>
          <w:tcPr>
            <w:tcW w:w="109" w:type="dxa"/>
            <w:tcBorders/>
            <w:shd w:fill="CCEEFF" w:val="clear"/>
            <w:vAlign w:val="center"/>
          </w:tcPr>
          <w:p>
            <w:pPr>
              <w:pStyle w:val="TableContents"/>
              <w:spacing w:before="0" w:after="1"/>
              <w:ind w:left="0" w:right="0" w:hanging="0"/>
              <w:rPr/>
            </w:pPr>
            <w:r>
              <w:rPr/>
              <w:t>​</w:t>
            </w:r>
          </w:p>
        </w:tc>
        <w:tc>
          <w:tcPr>
            <w:tcW w:w="60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3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76,929</w:t>
            </w:r>
          </w:p>
        </w:tc>
      </w:tr>
      <w:tr>
        <w:trPr/>
        <w:tc>
          <w:tcPr>
            <w:tcW w:w="249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shd w:fill="auto" w:val="clear"/>
            <w:vAlign w:val="center"/>
          </w:tcPr>
          <w:p>
            <w:pPr>
              <w:pStyle w:val="TableContents"/>
              <w:spacing w:before="0" w:after="1"/>
              <w:ind w:left="0" w:right="0" w:hanging="0"/>
              <w:rPr/>
            </w:pPr>
            <w:r>
              <w:rPr/>
              <w:t>​</w:t>
            </w:r>
          </w:p>
        </w:tc>
        <w:tc>
          <w:tcPr>
            <w:tcW w:w="70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25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102,760</w:t>
            </w:r>
          </w:p>
        </w:tc>
        <w:tc>
          <w:tcPr>
            <w:tcW w:w="109" w:type="dxa"/>
            <w:tcBorders/>
            <w:shd w:fill="auto" w:val="clear"/>
            <w:vAlign w:val="center"/>
          </w:tcPr>
          <w:p>
            <w:pPr>
              <w:pStyle w:val="TableContents"/>
              <w:spacing w:before="0" w:after="1"/>
              <w:ind w:left="0" w:right="0" w:hanging="0"/>
              <w:rPr/>
            </w:pPr>
            <w:r>
              <w:rPr/>
              <w:t>​</w:t>
            </w:r>
          </w:p>
        </w:tc>
        <w:tc>
          <w:tcPr>
            <w:tcW w:w="603"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236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102,885</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Increase (decrease), net</w:t>
            </w:r>
          </w:p>
        </w:tc>
        <w:tc>
          <w:tcPr>
            <w:tcW w:w="109" w:type="dxa"/>
            <w:tcBorders/>
            <w:shd w:fill="CCEEFF" w:val="clear"/>
            <w:vAlign w:val="center"/>
          </w:tcPr>
          <w:p>
            <w:pPr>
              <w:pStyle w:val="TableContents"/>
              <w:spacing w:before="0" w:after="1"/>
              <w:ind w:left="0" w:right="0" w:hanging="0"/>
              <w:rPr/>
            </w:pPr>
            <w:r>
              <w:rPr/>
              <w:t>​</w:t>
            </w:r>
          </w:p>
        </w:tc>
        <w:tc>
          <w:tcPr>
            <w:tcW w:w="70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59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spacing w:before="0" w:after="1"/>
              <w:ind w:left="0" w:right="0" w:hanging="0"/>
              <w:rPr/>
            </w:pPr>
            <w:r>
              <w:rPr/>
              <w:t>​</w:t>
            </w:r>
          </w:p>
        </w:tc>
        <w:tc>
          <w:tcPr>
            <w:tcW w:w="60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367"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25,956</w:t>
            </w:r>
          </w:p>
        </w:tc>
      </w:tr>
    </w:tbl>
    <w:p>
      <w:pPr>
        <w:pStyle w:val="TextBody"/>
        <w:spacing w:before="0" w:after="24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$7,516 and $7,133 at March 31, 2023 and December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bookmarkStart w:id="844" w:name="Tc_E4UGW7hX_UWWqkkRgX3apA_8_5"/>
      <w:bookmarkStart w:id="845" w:name="Tc_mu27ufGzZk-xNlMcoRlaJQ_8_2"/>
      <w:bookmarkStart w:id="846" w:name="Tc_8WC-zYpshUmYutY9_r5ggw_8_0"/>
      <w:bookmarkStart w:id="847" w:name="Tc_1hNmtZFZYkG_PsWUzAvW5g_7_0"/>
      <w:bookmarkStart w:id="848" w:name="Tc_nziUQFCMSk2Lg4HxbnVqqg_6_0"/>
      <w:bookmarkStart w:id="849" w:name="Tc_CnkIyp8yJUm_t1ZS3xmx9w_5_5"/>
      <w:bookmarkStart w:id="850" w:name="Tc_2-2uiF-Tr0SHTwFV1Sr1Gg_5_2"/>
      <w:bookmarkStart w:id="851" w:name="Tc_JcnGcQswzEa3Cm_Ac4sD6w_5_0"/>
      <w:bookmarkStart w:id="852" w:name="Tc__C9LJYCzKkOSkMV2rbYTjw_4_0"/>
      <w:bookmarkStart w:id="853" w:name="Tc_mFX8t15FUUWSBXY6OC5Ccg_3_2"/>
      <w:bookmarkStart w:id="854" w:name="Tc_aA7QoqKO3E-6fXQ4cU46Ag_2_5"/>
      <w:bookmarkStart w:id="855" w:name="Tc_A21MZGWoT0SqUA-827CEww_2_2"/>
      <w:bookmarkStart w:id="856" w:name="Tc_5TRgkZPSz0KhyoEhlaRNOA_1_2"/>
      <w:bookmarkStart w:id="857" w:name="_322db969_9af5_4826_a799_82c46ebd4e82"/>
      <w:bookmarkStart w:id="858" w:name="Tc_JqVu57gBrUuHDf4onphUMg_7_5"/>
      <w:bookmarkStart w:id="859" w:name="Tc__MBcHlI3hUGAe-PX2CSVcw_7_2"/>
      <w:bookmarkStart w:id="860" w:name="Tc_d7OTVUPdiUqqXUhDBvhBdg_7_0"/>
      <w:bookmarkStart w:id="861" w:name="Tc_oa4vKQBtbU6qIxL_3Kd_jA_6_0"/>
      <w:bookmarkStart w:id="862" w:name="Tc_mmLDtWEGskKgBYz1osrOnQ_5_5"/>
      <w:bookmarkStart w:id="863" w:name="Tc_kBAdD-_HHEySrdgWccdbMw_5_2"/>
      <w:bookmarkStart w:id="864" w:name="Tc_nxBMxCmdnkeW1Caqu2epkg_5_0"/>
      <w:bookmarkStart w:id="865" w:name="Tc_TF7D2IgxOE27A63JWqLQkw_4_0"/>
      <w:bookmarkStart w:id="866" w:name="Tc_KLbLZCyT50qMfYG6AwbGcg_3_2"/>
      <w:bookmarkStart w:id="867" w:name="Tc_iIb8zt52zEGI155R7QXPsw_2_5"/>
      <w:bookmarkStart w:id="868" w:name="Tc_965eZasAf0aJfT5NOoXusw_2_2"/>
      <w:bookmarkStart w:id="869" w:name="Tc_zT-YgudLeUGTupZqmZs3mA_1_5"/>
      <w:bookmarkStart w:id="870" w:name="Tc_WBXD8JhHbUSACVWrqXbHLg_1_2"/>
      <w:bookmarkStart w:id="871" w:name="_321c5f80_3bf1_41d3_a355_0e152e66fc52"/>
      <w:bookmarkStart w:id="872" w:name="Tc_vuVgVNWuSkWhPtY2Ec_AYA_11_11"/>
      <w:bookmarkStart w:id="873" w:name="Tc_BWqS9F04jEqLzE-_fVacAQ_11_5"/>
      <w:bookmarkStart w:id="874" w:name="Tc_bEWgLzXBuke_tTIb1vhaGQ_11_0"/>
      <w:bookmarkStart w:id="875" w:name="Tc_iSOB8i1qgEq_FE6DmRl2EA_10_0"/>
      <w:bookmarkStart w:id="876" w:name="Tc_FgzEDomCX0aJuyBFEtnKhg_9_0"/>
      <w:bookmarkStart w:id="877" w:name="Tc_kZhf-kILkUi7M2dz5FnjTw_8_0"/>
      <w:bookmarkStart w:id="878" w:name="Tc_zT-1BXKKI0W5EqCxC_x8qQ_7_11"/>
      <w:bookmarkStart w:id="879" w:name="Tc_b5zVc69yE0aLUuKOHIheWQ_7_5"/>
      <w:bookmarkStart w:id="880" w:name="Tc_Jnm-QX_TzUWhKVW_sQknZg_7_0"/>
      <w:bookmarkStart w:id="881" w:name="Tc_lxmZRj4hr0qLzQB00Cf-Jw_6_0"/>
      <w:bookmarkStart w:id="882" w:name="Tc_MDBmUOjNIkC2mVULWVhu2A_5_8"/>
      <w:bookmarkStart w:id="883" w:name="Tc_au6PKkuMaUyY-X8fbNgAdg_5_2"/>
      <w:bookmarkStart w:id="884" w:name="Tc_hbd9MFut0kCb5JQVpvnsCg_5_0"/>
      <w:bookmarkStart w:id="885" w:name="Tc_KNd-rg57ME-0jDX-avzFew_4_2"/>
      <w:bookmarkStart w:id="886" w:name="Tc_OaNv7u57_Eyy01KLlLj02g_3_12"/>
      <w:bookmarkStart w:id="887" w:name="Tc_5-nyecimW06Y5IiEbadepA_3_8"/>
      <w:bookmarkStart w:id="888" w:name="Tc_J_xNfvDsZUKfXEPMIg9UAQ_3_6"/>
      <w:bookmarkStart w:id="889" w:name="Tc_SS9PkQh3fEqL9v5X72Xxew_3_2"/>
      <w:bookmarkStart w:id="890" w:name="Tc_x8o9zDeEV0O2srLE4M9n9g_2_8"/>
      <w:bookmarkStart w:id="891" w:name="Tc_cZLMP9TsRE-TAo7G9RwsXg_2_2"/>
      <w:bookmarkStart w:id="892" w:name="Tc_1OK1flYs9ke1nvE4lG1tDQ_1_2"/>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Times New Roman;Times;serif" w:hAnsi="Times New Roman;Times;serif"/>
          <w:sz w:val="20"/>
        </w:rPr>
        <w:t>31, 2022, respectively. The deferred allowance represents the portion of the allowance for subscription cancellations associated with deferred revenue.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spacing w:before="0" w:after="240"/>
        <w:ind w:left="0" w:right="0" w:firstLine="360"/>
        <w:jc w:val="both"/>
        <w:rPr/>
      </w:pPr>
      <w:r>
        <w:rPr/>
        <w:t>​</w:t>
      </w:r>
    </w:p>
    <w:tbl>
      <w:tblPr>
        <w:tblW w:w="8810" w:type="dxa"/>
        <w:jc w:val="left"/>
        <w:tblInd w:w="0" w:type="dxa"/>
        <w:tblCellMar>
          <w:top w:w="0" w:type="dxa"/>
          <w:left w:w="0" w:type="dxa"/>
          <w:bottom w:w="0" w:type="dxa"/>
          <w:right w:w="0" w:type="dxa"/>
        </w:tblCellMar>
      </w:tblPr>
      <w:tblGrid>
        <w:gridCol w:w="3316"/>
        <w:gridCol w:w="109"/>
        <w:gridCol w:w="211"/>
        <w:gridCol w:w="796"/>
        <w:gridCol w:w="326"/>
        <w:gridCol w:w="211"/>
        <w:gridCol w:w="961"/>
        <w:gridCol w:w="326"/>
        <w:gridCol w:w="211"/>
        <w:gridCol w:w="691"/>
        <w:gridCol w:w="326"/>
        <w:gridCol w:w="211"/>
        <w:gridCol w:w="961"/>
        <w:gridCol w:w="154"/>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05660" cy="175260"/>
                      <wp:effectExtent l="0" t="0" r="0" b="0"/>
                      <wp:wrapNone/>
                      <wp:docPr id="65" name="Frame65"/>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5460" cy="175260"/>
                      <wp:effectExtent l="0" t="0" r="0" b="0"/>
                      <wp:wrapNone/>
                      <wp:docPr id="68" name="Frame6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0235" cy="175260"/>
                      <wp:effectExtent l="0" t="0" r="0" b="0"/>
                      <wp:wrapNone/>
                      <wp:docPr id="71" name="Frame71"/>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38785" cy="175260"/>
                      <wp:effectExtent l="0" t="0" r="0" b="0"/>
                      <wp:wrapNone/>
                      <wp:docPr id="74" name="Frame7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10235" cy="175260"/>
                      <wp:effectExtent l="0" t="0" r="0" b="0"/>
                      <wp:wrapNone/>
                      <wp:docPr id="77" name="Frame77"/>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7790" cy="175260"/>
                      <wp:effectExtent l="0" t="0" r="0" b="0"/>
                      <wp:wrapNone/>
                      <wp:docPr id="78" name="Frame7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231"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154" w:type="dxa"/>
            <w:tcBorders/>
            <w:shd w:fill="auto"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5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2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54" w:type="dxa"/>
            <w:tcBorders/>
            <w:shd w:fill="auto" w:val="clear"/>
            <w:vAlign w:val="center"/>
          </w:tcPr>
          <w:p>
            <w:pPr>
              <w:pStyle w:val="TableContents"/>
              <w:spacing w:before="0" w:after="0"/>
              <w:ind w:left="0" w:right="0" w:hanging="0"/>
              <w:rPr/>
            </w:pPr>
            <w:r>
              <w:rPr/>
              <w:t>​</w:t>
            </w:r>
          </w:p>
        </w:tc>
      </w:tr>
      <w:tr>
        <w:trPr/>
        <w:tc>
          <w:tcPr>
            <w:tcW w:w="8810" w:type="dxa"/>
            <w:gridSpan w:val="14"/>
            <w:tcBorders/>
            <w:shd w:fill="auto" w:val="clear"/>
            <w:vAlign w:val="center"/>
          </w:tcPr>
          <w:p>
            <w:pPr>
              <w:pStyle w:val="TableContents"/>
              <w:spacing w:before="0" w:after="283"/>
              <w:ind w:left="0" w:right="0" w:hanging="0"/>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231"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4" w:type="dxa"/>
            <w:tcBorders/>
            <w:shd w:fill="auto" w:val="clear"/>
            <w:vAlign w:val="center"/>
          </w:tcPr>
          <w:p>
            <w:pPr>
              <w:pStyle w:val="TableContents"/>
              <w:spacing w:before="0" w:after="0"/>
              <w:ind w:left="0" w:right="0" w:hanging="0"/>
              <w:rPr/>
            </w:pPr>
            <w:r>
              <w:rPr/>
              <w:t>​</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Allowance balance, January 1,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(9,554)</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(9,151)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balance, March 31, </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(10,641)</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154" w:type="dxa"/>
            <w:tcBorders/>
            <w:shd w:fill="CCEEFF"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Deferred allowance balance, January 1,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7,133</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6,537</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allowance balance, March 31,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7,516</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6,098</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154" w:type="dxa"/>
            <w:tcBorders/>
            <w:shd w:fill="auto" w:val="clear"/>
            <w:vAlign w:val="center"/>
          </w:tcPr>
          <w:p>
            <w:pPr>
              <w:pStyle w:val="TableContents"/>
              <w:spacing w:before="0" w:after="0"/>
              <w:ind w:left="0" w:right="0" w:hanging="0"/>
              <w:rPr/>
            </w:pPr>
            <w:r>
              <w:rPr/>
              <w:t>​</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154" w:type="dxa"/>
            <w:tcBorders/>
            <w:shd w:fill="CCEEFF"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condensed consolidated balance sheets. The tables provide information about the balances of and changes to deferred revenue for the following periods:</w:t>
      </w:r>
    </w:p>
    <w:p>
      <w:pPr>
        <w:pStyle w:val="TextBody"/>
        <w:spacing w:before="0" w:after="0"/>
        <w:ind w:left="0" w:right="0" w:hanging="0"/>
        <w:rPr/>
      </w:pPr>
      <w:r>
        <w:rPr/>
        <w:t>​</w:t>
      </w:r>
    </w:p>
    <w:tbl>
      <w:tblPr>
        <w:tblW w:w="6113" w:type="dxa"/>
        <w:jc w:val="left"/>
        <w:tblInd w:w="0" w:type="dxa"/>
        <w:tblCellMar>
          <w:top w:w="0" w:type="dxa"/>
          <w:left w:w="0" w:type="dxa"/>
          <w:bottom w:w="0" w:type="dxa"/>
          <w:right w:w="0" w:type="dxa"/>
        </w:tblCellMar>
      </w:tblPr>
      <w:tblGrid>
        <w:gridCol w:w="2536"/>
        <w:gridCol w:w="326"/>
        <w:gridCol w:w="280"/>
        <w:gridCol w:w="1040"/>
        <w:gridCol w:w="326"/>
        <w:gridCol w:w="306"/>
        <w:gridCol w:w="1299"/>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10360" cy="175260"/>
                      <wp:effectExtent l="0" t="0" r="0" b="0"/>
                      <wp:wrapNone/>
                      <wp:docPr id="79" name="Frame79"/>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7800" cy="175260"/>
                      <wp:effectExtent l="0" t="0" r="0" b="0"/>
                      <wp:wrapNone/>
                      <wp:docPr id="81" name="Frame81"/>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0400" cy="175260"/>
                      <wp:effectExtent l="0" t="0" r="0" b="0"/>
                      <wp:wrapNone/>
                      <wp:docPr id="82" name="Frame82"/>
                      <a:graphic xmlns:a="http://schemas.openxmlformats.org/drawingml/2006/main">
                        <a:graphicData uri="http://schemas.microsoft.com/office/word/2010/wordprocessingShape">
                          <wps:wsp>
                            <wps:cNvSpPr txBox="1"/>
                            <wps:spPr>
                              <a:xfrm>
                                <a:off x="0" y="0"/>
                                <a:ext cx="660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4310" cy="175260"/>
                      <wp:effectExtent l="0" t="0" r="0" b="0"/>
                      <wp:wrapNone/>
                      <wp:docPr id="84" name="Frame84"/>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824865" cy="175260"/>
                      <wp:effectExtent l="0" t="0" r="0" b="0"/>
                      <wp:wrapNone/>
                      <wp:docPr id="85" name="Frame85"/>
                      <a:graphic xmlns:a="http://schemas.openxmlformats.org/drawingml/2006/main">
                        <a:graphicData uri="http://schemas.microsoft.com/office/word/2010/wordprocessingShape">
                          <wps:wsp>
                            <wps:cNvSpPr txBox="1"/>
                            <wps:spPr>
                              <a:xfrm>
                                <a:off x="0" y="0"/>
                                <a:ext cx="824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2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26" w:type="dxa"/>
            <w:tcBorders/>
            <w:shd w:fill="auto" w:val="clear"/>
            <w:vAlign w:val="center"/>
          </w:tcPr>
          <w:p>
            <w:pPr>
              <w:pStyle w:val="TableContents"/>
              <w:spacing w:before="0" w:after="0"/>
              <w:ind w:left="0" w:right="0" w:hanging="0"/>
              <w:rPr/>
            </w:pPr>
            <w:r>
              <w:rPr/>
              <w:t>​</w:t>
            </w:r>
          </w:p>
        </w:tc>
        <w:tc>
          <w:tcPr>
            <w:tcW w:w="16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2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jc w:val="center"/>
              <w:rPr/>
            </w:pPr>
            <w:r>
              <w:rPr/>
              <w:t>    </w:t>
            </w:r>
          </w:p>
        </w:tc>
        <w:tc>
          <w:tcPr>
            <w:tcW w:w="306" w:type="dxa"/>
            <w:tcBorders/>
            <w:shd w:fill="auto" w:val="clear"/>
            <w:vAlign w:val="center"/>
          </w:tcPr>
          <w:p>
            <w:pPr>
              <w:pStyle w:val="TableContents"/>
              <w:spacing w:before="0" w:after="0"/>
              <w:ind w:left="0" w:right="0" w:hanging="0"/>
              <w:jc w:val="center"/>
              <w:rPr/>
            </w:pPr>
            <w:r>
              <w:rPr/>
              <w:t>​</w:t>
            </w:r>
          </w:p>
        </w:tc>
        <w:tc>
          <w:tcPr>
            <w:tcW w:w="1299" w:type="dxa"/>
            <w:tcBorders/>
            <w:shd w:fill="auto" w:val="clear"/>
            <w:vAlign w:val="center"/>
          </w:tcPr>
          <w:p>
            <w:pPr>
              <w:pStyle w:val="TableContents"/>
              <w:spacing w:before="0" w:after="0"/>
              <w:ind w:left="0" w:right="0" w:hanging="0"/>
              <w:jc w:val="center"/>
              <w:rPr/>
            </w:pPr>
            <w:r>
              <w:rPr/>
              <w:t>​</w:t>
            </w:r>
          </w:p>
        </w:tc>
      </w:tr>
      <w:tr>
        <w:trPr/>
        <w:tc>
          <w:tcPr>
            <w:tcW w:w="25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Balances:</w:t>
            </w:r>
          </w:p>
        </w:tc>
        <w:tc>
          <w:tcPr>
            <w:tcW w:w="326" w:type="dxa"/>
            <w:tcBorders/>
            <w:shd w:fill="CCEEFF" w:val="clear"/>
            <w:vAlign w:val="center"/>
          </w:tcPr>
          <w:p>
            <w:pPr>
              <w:pStyle w:val="TableContents"/>
              <w:spacing w:before="0" w:after="0"/>
              <w:ind w:left="0" w:right="0" w:hanging="0"/>
              <w:rPr/>
            </w:pPr>
            <w:r>
              <w:rPr/>
              <w:t> </w:t>
            </w:r>
          </w:p>
        </w:tc>
        <w:tc>
          <w:tcPr>
            <w:tcW w:w="280" w:type="dxa"/>
            <w:tcBorders/>
            <w:shd w:fill="CCEEFF" w:val="clear"/>
            <w:vAlign w:val="center"/>
          </w:tcPr>
          <w:p>
            <w:pPr>
              <w:pStyle w:val="TableContents"/>
              <w:spacing w:before="0" w:after="0"/>
              <w:ind w:left="0" w:right="0" w:hanging="0"/>
              <w:rPr/>
            </w:pPr>
            <w:r>
              <w:rPr/>
              <w:t>​</w:t>
            </w:r>
          </w:p>
        </w:tc>
        <w:tc>
          <w:tcPr>
            <w:tcW w:w="104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306" w:type="dxa"/>
            <w:tcBorders/>
            <w:shd w:fill="CCEEFF" w:val="clear"/>
            <w:vAlign w:val="center"/>
          </w:tcPr>
          <w:p>
            <w:pPr>
              <w:pStyle w:val="TableContents"/>
              <w:spacing w:before="0" w:after="0"/>
              <w:ind w:left="0" w:right="0" w:hanging="0"/>
              <w:rPr/>
            </w:pPr>
            <w:r>
              <w:rPr/>
              <w:t>​</w:t>
            </w:r>
          </w:p>
        </w:tc>
        <w:tc>
          <w:tcPr>
            <w:tcW w:w="1299" w:type="dxa"/>
            <w:tcBorders/>
            <w:shd w:fill="CCEEFF" w:val="clear"/>
            <w:vAlign w:val="center"/>
          </w:tcPr>
          <w:p>
            <w:pPr>
              <w:pStyle w:val="TableContents"/>
              <w:spacing w:before="0" w:after="0"/>
              <w:ind w:left="0" w:right="0" w:hanging="0"/>
              <w:jc w:val="right"/>
              <w:rPr/>
            </w:pPr>
            <w:r>
              <w:rPr/>
              <w:t>  </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current</w:t>
            </w:r>
          </w:p>
        </w:tc>
        <w:tc>
          <w:tcPr>
            <w:tcW w:w="326" w:type="dxa"/>
            <w:tcBorders/>
            <w:shd w:fill="auto" w:val="clear"/>
            <w:vAlign w:val="center"/>
          </w:tcPr>
          <w:p>
            <w:pPr>
              <w:pStyle w:val="TableContents"/>
              <w:spacing w:before="0" w:after="0"/>
              <w:ind w:left="0" w:right="0" w:hanging="0"/>
              <w:rPr/>
            </w:pPr>
            <w:r>
              <w:rPr/>
              <w:t>​</w:t>
            </w:r>
          </w:p>
        </w:tc>
        <w:tc>
          <w:tcPr>
            <w:tcW w:w="2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276,004</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268,847</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non-current</w:t>
            </w:r>
          </w:p>
        </w:tc>
        <w:tc>
          <w:tcPr>
            <w:tcW w:w="326" w:type="dxa"/>
            <w:tcBorders/>
            <w:shd w:fill="CCEEFF" w:val="clear"/>
            <w:vAlign w:val="center"/>
          </w:tcPr>
          <w:p>
            <w:pPr>
              <w:pStyle w:val="TableContents"/>
              <w:spacing w:before="0" w:after="0"/>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7,112</w:t>
            </w:r>
          </w:p>
        </w:tc>
        <w:tc>
          <w:tcPr>
            <w:tcW w:w="326" w:type="dxa"/>
            <w:tcBorders/>
            <w:shd w:fill="CCEEFF" w:val="clear"/>
            <w:vAlign w:val="center"/>
          </w:tcPr>
          <w:p>
            <w:pPr>
              <w:pStyle w:val="TableContents"/>
              <w:spacing w:before="0" w:after="0"/>
              <w:ind w:left="0" w:right="0" w:hanging="0"/>
              <w:rPr/>
            </w:pPr>
            <w:r>
              <w:rPr/>
              <w:t>​</w:t>
            </w:r>
          </w:p>
        </w:tc>
        <w:tc>
          <w:tcPr>
            <w:tcW w:w="3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9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10,289</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revenue</w:t>
            </w:r>
          </w:p>
        </w:tc>
        <w:tc>
          <w:tcPr>
            <w:tcW w:w="326" w:type="dxa"/>
            <w:tcBorders/>
            <w:shd w:fill="auto" w:val="clear"/>
            <w:vAlign w:val="center"/>
          </w:tcPr>
          <w:p>
            <w:pPr>
              <w:pStyle w:val="TableContents"/>
              <w:spacing w:before="0" w:after="0"/>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283,116</w:t>
            </w:r>
          </w:p>
        </w:tc>
        <w:tc>
          <w:tcPr>
            <w:tcW w:w="326" w:type="dxa"/>
            <w:tcBorders/>
            <w:shd w:fill="auto" w:val="clear"/>
            <w:vAlign w:val="center"/>
          </w:tcPr>
          <w:p>
            <w:pPr>
              <w:pStyle w:val="TableContents"/>
              <w:spacing w:before="0" w:after="0"/>
              <w:ind w:left="0" w:right="0" w:hanging="0"/>
              <w:rPr/>
            </w:pPr>
            <w:r>
              <w:rPr/>
              <w:t>​</w:t>
            </w:r>
          </w:p>
        </w:tc>
        <w:tc>
          <w:tcPr>
            <w:tcW w:w="30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279,136</w:t>
            </w:r>
          </w:p>
        </w:tc>
      </w:tr>
    </w:tbl>
    <w:p>
      <w:pPr>
        <w:pStyle w:val="TextBody"/>
        <w:spacing w:before="0" w:after="0"/>
        <w:ind w:left="0" w:right="0" w:hanging="0"/>
        <w:rPr/>
      </w:pPr>
      <w:r>
        <w:rPr/>
        <w:t>​</w:t>
      </w:r>
    </w:p>
    <w:tbl>
      <w:tblPr>
        <w:tblW w:w="5800" w:type="dxa"/>
        <w:jc w:val="left"/>
        <w:tblInd w:w="0" w:type="dxa"/>
        <w:tblCellMar>
          <w:top w:w="0" w:type="dxa"/>
          <w:left w:w="0" w:type="dxa"/>
          <w:bottom w:w="0" w:type="dxa"/>
          <w:right w:w="0" w:type="dxa"/>
        </w:tblCellMar>
      </w:tblPr>
      <w:tblGrid>
        <w:gridCol w:w="2491"/>
        <w:gridCol w:w="326"/>
        <w:gridCol w:w="242"/>
        <w:gridCol w:w="1036"/>
        <w:gridCol w:w="375"/>
        <w:gridCol w:w="242"/>
        <w:gridCol w:w="1088"/>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581785" cy="175260"/>
                      <wp:effectExtent l="0" t="0" r="0" b="0"/>
                      <wp:wrapNone/>
                      <wp:docPr id="86" name="Frame86"/>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3670" cy="175260"/>
                      <wp:effectExtent l="0" t="0" r="0" b="0"/>
                      <wp:wrapNone/>
                      <wp:docPr id="88" name="Frame88"/>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57860" cy="175260"/>
                      <wp:effectExtent l="0" t="0" r="0" b="0"/>
                      <wp:wrapNone/>
                      <wp:docPr id="89" name="Frame8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38125" cy="175260"/>
                      <wp:effectExtent l="0" t="0" r="0" b="0"/>
                      <wp:wrapNone/>
                      <wp:docPr id="90" name="Frame90"/>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3670" cy="175260"/>
                      <wp:effectExtent l="0" t="0" r="0" b="0"/>
                      <wp:wrapNone/>
                      <wp:docPr id="91" name="Frame91"/>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0880" cy="175260"/>
                      <wp:effectExtent l="0" t="0" r="0" b="0"/>
                      <wp:wrapNone/>
                      <wp:docPr id="92" name="Frame92"/>
                      <a:graphic xmlns:a="http://schemas.openxmlformats.org/drawingml/2006/main">
                        <a:graphicData uri="http://schemas.microsoft.com/office/word/2010/wordprocessingShape">
                          <wps:wsp>
                            <wps:cNvSpPr txBox="1"/>
                            <wps:spPr>
                              <a:xfrm>
                                <a:off x="0" y="0"/>
                                <a:ext cx="690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8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7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5" w:type="dxa"/>
            <w:tcBorders/>
            <w:shd w:fill="auto" w:val="clear"/>
            <w:vAlign w:val="center"/>
          </w:tcPr>
          <w:p>
            <w:pPr>
              <w:pStyle w:val="TableContents"/>
              <w:spacing w:before="0" w:after="0"/>
              <w:ind w:left="0" w:right="0" w:hanging="0"/>
              <w:rPr/>
            </w:pPr>
            <w:r>
              <w:rPr/>
              <w:t>​</w:t>
            </w:r>
          </w:p>
        </w:tc>
        <w:tc>
          <w:tcPr>
            <w:tcW w:w="13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00"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8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9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26" w:type="dxa"/>
            <w:tcBorders/>
            <w:shd w:fill="CCEEFF" w:val="clear"/>
            <w:vAlign w:val="center"/>
          </w:tcPr>
          <w:p>
            <w:pPr>
              <w:pStyle w:val="TableContents"/>
              <w:spacing w:before="0" w:after="0"/>
              <w:ind w:left="0" w:right="0" w:hanging="0"/>
              <w:rPr/>
            </w:pPr>
            <w:r>
              <w:rPr/>
              <w:t>    </w:t>
            </w:r>
          </w:p>
        </w:tc>
        <w:tc>
          <w:tcPr>
            <w:tcW w:w="242"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c>
          <w:tcPr>
            <w:tcW w:w="375" w:type="dxa"/>
            <w:tcBorders/>
            <w:shd w:fill="CCEEFF" w:val="clear"/>
            <w:vAlign w:val="center"/>
          </w:tcPr>
          <w:p>
            <w:pPr>
              <w:pStyle w:val="TableContents"/>
              <w:spacing w:before="0" w:after="0"/>
              <w:ind w:left="0" w:right="0" w:hanging="0"/>
              <w:rPr/>
            </w:pPr>
            <w:r>
              <w:rPr/>
              <w:t>    </w:t>
            </w:r>
          </w:p>
        </w:tc>
        <w:tc>
          <w:tcPr>
            <w:tcW w:w="242" w:type="dxa"/>
            <w:tcBorders/>
            <w:shd w:fill="CCEEFF" w:val="clear"/>
            <w:vAlign w:val="center"/>
          </w:tcPr>
          <w:p>
            <w:pPr>
              <w:pStyle w:val="TableContents"/>
              <w:spacing w:before="0" w:after="0"/>
              <w:ind w:left="0" w:right="0" w:hanging="0"/>
              <w:rPr/>
            </w:pPr>
            <w:r>
              <w:rPr/>
              <w:t>​</w:t>
            </w:r>
          </w:p>
        </w:tc>
        <w:tc>
          <w:tcPr>
            <w:tcW w:w="1088" w:type="dxa"/>
            <w:tcBorders/>
            <w:shd w:fill="CCEEFF" w:val="clear"/>
            <w:vAlign w:val="center"/>
          </w:tcPr>
          <w:p>
            <w:pPr>
              <w:pStyle w:val="TableContents"/>
              <w:spacing w:before="0" w:after="0"/>
              <w:ind w:left="0" w:right="0" w:hanging="0"/>
              <w:jc w:val="right"/>
              <w:rPr/>
            </w:pPr>
            <w:r>
              <w:rPr/>
              <w:t>  </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279,136</w:t>
            </w:r>
          </w:p>
        </w:tc>
        <w:tc>
          <w:tcPr>
            <w:tcW w:w="375"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249,010</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amounts deferred</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136,731</w:t>
            </w:r>
          </w:p>
        </w:tc>
        <w:tc>
          <w:tcPr>
            <w:tcW w:w="375"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pPr>
            <w:r>
              <w:rPr/>
              <w:t> </w:t>
            </w:r>
          </w:p>
        </w:tc>
        <w:tc>
          <w:tcPr>
            <w:tcW w:w="10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111,689</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 recognized</w:t>
            </w:r>
          </w:p>
        </w:tc>
        <w:tc>
          <w:tcPr>
            <w:tcW w:w="326"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(132,751)</w:t>
            </w:r>
          </w:p>
        </w:tc>
        <w:tc>
          <w:tcPr>
            <w:tcW w:w="375" w:type="dxa"/>
            <w:tcBorders/>
            <w:shd w:fill="auto" w:val="clear"/>
            <w:vAlign w:val="center"/>
          </w:tcPr>
          <w:p>
            <w:pPr>
              <w:pStyle w:val="TableContents"/>
              <w:spacing w:before="0" w:after="0"/>
              <w:ind w:left="0" w:right="0" w:hanging="0"/>
              <w:rPr/>
            </w:pPr>
            <w:r>
              <w:rPr/>
              <w:t>​</w:t>
            </w:r>
          </w:p>
        </w:tc>
        <w:tc>
          <w:tcPr>
            <w:tcW w:w="24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(114,984)</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0"/>
              <w:ind w:left="0" w:right="0" w:hanging="0"/>
              <w:rPr/>
            </w:pPr>
            <w:r>
              <w:rPr/>
              <w:t>​</w:t>
            </w:r>
          </w:p>
        </w:tc>
        <w:tc>
          <w:tcPr>
            <w:tcW w:w="2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283,116</w:t>
            </w:r>
          </w:p>
        </w:tc>
        <w:tc>
          <w:tcPr>
            <w:tcW w:w="375" w:type="dxa"/>
            <w:tcBorders/>
            <w:shd w:fill="CCEEFF" w:val="clear"/>
            <w:vAlign w:val="center"/>
          </w:tcPr>
          <w:p>
            <w:pPr>
              <w:pStyle w:val="TableContents"/>
              <w:spacing w:before="0" w:after="0"/>
              <w:ind w:left="0" w:right="0" w:hanging="0"/>
              <w:rPr/>
            </w:pPr>
            <w:r>
              <w:rPr/>
              <w:t>​</w:t>
            </w:r>
          </w:p>
        </w:tc>
        <w:tc>
          <w:tcPr>
            <w:tcW w:w="24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245,715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Contract costs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bookmarkStart w:id="893" w:name="Tc_gQHUjdwv_0-kOpICyV45yg_8_5"/>
      <w:bookmarkStart w:id="894" w:name="Tc_biq3V7ZDvE2rFPUGfnr5Uw_8_2"/>
      <w:bookmarkStart w:id="895" w:name="Tc_4_FQP6ClzE2SHhHaJSdwXg_8_0"/>
      <w:bookmarkStart w:id="896" w:name="Tc_YQVxVf13g0Oi16WXsK2INw_7_0"/>
      <w:bookmarkStart w:id="897" w:name="Tc_BDyNelpZsEa58NsgGimI2g_6_0"/>
      <w:bookmarkStart w:id="898" w:name="Tc_uB7iqgmK40GRfafMMpsHZw_5_5"/>
      <w:bookmarkStart w:id="899" w:name="Tc_y8bCVoxXmEKTgRXuUI7epQ_5_2"/>
      <w:bookmarkStart w:id="900" w:name="Tc_SxkQSdYGp0Gkm0m9mN5Cvw_5_0"/>
      <w:bookmarkStart w:id="901" w:name="Tc_2QzuD6fi2kmoP6XQUY6j-g_4_0"/>
      <w:bookmarkStart w:id="902" w:name="Tc_pQdCwq4vHEuXtFX-pJRM8Q_3_2"/>
      <w:bookmarkStart w:id="903" w:name="Tc_dLBxIXBuqk2J0oQc9Sii0A_2_5"/>
      <w:bookmarkStart w:id="904" w:name="Tc_AlSjWGm1gUiLxYOPSAN1sg_2_2"/>
      <w:bookmarkStart w:id="905" w:name="Tc_0JGjJvIFsE2lAhVHYCTX6w_1_2"/>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Times New Roman;Times;serif" w:hAnsi="Times New Roman;Times;serif"/>
          <w:sz w:val="20"/>
        </w:rPr>
        <w:t>The changes to contract cost balances as of and for the following periods are:</w:t>
      </w:r>
    </w:p>
    <w:p>
      <w:pPr>
        <w:pStyle w:val="TextBody"/>
        <w:spacing w:before="0" w:after="0"/>
        <w:ind w:left="0" w:right="0" w:hanging="0"/>
        <w:rPr/>
      </w:pPr>
      <w:r>
        <w:rPr/>
        <w:t>​</w:t>
      </w:r>
    </w:p>
    <w:tbl>
      <w:tblPr>
        <w:tblW w:w="5276" w:type="dxa"/>
        <w:jc w:val="left"/>
        <w:tblInd w:w="0" w:type="dxa"/>
        <w:tblCellMar>
          <w:top w:w="0" w:type="dxa"/>
          <w:left w:w="0" w:type="dxa"/>
          <w:bottom w:w="0" w:type="dxa"/>
          <w:right w:w="0" w:type="dxa"/>
        </w:tblCellMar>
      </w:tblPr>
      <w:tblGrid>
        <w:gridCol w:w="1966"/>
        <w:gridCol w:w="326"/>
        <w:gridCol w:w="282"/>
        <w:gridCol w:w="925"/>
        <w:gridCol w:w="436"/>
        <w:gridCol w:w="282"/>
        <w:gridCol w:w="1059"/>
      </w:tblGrid>
      <w:tr>
        <w:trPr/>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48410" cy="175260"/>
                      <wp:effectExtent l="0" t="0" r="0" b="0"/>
                      <wp:wrapNone/>
                      <wp:docPr id="93" name="Frame93"/>
                      <a:graphic xmlns:a="http://schemas.openxmlformats.org/drawingml/2006/main">
                        <a:graphicData uri="http://schemas.microsoft.com/office/word/2010/wordprocessingShape">
                          <wps:wsp>
                            <wps:cNvSpPr txBox="1"/>
                            <wps:spPr>
                              <a:xfrm>
                                <a:off x="0" y="0"/>
                                <a:ext cx="1248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79070" cy="175260"/>
                      <wp:effectExtent l="0" t="0" r="0" b="0"/>
                      <wp:wrapNone/>
                      <wp:docPr id="95" name="Frame95"/>
                      <a:graphic xmlns:a="http://schemas.openxmlformats.org/drawingml/2006/main">
                        <a:graphicData uri="http://schemas.microsoft.com/office/word/2010/wordprocessingShape">
                          <wps:wsp>
                            <wps:cNvSpPr txBox="1"/>
                            <wps:spPr>
                              <a:xfrm>
                                <a:off x="0" y="0"/>
                                <a:ext cx="179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87375" cy="175260"/>
                      <wp:effectExtent l="0" t="0" r="0" b="0"/>
                      <wp:wrapNone/>
                      <wp:docPr id="96" name="Frame96"/>
                      <a:graphic xmlns:a="http://schemas.openxmlformats.org/drawingml/2006/main">
                        <a:graphicData uri="http://schemas.microsoft.com/office/word/2010/wordprocessingShape">
                          <wps:wsp>
                            <wps:cNvSpPr txBox="1"/>
                            <wps:spPr>
                              <a:xfrm>
                                <a:off x="0" y="0"/>
                                <a:ext cx="587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76860" cy="175260"/>
                      <wp:effectExtent l="0" t="0" r="0" b="0"/>
                      <wp:wrapNone/>
                      <wp:docPr id="97" name="Frame97"/>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9070" cy="175260"/>
                      <wp:effectExtent l="0" t="0" r="0" b="0"/>
                      <wp:wrapNone/>
                      <wp:docPr id="98" name="Frame98"/>
                      <a:graphic xmlns:a="http://schemas.openxmlformats.org/drawingml/2006/main">
                        <a:graphicData uri="http://schemas.microsoft.com/office/word/2010/wordprocessingShape">
                          <wps:wsp>
                            <wps:cNvSpPr txBox="1"/>
                            <wps:spPr>
                              <a:xfrm>
                                <a:off x="0" y="0"/>
                                <a:ext cx="179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72465" cy="175260"/>
                      <wp:effectExtent l="0" t="0" r="0" b="0"/>
                      <wp:wrapNone/>
                      <wp:docPr id="99" name="Frame99"/>
                      <a:graphic xmlns:a="http://schemas.openxmlformats.org/drawingml/2006/main">
                        <a:graphicData uri="http://schemas.microsoft.com/office/word/2010/wordprocessingShape">
                          <wps:wsp>
                            <wps:cNvSpPr txBox="1"/>
                            <wps:spPr>
                              <a:xfrm>
                                <a:off x="0" y="0"/>
                                <a:ext cx="672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8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6" w:type="dxa"/>
            <w:tcBorders/>
            <w:shd w:fill="auto" w:val="clear"/>
            <w:vAlign w:val="center"/>
          </w:tcPr>
          <w:p>
            <w:pPr>
              <w:pStyle w:val="TableContents"/>
              <w:spacing w:before="0" w:after="0"/>
              <w:ind w:left="0" w:right="0" w:hanging="0"/>
              <w:rPr/>
            </w:pPr>
            <w:r>
              <w:rPr/>
              <w:t>​</w:t>
            </w:r>
          </w:p>
        </w:tc>
        <w:tc>
          <w:tcPr>
            <w:tcW w:w="13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76"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8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commissions:</w:t>
            </w:r>
          </w:p>
        </w:tc>
        <w:tc>
          <w:tcPr>
            <w:tcW w:w="326" w:type="dxa"/>
            <w:tcBorders/>
            <w:shd w:fill="CCEEFF" w:val="clear"/>
            <w:vAlign w:val="center"/>
          </w:tcPr>
          <w:p>
            <w:pPr>
              <w:pStyle w:val="TableContents"/>
              <w:spacing w:before="0" w:after="0"/>
              <w:ind w:left="0" w:right="0" w:hanging="0"/>
              <w:rPr/>
            </w:pPr>
            <w:r>
              <w:rPr/>
              <w:t>    </w:t>
            </w:r>
          </w:p>
        </w:tc>
        <w:tc>
          <w:tcPr>
            <w:tcW w:w="282" w:type="dxa"/>
            <w:tcBorders/>
            <w:shd w:fill="CCEEFF" w:val="clear"/>
            <w:vAlign w:val="center"/>
          </w:tcPr>
          <w:p>
            <w:pPr>
              <w:pStyle w:val="TableContents"/>
              <w:spacing w:before="0" w:after="0"/>
              <w:ind w:left="0" w:right="0" w:hanging="0"/>
              <w:jc w:val="right"/>
              <w:rPr/>
            </w:pPr>
            <w:r>
              <w:rPr/>
              <w:t>​</w:t>
            </w:r>
          </w:p>
        </w:tc>
        <w:tc>
          <w:tcPr>
            <w:tcW w:w="925" w:type="dxa"/>
            <w:tcBorders/>
            <w:shd w:fill="CCEEFF" w:val="clear"/>
            <w:vAlign w:val="center"/>
          </w:tcPr>
          <w:p>
            <w:pPr>
              <w:pStyle w:val="TableContents"/>
              <w:spacing w:before="0" w:after="0"/>
              <w:ind w:left="0" w:right="0" w:hanging="0"/>
              <w:jc w:val="right"/>
              <w:rPr/>
            </w:pPr>
            <w:r>
              <w:rPr/>
              <w:t>  </w:t>
            </w:r>
          </w:p>
        </w:tc>
        <w:tc>
          <w:tcPr>
            <w:tcW w:w="436" w:type="dxa"/>
            <w:tcBorders/>
            <w:shd w:fill="CCEEFF" w:val="clear"/>
            <w:vAlign w:val="center"/>
          </w:tcPr>
          <w:p>
            <w:pPr>
              <w:pStyle w:val="TableContents"/>
              <w:spacing w:before="0" w:after="0"/>
              <w:ind w:left="0" w:right="0" w:hanging="0"/>
              <w:rPr/>
            </w:pPr>
            <w:r>
              <w:rPr/>
              <w:t>    </w:t>
            </w:r>
          </w:p>
        </w:tc>
        <w:tc>
          <w:tcPr>
            <w:tcW w:w="282" w:type="dxa"/>
            <w:tcBorders/>
            <w:shd w:fill="CCEEFF" w:val="clear"/>
            <w:vAlign w:val="center"/>
          </w:tcPr>
          <w:p>
            <w:pPr>
              <w:pStyle w:val="TableContents"/>
              <w:spacing w:before="0" w:after="0"/>
              <w:ind w:left="0" w:right="0" w:hanging="0"/>
              <w:rPr/>
            </w:pPr>
            <w:r>
              <w:rPr/>
              <w:t>​</w:t>
            </w:r>
          </w:p>
        </w:tc>
        <w:tc>
          <w:tcPr>
            <w:tcW w:w="1059" w:type="dxa"/>
            <w:tcBorders/>
            <w:shd w:fill="CCEEFF" w:val="clear"/>
            <w:vAlign w:val="center"/>
          </w:tcPr>
          <w:p>
            <w:pPr>
              <w:pStyle w:val="TableContents"/>
              <w:spacing w:before="0" w:after="0"/>
              <w:ind w:left="0" w:right="0" w:hanging="0"/>
              <w:jc w:val="right"/>
              <w:rPr/>
            </w:pPr>
            <w:r>
              <w:rPr/>
              <w:t>  </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15,463</w:t>
            </w:r>
          </w:p>
        </w:tc>
        <w:tc>
          <w:tcPr>
            <w:tcW w:w="43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12,555</w:t>
            </w:r>
          </w:p>
        </w:tc>
      </w:tr>
      <w:tr>
        <w:trPr/>
        <w:tc>
          <w:tcPr>
            <w:tcW w:w="1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c>
          <w:tcPr>
            <w:tcW w:w="43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pPr>
            <w:r>
              <w:rPr/>
              <w:t> </w:t>
            </w:r>
          </w:p>
        </w:tc>
        <w:tc>
          <w:tcPr>
            <w:tcW w:w="105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1,750</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w:t>
            </w:r>
          </w:p>
        </w:tc>
        <w:tc>
          <w:tcPr>
            <w:tcW w:w="326" w:type="dxa"/>
            <w:tcBorders/>
            <w:shd w:fill="auto" w:val="clear"/>
            <w:vAlign w:val="center"/>
          </w:tcPr>
          <w:p>
            <w:pPr>
              <w:pStyle w:val="TableContents"/>
              <w:spacing w:before="0" w:after="0"/>
              <w:ind w:left="0" w:right="0" w:hanging="0"/>
              <w:rPr/>
            </w:pPr>
            <w:r>
              <w:rPr/>
              <w:t>​</w:t>
            </w:r>
          </w:p>
        </w:tc>
        <w:tc>
          <w:tcPr>
            <w:tcW w:w="28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c>
          <w:tcPr>
            <w:tcW w:w="436" w:type="dxa"/>
            <w:tcBorders/>
            <w:shd w:fill="auto" w:val="clear"/>
            <w:vAlign w:val="center"/>
          </w:tcPr>
          <w:p>
            <w:pPr>
              <w:pStyle w:val="TableContents"/>
              <w:spacing w:before="0" w:after="0"/>
              <w:ind w:left="0" w:right="0" w:hanging="0"/>
              <w:rPr/>
            </w:pPr>
            <w:r>
              <w:rPr/>
              <w:t>​</w:t>
            </w:r>
          </w:p>
        </w:tc>
        <w:tc>
          <w:tcPr>
            <w:tcW w:w="28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(2,626)</w:t>
            </w:r>
          </w:p>
        </w:tc>
      </w:tr>
      <w:tr>
        <w:trPr/>
        <w:tc>
          <w:tcPr>
            <w:tcW w:w="1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0"/>
              <w:ind w:left="0" w:right="0" w:hanging="0"/>
              <w:rPr/>
            </w:pPr>
            <w:r>
              <w:rPr/>
              <w:t>​</w:t>
            </w:r>
          </w:p>
        </w:tc>
        <w:tc>
          <w:tcPr>
            <w:tcW w:w="28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15,921</w:t>
            </w:r>
          </w:p>
        </w:tc>
        <w:tc>
          <w:tcPr>
            <w:tcW w:w="436" w:type="dxa"/>
            <w:tcBorders/>
            <w:shd w:fill="CCEEFF" w:val="clear"/>
            <w:vAlign w:val="center"/>
          </w:tcPr>
          <w:p>
            <w:pPr>
              <w:pStyle w:val="TableContents"/>
              <w:spacing w:before="0" w:after="0"/>
              <w:ind w:left="0" w:right="0" w:hanging="0"/>
              <w:rPr/>
            </w:pPr>
            <w:r>
              <w:rPr/>
              <w:t>​</w:t>
            </w:r>
          </w:p>
        </w:tc>
        <w:tc>
          <w:tcPr>
            <w:tcW w:w="28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11,679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sz w:val="20"/>
        </w:rPr>
      </w:pPr>
      <w:bookmarkStart w:id="906" w:name="Tc_8R1v6NRKTEuOUyJovHOs_w_16_12"/>
      <w:bookmarkStart w:id="907" w:name="Tc_S7qBFXXjxki2GM6mbyM6wg_16_6"/>
      <w:bookmarkStart w:id="908" w:name="Tc_jRcro17EzEC8nHVSbgBbLQ_16_0"/>
      <w:bookmarkStart w:id="909" w:name="Tc_nr9mqDd1oUuHu1Waoi1hKg_15_9"/>
      <w:bookmarkStart w:id="910" w:name="Tc_u23IKA33Q0CDglQTyKtpXw_15_6"/>
      <w:bookmarkStart w:id="911" w:name="Tc_AlfDb_cbxEeRlP4kuVv0cQ_15_0"/>
      <w:bookmarkStart w:id="912" w:name="Tc_pnxn9CtRrEG4lpwVXqDAbw_14_12"/>
      <w:bookmarkStart w:id="913" w:name="Tc_6r96UJunf0-GgIKBdVOwGg_14_6"/>
      <w:bookmarkStart w:id="914" w:name="Tc_NNAkqxSjaU6QrJ_muqQkMQ_14_0"/>
      <w:bookmarkStart w:id="915" w:name="Tc_KiMdS7FEI0OcHlVHXooCIA_13_12"/>
      <w:bookmarkStart w:id="916" w:name="Tc_ksGb5gNUV0GwoSr3zRCKGA_13_6"/>
      <w:bookmarkStart w:id="917" w:name="Tc_dw_Tl3P15kCidSq2399BVw_13_0"/>
      <w:bookmarkStart w:id="918" w:name="Tc_dXkNJFkvkkiUwAaUNPW1PQ_12_12"/>
      <w:bookmarkStart w:id="919" w:name="Tc_9V5uop1D90KYZD4Yt7zOEA_12_11"/>
      <w:bookmarkStart w:id="920" w:name="Tc_mMsEriuvzkKRF2wdE-C_fQ_12_9"/>
      <w:bookmarkStart w:id="921" w:name="Tc_9fqs7mN5wkOtbntfm_ZYyw_12_8"/>
      <w:bookmarkStart w:id="922" w:name="Tc_-u8rnxwlNESJ26w9kJBlMQ_12_5"/>
      <w:bookmarkStart w:id="923" w:name="Tc_7QfUM-slvEmqdSel9mRVfQ_12_2"/>
      <w:bookmarkStart w:id="924" w:name="Tc_DfTrpWWXKEef4N_JiJQ-9Q_12_0"/>
      <w:bookmarkStart w:id="925" w:name="Tc_APeqtwnKJ0Wx-6CXGy2EuQ_11_11"/>
      <w:bookmarkStart w:id="926" w:name="Tc_wRKxbUmq1kaDJYID1esUfg_11_8"/>
      <w:bookmarkStart w:id="927" w:name="Tc_M19IToxXJEKkYYGxA0j8Cw_11_5"/>
      <w:bookmarkStart w:id="928" w:name="Tc__YzLik-rvEmwtC3EhRpyIQ_11_2"/>
      <w:bookmarkStart w:id="929" w:name="Tc_pljWknD3XkC_CSTVvZqMiw_11_0"/>
      <w:bookmarkStart w:id="930" w:name="Tc_bq10vHXT0ECl90h6j0abFg_10_2"/>
      <w:bookmarkStart w:id="931" w:name="Tc_ta5G-DW7t06NOW_DUvlacw_7_12"/>
      <w:bookmarkStart w:id="932" w:name="Tc_3tXANDqZuU2SBt_2Nv1TLw_7_6"/>
      <w:bookmarkStart w:id="933" w:name="Tc_KNK1gwDmIEuZIx5ZS7TP4w_7_0"/>
      <w:bookmarkStart w:id="934" w:name="Tc_ssF5wqmnAEmmtdulbh8eJg_6_9"/>
      <w:bookmarkStart w:id="935" w:name="Tc_EblwHzhNcEWyGI1MCBgfeA_6_6"/>
      <w:bookmarkStart w:id="936" w:name="Tc_VrRmqU8HqkK1DEB-RF3ixw_6_0"/>
      <w:bookmarkStart w:id="937" w:name="Tc_HLgBWCAwJ0K2s_Xe5jKBvg_5_12"/>
      <w:bookmarkStart w:id="938" w:name="Tc_5Uyhm2gl_0eeUsOOD6Y1Og_5_6"/>
      <w:bookmarkStart w:id="939" w:name="Tc_WWCVadXxPESPmlhEdVcVrg_5_0"/>
      <w:bookmarkStart w:id="940" w:name="Tc_TVvtbh1JY0GjOs6pF13MeA_4_12"/>
      <w:bookmarkStart w:id="941" w:name="Tc_Ua0S7r1oZUiPuexfC6bF8Q_4_6"/>
      <w:bookmarkStart w:id="942" w:name="Tc_Mzpe1q4Vg0qKruPUy5EY3w_4_0"/>
      <w:bookmarkStart w:id="943" w:name="Tc_JNMBPUW9NkiyC57nbW6_Ew_3_12"/>
      <w:bookmarkStart w:id="944" w:name="Tc_GRUeqCdIB0qkWwMCE05Ckw_3_11"/>
      <w:bookmarkStart w:id="945" w:name="Tc_udf4RjIxW0KS4SA0-ujhbA_3_9"/>
      <w:bookmarkStart w:id="946" w:name="Tc_sWpGEKTF-0uRZcmEuKF8oQ_3_8"/>
      <w:bookmarkStart w:id="947" w:name="Tc_Q6KRi6PhZ0KWlCc2tBDqMA_3_5"/>
      <w:bookmarkStart w:id="948" w:name="Tc_VyFnBpJPG025Wi9_seL6mw_3_2"/>
      <w:bookmarkStart w:id="949" w:name="Tc_ZiiWFGFXPEKqbKLEX27hAw_3_0"/>
      <w:bookmarkStart w:id="950" w:name="Tc_VCnXVCsTZ0ywhEMBMWK9yw_2_11"/>
      <w:bookmarkStart w:id="951" w:name="Tc_yrJp1pYqmUOC2DKgvJWSfA_2_8"/>
      <w:bookmarkStart w:id="952" w:name="Tc_GSQUb6Mx9kehYv4gmqOtqg_2_5"/>
      <w:bookmarkStart w:id="953" w:name="Tc_60SPMflg5Eq8Ip0I6kxoEg_2_2"/>
      <w:bookmarkStart w:id="954" w:name="Tc_S0eI6-YMYEOwu_CXkFMgMA_2_0"/>
      <w:bookmarkStart w:id="955" w:name="Tc_MaGC-A8RH0Oo2pnyL08bRg_1_2"/>
      <w:bookmarkStart w:id="956" w:name="_Hlk71285014"/>
      <w:bookmarkStart w:id="957" w:name="_Hlk71703622"/>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r>
        <w:rPr>
          <w:rFonts w:ascii="Times New Roman;Times;serif" w:hAnsi="Times New Roman;Times;serif"/>
          <w:b/>
          <w:sz w:val="20"/>
        </w:rPr>
        <w:t xml:space="preserve">3.      FINANCIAL INSTRUMENTS AND FAIR VALUE MEASUREMENTS </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Assets and Liabilities Measured at Fair Value on a Recurring Basis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summarizes the Company’s fair value for its financial assets and liabilities measured at fair value on a recurring basis:</w:t>
      </w:r>
    </w:p>
    <w:p>
      <w:pPr>
        <w:pStyle w:val="TextBody"/>
        <w:spacing w:before="0" w:after="0"/>
        <w:ind w:left="0" w:right="0" w:firstLine="360"/>
        <w:rPr/>
      </w:pPr>
      <w:r>
        <w:rPr/>
        <w:t>​</w:t>
      </w:r>
    </w:p>
    <w:tbl>
      <w:tblPr>
        <w:tblW w:w="10205" w:type="dxa"/>
        <w:jc w:val="left"/>
        <w:tblInd w:w="0" w:type="dxa"/>
        <w:tblCellMar>
          <w:top w:w="0" w:type="dxa"/>
          <w:left w:w="0" w:type="dxa"/>
          <w:bottom w:w="0" w:type="dxa"/>
          <w:right w:w="0" w:type="dxa"/>
        </w:tblCellMar>
      </w:tblPr>
      <w:tblGrid>
        <w:gridCol w:w="2300"/>
        <w:gridCol w:w="109"/>
        <w:gridCol w:w="211"/>
        <w:gridCol w:w="676"/>
        <w:gridCol w:w="326"/>
        <w:gridCol w:w="571"/>
        <w:gridCol w:w="1831"/>
        <w:gridCol w:w="326"/>
        <w:gridCol w:w="474"/>
        <w:gridCol w:w="1285"/>
        <w:gridCol w:w="326"/>
        <w:gridCol w:w="450"/>
        <w:gridCol w:w="1320"/>
      </w:tblGrid>
      <w:tr>
        <w:trPr/>
        <w:tc>
          <w:tcPr>
            <w:tcW w:w="23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60500" cy="175260"/>
                      <wp:effectExtent l="0" t="0" r="0" b="0"/>
                      <wp:wrapNone/>
                      <wp:docPr id="100" name="Frame100"/>
                      <a:graphic xmlns:a="http://schemas.openxmlformats.org/drawingml/2006/main">
                        <a:graphicData uri="http://schemas.microsoft.com/office/word/2010/wordprocessingShape">
                          <wps:wsp>
                            <wps:cNvSpPr txBox="1"/>
                            <wps:spPr>
                              <a:xfrm>
                                <a:off x="0" y="0"/>
                                <a:ext cx="1460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5" name="Frame10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162685" cy="175260"/>
                      <wp:effectExtent l="0" t="0" r="0" b="0"/>
                      <wp:wrapNone/>
                      <wp:docPr id="106" name="Frame106"/>
                      <a:graphic xmlns:a="http://schemas.openxmlformats.org/drawingml/2006/main">
                        <a:graphicData uri="http://schemas.microsoft.com/office/word/2010/wordprocessingShape">
                          <wps:wsp>
                            <wps:cNvSpPr txBox="1"/>
                            <wps:spPr>
                              <a:xfrm>
                                <a:off x="0" y="0"/>
                                <a:ext cx="1162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00990" cy="175260"/>
                      <wp:effectExtent l="0" t="0" r="0" b="0"/>
                      <wp:wrapNone/>
                      <wp:docPr id="108" name="Frame108"/>
                      <a:graphic xmlns:a="http://schemas.openxmlformats.org/drawingml/2006/main">
                        <a:graphicData uri="http://schemas.microsoft.com/office/word/2010/wordprocessingShape">
                          <wps:wsp>
                            <wps:cNvSpPr txBox="1"/>
                            <wps:spPr>
                              <a:xfrm>
                                <a:off x="0" y="0"/>
                                <a:ext cx="300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815975" cy="175260"/>
                      <wp:effectExtent l="0" t="0" r="0" b="0"/>
                      <wp:wrapNone/>
                      <wp:docPr id="109" name="Frame109"/>
                      <a:graphic xmlns:a="http://schemas.openxmlformats.org/drawingml/2006/main">
                        <a:graphicData uri="http://schemas.microsoft.com/office/word/2010/wordprocessingShape">
                          <wps:wsp>
                            <wps:cNvSpPr txBox="1"/>
                            <wps:spPr>
                              <a:xfrm>
                                <a:off x="0" y="0"/>
                                <a:ext cx="815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85750" cy="175260"/>
                      <wp:effectExtent l="0" t="0" r="0" b="0"/>
                      <wp:wrapNone/>
                      <wp:docPr id="111" name="Frame111"/>
                      <a:graphic xmlns:a="http://schemas.openxmlformats.org/drawingml/2006/main">
                        <a:graphicData uri="http://schemas.microsoft.com/office/word/2010/wordprocessingShape">
                          <wps:wsp>
                            <wps:cNvSpPr txBox="1"/>
                            <wps:spPr>
                              <a:xfrm>
                                <a:off x="0" y="0"/>
                                <a:ext cx="285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838200" cy="175260"/>
                      <wp:effectExtent l="0" t="0" r="0" b="0"/>
                      <wp:wrapNone/>
                      <wp:docPr id="112" name="Frame112"/>
                      <a:graphic xmlns:a="http://schemas.openxmlformats.org/drawingml/2006/main">
                        <a:graphicData uri="http://schemas.microsoft.com/office/word/2010/wordprocessingShape">
                          <wps:wsp>
                            <wps:cNvSpPr txBox="1"/>
                            <wps:spPr>
                              <a:xfrm>
                                <a:off x="0" y="0"/>
                                <a:ext cx="838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0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796"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30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 of March 31, 2023 (unaudited)</w:t>
            </w:r>
          </w:p>
        </w:tc>
        <w:tc>
          <w:tcPr>
            <w:tcW w:w="109" w:type="dxa"/>
            <w:tcBorders/>
            <w:shd w:fill="auto" w:val="clear"/>
            <w:vAlign w:val="center"/>
          </w:tcPr>
          <w:p>
            <w:pPr>
              <w:pStyle w:val="TableContents"/>
              <w:spacing w:before="0" w:after="1"/>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rPr/>
            </w:pPr>
            <w:r>
              <w:rPr/>
              <w:t>    </w:t>
            </w:r>
          </w:p>
        </w:tc>
        <w:tc>
          <w:tcPr>
            <w:tcW w:w="24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shd w:fill="auto" w:val="clear"/>
            <w:vAlign w:val="center"/>
          </w:tcPr>
          <w:p>
            <w:pPr>
              <w:pStyle w:val="TableContents"/>
              <w:spacing w:before="0" w:after="1"/>
              <w:ind w:left="0" w:right="0" w:hanging="0"/>
              <w:rPr/>
            </w:pPr>
            <w:r>
              <w:rPr/>
              <w:t>    </w:t>
            </w:r>
          </w:p>
        </w:tc>
        <w:tc>
          <w:tcPr>
            <w:tcW w:w="17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shd w:fill="auto" w:val="clear"/>
            <w:vAlign w:val="center"/>
          </w:tcPr>
          <w:p>
            <w:pPr>
              <w:pStyle w:val="TableContents"/>
              <w:spacing w:before="0" w:after="1"/>
              <w:ind w:left="0" w:right="0" w:hanging="0"/>
              <w:rPr/>
            </w:pPr>
            <w:r>
              <w:rPr/>
              <w:t>    </w:t>
            </w:r>
          </w:p>
        </w:tc>
        <w:tc>
          <w:tcPr>
            <w:tcW w:w="17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30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46,617</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8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46,617</w:t>
            </w:r>
          </w:p>
        </w:tc>
        <w:tc>
          <w:tcPr>
            <w:tcW w:w="326" w:type="dxa"/>
            <w:tcBorders/>
            <w:shd w:fill="CCEEFF" w:val="clear"/>
            <w:vAlign w:val="center"/>
          </w:tcPr>
          <w:p>
            <w:pPr>
              <w:pStyle w:val="TableContents"/>
              <w:spacing w:before="0" w:after="1"/>
              <w:ind w:left="0" w:right="0" w:hanging="0"/>
              <w:rPr/>
            </w:pPr>
            <w:r>
              <w:rPr/>
              <w:t>​</w:t>
            </w:r>
          </w:p>
        </w:tc>
        <w:tc>
          <w:tcPr>
            <w:tcW w:w="4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spacing w:before="0" w:after="1"/>
              <w:ind w:left="0" w:right="0" w:hanging="0"/>
              <w:jc w:val="right"/>
              <w:rPr/>
            </w:pPr>
            <w:r>
              <w:rPr/>
              <w:t>—</w:t>
            </w:r>
          </w:p>
        </w:tc>
      </w:tr>
      <w:tr>
        <w:trPr/>
        <w:tc>
          <w:tcPr>
            <w:tcW w:w="230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Paper</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9,722</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8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74" w:type="dxa"/>
            <w:tcBorders/>
            <w:shd w:fill="auto" w:val="clear"/>
            <w:vAlign w:val="center"/>
          </w:tcPr>
          <w:p>
            <w:pPr>
              <w:pStyle w:val="TableContents"/>
              <w:spacing w:before="0" w:after="1"/>
              <w:ind w:left="0" w:right="0" w:hanging="0"/>
              <w:rPr/>
            </w:pPr>
            <w:r>
              <w:rPr/>
              <w:t>​</w:t>
            </w:r>
          </w:p>
        </w:tc>
        <w:tc>
          <w:tcPr>
            <w:tcW w:w="12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9,722</w:t>
            </w:r>
          </w:p>
        </w:tc>
        <w:tc>
          <w:tcPr>
            <w:tcW w:w="326" w:type="dxa"/>
            <w:tcBorders/>
            <w:shd w:fill="auto" w:val="clear"/>
            <w:vAlign w:val="center"/>
          </w:tcPr>
          <w:p>
            <w:pPr>
              <w:pStyle w:val="TableContents"/>
              <w:spacing w:before="0" w:after="1"/>
              <w:ind w:left="0" w:right="0" w:hanging="0"/>
              <w:rPr/>
            </w:pPr>
            <w:r>
              <w:rPr/>
              <w:t>​</w:t>
            </w:r>
          </w:p>
        </w:tc>
        <w:tc>
          <w:tcPr>
            <w:tcW w:w="450" w:type="dxa"/>
            <w:tcBorders/>
            <w:shd w:fill="auto" w:val="clear"/>
            <w:vAlign w:val="center"/>
          </w:tcPr>
          <w:p>
            <w:pPr>
              <w:pStyle w:val="TableContents"/>
              <w:spacing w:before="0" w:after="1"/>
              <w:ind w:left="0" w:right="0" w:hanging="0"/>
              <w:rPr/>
            </w:pPr>
            <w:r>
              <w:rPr/>
              <w:t>​</w:t>
            </w:r>
          </w:p>
        </w:tc>
        <w:tc>
          <w:tcPr>
            <w:tcW w:w="1320" w:type="dxa"/>
            <w:tcBorders/>
            <w:shd w:fill="auto" w:val="clear"/>
            <w:vAlign w:val="center"/>
          </w:tcPr>
          <w:p>
            <w:pPr>
              <w:pStyle w:val="TableContents"/>
              <w:spacing w:before="0" w:after="1"/>
              <w:ind w:left="0" w:right="0" w:hanging="0"/>
              <w:jc w:val="right"/>
              <w:rPr/>
            </w:pPr>
            <w:r>
              <w:rPr/>
              <w:t>—</w:t>
            </w:r>
          </w:p>
        </w:tc>
      </w:tr>
      <w:tr>
        <w:trPr/>
        <w:tc>
          <w:tcPr>
            <w:tcW w:w="230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5,338</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w:t>
            </w:r>
          </w:p>
        </w:tc>
        <w:tc>
          <w:tcPr>
            <w:tcW w:w="18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74" w:type="dxa"/>
            <w:tcBorders/>
            <w:shd w:fill="CCEEFF" w:val="clear"/>
            <w:vAlign w:val="center"/>
          </w:tcPr>
          <w:p>
            <w:pPr>
              <w:pStyle w:val="TableContents"/>
              <w:spacing w:before="0" w:after="1"/>
              <w:ind w:left="0" w:right="0" w:hanging="0"/>
              <w:rPr/>
            </w:pPr>
            <w:r>
              <w:rPr/>
              <w:t>​</w:t>
            </w:r>
          </w:p>
        </w:tc>
        <w:tc>
          <w:tcPr>
            <w:tcW w:w="12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5,338</w:t>
            </w:r>
          </w:p>
        </w:tc>
        <w:tc>
          <w:tcPr>
            <w:tcW w:w="326" w:type="dxa"/>
            <w:tcBorders/>
            <w:shd w:fill="CCEEFF" w:val="clear"/>
            <w:vAlign w:val="center"/>
          </w:tcPr>
          <w:p>
            <w:pPr>
              <w:pStyle w:val="TableContents"/>
              <w:spacing w:before="0" w:after="1"/>
              <w:ind w:left="0" w:right="0" w:hanging="0"/>
              <w:rPr/>
            </w:pPr>
            <w:r>
              <w:rPr/>
              <w:t>​</w:t>
            </w:r>
          </w:p>
        </w:tc>
        <w:tc>
          <w:tcPr>
            <w:tcW w:w="450" w:type="dxa"/>
            <w:tcBorders/>
            <w:shd w:fill="CCEEFF" w:val="clear"/>
            <w:vAlign w:val="center"/>
          </w:tcPr>
          <w:p>
            <w:pPr>
              <w:pStyle w:val="TableContents"/>
              <w:spacing w:before="0" w:after="1"/>
              <w:ind w:left="0" w:right="0" w:hanging="0"/>
              <w:rPr/>
            </w:pPr>
            <w:r>
              <w:rPr/>
              <w:t>​</w:t>
            </w:r>
          </w:p>
        </w:tc>
        <w:tc>
          <w:tcPr>
            <w:tcW w:w="1320" w:type="dxa"/>
            <w:tcBorders/>
            <w:shd w:fill="CCEEFF" w:val="clear"/>
            <w:vAlign w:val="center"/>
          </w:tcPr>
          <w:p>
            <w:pPr>
              <w:pStyle w:val="TableContents"/>
              <w:spacing w:before="0" w:after="1"/>
              <w:ind w:left="0" w:right="0" w:hanging="0"/>
              <w:jc w:val="right"/>
              <w:rPr/>
            </w:pPr>
            <w:r>
              <w:rPr/>
              <w:t>—</w:t>
            </w:r>
          </w:p>
        </w:tc>
      </w:tr>
      <w:tr>
        <w:trPr/>
        <w:tc>
          <w:tcPr>
            <w:tcW w:w="230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Tellutax Contingent Consideration</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8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74" w:type="dxa"/>
            <w:tcBorders/>
            <w:shd w:fill="auto" w:val="clear"/>
            <w:vAlign w:val="center"/>
          </w:tcPr>
          <w:p>
            <w:pPr>
              <w:pStyle w:val="TableContents"/>
              <w:spacing w:before="0" w:after="1"/>
              <w:ind w:left="0" w:right="0" w:hanging="0"/>
              <w:rPr/>
            </w:pPr>
            <w:r>
              <w:rPr/>
              <w:t>​</w:t>
            </w:r>
          </w:p>
        </w:tc>
        <w:tc>
          <w:tcPr>
            <w:tcW w:w="12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0" w:type="dxa"/>
            <w:tcBorders/>
            <w:shd w:fill="auto" w:val="clear"/>
            <w:vAlign w:val="center"/>
          </w:tcPr>
          <w:p>
            <w:pPr>
              <w:pStyle w:val="TableContents"/>
              <w:spacing w:before="0" w:after="1"/>
              <w:ind w:left="0" w:right="0" w:hanging="0"/>
              <w:rPr/>
            </w:pPr>
            <w:r>
              <w:rPr/>
              <w:t>​</w:t>
            </w:r>
          </w:p>
        </w:tc>
        <w:tc>
          <w:tcPr>
            <w:tcW w:w="132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230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Forward Contracts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w:t>
            </w:r>
          </w:p>
        </w:tc>
        <w:tc>
          <w:tcPr>
            <w:tcW w:w="18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74" w:type="dxa"/>
            <w:tcBorders/>
            <w:shd w:fill="CCEEFF" w:val="clear"/>
            <w:vAlign w:val="center"/>
          </w:tcPr>
          <w:p>
            <w:pPr>
              <w:pStyle w:val="TableContents"/>
              <w:spacing w:before="0" w:after="1"/>
              <w:ind w:left="0" w:right="0" w:hanging="0"/>
              <w:rPr/>
            </w:pPr>
            <w:r>
              <w:rPr/>
              <w:t>​</w:t>
            </w:r>
          </w:p>
        </w:tc>
        <w:tc>
          <w:tcPr>
            <w:tcW w:w="12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c>
          <w:tcPr>
            <w:tcW w:w="326" w:type="dxa"/>
            <w:tcBorders/>
            <w:shd w:fill="CCEEFF" w:val="clear"/>
            <w:vAlign w:val="center"/>
          </w:tcPr>
          <w:p>
            <w:pPr>
              <w:pStyle w:val="TableContents"/>
              <w:spacing w:before="0" w:after="1"/>
              <w:ind w:left="0" w:right="0" w:hanging="0"/>
              <w:rPr/>
            </w:pPr>
            <w:r>
              <w:rPr/>
              <w:t>​</w:t>
            </w:r>
          </w:p>
        </w:tc>
        <w:tc>
          <w:tcPr>
            <w:tcW w:w="450" w:type="dxa"/>
            <w:tcBorders/>
            <w:shd w:fill="CCEEFF" w:val="clear"/>
            <w:vAlign w:val="center"/>
          </w:tcPr>
          <w:p>
            <w:pPr>
              <w:pStyle w:val="TableContents"/>
              <w:spacing w:before="0" w:after="1"/>
              <w:ind w:left="0" w:right="0" w:hanging="0"/>
              <w:rPr/>
            </w:pPr>
            <w:r>
              <w:rPr/>
              <w:t>​</w:t>
            </w:r>
          </w:p>
        </w:tc>
        <w:tc>
          <w:tcPr>
            <w:tcW w:w="1320" w:type="dxa"/>
            <w:tcBorders/>
            <w:shd w:fill="CCEEFF" w:val="clear"/>
            <w:vAlign w:val="center"/>
          </w:tcPr>
          <w:p>
            <w:pPr>
              <w:pStyle w:val="TableContents"/>
              <w:spacing w:before="0" w:after="1"/>
              <w:ind w:left="0" w:right="0" w:hanging="0"/>
              <w:jc w:val="right"/>
              <w:rPr/>
            </w:pPr>
            <w:r>
              <w:rPr/>
              <w:t>—</w:t>
            </w:r>
          </w:p>
        </w:tc>
      </w:tr>
      <w:tr>
        <w:trPr/>
        <w:tc>
          <w:tcPr>
            <w:tcW w:w="230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8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74" w:type="dxa"/>
            <w:tcBorders/>
            <w:shd w:fill="auto" w:val="clear"/>
            <w:vAlign w:val="center"/>
          </w:tcPr>
          <w:p>
            <w:pPr>
              <w:pStyle w:val="TableContents"/>
              <w:spacing w:before="0" w:after="1"/>
              <w:ind w:left="0" w:right="0" w:hanging="0"/>
              <w:rPr/>
            </w:pPr>
            <w:r>
              <w:rPr/>
              <w:t>​</w:t>
            </w:r>
          </w:p>
        </w:tc>
        <w:tc>
          <w:tcPr>
            <w:tcW w:w="128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0" w:type="dxa"/>
            <w:tcBorders/>
            <w:shd w:fill="auto" w:val="clear"/>
            <w:vAlign w:val="center"/>
          </w:tcPr>
          <w:p>
            <w:pPr>
              <w:pStyle w:val="TableContents"/>
              <w:spacing w:before="0" w:after="1"/>
              <w:ind w:left="0" w:right="0" w:hanging="0"/>
              <w:rPr/>
            </w:pPr>
            <w:r>
              <w:rPr/>
              <w:t>​</w:t>
            </w:r>
          </w:p>
        </w:tc>
        <w:tc>
          <w:tcPr>
            <w:tcW w:w="1320" w:type="dxa"/>
            <w:tcBorders/>
            <w:shd w:fill="auto" w:val="clear"/>
            <w:vAlign w:val="center"/>
          </w:tcPr>
          <w:p>
            <w:pPr>
              <w:pStyle w:val="TableContents"/>
              <w:spacing w:before="0" w:after="1"/>
              <w:ind w:left="0" w:right="0" w:hanging="0"/>
              <w:rPr/>
            </w:pPr>
            <w:r>
              <w:rPr/>
              <w:t>​</w:t>
            </w:r>
          </w:p>
        </w:tc>
      </w:tr>
      <w:tr>
        <w:trPr/>
        <w:tc>
          <w:tcPr>
            <w:tcW w:w="2300" w:type="dxa"/>
            <w:tcBorders/>
            <w:shd w:fill="auto" w:val="clear"/>
            <w:vAlign w:val="center"/>
          </w:tcPr>
          <w:p>
            <w:pPr>
              <w:pStyle w:val="TableContents"/>
              <w:spacing w:before="0" w:after="1"/>
              <w:ind w:left="0" w:right="0" w:hanging="0"/>
              <w:jc w:val="both"/>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8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74" w:type="dxa"/>
            <w:tcBorders/>
            <w:shd w:fill="auto" w:val="clear"/>
            <w:vAlign w:val="center"/>
          </w:tcPr>
          <w:p>
            <w:pPr>
              <w:pStyle w:val="TableContents"/>
              <w:spacing w:before="0" w:after="1"/>
              <w:ind w:left="0" w:right="0" w:hanging="0"/>
              <w:rPr/>
            </w:pPr>
            <w:r>
              <w:rPr/>
              <w:t>​</w:t>
            </w:r>
          </w:p>
        </w:tc>
        <w:tc>
          <w:tcPr>
            <w:tcW w:w="128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0" w:type="dxa"/>
            <w:tcBorders/>
            <w:shd w:fill="auto" w:val="clear"/>
            <w:vAlign w:val="center"/>
          </w:tcPr>
          <w:p>
            <w:pPr>
              <w:pStyle w:val="TableContents"/>
              <w:spacing w:before="0" w:after="1"/>
              <w:ind w:left="0" w:right="0" w:hanging="0"/>
              <w:rPr/>
            </w:pPr>
            <w:r>
              <w:rPr/>
              <w:t>​</w:t>
            </w:r>
          </w:p>
        </w:tc>
        <w:tc>
          <w:tcPr>
            <w:tcW w:w="1320" w:type="dxa"/>
            <w:tcBorders/>
            <w:shd w:fill="auto" w:val="clear"/>
            <w:vAlign w:val="center"/>
          </w:tcPr>
          <w:p>
            <w:pPr>
              <w:pStyle w:val="TableContents"/>
              <w:spacing w:before="0" w:after="1"/>
              <w:ind w:left="0" w:right="0" w:hanging="0"/>
              <w:rPr/>
            </w:pPr>
            <w:r>
              <w:rPr/>
              <w:t>​</w:t>
            </w:r>
          </w:p>
        </w:tc>
      </w:tr>
      <w:tr>
        <w:trPr/>
        <w:tc>
          <w:tcPr>
            <w:tcW w:w="2300"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796"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30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 of December 31, 2022</w:t>
            </w:r>
          </w:p>
        </w:tc>
        <w:tc>
          <w:tcPr>
            <w:tcW w:w="109" w:type="dxa"/>
            <w:tcBorders/>
            <w:shd w:fill="auto" w:val="clear"/>
            <w:vAlign w:val="center"/>
          </w:tcPr>
          <w:p>
            <w:pPr>
              <w:pStyle w:val="TableContents"/>
              <w:spacing w:before="0" w:after="1"/>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rPr/>
            </w:pPr>
            <w:r>
              <w:rPr/>
              <w:t>    </w:t>
            </w:r>
          </w:p>
        </w:tc>
        <w:tc>
          <w:tcPr>
            <w:tcW w:w="24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shd w:fill="auto" w:val="clear"/>
            <w:vAlign w:val="center"/>
          </w:tcPr>
          <w:p>
            <w:pPr>
              <w:pStyle w:val="TableContents"/>
              <w:spacing w:before="0" w:after="1"/>
              <w:ind w:left="0" w:right="0" w:hanging="0"/>
              <w:rPr/>
            </w:pPr>
            <w:r>
              <w:rPr/>
              <w:t>    </w:t>
            </w:r>
          </w:p>
        </w:tc>
        <w:tc>
          <w:tcPr>
            <w:tcW w:w="17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shd w:fill="auto" w:val="clear"/>
            <w:vAlign w:val="center"/>
          </w:tcPr>
          <w:p>
            <w:pPr>
              <w:pStyle w:val="TableContents"/>
              <w:spacing w:before="0" w:after="1"/>
              <w:ind w:left="0" w:right="0" w:hanging="0"/>
              <w:rPr/>
            </w:pPr>
            <w:r>
              <w:rPr/>
              <w:t>    </w:t>
            </w:r>
          </w:p>
        </w:tc>
        <w:tc>
          <w:tcPr>
            <w:tcW w:w="17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230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67,430</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8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67,430</w:t>
            </w:r>
          </w:p>
        </w:tc>
        <w:tc>
          <w:tcPr>
            <w:tcW w:w="326" w:type="dxa"/>
            <w:tcBorders/>
            <w:shd w:fill="CCEEFF" w:val="clear"/>
            <w:vAlign w:val="center"/>
          </w:tcPr>
          <w:p>
            <w:pPr>
              <w:pStyle w:val="TableContents"/>
              <w:spacing w:before="0" w:after="1"/>
              <w:ind w:left="0" w:right="0" w:hanging="0"/>
              <w:rPr/>
            </w:pPr>
            <w:r>
              <w:rPr/>
              <w:t>​</w:t>
            </w:r>
          </w:p>
        </w:tc>
        <w:tc>
          <w:tcPr>
            <w:tcW w:w="47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5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20" w:type="dxa"/>
            <w:tcBorders/>
            <w:shd w:fill="CCEEFF" w:val="clear"/>
            <w:vAlign w:val="center"/>
          </w:tcPr>
          <w:p>
            <w:pPr>
              <w:pStyle w:val="TableContents"/>
              <w:spacing w:before="0" w:after="1"/>
              <w:ind w:left="0" w:right="0" w:hanging="0"/>
              <w:jc w:val="right"/>
              <w:rPr/>
            </w:pPr>
            <w:r>
              <w:rPr/>
              <w:t>—</w:t>
            </w:r>
          </w:p>
        </w:tc>
      </w:tr>
      <w:tr>
        <w:trPr/>
        <w:tc>
          <w:tcPr>
            <w:tcW w:w="230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Commercial Paper</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9,660</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8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74" w:type="dxa"/>
            <w:tcBorders/>
            <w:shd w:fill="auto" w:val="clear"/>
            <w:vAlign w:val="center"/>
          </w:tcPr>
          <w:p>
            <w:pPr>
              <w:pStyle w:val="TableContents"/>
              <w:spacing w:before="0" w:after="1"/>
              <w:ind w:left="0" w:right="0" w:hanging="0"/>
              <w:rPr/>
            </w:pPr>
            <w:r>
              <w:rPr/>
              <w:t>​</w:t>
            </w:r>
          </w:p>
        </w:tc>
        <w:tc>
          <w:tcPr>
            <w:tcW w:w="12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9,660</w:t>
            </w:r>
          </w:p>
        </w:tc>
        <w:tc>
          <w:tcPr>
            <w:tcW w:w="326" w:type="dxa"/>
            <w:tcBorders/>
            <w:shd w:fill="auto" w:val="clear"/>
            <w:vAlign w:val="center"/>
          </w:tcPr>
          <w:p>
            <w:pPr>
              <w:pStyle w:val="TableContents"/>
              <w:spacing w:before="0" w:after="1"/>
              <w:ind w:left="0" w:right="0" w:hanging="0"/>
              <w:rPr/>
            </w:pPr>
            <w:r>
              <w:rPr/>
              <w:t>​</w:t>
            </w:r>
          </w:p>
        </w:tc>
        <w:tc>
          <w:tcPr>
            <w:tcW w:w="450" w:type="dxa"/>
            <w:tcBorders/>
            <w:shd w:fill="auto" w:val="clear"/>
            <w:vAlign w:val="center"/>
          </w:tcPr>
          <w:p>
            <w:pPr>
              <w:pStyle w:val="TableContents"/>
              <w:spacing w:before="0" w:after="1"/>
              <w:ind w:left="0" w:right="0" w:hanging="0"/>
              <w:rPr/>
            </w:pPr>
            <w:r>
              <w:rPr/>
              <w:t>​</w:t>
            </w:r>
          </w:p>
        </w:tc>
        <w:tc>
          <w:tcPr>
            <w:tcW w:w="1320" w:type="dxa"/>
            <w:tcBorders/>
            <w:shd w:fill="auto" w:val="clear"/>
            <w:vAlign w:val="center"/>
          </w:tcPr>
          <w:p>
            <w:pPr>
              <w:pStyle w:val="TableContents"/>
              <w:spacing w:before="0" w:after="1"/>
              <w:ind w:left="0" w:right="0" w:hanging="0"/>
              <w:jc w:val="right"/>
              <w:rPr/>
            </w:pPr>
            <w:r>
              <w:rPr/>
              <w:t>—</w:t>
            </w:r>
          </w:p>
        </w:tc>
      </w:tr>
      <w:tr>
        <w:trPr/>
        <w:tc>
          <w:tcPr>
            <w:tcW w:w="230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U.S. Treasury Securities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5,203</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w:t>
            </w:r>
          </w:p>
        </w:tc>
        <w:tc>
          <w:tcPr>
            <w:tcW w:w="18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74" w:type="dxa"/>
            <w:tcBorders/>
            <w:shd w:fill="CCEEFF" w:val="clear"/>
            <w:vAlign w:val="center"/>
          </w:tcPr>
          <w:p>
            <w:pPr>
              <w:pStyle w:val="TableContents"/>
              <w:spacing w:before="0" w:after="1"/>
              <w:ind w:left="0" w:right="0" w:hanging="0"/>
              <w:rPr/>
            </w:pPr>
            <w:r>
              <w:rPr/>
              <w:t>​</w:t>
            </w:r>
          </w:p>
        </w:tc>
        <w:tc>
          <w:tcPr>
            <w:tcW w:w="12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5,203</w:t>
            </w:r>
          </w:p>
        </w:tc>
        <w:tc>
          <w:tcPr>
            <w:tcW w:w="326" w:type="dxa"/>
            <w:tcBorders/>
            <w:shd w:fill="CCEEFF" w:val="clear"/>
            <w:vAlign w:val="center"/>
          </w:tcPr>
          <w:p>
            <w:pPr>
              <w:pStyle w:val="TableContents"/>
              <w:spacing w:before="0" w:after="1"/>
              <w:ind w:left="0" w:right="0" w:hanging="0"/>
              <w:rPr/>
            </w:pPr>
            <w:r>
              <w:rPr/>
              <w:t>​</w:t>
            </w:r>
          </w:p>
        </w:tc>
        <w:tc>
          <w:tcPr>
            <w:tcW w:w="450" w:type="dxa"/>
            <w:tcBorders/>
            <w:shd w:fill="CCEEFF" w:val="clear"/>
            <w:vAlign w:val="center"/>
          </w:tcPr>
          <w:p>
            <w:pPr>
              <w:pStyle w:val="TableContents"/>
              <w:spacing w:before="0" w:after="1"/>
              <w:ind w:left="0" w:right="0" w:hanging="0"/>
              <w:rPr/>
            </w:pPr>
            <w:r>
              <w:rPr/>
              <w:t>​</w:t>
            </w:r>
          </w:p>
        </w:tc>
        <w:tc>
          <w:tcPr>
            <w:tcW w:w="1320" w:type="dxa"/>
            <w:tcBorders/>
            <w:shd w:fill="CCEEFF" w:val="clear"/>
            <w:vAlign w:val="center"/>
          </w:tcPr>
          <w:p>
            <w:pPr>
              <w:pStyle w:val="TableContents"/>
              <w:spacing w:before="0" w:after="1"/>
              <w:ind w:left="0" w:right="0" w:hanging="0"/>
              <w:jc w:val="right"/>
              <w:rPr/>
            </w:pPr>
            <w:r>
              <w:rPr/>
              <w:t>—</w:t>
            </w:r>
          </w:p>
        </w:tc>
      </w:tr>
      <w:tr>
        <w:trPr/>
        <w:tc>
          <w:tcPr>
            <w:tcW w:w="230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Tellutax Contingent Consideration</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8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74" w:type="dxa"/>
            <w:tcBorders/>
            <w:shd w:fill="auto" w:val="clear"/>
            <w:vAlign w:val="center"/>
          </w:tcPr>
          <w:p>
            <w:pPr>
              <w:pStyle w:val="TableContents"/>
              <w:spacing w:before="0" w:after="1"/>
              <w:ind w:left="0" w:right="0" w:hanging="0"/>
              <w:rPr/>
            </w:pPr>
            <w:r>
              <w:rPr/>
              <w:t>​</w:t>
            </w:r>
          </w:p>
        </w:tc>
        <w:tc>
          <w:tcPr>
            <w:tcW w:w="12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50" w:type="dxa"/>
            <w:tcBorders/>
            <w:shd w:fill="auto" w:val="clear"/>
            <w:vAlign w:val="center"/>
          </w:tcPr>
          <w:p>
            <w:pPr>
              <w:pStyle w:val="TableContents"/>
              <w:spacing w:before="0" w:after="1"/>
              <w:ind w:left="0" w:right="0" w:hanging="0"/>
              <w:rPr/>
            </w:pPr>
            <w:r>
              <w:rPr/>
              <w:t>​</w:t>
            </w:r>
          </w:p>
        </w:tc>
        <w:tc>
          <w:tcPr>
            <w:tcW w:w="132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230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Forward Contracts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rPr/>
            </w:pPr>
            <w:r>
              <w:rPr/>
              <w:t>​</w:t>
            </w:r>
          </w:p>
        </w:tc>
        <w:tc>
          <w:tcPr>
            <w:tcW w:w="18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74" w:type="dxa"/>
            <w:tcBorders/>
            <w:shd w:fill="CCEEFF" w:val="clear"/>
            <w:vAlign w:val="center"/>
          </w:tcPr>
          <w:p>
            <w:pPr>
              <w:pStyle w:val="TableContents"/>
              <w:spacing w:before="0" w:after="1"/>
              <w:ind w:left="0" w:right="0" w:hanging="0"/>
              <w:rPr/>
            </w:pPr>
            <w:r>
              <w:rPr/>
              <w:t>​</w:t>
            </w:r>
          </w:p>
        </w:tc>
        <w:tc>
          <w:tcPr>
            <w:tcW w:w="128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26" w:type="dxa"/>
            <w:tcBorders/>
            <w:shd w:fill="CCEEFF" w:val="clear"/>
            <w:vAlign w:val="center"/>
          </w:tcPr>
          <w:p>
            <w:pPr>
              <w:pStyle w:val="TableContents"/>
              <w:spacing w:before="0" w:after="1"/>
              <w:ind w:left="0" w:right="0" w:hanging="0"/>
              <w:rPr/>
            </w:pPr>
            <w:r>
              <w:rPr/>
              <w:t>​</w:t>
            </w:r>
          </w:p>
        </w:tc>
        <w:tc>
          <w:tcPr>
            <w:tcW w:w="450" w:type="dxa"/>
            <w:tcBorders/>
            <w:shd w:fill="CCEEFF" w:val="clear"/>
            <w:vAlign w:val="center"/>
          </w:tcPr>
          <w:p>
            <w:pPr>
              <w:pStyle w:val="TableContents"/>
              <w:spacing w:before="0" w:after="1"/>
              <w:ind w:left="0" w:right="0" w:hanging="0"/>
              <w:rPr/>
            </w:pPr>
            <w:r>
              <w:rPr/>
              <w:t>​</w:t>
            </w:r>
          </w:p>
        </w:tc>
        <w:tc>
          <w:tcPr>
            <w:tcW w:w="1320" w:type="dxa"/>
            <w:tcBorders/>
            <w:shd w:fill="CCEEFF" w:val="clear"/>
            <w:vAlign w:val="center"/>
          </w:tcPr>
          <w:p>
            <w:pPr>
              <w:pStyle w:val="TableContents"/>
              <w:spacing w:before="0" w:after="1"/>
              <w:ind w:left="0" w:right="0" w:hanging="0"/>
              <w:jc w:val="right"/>
              <w:rPr/>
            </w:pPr>
            <w:r>
              <w:rPr/>
              <w:t>—</w:t>
            </w:r>
          </w:p>
        </w:tc>
      </w:tr>
      <w:tr>
        <w:trPr/>
        <w:tc>
          <w:tcPr>
            <w:tcW w:w="2300" w:type="dxa"/>
            <w:tcBorders/>
            <w:shd w:fill="auto" w:val="clear"/>
            <w:vAlign w:val="center"/>
          </w:tcPr>
          <w:p>
            <w:pPr>
              <w:pStyle w:val="TableContents"/>
              <w:spacing w:before="0" w:after="1"/>
              <w:ind w:left="0" w:right="0" w:hanging="0"/>
              <w:jc w:val="both"/>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w:t>
            </w:r>
          </w:p>
        </w:tc>
        <w:tc>
          <w:tcPr>
            <w:tcW w:w="18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74" w:type="dxa"/>
            <w:tcBorders/>
            <w:shd w:fill="auto" w:val="clear"/>
            <w:vAlign w:val="center"/>
          </w:tcPr>
          <w:p>
            <w:pPr>
              <w:pStyle w:val="TableContents"/>
              <w:spacing w:before="0" w:after="1"/>
              <w:ind w:left="0" w:right="0" w:hanging="0"/>
              <w:rPr/>
            </w:pPr>
            <w:r>
              <w:rPr/>
              <w:t>​</w:t>
            </w:r>
          </w:p>
        </w:tc>
        <w:tc>
          <w:tcPr>
            <w:tcW w:w="128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0" w:type="dxa"/>
            <w:tcBorders/>
            <w:shd w:fill="auto" w:val="clear"/>
            <w:vAlign w:val="center"/>
          </w:tcPr>
          <w:p>
            <w:pPr>
              <w:pStyle w:val="TableContents"/>
              <w:spacing w:before="0" w:after="1"/>
              <w:ind w:left="0" w:right="0" w:hanging="0"/>
              <w:rPr/>
            </w:pPr>
            <w:r>
              <w:rPr/>
              <w:t>​</w:t>
            </w:r>
          </w:p>
        </w:tc>
        <w:tc>
          <w:tcPr>
            <w:tcW w:w="1320"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investments in high quality, short-term money market instruments which are issued and payable in U.S. dollars (“Money Market Funds”), which are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The Company has investments in bank and corporate issued commercial paper (“Commercial Paper”), and U.S. treasury securities (“U.S. Treasury Securities”), the Company believes that Level 2 designation is appropriate under Accounting Standards Codification, (“ASC”) 820-10, </w:t>
      </w:r>
      <w:r>
        <w:rPr>
          <w:rFonts w:ascii="Times New Roman;Times;serif" w:hAnsi="Times New Roman;Times;serif"/>
          <w:i/>
          <w:sz w:val="20"/>
        </w:rPr>
        <w:t>Fair Value Measurements and Disclosures</w:t>
      </w:r>
      <w:r>
        <w:rPr>
          <w:rFonts w:ascii="Times New Roman;Times;serif" w:hAnsi="Times New Roman;Times;serif"/>
          <w:sz w:val="20"/>
        </w:rPr>
        <w:t xml:space="preserve">, as these securities are fixed income securities, none are exchange 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bookmarkStart w:id="958" w:name="Tc_qrLt4WpltU6rT4x1WIsJZQ_8_2"/>
      <w:bookmarkStart w:id="959" w:name="Tc_-ZjOHdqEW0Cxdr-RVcsiIg_8_0"/>
      <w:bookmarkStart w:id="960" w:name="Tc_q7B7qBAcEUSntn0H7CS7HA_7_0"/>
      <w:bookmarkStart w:id="961" w:name="Tc_Lvd7_xEirk2jXQdf8opGiQ_6_2"/>
      <w:bookmarkStart w:id="962" w:name="Tc_-lmtSPI8006FrP_sAZ9Mww_6_0"/>
      <w:bookmarkStart w:id="963" w:name="Tc_I5ZRUchZY0SmW250ggzIEw_4_2"/>
      <w:bookmarkStart w:id="964" w:name="Tc_rDerdCXnCEmBmnFlgkrPMA_3_2"/>
      <w:bookmarkStart w:id="965" w:name="Tc_8xlyUq_0B0mNrm4qrXEuyg_2_2"/>
      <w:bookmarkStart w:id="966" w:name="Tc_XlF-ypndm0uc10jpCP9VSw_1_2"/>
      <w:bookmarkStart w:id="967" w:name="Tc_ZKQlK0MPm0GLd4J156Yrsw_11_7"/>
      <w:bookmarkStart w:id="968" w:name="Tc_bXRj5IYpDEqcadbzto18PQ_10_10"/>
      <w:bookmarkStart w:id="969" w:name="Tc_RvVljJ6yZUy_eDwJ7Y1i8g_10_7"/>
      <w:bookmarkStart w:id="970" w:name="Tc_hcfRzAj_fEOwHDqmR5AWAA_9_10"/>
      <w:bookmarkStart w:id="971" w:name="Tc_fCzXgQp2tkiD1aULuCGkHQ_9_7"/>
      <w:bookmarkStart w:id="972" w:name="Tc_FCdnCzSpXUaR5mSEHOZU0A_9_5"/>
      <w:bookmarkStart w:id="973" w:name="Tc_pPAS4qovd0iOVw1n5FXxcg_9_2"/>
      <w:bookmarkStart w:id="974" w:name="Tc_kzKKLrZapUGKVCS2YQg_uA_9_0"/>
      <w:bookmarkStart w:id="975" w:name="Tc_Xjl-Rcx_nE6izNx9kQt4WA_8_7"/>
      <w:bookmarkStart w:id="976" w:name="Tc_S5WYTNA3MEyiL4Hehhidqw_8_5"/>
      <w:bookmarkStart w:id="977" w:name="Tc_20tOfvUkP0GBTrrQ9g65zg_8_2"/>
      <w:bookmarkStart w:id="978" w:name="Tc_Npq_0jQnz0GDiLfuh54cBw_8_0"/>
      <w:bookmarkStart w:id="979" w:name="Tc_7bzJmNdFz0eFz4JiMyLg8g_7_2"/>
      <w:bookmarkStart w:id="980" w:name="Tc_DkxHT5yGeUSivaExK1g-8A_5_7"/>
      <w:bookmarkStart w:id="981" w:name="Tc_pr8Yr9RPGE-iC9l9Tecq6A_4_10"/>
      <w:bookmarkStart w:id="982" w:name="Tc_G7oIeN8mEU6I8M9ZVHJQHg_4_7"/>
      <w:bookmarkStart w:id="983" w:name="Tc_MqQSd3U3fkyM_bFL1p-4IA_3_10"/>
      <w:bookmarkStart w:id="984" w:name="Tc_6ZYij6-gbUue9pLdyhG11Q_3_7"/>
      <w:bookmarkStart w:id="985" w:name="Tc_IrKYojmQUUe8eCsefeyHcQ_3_5"/>
      <w:bookmarkStart w:id="986" w:name="Tc_4yU_k0D3hEeHpviWc93VzQ_3_2"/>
      <w:bookmarkStart w:id="987" w:name="Tc_Z3h5Sm23JUmsRmxe7oitQQ_3_0"/>
      <w:bookmarkStart w:id="988" w:name="Tc_i1H4q6nb4keTnzmFKBz3Jw_2_7"/>
      <w:bookmarkStart w:id="989" w:name="Tc_ifa4-7uPMUuGQCiNV9ASLQ_2_5"/>
      <w:bookmarkStart w:id="990" w:name="Tc_tFwuimWuuk2DiVb0zfGTnQ_2_2"/>
      <w:bookmarkStart w:id="991" w:name="Tc_Fi8OixpTAUS4_A9Khw7nAw_2_0"/>
      <w:bookmarkStart w:id="992" w:name="Tc_5uRtqlxEEECdkmVq3Tlw8w_1_2"/>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sz w:val="20"/>
        </w:rPr>
        <w:t>In connection with the January 2021 Tellutax LLC (“Tellutax”) acquisition, the sellers are entitled to contingent consideration if sales targets are met during a period of time following the acquisition (the “Tellutax Contingent Consideration”).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fair value adjustment of $200 and $700 was recorded in other operating expense, net for the three months ended March 31, 2023 and 2022, respectively. At March 31, 2023, the Tellutax Contingent Consideration of $3,400 and $1,600 is included in purchase commitment and contingent consideration liabilities, current, and purchase commitment and contingent consideration liabilities, net of current portion, respectively, in the condensed consolidated balance sheets. At December 31, 2022, the Tellutax Contingent Consideration of $1,400 and $3,400 is included in purchase commitment and contingent consideration liabilities, current, and purchase commitment and contingent consideration liabilities, net of current portion, respectively, in the condensed consolidated balance sheets.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Tellutax Contingent Consideration fair value as of March 31, 2023 and December 31, 2022 and unobservable inputs used for the Monte Carlo Simulation valuation were as follows:</w:t>
      </w:r>
    </w:p>
    <w:p>
      <w:pPr>
        <w:pStyle w:val="TextBody"/>
        <w:spacing w:before="0" w:after="240"/>
        <w:ind w:left="0" w:right="0" w:firstLine="360"/>
        <w:jc w:val="both"/>
        <w:rPr/>
      </w:pPr>
      <w:r>
        <w:rPr/>
        <w:t>​</w:t>
      </w:r>
    </w:p>
    <w:tbl>
      <w:tblPr>
        <w:tblW w:w="9747" w:type="dxa"/>
        <w:jc w:val="left"/>
        <w:tblInd w:w="0" w:type="dxa"/>
        <w:tblCellMar>
          <w:top w:w="0" w:type="dxa"/>
          <w:left w:w="0" w:type="dxa"/>
          <w:bottom w:w="0" w:type="dxa"/>
          <w:right w:w="0" w:type="dxa"/>
        </w:tblCellMar>
      </w:tblPr>
      <w:tblGrid>
        <w:gridCol w:w="2986"/>
        <w:gridCol w:w="326"/>
        <w:gridCol w:w="239"/>
        <w:gridCol w:w="646"/>
        <w:gridCol w:w="326"/>
        <w:gridCol w:w="2086"/>
        <w:gridCol w:w="326"/>
        <w:gridCol w:w="1921"/>
        <w:gridCol w:w="109"/>
        <w:gridCol w:w="466"/>
        <w:gridCol w:w="316"/>
      </w:tblGrid>
      <w:tr>
        <w:trPr/>
        <w:tc>
          <w:tcPr>
            <w:tcW w:w="2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96110" cy="175260"/>
                      <wp:effectExtent l="0" t="0" r="0" b="0"/>
                      <wp:wrapNone/>
                      <wp:docPr id="113" name="Frame113"/>
                      <a:graphic xmlns:a="http://schemas.openxmlformats.org/drawingml/2006/main">
                        <a:graphicData uri="http://schemas.microsoft.com/office/word/2010/wordprocessingShape">
                          <wps:wsp>
                            <wps:cNvSpPr txBox="1"/>
                            <wps:spPr>
                              <a:xfrm>
                                <a:off x="0" y="0"/>
                                <a:ext cx="1896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1765" cy="175260"/>
                      <wp:effectExtent l="0" t="0" r="0" b="0"/>
                      <wp:wrapNone/>
                      <wp:docPr id="115" name="Frame115"/>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10210" cy="175260"/>
                      <wp:effectExtent l="0" t="0" r="0" b="0"/>
                      <wp:wrapNone/>
                      <wp:docPr id="116" name="Frame116"/>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24610" cy="175260"/>
                      <wp:effectExtent l="0" t="0" r="0" b="0"/>
                      <wp:wrapNone/>
                      <wp:docPr id="118" name="Frame118"/>
                      <a:graphic xmlns:a="http://schemas.openxmlformats.org/drawingml/2006/main">
                        <a:graphicData uri="http://schemas.microsoft.com/office/word/2010/wordprocessingShape">
                          <wps:wsp>
                            <wps:cNvSpPr txBox="1"/>
                            <wps:spPr>
                              <a:xfrm>
                                <a:off x="0" y="0"/>
                                <a:ext cx="1324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19835" cy="175260"/>
                      <wp:effectExtent l="0" t="0" r="0" b="0"/>
                      <wp:wrapNone/>
                      <wp:docPr id="120" name="Frame120"/>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95910" cy="175260"/>
                      <wp:effectExtent l="0" t="0" r="0" b="0"/>
                      <wp:wrapNone/>
                      <wp:docPr id="122" name="Frame122"/>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0660" cy="175260"/>
                      <wp:effectExtent l="0" t="0" r="0" b="0"/>
                      <wp:wrapNone/>
                      <wp:docPr id="123" name="Frame12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435"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2023 (unaudited)</w:t>
            </w:r>
          </w:p>
        </w:tc>
      </w:tr>
      <w:tr>
        <w:trPr/>
        <w:tc>
          <w:tcPr>
            <w:tcW w:w="298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Liability</w:t>
            </w:r>
          </w:p>
        </w:tc>
        <w:tc>
          <w:tcPr>
            <w:tcW w:w="326" w:type="dxa"/>
            <w:tcBorders/>
            <w:shd w:fill="auto" w:val="clear"/>
            <w:vAlign w:val="center"/>
          </w:tcPr>
          <w:p>
            <w:pPr>
              <w:pStyle w:val="TableContents"/>
              <w:spacing w:before="0" w:after="1"/>
              <w:ind w:left="0" w:right="0" w:hanging="0"/>
              <w:rPr/>
            </w:pPr>
            <w:r>
              <w:rPr/>
              <w:t>    </w:t>
            </w:r>
          </w:p>
        </w:tc>
        <w:tc>
          <w:tcPr>
            <w:tcW w:w="8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rPr/>
            </w:pPr>
            <w:r>
              <w:rPr/>
              <w:t>    </w:t>
            </w:r>
          </w:p>
        </w:tc>
        <w:tc>
          <w:tcPr>
            <w:tcW w:w="20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shd w:fill="auto" w:val="clear"/>
            <w:vAlign w:val="center"/>
          </w:tcPr>
          <w:p>
            <w:pPr>
              <w:pStyle w:val="TableContents"/>
              <w:spacing w:before="0" w:after="1"/>
              <w:ind w:left="0" w:right="0" w:hanging="0"/>
              <w:rPr/>
            </w:pPr>
            <w:r>
              <w:rPr/>
              <w:t>    </w:t>
            </w:r>
          </w:p>
        </w:tc>
        <w:tc>
          <w:tcPr>
            <w:tcW w:w="2812"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2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Tellutax Contingent Consideration</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spacing w:before="0" w:after="1"/>
              <w:ind w:left="0" w:right="0" w:hanging="0"/>
              <w:rPr/>
            </w:pPr>
            <w:r>
              <w:rPr/>
              <w:t>​</w:t>
            </w:r>
          </w:p>
        </w:tc>
        <w:tc>
          <w:tcPr>
            <w:tcW w:w="2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spacing w:before="0" w:after="1"/>
              <w:ind w:left="0" w:right="0" w:hanging="0"/>
              <w:rPr/>
            </w:pPr>
            <w:r>
              <w:rPr/>
              <w:t>​</w:t>
            </w:r>
          </w:p>
        </w:tc>
        <w:tc>
          <w:tcPr>
            <w:tcW w:w="1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discount rate</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9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0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spacing w:before="0" w:after="1"/>
              <w:ind w:left="0" w:right="0" w:hanging="0"/>
              <w:rPr/>
            </w:pPr>
            <w:r>
              <w:rPr/>
              <w:t>​</w: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435"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98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Liability</w:t>
            </w:r>
          </w:p>
        </w:tc>
        <w:tc>
          <w:tcPr>
            <w:tcW w:w="326" w:type="dxa"/>
            <w:tcBorders/>
            <w:shd w:fill="auto" w:val="clear"/>
            <w:vAlign w:val="center"/>
          </w:tcPr>
          <w:p>
            <w:pPr>
              <w:pStyle w:val="TableContents"/>
              <w:spacing w:before="0" w:after="1"/>
              <w:ind w:left="0" w:right="0" w:hanging="0"/>
              <w:rPr/>
            </w:pPr>
            <w:r>
              <w:rPr/>
              <w:t>    </w:t>
            </w:r>
          </w:p>
        </w:tc>
        <w:tc>
          <w:tcPr>
            <w:tcW w:w="8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rPr/>
            </w:pPr>
            <w:r>
              <w:rPr/>
              <w:t>    </w:t>
            </w:r>
          </w:p>
        </w:tc>
        <w:tc>
          <w:tcPr>
            <w:tcW w:w="20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shd w:fill="auto" w:val="clear"/>
            <w:vAlign w:val="center"/>
          </w:tcPr>
          <w:p>
            <w:pPr>
              <w:pStyle w:val="TableContents"/>
              <w:spacing w:before="0" w:after="1"/>
              <w:ind w:left="0" w:right="0" w:hanging="0"/>
              <w:rPr/>
            </w:pPr>
            <w:r>
              <w:rPr/>
              <w:t>    </w:t>
            </w:r>
          </w:p>
        </w:tc>
        <w:tc>
          <w:tcPr>
            <w:tcW w:w="2812"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2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Tellutax Contingent Consideration</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326" w:type="dxa"/>
            <w:tcBorders/>
            <w:shd w:fill="CCEEFF" w:val="clear"/>
            <w:vAlign w:val="center"/>
          </w:tcPr>
          <w:p>
            <w:pPr>
              <w:pStyle w:val="TableContents"/>
              <w:spacing w:before="0" w:after="1"/>
              <w:ind w:left="0" w:right="0" w:hanging="0"/>
              <w:rPr/>
            </w:pPr>
            <w:r>
              <w:rPr/>
              <w:t>​</w:t>
            </w:r>
          </w:p>
        </w:tc>
        <w:tc>
          <w:tcPr>
            <w:tcW w:w="20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Monte Carlo Simulation</w:t>
            </w:r>
          </w:p>
        </w:tc>
        <w:tc>
          <w:tcPr>
            <w:tcW w:w="326" w:type="dxa"/>
            <w:tcBorders/>
            <w:shd w:fill="CCEEFF" w:val="clear"/>
            <w:vAlign w:val="center"/>
          </w:tcPr>
          <w:p>
            <w:pPr>
              <w:pStyle w:val="TableContents"/>
              <w:spacing w:before="0" w:after="1"/>
              <w:ind w:left="0" w:right="0" w:hanging="0"/>
              <w:rPr/>
            </w:pPr>
            <w:r>
              <w:rPr/>
              <w:t>​</w:t>
            </w:r>
          </w:p>
        </w:tc>
        <w:tc>
          <w:tcPr>
            <w:tcW w:w="1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discount rate</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9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9"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0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spacing w:before="0" w:after="1"/>
              <w:ind w:left="0" w:right="0" w:hanging="0"/>
              <w:rPr/>
            </w:pPr>
            <w:r>
              <w:rPr/>
              <w:t>​</w: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2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Changes in the fair value of Tellutax Contingent Consideration during the three months ended March 31, 2023 were as follows:</w:t>
      </w:r>
    </w:p>
    <w:p>
      <w:pPr>
        <w:pStyle w:val="TextBody"/>
        <w:spacing w:before="0" w:after="0"/>
        <w:ind w:left="0" w:right="0" w:hanging="0"/>
        <w:rPr/>
      </w:pPr>
      <w:r>
        <w:rPr/>
        <w:t>​</w:t>
      </w:r>
    </w:p>
    <w:tbl>
      <w:tblPr>
        <w:tblW w:w="3441" w:type="dxa"/>
        <w:jc w:val="left"/>
        <w:tblInd w:w="0" w:type="dxa"/>
        <w:tblCellMar>
          <w:top w:w="0" w:type="dxa"/>
          <w:left w:w="0" w:type="dxa"/>
          <w:bottom w:w="0" w:type="dxa"/>
          <w:right w:w="0" w:type="dxa"/>
        </w:tblCellMar>
      </w:tblPr>
      <w:tblGrid>
        <w:gridCol w:w="2161"/>
        <w:gridCol w:w="109"/>
        <w:gridCol w:w="298"/>
        <w:gridCol w:w="873"/>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72235" cy="175260"/>
                      <wp:effectExtent l="0" t="0" r="0" b="0"/>
                      <wp:wrapNone/>
                      <wp:docPr id="124" name="Frame124"/>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9230" cy="175260"/>
                      <wp:effectExtent l="0" t="0" r="0" b="0"/>
                      <wp:wrapNone/>
                      <wp:docPr id="126" name="Frame126"/>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54355" cy="175260"/>
                      <wp:effectExtent l="0" t="0" r="0" b="0"/>
                      <wp:wrapNone/>
                      <wp:docPr id="127" name="Frame127"/>
                      <a:graphic xmlns:a="http://schemas.openxmlformats.org/drawingml/2006/main">
                        <a:graphicData uri="http://schemas.microsoft.com/office/word/2010/wordprocessingShape">
                          <wps:wsp>
                            <wps:cNvSpPr txBox="1"/>
                            <wps:spPr>
                              <a:xfrm>
                                <a:off x="0" y="0"/>
                                <a:ext cx="5543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Tellutax</w:t>
            </w:r>
          </w:p>
        </w:tc>
      </w:tr>
      <w:tr>
        <w:trPr/>
        <w:tc>
          <w:tcPr>
            <w:tcW w:w="216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w:t>
            </w:r>
          </w:p>
        </w:tc>
      </w:tr>
      <w:tr>
        <w:trPr/>
        <w:tc>
          <w:tcPr>
            <w:tcW w:w="216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Consideration</w:t>
            </w:r>
          </w:p>
        </w:tc>
      </w:tr>
      <w:tr>
        <w:trPr/>
        <w:tc>
          <w:tcPr>
            <w:tcW w:w="216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1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71" w:type="dxa"/>
            <w:gridSpan w:val="2"/>
            <w:tcBorders/>
            <w:shd w:fill="auto" w:val="clear"/>
            <w:vAlign w:val="center"/>
          </w:tcPr>
          <w:p>
            <w:pPr>
              <w:pStyle w:val="TableContents"/>
              <w:spacing w:before="0" w:after="1"/>
              <w:ind w:left="0" w:right="0" w:hanging="0"/>
              <w:jc w:val="center"/>
              <w:rPr/>
            </w:pPr>
            <w:r>
              <w:rPr/>
              <w:t>​</w:t>
            </w:r>
          </w:p>
        </w:tc>
      </w:tr>
      <w:tr>
        <w:trPr/>
        <w:tc>
          <w:tcPr>
            <w:tcW w:w="216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 January 1, 2023</w:t>
            </w:r>
          </w:p>
        </w:tc>
        <w:tc>
          <w:tcPr>
            <w:tcW w:w="109" w:type="dxa"/>
            <w:tcBorders/>
            <w:shd w:fill="CCEEFF" w:val="clear"/>
            <w:vAlign w:val="center"/>
          </w:tcPr>
          <w:p>
            <w:pPr>
              <w:pStyle w:val="TableContents"/>
              <w:spacing w:before="0" w:after="1"/>
              <w:ind w:left="0" w:right="0" w:hanging="0"/>
              <w:rPr/>
            </w:pPr>
            <w:r>
              <w:rPr/>
              <w:t>​</w:t>
            </w:r>
          </w:p>
        </w:tc>
        <w:tc>
          <w:tcPr>
            <w:tcW w:w="29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216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Fair value adjustments</w:t>
            </w:r>
          </w:p>
        </w:tc>
        <w:tc>
          <w:tcPr>
            <w:tcW w:w="109" w:type="dxa"/>
            <w:tcBorders/>
            <w:shd w:fill="auto" w:val="clear"/>
            <w:vAlign w:val="center"/>
          </w:tcPr>
          <w:p>
            <w:pPr>
              <w:pStyle w:val="TableContents"/>
              <w:spacing w:before="0" w:after="1"/>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7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21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March 31, 2023</w:t>
            </w:r>
          </w:p>
        </w:tc>
        <w:tc>
          <w:tcPr>
            <w:tcW w:w="109" w:type="dxa"/>
            <w:tcBorders/>
            <w:shd w:fill="CCEEFF" w:val="clear"/>
            <w:vAlign w:val="center"/>
          </w:tcPr>
          <w:p>
            <w:pPr>
              <w:pStyle w:val="TableContents"/>
              <w:spacing w:before="0" w:after="1"/>
              <w:ind w:left="0" w:right="0" w:hanging="0"/>
              <w:rPr/>
            </w:pPr>
            <w:r>
              <w:rPr/>
              <w:t>​</w:t>
            </w:r>
          </w:p>
        </w:tc>
        <w:tc>
          <w:tcPr>
            <w:tcW w:w="29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2161" w:type="dxa"/>
            <w:tcBorders/>
            <w:shd w:fill="auto" w:val="clear"/>
            <w:vAlign w:val="center"/>
          </w:tcPr>
          <w:p>
            <w:pPr>
              <w:pStyle w:val="TableContents"/>
              <w:spacing w:before="0" w:after="1"/>
              <w:ind w:left="0" w:right="0" w:hanging="0"/>
              <w:jc w:val="both"/>
              <w:rPr/>
            </w:pPr>
            <w:r>
              <w:rPr/>
              <w:t>​</w:t>
            </w:r>
          </w:p>
        </w:tc>
        <w:tc>
          <w:tcPr>
            <w:tcW w:w="109" w:type="dxa"/>
            <w:tcBorders/>
            <w:shd w:fill="auto" w:val="clear"/>
            <w:vAlign w:val="center"/>
          </w:tcPr>
          <w:p>
            <w:pPr>
              <w:pStyle w:val="TableContents"/>
              <w:spacing w:before="0" w:after="1"/>
              <w:ind w:left="0" w:right="0" w:hanging="0"/>
              <w:rPr/>
            </w:pPr>
            <w:r>
              <w:rPr/>
              <w:t>​</w:t>
            </w:r>
          </w:p>
        </w:tc>
        <w:tc>
          <w:tcPr>
            <w:tcW w:w="298" w:type="dxa"/>
            <w:tcBorders/>
            <w:shd w:fill="auto" w:val="clear"/>
            <w:vAlign w:val="center"/>
          </w:tcPr>
          <w:p>
            <w:pPr>
              <w:pStyle w:val="TableContents"/>
              <w:spacing w:before="0" w:after="1"/>
              <w:ind w:left="0" w:right="0" w:hanging="0"/>
              <w:rPr/>
            </w:pPr>
            <w:r>
              <w:rPr/>
              <w:t>​</w:t>
            </w:r>
          </w:p>
        </w:tc>
        <w:tc>
          <w:tcPr>
            <w:tcW w:w="873" w:type="dxa"/>
            <w:tcBorders/>
            <w:shd w:fill="auto" w:val="clear"/>
            <w:vAlign w:val="center"/>
          </w:tcPr>
          <w:p>
            <w:pPr>
              <w:pStyle w:val="TableContents"/>
              <w:spacing w:before="0" w:after="1"/>
              <w:ind w:left="0" w:right="0" w:hanging="0"/>
              <w:jc w:val="right"/>
              <w:rPr/>
            </w:pPr>
            <w:r>
              <w:rPr/>
              <w:t>​</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Assets and Liabilities for Which Fair Value is Only Disclosed </w:t>
      </w:r>
    </w:p>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cash and cash equivalents and the carrying amount of funds held for customers were the same as their respective fair values and are considered Level 1 measurements.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 of our bank debt approximates fair value as the variable rates on the debt approximate those commercially available in the market, and is considered a Level 3 measurement.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Non-recurring Fair Value Measurements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LCR-Dixon Corporation (“LCR-Dixon”) acquisition on September 22, 2021, the acquisition of EVAT Solutions Limited (“EVAT”) and its wholly owned subsidiaries (collectively, “Taxamo”)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Deferred purchase consideration associated with the LCR-Dixon acquisition was $9,924 and $19,824 at March 31, 2023 and December 31, 2022, respectively.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a contractual commitment to acquire the remaining equity interest from the original Systax quotaholders incrementally through 2024. Future purchase commitment payments for these incremental acquisition amounts are based on a multiple of Systax revenue and earnings before interest, depreciation, amortization and income taxes (“EBITDA”) performance at the end of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loss. Adjustments to the settlement date value that arise as a result of remeasurement at future balance sheet dates will be recorded as interest expense related to financing costs in the condensed consolidated statements of comprehensive income (loss) in the period the change is identified. No such adjustments have been recorded for the three months ended March 31, 2023 or 2022.</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Purchase Commitment Liability included in purchase commitment and contingent consideration liabilities, current and purchase commitment and contingent liabilities, net of current portion in the condensed consolidated balance sheet at March 31, 2023 was $4,940 and $5,213 respectively.  The Purchase Commitment Liability included in purchase commitment and contingent consideration liabilities, current and purchase commitment and contingent consideration liabilities, net of current portion in the consolidated balance sheets on December 31, 2022 was $4,749 and $5,012, respectively.</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both the LCR-Dixon deferred purchase consideration and the Systax Purchase Commitment Liability amounts discussed above approximated their respective fair values at such dates and are considered Level 3 non-recurring fair value measurements.</w:t>
      </w:r>
    </w:p>
    <w:p>
      <w:pPr>
        <w:pStyle w:val="TextBody"/>
        <w:spacing w:before="0" w:after="0"/>
        <w:ind w:left="0" w:right="0" w:hanging="0"/>
        <w:rPr/>
      </w:pPr>
      <w:r>
        <w:rPr/>
        <w:t>​</w:t>
      </w:r>
    </w:p>
    <w:p>
      <w:pPr>
        <w:pStyle w:val="TextBody"/>
        <w:spacing w:before="0" w:after="0"/>
        <w:ind w:left="380" w:right="0" w:hanging="0"/>
        <w:rPr>
          <w:rFonts w:ascii="Times New Roman;Times;serif" w:hAnsi="Times New Roman;Times;serif"/>
          <w:b/>
          <w:sz w:val="20"/>
        </w:rPr>
      </w:pPr>
      <w:r>
        <w:rPr>
          <w:rFonts w:ascii="Times New Roman;Times;serif" w:hAnsi="Times New Roman;Times;serif"/>
          <w:b/>
          <w:sz w:val="20"/>
        </w:rPr>
        <w:t xml:space="preserve">Derivative Instruments </w:t>
      </w:r>
    </w:p>
    <w:p>
      <w:pPr>
        <w:pStyle w:val="TextBody"/>
        <w:spacing w:lineRule="atLeast" w:line="229" w:before="0" w:after="0"/>
        <w:ind w:left="0" w:right="0" w:hanging="0"/>
        <w:rPr/>
      </w:pPr>
      <w:r>
        <w:rPr/>
        <w:t>​</w:t>
      </w:r>
    </w:p>
    <w:p>
      <w:pPr>
        <w:pStyle w:val="TextBody"/>
        <w:spacing w:before="0" w:after="0"/>
        <w:ind w:left="60" w:right="59" w:firstLine="324"/>
        <w:jc w:val="both"/>
        <w:rPr>
          <w:rFonts w:ascii="Times New Roman;Times;serif" w:hAnsi="Times New Roman;Times;serif"/>
          <w:sz w:val="20"/>
        </w:rPr>
      </w:pPr>
      <w:r>
        <w:rPr>
          <w:rFonts w:ascii="Times New Roman;Times;serif" w:hAnsi="Times New Roman;Times;serif"/>
          <w:sz w:val="20"/>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entered into a series of foreign currency forward contracts to reduce our exposure to adverse fluctuations in the Brazilian Real associated with a portion of the Systax Purchase Commitment Liability. Such forward contracts, have not been designated as a hedge, do not qualify for hedge accounting and are not material to our condensed consolidated financial statements. These forward contacts are remeasured at fair value on a recurring basis and are included in other assets in our condensed consolidated balance sheets with changes in their estimated fair value recognized as interest expense in our condensed consolidated statements of comprehensive loss. Our fair value determinations are based on foreign currency exchange rates in active markets, which are considered to be Level 2 measurements within the Fair Value Hierarchy.</w:t>
      </w:r>
    </w:p>
    <w:p>
      <w:pPr>
        <w:pStyle w:val="TextBody"/>
        <w:spacing w:before="0" w:after="240"/>
        <w:ind w:left="0" w:right="0" w:firstLine="360"/>
        <w:jc w:val="both"/>
        <w:rPr/>
      </w:pPr>
      <w:r>
        <w:rPr/>
        <w:t>​</w:t>
      </w:r>
    </w:p>
    <w:p>
      <w:pPr>
        <w:pStyle w:val="TextBody"/>
        <w:spacing w:before="0" w:after="240"/>
        <w:ind w:left="0" w:right="0" w:firstLine="36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93" w:name="Tc_Ijpq22w_GkOMiIF8gswTKA_6_5"/>
      <w:bookmarkStart w:id="994" w:name="Tc_p-BLX074kEWsWTjnABkC2w_6_2"/>
      <w:bookmarkStart w:id="995" w:name="Tc_2wf55zacZUG6lg9BKvn_0Q_6_0"/>
      <w:bookmarkStart w:id="996" w:name="Tc_sCTVA-8Oq0-PFp_gx8NZCA_5_0"/>
      <w:bookmarkStart w:id="997" w:name="Tc__OlT_Js88kKqUlE6pA3cJA_4_5"/>
      <w:bookmarkStart w:id="998" w:name="Tc_-_z4nkYa7EORTesnGlo0IQ_4_2"/>
      <w:bookmarkStart w:id="999" w:name="Tc_Ku3odcwMqUK_NRANNxZ-MQ_4_0"/>
      <w:bookmarkStart w:id="1000" w:name="Tc_HUazS_JLs0mfO_wrAD13Pg_3_2"/>
      <w:bookmarkStart w:id="1001" w:name="Tc_dITq7cEhEU23sFNMqQk2mg_2_5"/>
      <w:bookmarkStart w:id="1002" w:name="Tc_IlszHbLHBE6G-MPClpeoLA_2_2"/>
      <w:bookmarkStart w:id="1003" w:name="Tc_XPWF_XvBS0G29cnljwN5qQ_1_2"/>
      <w:bookmarkStart w:id="1004" w:name="Tc_iYWdj51rS02WGrVF32totA_8_4"/>
      <w:bookmarkStart w:id="1005" w:name="Tc_uXVpHyEzP0mQajvDMw2iLw_8_1"/>
      <w:bookmarkStart w:id="1006" w:name="Tc_tYUSfxZLP0qRFOg3ONgmUg_8_0"/>
      <w:bookmarkStart w:id="1007" w:name="Tc_3K8bj_L00062RKErNnT55w_7_0"/>
      <w:bookmarkStart w:id="1008" w:name="Tc_pKaV99tDIkWp_VF9JaJXlw_6_0"/>
      <w:bookmarkStart w:id="1009" w:name="Tc_L5FzO3hEJkShdpkpDraMqQ_5_0"/>
      <w:bookmarkStart w:id="1010" w:name="Tc_PPuS6BqTPkmPDc7gnqrbMw_4_4"/>
      <w:bookmarkStart w:id="1011" w:name="Tc_v4CPrDvYVUKnAu-EqfjR-A_4_1"/>
      <w:bookmarkStart w:id="1012" w:name="Tc_Pw0DDsUs00yU_VjErlPoKQ_4_0"/>
      <w:bookmarkStart w:id="1013" w:name="Tc_W0E4X44AlEOp4TKb7psG8A_3_2"/>
      <w:bookmarkStart w:id="1014" w:name="Tc_mFO5e1rEykiiNPqmSZZ3eQ_2_4"/>
      <w:bookmarkStart w:id="1015" w:name="Tc_liznOjSW0kOnUIhpEVauFg_2_1"/>
      <w:bookmarkStart w:id="1016" w:name="Tc_w4Hqz4DLH0qziXBkoa9UZw_1_4"/>
      <w:bookmarkStart w:id="1017" w:name="Tc_ewNpy8r8wE2IyLiq5jhNvg_1_1"/>
      <w:bookmarkStart w:id="1018" w:name="Tc_SHjVxKqco0ajUh1Noh-1uA_14_5"/>
      <w:bookmarkStart w:id="1019" w:name="Tc_sGQnNr3EDkO5-LRBgfulWg_14_2"/>
      <w:bookmarkStart w:id="1020" w:name="Tc_TZMigm7Kr0K7ibjIRWiO3A_14_0"/>
      <w:bookmarkStart w:id="1021" w:name="Tc_ENoLnRzwsEKh-xJ_PP3rdg_13_0"/>
      <w:bookmarkStart w:id="1022" w:name="Tc_JsF22WswaEiPNGz1PKH2hw_12_0"/>
      <w:bookmarkStart w:id="1023" w:name="Tc_GPmL9iviBUOfRSObkThIdQ_11_0"/>
      <w:bookmarkStart w:id="1024" w:name="Tc_0Q6FrX1xCkqGjY3BEy-nVw_10_0"/>
      <w:bookmarkStart w:id="1025" w:name="Tc_fmuYjNRphEGcFxSZAAi9Qg_9_0"/>
      <w:bookmarkStart w:id="1026" w:name="Tc_bJZeWrmd6U2fRjM4sx1EuA_8_0"/>
      <w:bookmarkStart w:id="1027" w:name="Tc_zte5nniGSE-DGWHPaCMQgg_7_0"/>
      <w:bookmarkStart w:id="1028" w:name="Tc_7BdLC6PjHk2pXKNvgzqunQ_6_0"/>
      <w:bookmarkStart w:id="1029" w:name="Tc_qyv16Hg6kEepY5zOdDC81g_5_0"/>
      <w:bookmarkStart w:id="1030" w:name="Tc_7L3Hcavlm0OyWMHDpaiSqg_4_5"/>
      <w:bookmarkStart w:id="1031" w:name="Tc_Kre_qUA6CEur_F-_vSY0tQ_4_2"/>
      <w:bookmarkStart w:id="1032" w:name="Tc_X9RftQY7fEmUJvPhZ7wGlQ_4_0"/>
      <w:bookmarkStart w:id="1033" w:name="Tc_CNGdmp-4SUezO323aY6Vhg_3_2"/>
      <w:bookmarkStart w:id="1034" w:name="Tc_SwYxj_4R5EmE4pJUSuIQpA_2_5"/>
      <w:bookmarkStart w:id="1035" w:name="Tc_v8KARV8kUkmte8NXJ5x0hw_2_2"/>
      <w:bookmarkStart w:id="1036" w:name="Tc_5S83q4d9c0K6P4cmM1nY0Q_1_6"/>
      <w:bookmarkStart w:id="1037" w:name="Tc_8U0S47NY5U6zXW0AJ70-2w_1_3"/>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sz w:val="20"/>
        </w:rPr>
        <w:t>4.      PROPERTY AND EQUIPMENT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r>
        <w:rPr>
          <w:rFonts w:ascii="Times New Roman;Times;serif" w:hAnsi="Times New Roman;Times;serif"/>
          <w:color w:val="FF0000"/>
          <w:sz w:val="20"/>
        </w:rPr>
        <w:t xml:space="preserve"> </w:t>
      </w:r>
    </w:p>
    <w:p>
      <w:pPr>
        <w:pStyle w:val="TextBody"/>
        <w:spacing w:before="0" w:after="0"/>
        <w:ind w:left="0" w:right="0" w:hanging="0"/>
        <w:rPr/>
      </w:pPr>
      <w:r>
        <w:rPr/>
        <w:t>​</w:t>
      </w:r>
    </w:p>
    <w:tbl>
      <w:tblPr>
        <w:tblW w:w="7790" w:type="dxa"/>
        <w:jc w:val="left"/>
        <w:tblInd w:w="0" w:type="dxa"/>
        <w:tblCellMar>
          <w:top w:w="0" w:type="dxa"/>
          <w:left w:w="0" w:type="dxa"/>
          <w:bottom w:w="0" w:type="dxa"/>
          <w:right w:w="0" w:type="dxa"/>
        </w:tblCellMar>
      </w:tblPr>
      <w:tblGrid>
        <w:gridCol w:w="4051"/>
        <w:gridCol w:w="326"/>
        <w:gridCol w:w="211"/>
        <w:gridCol w:w="1321"/>
        <w:gridCol w:w="109"/>
        <w:gridCol w:w="211"/>
        <w:gridCol w:w="1561"/>
      </w:tblGrid>
      <w:tr>
        <w:trPr/>
        <w:tc>
          <w:tcPr>
            <w:tcW w:w="4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572385" cy="175260"/>
                      <wp:effectExtent l="0" t="0" r="0" b="0"/>
                      <wp:wrapNone/>
                      <wp:docPr id="128" name="Frame128"/>
                      <a:graphic xmlns:a="http://schemas.openxmlformats.org/drawingml/2006/main">
                        <a:graphicData uri="http://schemas.microsoft.com/office/word/2010/wordprocessingShape">
                          <wps:wsp>
                            <wps:cNvSpPr txBox="1"/>
                            <wps:spPr>
                              <a:xfrm>
                                <a:off x="0" y="0"/>
                                <a:ext cx="2572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38835" cy="175260"/>
                      <wp:effectExtent l="0" t="0" r="0" b="0"/>
                      <wp:wrapNone/>
                      <wp:docPr id="131" name="Frame131"/>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91235" cy="175260"/>
                      <wp:effectExtent l="0" t="0" r="0" b="0"/>
                      <wp:wrapNone/>
                      <wp:docPr id="134" name="Frame134"/>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5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7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3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561" w:type="dxa"/>
            <w:tcBorders/>
            <w:shd w:fill="auto" w:val="clear"/>
            <w:vAlign w:val="center"/>
          </w:tcPr>
          <w:p>
            <w:pPr>
              <w:pStyle w:val="TableContents"/>
              <w:spacing w:before="0" w:after="0"/>
              <w:ind w:left="0" w:right="0" w:hanging="0"/>
              <w:jc w:val="center"/>
              <w:rPr/>
            </w:pPr>
            <w:r>
              <w:rPr/>
              <w:t>​</w:t>
            </w:r>
          </w:p>
        </w:tc>
      </w:tr>
      <w:tr>
        <w:trPr/>
        <w:tc>
          <w:tcPr>
            <w:tcW w:w="405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20,935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20,929</w:t>
            </w:r>
          </w:p>
        </w:tc>
      </w:tr>
      <w:tr>
        <w:trPr/>
        <w:tc>
          <w:tcPr>
            <w:tcW w:w="40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39,530</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5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39,238</w:t>
            </w:r>
          </w:p>
        </w:tc>
      </w:tr>
      <w:tr>
        <w:trPr/>
        <w:tc>
          <w:tcPr>
            <w:tcW w:w="405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11,903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11,892</w:t>
            </w:r>
          </w:p>
        </w:tc>
      </w:tr>
      <w:tr>
        <w:trPr/>
        <w:tc>
          <w:tcPr>
            <w:tcW w:w="40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561" w:type="dxa"/>
            <w:tcBorders/>
            <w:shd w:fill="auto" w:val="clear"/>
            <w:vAlign w:val="center"/>
          </w:tcPr>
          <w:p>
            <w:pPr>
              <w:pStyle w:val="TableContents"/>
              <w:spacing w:before="0" w:after="0"/>
              <w:ind w:left="0" w:right="0" w:hanging="0"/>
              <w:jc w:val="right"/>
              <w:rPr/>
            </w:pPr>
            <w:r>
              <w:rPr/>
              <w:t>​</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149,851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142,980</w:t>
            </w:r>
          </w:p>
        </w:tc>
      </w:tr>
      <w:tr>
        <w:trPr/>
        <w:tc>
          <w:tcPr>
            <w:tcW w:w="40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 systems and tools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47,846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5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42,035</w:t>
            </w:r>
          </w:p>
        </w:tc>
      </w:tr>
      <w:tr>
        <w:trPr/>
        <w:tc>
          <w:tcPr>
            <w:tcW w:w="405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7,667</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7,665</w:t>
            </w:r>
          </w:p>
        </w:tc>
      </w:tr>
      <w:tr>
        <w:trPr/>
        <w:tc>
          <w:tcPr>
            <w:tcW w:w="40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33,843</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5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32,878</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311,575</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297,617</w:t>
            </w:r>
          </w:p>
        </w:tc>
      </w:tr>
      <w:tr>
        <w:trPr/>
        <w:tc>
          <w:tcPr>
            <w:tcW w:w="405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(194,131)</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5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(181,849)</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117,444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115,768</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property and equipment, excluding all internal-use software developed and finance leases, was $1,517 and $1,718 for the three months ended March 31, 2023 and 2022, respectively, and is reflected in depreciation and amortization in the condensed consolidated statements of comprehensive 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Finance lease amortization was $279 and $235 for the three months ended March 31, 2023 and 2022, respectively, and is included in depreciation and amortization expense in the condensed consolidated statements of comprehensive loss.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Assets under finance leases of $1,461 and $1,461, net of accumulated amortization of $1,140 and $861, respectively, at March 31, 2023 and December 31, 2022, respectively, are included in property and equipment in the condensed consolidated balance sheets.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are as follows:  </w:t>
      </w:r>
    </w:p>
    <w:p>
      <w:pPr>
        <w:pStyle w:val="TextBody"/>
        <w:spacing w:before="0" w:after="0"/>
        <w:ind w:left="0" w:right="0" w:hanging="0"/>
        <w:rPr/>
      </w:pPr>
      <w:r>
        <w:rPr/>
        <w:t>​</w:t>
      </w:r>
    </w:p>
    <w:tbl>
      <w:tblPr>
        <w:tblW w:w="8435" w:type="dxa"/>
        <w:jc w:val="left"/>
        <w:tblInd w:w="0" w:type="dxa"/>
        <w:tblCellMar>
          <w:top w:w="0" w:type="dxa"/>
          <w:left w:w="0" w:type="dxa"/>
          <w:bottom w:w="0" w:type="dxa"/>
          <w:right w:w="0" w:type="dxa"/>
        </w:tblCellMar>
      </w:tblPr>
      <w:tblGrid>
        <w:gridCol w:w="5401"/>
        <w:gridCol w:w="240"/>
        <w:gridCol w:w="1080"/>
        <w:gridCol w:w="109"/>
        <w:gridCol w:w="292"/>
        <w:gridCol w:w="1313"/>
      </w:tblGrid>
      <w:tr>
        <w:trPr/>
        <w:tc>
          <w:tcPr>
            <w:tcW w:w="5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429635" cy="175260"/>
                      <wp:effectExtent l="0" t="0" r="0" b="0"/>
                      <wp:wrapNone/>
                      <wp:docPr id="135" name="Frame135"/>
                      <a:graphic xmlns:a="http://schemas.openxmlformats.org/drawingml/2006/main">
                        <a:graphicData uri="http://schemas.microsoft.com/office/word/2010/wordprocessingShape">
                          <wps:wsp>
                            <wps:cNvSpPr txBox="1"/>
                            <wps:spPr>
                              <a:xfrm>
                                <a:off x="0" y="0"/>
                                <a:ext cx="3429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52400" cy="175260"/>
                      <wp:effectExtent l="0" t="0" r="0" b="0"/>
                      <wp:wrapNone/>
                      <wp:docPr id="136" name="Frame136"/>
                      <a:graphic xmlns:a="http://schemas.openxmlformats.org/drawingml/2006/main">
                        <a:graphicData uri="http://schemas.microsoft.com/office/word/2010/wordprocessingShape">
                          <wps:wsp>
                            <wps:cNvSpPr txBox="1"/>
                            <wps:spPr>
                              <a:xfrm>
                                <a:off x="0" y="0"/>
                                <a:ext cx="152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85800" cy="175260"/>
                      <wp:effectExtent l="0" t="0" r="0" b="0"/>
                      <wp:wrapNone/>
                      <wp:docPr id="137" name="Frame137"/>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5420" cy="175260"/>
                      <wp:effectExtent l="0" t="0" r="0" b="0"/>
                      <wp:wrapNone/>
                      <wp:docPr id="139" name="Frame139"/>
                      <a:graphic xmlns:a="http://schemas.openxmlformats.org/drawingml/2006/main">
                        <a:graphicData uri="http://schemas.microsoft.com/office/word/2010/wordprocessingShape">
                          <wps:wsp>
                            <wps:cNvSpPr txBox="1"/>
                            <wps:spPr>
                              <a:xfrm>
                                <a:off x="0" y="0"/>
                                <a:ext cx="185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33755" cy="175260"/>
                      <wp:effectExtent l="0" t="0" r="0" b="0"/>
                      <wp:wrapNone/>
                      <wp:docPr id="140" name="Frame140"/>
                      <a:graphic xmlns:a="http://schemas.openxmlformats.org/drawingml/2006/main">
                        <a:graphicData uri="http://schemas.microsoft.com/office/word/2010/wordprocessingShape">
                          <wps:wsp>
                            <wps:cNvSpPr txBox="1"/>
                            <wps:spPr>
                              <a:xfrm>
                                <a:off x="0" y="0"/>
                                <a:ext cx="833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01" w:type="dxa"/>
            <w:tcBorders/>
            <w:shd w:fill="auto" w:val="clear"/>
            <w:vAlign w:val="center"/>
          </w:tcPr>
          <w:p>
            <w:pPr>
              <w:pStyle w:val="TableContents"/>
              <w:spacing w:before="0" w:after="0"/>
              <w:ind w:left="0" w:right="0" w:hanging="0"/>
              <w:rPr/>
            </w:pPr>
            <w:r>
              <w:rPr/>
              <w:t>​</w:t>
            </w:r>
          </w:p>
        </w:tc>
        <w:tc>
          <w:tcPr>
            <w:tcW w:w="132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shd w:fill="auto" w:val="clear"/>
            <w:vAlign w:val="center"/>
          </w:tcPr>
          <w:p>
            <w:pPr>
              <w:pStyle w:val="TableContents"/>
              <w:spacing w:before="0" w:after="0"/>
              <w:ind w:left="0" w:right="0" w:hanging="0"/>
              <w:rPr/>
            </w:pPr>
            <w:r>
              <w:rPr/>
              <w:t>​</w:t>
            </w:r>
          </w:p>
        </w:tc>
        <w:tc>
          <w:tcPr>
            <w:tcW w:w="16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401" w:type="dxa"/>
            <w:tcBorders/>
            <w:shd w:fill="auto" w:val="clear"/>
            <w:vAlign w:val="center"/>
          </w:tcPr>
          <w:p>
            <w:pPr>
              <w:pStyle w:val="TableContents"/>
              <w:spacing w:before="0" w:after="0"/>
              <w:ind w:left="0" w:right="0" w:hanging="0"/>
              <w:rPr/>
            </w:pPr>
            <w:r>
              <w:rPr/>
              <w:t>​</w:t>
            </w:r>
          </w:p>
        </w:tc>
        <w:tc>
          <w:tcPr>
            <w:tcW w:w="13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01" w:type="dxa"/>
            <w:tcBorders/>
            <w:shd w:fill="auto" w:val="clear"/>
            <w:vAlign w:val="center"/>
          </w:tcPr>
          <w:p>
            <w:pPr>
              <w:pStyle w:val="TableContents"/>
              <w:spacing w:before="0" w:after="0"/>
              <w:ind w:left="0" w:right="0" w:hanging="0"/>
              <w:rPr/>
            </w:pPr>
            <w:r>
              <w:rPr/>
              <w:t>​</w:t>
            </w:r>
          </w:p>
        </w:tc>
        <w:tc>
          <w:tcPr>
            <w:tcW w:w="240" w:type="dxa"/>
            <w:tcBorders/>
            <w:shd w:fill="auto" w:val="clear"/>
            <w:vAlign w:val="center"/>
          </w:tcPr>
          <w:p>
            <w:pPr>
              <w:pStyle w:val="TableContents"/>
              <w:spacing w:before="0" w:after="0"/>
              <w:ind w:left="0" w:right="0" w:hanging="0"/>
              <w:jc w:val="center"/>
              <w:rPr/>
            </w:pPr>
            <w:r>
              <w:rPr/>
              <w:t>​</w:t>
            </w:r>
          </w:p>
        </w:tc>
        <w:tc>
          <w:tcPr>
            <w:tcW w:w="108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0"/>
              <w:ind w:left="0" w:right="0" w:hanging="0"/>
              <w:rPr/>
            </w:pPr>
            <w:r>
              <w:rPr/>
              <w:t>​</w:t>
            </w:r>
          </w:p>
        </w:tc>
        <w:tc>
          <w:tcPr>
            <w:tcW w:w="292" w:type="dxa"/>
            <w:tcBorders/>
            <w:shd w:fill="auto" w:val="clear"/>
            <w:vAlign w:val="center"/>
          </w:tcPr>
          <w:p>
            <w:pPr>
              <w:pStyle w:val="TableContents"/>
              <w:spacing w:before="0" w:after="0"/>
              <w:ind w:left="0" w:right="0" w:hanging="0"/>
              <w:jc w:val="center"/>
              <w:rPr/>
            </w:pPr>
            <w:r>
              <w:rPr/>
              <w:t>​</w:t>
            </w:r>
          </w:p>
        </w:tc>
        <w:tc>
          <w:tcPr>
            <w:tcW w:w="1313" w:type="dxa"/>
            <w:tcBorders/>
            <w:shd w:fill="auto" w:val="clear"/>
            <w:vAlign w:val="center"/>
          </w:tcPr>
          <w:p>
            <w:pPr>
              <w:pStyle w:val="TableContents"/>
              <w:spacing w:before="0" w:after="0"/>
              <w:ind w:left="0" w:right="0" w:hanging="0"/>
              <w:jc w:val="center"/>
              <w:rPr/>
            </w:pPr>
            <w:r>
              <w:rPr/>
              <w:t>​</w:t>
            </w:r>
          </w:p>
        </w:tc>
      </w:tr>
      <w:tr>
        <w:trPr/>
        <w:tc>
          <w:tcPr>
            <w:tcW w:w="540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2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197,697</w:t>
            </w:r>
          </w:p>
        </w:tc>
        <w:tc>
          <w:tcPr>
            <w:tcW w:w="109"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185,015</w:t>
            </w:r>
          </w:p>
        </w:tc>
      </w:tr>
      <w:tr>
        <w:trPr/>
        <w:tc>
          <w:tcPr>
            <w:tcW w:w="54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24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(130,062)</w:t>
            </w:r>
          </w:p>
        </w:tc>
        <w:tc>
          <w:tcPr>
            <w:tcW w:w="109" w:type="dxa"/>
            <w:tcBorders/>
            <w:shd w:fill="auto" w:val="clear"/>
            <w:vAlign w:val="center"/>
          </w:tcPr>
          <w:p>
            <w:pPr>
              <w:pStyle w:val="TableContents"/>
              <w:spacing w:before="0" w:after="0"/>
              <w:ind w:left="0" w:right="0" w:hanging="0"/>
              <w:rPr/>
            </w:pPr>
            <w:r>
              <w:rPr/>
              <w:t>​</w:t>
            </w:r>
          </w:p>
        </w:tc>
        <w:tc>
          <w:tcPr>
            <w:tcW w:w="29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(119,603)</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Internal-use software developed, net of accumulated depreciation</w:t>
            </w:r>
          </w:p>
        </w:tc>
        <w:tc>
          <w:tcPr>
            <w:tcW w:w="240" w:type="dxa"/>
            <w:tcBorders/>
            <w:shd w:fill="CCEEFF" w:val="clear"/>
            <w:vAlign w:val="center"/>
          </w:tcPr>
          <w:p>
            <w:pPr>
              <w:pStyle w:val="TableContents"/>
              <w:spacing w:before="0" w:after="0"/>
              <w:ind w:left="0" w:right="0" w:hanging="0"/>
              <w:rPr/>
            </w:pPr>
            <w:r>
              <w:rPr/>
              <w:t> </w:t>
            </w:r>
          </w:p>
        </w:tc>
        <w:tc>
          <w:tcPr>
            <w:tcW w:w="10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67,635</w:t>
            </w:r>
          </w:p>
        </w:tc>
        <w:tc>
          <w:tcPr>
            <w:tcW w:w="109" w:type="dxa"/>
            <w:tcBorders/>
            <w:shd w:fill="CCEEFF" w:val="clear"/>
            <w:vAlign w:val="center"/>
          </w:tcPr>
          <w:p>
            <w:pPr>
              <w:pStyle w:val="TableContents"/>
              <w:spacing w:before="0" w:after="0"/>
              <w:ind w:left="0" w:right="0" w:hanging="0"/>
              <w:rPr/>
            </w:pPr>
            <w:r>
              <w:rPr/>
              <w:t>​</w:t>
            </w:r>
          </w:p>
        </w:tc>
        <w:tc>
          <w:tcPr>
            <w:tcW w:w="292" w:type="dxa"/>
            <w:tcBorders/>
            <w:shd w:fill="CCEEFF" w:val="clear"/>
            <w:vAlign w:val="center"/>
          </w:tcPr>
          <w:p>
            <w:pPr>
              <w:pStyle w:val="TableContents"/>
              <w:spacing w:before="0" w:after="0"/>
              <w:ind w:left="0" w:right="0" w:hanging="0"/>
              <w:rPr/>
            </w:pPr>
            <w:r>
              <w:rPr/>
              <w:t> </w:t>
            </w:r>
          </w:p>
        </w:tc>
        <w:tc>
          <w:tcPr>
            <w:tcW w:w="131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65,412</w:t>
            </w:r>
          </w:p>
        </w:tc>
      </w:tr>
      <w:tr>
        <w:trPr/>
        <w:tc>
          <w:tcPr>
            <w:tcW w:w="540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24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33,843</w:t>
            </w:r>
          </w:p>
        </w:tc>
        <w:tc>
          <w:tcPr>
            <w:tcW w:w="109" w:type="dxa"/>
            <w:tcBorders/>
            <w:shd w:fill="auto" w:val="clear"/>
            <w:vAlign w:val="center"/>
          </w:tcPr>
          <w:p>
            <w:pPr>
              <w:pStyle w:val="TableContents"/>
              <w:spacing w:before="0" w:after="0"/>
              <w:ind w:left="0" w:right="0" w:hanging="0"/>
              <w:rPr/>
            </w:pPr>
            <w:r>
              <w:rPr/>
              <w:t>​</w:t>
            </w:r>
          </w:p>
        </w:tc>
        <w:tc>
          <w:tcPr>
            <w:tcW w:w="29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1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32,878</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Internal-use software developed, net</w:t>
            </w:r>
          </w:p>
        </w:tc>
        <w:tc>
          <w:tcPr>
            <w:tcW w:w="24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101,478</w:t>
            </w:r>
          </w:p>
        </w:tc>
        <w:tc>
          <w:tcPr>
            <w:tcW w:w="109" w:type="dxa"/>
            <w:tcBorders/>
            <w:shd w:fill="CCEEFF" w:val="clear"/>
            <w:vAlign w:val="center"/>
          </w:tcPr>
          <w:p>
            <w:pPr>
              <w:pStyle w:val="TableContents"/>
              <w:spacing w:before="0" w:after="0"/>
              <w:ind w:left="0" w:right="0" w:hanging="0"/>
              <w:rPr/>
            </w:pPr>
            <w:r>
              <w:rPr/>
              <w:t>​</w:t>
            </w:r>
          </w:p>
        </w:tc>
        <w:tc>
          <w:tcPr>
            <w:tcW w:w="29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98,290</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Amounts included in property and equipment additions related to capitalized internal-use software on the condensed consolidated statements of cash flows are as follows:</w:t>
      </w:r>
    </w:p>
    <w:p>
      <w:pPr>
        <w:pStyle w:val="TextBody"/>
        <w:spacing w:before="0" w:after="0"/>
        <w:ind w:left="0" w:right="0" w:hanging="0"/>
        <w:rPr/>
      </w:pPr>
      <w:r>
        <w:rPr/>
        <w:t>​</w:t>
      </w:r>
    </w:p>
    <w:tbl>
      <w:tblPr>
        <w:tblW w:w="6149" w:type="dxa"/>
        <w:jc w:val="left"/>
        <w:tblInd w:w="0" w:type="dxa"/>
        <w:tblCellMar>
          <w:top w:w="0" w:type="dxa"/>
          <w:left w:w="0" w:type="dxa"/>
          <w:bottom w:w="0" w:type="dxa"/>
          <w:right w:w="0" w:type="dxa"/>
        </w:tblCellMar>
      </w:tblPr>
      <w:tblGrid>
        <w:gridCol w:w="2731"/>
        <w:gridCol w:w="326"/>
        <w:gridCol w:w="329"/>
        <w:gridCol w:w="1055"/>
        <w:gridCol w:w="170"/>
        <w:gridCol w:w="329"/>
        <w:gridCol w:w="1055"/>
        <w:gridCol w:w="154"/>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34185" cy="175260"/>
                      <wp:effectExtent l="0" t="0" r="0" b="0"/>
                      <wp:wrapNone/>
                      <wp:docPr id="141" name="Frame141"/>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8915" cy="175260"/>
                      <wp:effectExtent l="0" t="0" r="0" b="0"/>
                      <wp:wrapNone/>
                      <wp:docPr id="143" name="Frame143"/>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69925" cy="175260"/>
                      <wp:effectExtent l="0" t="0" r="0" b="0"/>
                      <wp:wrapNone/>
                      <wp:docPr id="144" name="Frame144"/>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07950" cy="175260"/>
                      <wp:effectExtent l="0" t="0" r="0" b="0"/>
                      <wp:wrapNone/>
                      <wp:docPr id="145" name="Frame145"/>
                      <a:graphic xmlns:a="http://schemas.openxmlformats.org/drawingml/2006/main">
                        <a:graphicData uri="http://schemas.microsoft.com/office/word/2010/wordprocessingShape">
                          <wps:wsp>
                            <wps:cNvSpPr txBox="1"/>
                            <wps:spPr>
                              <a:xfrm>
                                <a:off x="0" y="0"/>
                                <a:ext cx="107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8915" cy="175260"/>
                      <wp:effectExtent l="0" t="0" r="0" b="0"/>
                      <wp:wrapNone/>
                      <wp:docPr id="146" name="Frame146"/>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69925" cy="175260"/>
                      <wp:effectExtent l="0" t="0" r="0" b="0"/>
                      <wp:wrapNone/>
                      <wp:docPr id="147" name="Frame147"/>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7790" cy="175260"/>
                      <wp:effectExtent l="0" t="0" r="0" b="0"/>
                      <wp:wrapNone/>
                      <wp:docPr id="148" name="Frame148"/>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3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154" w:type="dxa"/>
            <w:tcBorders/>
            <w:shd w:fill="auto" w:val="clear"/>
            <w:vAlign w:val="center"/>
          </w:tcPr>
          <w:p>
            <w:pPr>
              <w:pStyle w:val="TableContents"/>
              <w:spacing w:before="0" w:after="0"/>
              <w:ind w:left="0" w:right="0" w:hanging="0"/>
              <w:jc w:val="center"/>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0" w:type="dxa"/>
            <w:tcBorders/>
            <w:shd w:fill="auto" w:val="clear"/>
            <w:vAlign w:val="center"/>
          </w:tcPr>
          <w:p>
            <w:pPr>
              <w:pStyle w:val="TableContents"/>
              <w:spacing w:before="0" w:after="0"/>
              <w:ind w:left="0" w:right="0" w:hanging="0"/>
              <w:jc w:val="center"/>
              <w:rPr/>
            </w:pPr>
            <w:r>
              <w:rPr/>
              <w:t>​</w:t>
            </w:r>
          </w:p>
        </w:tc>
        <w:tc>
          <w:tcPr>
            <w:tcW w:w="13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jc w:val="center"/>
              <w:rPr/>
            </w:pPr>
            <w:r>
              <w:rPr/>
              <w:t>​</w:t>
            </w:r>
          </w:p>
        </w:tc>
      </w:tr>
      <w:tr>
        <w:trPr/>
        <w:tc>
          <w:tcPr>
            <w:tcW w:w="6149"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93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4" w:type="dxa"/>
            <w:tcBorders/>
            <w:shd w:fill="auto" w:val="clear"/>
            <w:vAlign w:val="center"/>
          </w:tcPr>
          <w:p>
            <w:pPr>
              <w:pStyle w:val="TableContents"/>
              <w:spacing w:before="0" w:after="0"/>
              <w:ind w:left="0" w:right="0" w:hanging="0"/>
              <w:jc w:val="center"/>
              <w:rPr/>
            </w:pPr>
            <w:r>
              <w:rPr/>
              <w:t>​</w:t>
            </w:r>
          </w:p>
        </w:tc>
      </w:tr>
      <w:tr>
        <w:trPr/>
        <w:tc>
          <w:tcPr>
            <w:tcW w:w="27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spacing w:before="0" w:after="0"/>
              <w:ind w:left="0" w:right="0" w:hanging="0"/>
              <w:rPr/>
            </w:pPr>
            <w:r>
              <w:rPr/>
              <w:t>    </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6,182</w:t>
            </w:r>
          </w:p>
        </w:tc>
        <w:tc>
          <w:tcPr>
            <w:tcW w:w="170"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7,400</w:t>
            </w:r>
          </w:p>
        </w:tc>
        <w:tc>
          <w:tcPr>
            <w:tcW w:w="154" w:type="dxa"/>
            <w:tcBorders/>
            <w:shd w:fill="CCEEFF"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26" w:type="dxa"/>
            <w:tcBorders/>
            <w:shd w:fill="auto" w:val="clear"/>
            <w:vAlign w:val="center"/>
          </w:tcPr>
          <w:p>
            <w:pPr>
              <w:pStyle w:val="TableContents"/>
              <w:spacing w:before="0" w:after="0"/>
              <w:ind w:left="0" w:right="0" w:hanging="0"/>
              <w:rPr/>
            </w:pPr>
            <w:r>
              <w:rPr/>
              <w:t>​</w:t>
            </w:r>
          </w:p>
        </w:tc>
        <w:tc>
          <w:tcPr>
            <w:tcW w:w="32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6,858</w:t>
            </w:r>
          </w:p>
        </w:tc>
        <w:tc>
          <w:tcPr>
            <w:tcW w:w="170" w:type="dxa"/>
            <w:tcBorders/>
            <w:shd w:fill="auto" w:val="clear"/>
            <w:vAlign w:val="center"/>
          </w:tcPr>
          <w:p>
            <w:pPr>
              <w:pStyle w:val="TableContents"/>
              <w:spacing w:before="0" w:after="0"/>
              <w:ind w:left="0" w:right="0" w:hanging="0"/>
              <w:rPr/>
            </w:pPr>
            <w:r>
              <w:rPr/>
              <w:t>​</w:t>
            </w:r>
          </w:p>
        </w:tc>
        <w:tc>
          <w:tcPr>
            <w:tcW w:w="32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2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13,040</w:t>
            </w:r>
          </w:p>
        </w:tc>
        <w:tc>
          <w:tcPr>
            <w:tcW w:w="170" w:type="dxa"/>
            <w:tcBorders/>
            <w:shd w:fill="CCEEFF" w:val="clear"/>
            <w:vAlign w:val="center"/>
          </w:tcPr>
          <w:p>
            <w:pPr>
              <w:pStyle w:val="TableContents"/>
              <w:spacing w:before="0" w:after="0"/>
              <w:ind w:left="0" w:right="0" w:hanging="0"/>
              <w:rPr/>
            </w:pPr>
            <w:r>
              <w:rPr/>
              <w:t>​</w:t>
            </w:r>
          </w:p>
        </w:tc>
        <w:tc>
          <w:tcPr>
            <w:tcW w:w="32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12,248</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In-process internal-use software developed is not depreciated until it is available for its intended use. Depreciation expense for internal-use software developed for cloud-based customer solutions for the three months ended March 31,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2023 and 2022, was $8,148 and $6,331, respectively, and is included in cost of revenues, software subscriptions in the condensed consolidated statements of comprehensive loss.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for internal-use software developed for internal systems and tools for the three months ended March 31, 2023 and 2022 was $1,945 and $1,007, respectively, and is included in depreciation and amortization in the condensed consolidated statements of comprehensive loss.</w:t>
      </w:r>
    </w:p>
    <w:p>
      <w:pPr>
        <w:pStyle w:val="TextBody"/>
        <w:spacing w:before="0" w:after="240"/>
        <w:ind w:left="0" w:right="0" w:firstLine="36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038" w:name="Tc_esup6zXb7EKhKSCbSQGrQw_8_5"/>
      <w:bookmarkStart w:id="1039" w:name="Tc_fLuFxX91zky7qAz0u51IRQ_8_2"/>
      <w:bookmarkStart w:id="1040" w:name="Tc_bKECet6eeUyzw8VXtzKIyw_8_0"/>
      <w:bookmarkStart w:id="1041" w:name="Tc_XSViY89QkkqaXyrDdRlbQw_7_0"/>
      <w:bookmarkStart w:id="1042" w:name="Tc_mYyNqxy_Xkuk1UzT00z2gA_6_0"/>
      <w:bookmarkStart w:id="1043" w:name="Tc_SSPLKjkAHkWGbZ7jT7dhZw_5_0"/>
      <w:bookmarkStart w:id="1044" w:name="Tc_TYmjxPkHgUOk2vWz_ZkMjQ_4_5"/>
      <w:bookmarkStart w:id="1045" w:name="Tc_nyepnEv1PE21XmcOnFX8Jg_4_2"/>
      <w:bookmarkStart w:id="1046" w:name="Tc__rLkNa0taUKWtfQeuNrAcg_4_0"/>
      <w:bookmarkStart w:id="1047" w:name="Tc_9nen15Zv8kelckwylmf1Nw_3_2"/>
      <w:bookmarkStart w:id="1048" w:name="Tc_Ht7JBLDUiUqdt7zu0jsJhQ_2_5"/>
      <w:bookmarkStart w:id="1049" w:name="Tc_PmX6yM_7zkKSh80ycJ_Pgw_2_2"/>
      <w:bookmarkStart w:id="1050" w:name="Tc_zJbQcqxqM02oETdRGDlCvw_1_5"/>
      <w:bookmarkStart w:id="1051" w:name="Tc__qfRqTIjFUSI1PsJn2Kd0g_1_2"/>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ascii="Times New Roman;Times;serif" w:hAnsi="Times New Roman;Times;serif"/>
          <w:b/>
          <w:sz w:val="20"/>
        </w:rPr>
        <w:t>5.    CAPITALIZED SOFTWARE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includes acquired software and direct labor and related expenses for software developed for sale for new products and enhancements to existing products.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capitalized software are as follows:</w:t>
      </w:r>
    </w:p>
    <w:p>
      <w:pPr>
        <w:pStyle w:val="TextBody"/>
        <w:spacing w:before="0" w:after="0"/>
        <w:ind w:left="0" w:right="0" w:hanging="0"/>
        <w:rPr/>
      </w:pPr>
      <w:r>
        <w:rPr/>
        <w:t>​</w:t>
      </w:r>
    </w:p>
    <w:tbl>
      <w:tblPr>
        <w:tblW w:w="8389" w:type="dxa"/>
        <w:jc w:val="left"/>
        <w:tblInd w:w="0" w:type="dxa"/>
        <w:tblCellMar>
          <w:top w:w="0" w:type="dxa"/>
          <w:left w:w="0" w:type="dxa"/>
          <w:bottom w:w="0" w:type="dxa"/>
          <w:right w:w="0" w:type="dxa"/>
        </w:tblCellMar>
      </w:tblPr>
      <w:tblGrid>
        <w:gridCol w:w="4486"/>
        <w:gridCol w:w="326"/>
        <w:gridCol w:w="276"/>
        <w:gridCol w:w="1044"/>
        <w:gridCol w:w="326"/>
        <w:gridCol w:w="347"/>
        <w:gridCol w:w="1213"/>
        <w:gridCol w:w="371"/>
      </w:tblGrid>
      <w:tr>
        <w:trPr/>
        <w:tc>
          <w:tcPr>
            <w:tcW w:w="4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848610" cy="175260"/>
                      <wp:effectExtent l="0" t="0" r="0" b="0"/>
                      <wp:wrapNone/>
                      <wp:docPr id="149" name="Frame149"/>
                      <a:graphic xmlns:a="http://schemas.openxmlformats.org/drawingml/2006/main">
                        <a:graphicData uri="http://schemas.microsoft.com/office/word/2010/wordprocessingShape">
                          <wps:wsp>
                            <wps:cNvSpPr txBox="1"/>
                            <wps:spPr>
                              <a:xfrm>
                                <a:off x="0" y="0"/>
                                <a:ext cx="2848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5260" cy="175260"/>
                      <wp:effectExtent l="0" t="0" r="0" b="0"/>
                      <wp:wrapNone/>
                      <wp:docPr id="151" name="Frame151"/>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62940" cy="175260"/>
                      <wp:effectExtent l="0" t="0" r="0" b="0"/>
                      <wp:wrapNone/>
                      <wp:docPr id="152" name="Frame152"/>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0345" cy="175260"/>
                      <wp:effectExtent l="0" t="0" r="0" b="0"/>
                      <wp:wrapNone/>
                      <wp:docPr id="154" name="Frame154"/>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70255" cy="175260"/>
                      <wp:effectExtent l="0" t="0" r="0" b="0"/>
                      <wp:wrapNone/>
                      <wp:docPr id="155" name="Frame155"/>
                      <a:graphic xmlns:a="http://schemas.openxmlformats.org/drawingml/2006/main">
                        <a:graphicData uri="http://schemas.microsoft.com/office/word/2010/wordprocessingShape">
                          <wps:wsp>
                            <wps:cNvSpPr txBox="1"/>
                            <wps:spPr>
                              <a:xfrm>
                                <a:off x="0" y="0"/>
                                <a:ext cx="770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35585" cy="175260"/>
                      <wp:effectExtent l="0" t="0" r="0" b="0"/>
                      <wp:wrapNone/>
                      <wp:docPr id="156" name="Frame156"/>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4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26" w:type="dxa"/>
            <w:tcBorders/>
            <w:shd w:fill="auto" w:val="clear"/>
            <w:vAlign w:val="center"/>
          </w:tcPr>
          <w:p>
            <w:pPr>
              <w:pStyle w:val="TableContents"/>
              <w:spacing w:before="0" w:after="1"/>
              <w:ind w:left="0" w:right="0" w:hanging="0"/>
              <w:rPr/>
            </w:pPr>
            <w:r>
              <w:rPr/>
              <w:t>​</w:t>
            </w:r>
          </w:p>
        </w:tc>
        <w:tc>
          <w:tcPr>
            <w:tcW w:w="15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71" w:type="dxa"/>
            <w:tcBorders/>
            <w:shd w:fill="auto" w:val="clear"/>
            <w:vAlign w:val="center"/>
          </w:tcPr>
          <w:p>
            <w:pPr>
              <w:pStyle w:val="TableContents"/>
              <w:spacing w:before="0" w:after="1"/>
              <w:ind w:left="0" w:right="0" w:hanging="0"/>
              <w:rPr/>
            </w:pPr>
            <w:r>
              <w:rPr/>
              <w:t>​</w:t>
            </w:r>
          </w:p>
        </w:tc>
      </w:tr>
      <w:tr>
        <w:trPr/>
        <w:tc>
          <w:tcPr>
            <w:tcW w:w="44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2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jc w:val="center"/>
              <w:rPr/>
            </w:pPr>
            <w:r>
              <w:rPr/>
              <w:t>​</w:t>
            </w:r>
          </w:p>
        </w:tc>
        <w:tc>
          <w:tcPr>
            <w:tcW w:w="15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shd w:fill="auto" w:val="clear"/>
            <w:vAlign w:val="center"/>
          </w:tcPr>
          <w:p>
            <w:pPr>
              <w:pStyle w:val="TableContents"/>
              <w:spacing w:before="0" w:after="1"/>
              <w:ind w:left="0" w:right="0" w:hanging="0"/>
              <w:jc w:val="center"/>
              <w:rPr/>
            </w:pPr>
            <w:r>
              <w:rPr/>
              <w:t>    </w:t>
            </w:r>
          </w:p>
        </w:tc>
      </w:tr>
      <w:tr>
        <w:trPr/>
        <w:tc>
          <w:tcPr>
            <w:tcW w:w="44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1"/>
              <w:ind w:left="0" w:right="0" w:hanging="0"/>
              <w:jc w:val="center"/>
              <w:rPr/>
            </w:pPr>
            <w:r>
              <w:rPr/>
              <w:t>    </w:t>
            </w:r>
          </w:p>
        </w:tc>
        <w:tc>
          <w:tcPr>
            <w:tcW w:w="1560" w:type="dxa"/>
            <w:gridSpan w:val="2"/>
            <w:tcBorders/>
            <w:shd w:fill="auto" w:val="clear"/>
            <w:vAlign w:val="center"/>
          </w:tcPr>
          <w:p>
            <w:pPr>
              <w:pStyle w:val="TableContents"/>
              <w:spacing w:before="0" w:after="1"/>
              <w:ind w:left="0" w:right="0" w:hanging="0"/>
              <w:jc w:val="center"/>
              <w:rPr/>
            </w:pPr>
            <w:r>
              <w:rPr/>
              <w:t>​</w:t>
            </w:r>
          </w:p>
        </w:tc>
        <w:tc>
          <w:tcPr>
            <w:tcW w:w="371" w:type="dxa"/>
            <w:tcBorders/>
            <w:shd w:fill="auto" w:val="clear"/>
            <w:vAlign w:val="center"/>
          </w:tcPr>
          <w:p>
            <w:pPr>
              <w:pStyle w:val="TableContents"/>
              <w:spacing w:before="0" w:after="1"/>
              <w:ind w:left="0" w:right="0" w:hanging="0"/>
              <w:jc w:val="center"/>
              <w:rPr/>
            </w:pPr>
            <w:r>
              <w:rPr/>
              <w:t>​</w:t>
            </w:r>
          </w:p>
        </w:tc>
      </w:tr>
      <w:tr>
        <w:trPr/>
        <w:tc>
          <w:tcPr>
            <w:tcW w:w="448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99,286</w:t>
            </w:r>
          </w:p>
        </w:tc>
        <w:tc>
          <w:tcPr>
            <w:tcW w:w="326" w:type="dxa"/>
            <w:tcBorders/>
            <w:shd w:fill="CCEEFF" w:val="clear"/>
            <w:vAlign w:val="center"/>
          </w:tcPr>
          <w:p>
            <w:pPr>
              <w:pStyle w:val="TableContents"/>
              <w:spacing w:before="0" w:after="1"/>
              <w:ind w:left="0" w:right="0" w:hanging="0"/>
              <w:rPr/>
            </w:pPr>
            <w:r>
              <w:rPr/>
              <w:t>​</w:t>
            </w:r>
          </w:p>
        </w:tc>
        <w:tc>
          <w:tcPr>
            <w:tcW w:w="34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96,577</w:t>
            </w:r>
          </w:p>
        </w:tc>
        <w:tc>
          <w:tcPr>
            <w:tcW w:w="371" w:type="dxa"/>
            <w:tcBorders/>
            <w:shd w:fill="CCEEFF" w:val="clear"/>
            <w:vAlign w:val="center"/>
          </w:tcPr>
          <w:p>
            <w:pPr>
              <w:pStyle w:val="TableContents"/>
              <w:spacing w:before="0" w:after="1"/>
              <w:ind w:left="0" w:right="0" w:hanging="0"/>
              <w:rPr/>
            </w:pPr>
            <w:r>
              <w:rPr/>
              <w:t>​</w:t>
            </w:r>
          </w:p>
        </w:tc>
      </w:tr>
      <w:tr>
        <w:trPr/>
        <w:tc>
          <w:tcPr>
            <w:tcW w:w="44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auto" w:val="clear"/>
            <w:vAlign w:val="center"/>
          </w:tcPr>
          <w:p>
            <w:pPr>
              <w:pStyle w:val="TableContents"/>
              <w:spacing w:before="0" w:after="1"/>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(66,426)</w:t>
            </w:r>
          </w:p>
        </w:tc>
        <w:tc>
          <w:tcPr>
            <w:tcW w:w="326" w:type="dxa"/>
            <w:tcBorders/>
            <w:shd w:fill="auto" w:val="clear"/>
            <w:vAlign w:val="center"/>
          </w:tcPr>
          <w:p>
            <w:pPr>
              <w:pStyle w:val="TableContents"/>
              <w:spacing w:before="0" w:after="1"/>
              <w:ind w:left="0" w:right="0" w:hanging="0"/>
              <w:rPr/>
            </w:pPr>
            <w:r>
              <w:rPr/>
              <w:t>​</w:t>
            </w:r>
          </w:p>
        </w:tc>
        <w:tc>
          <w:tcPr>
            <w:tcW w:w="3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1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(62,197)</w:t>
            </w:r>
          </w:p>
        </w:tc>
        <w:tc>
          <w:tcPr>
            <w:tcW w:w="371" w:type="dxa"/>
            <w:tcBorders/>
            <w:shd w:fill="auto" w:val="clear"/>
            <w:vAlign w:val="center"/>
          </w:tcPr>
          <w:p>
            <w:pPr>
              <w:pStyle w:val="TableContents"/>
              <w:spacing w:before="0" w:after="1"/>
              <w:ind w:left="0" w:right="0" w:hanging="0"/>
              <w:rPr/>
            </w:pPr>
            <w:r>
              <w:rPr/>
              <w:t>​</w:t>
            </w:r>
          </w:p>
        </w:tc>
      </w:tr>
      <w:tr>
        <w:trPr/>
        <w:tc>
          <w:tcPr>
            <w:tcW w:w="44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software, net of accumulated depreciation</w:t>
            </w:r>
          </w:p>
        </w:tc>
        <w:tc>
          <w:tcPr>
            <w:tcW w:w="32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 </w:t>
            </w:r>
          </w:p>
        </w:tc>
        <w:tc>
          <w:tcPr>
            <w:tcW w:w="10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32,860</w:t>
            </w:r>
          </w:p>
        </w:tc>
        <w:tc>
          <w:tcPr>
            <w:tcW w:w="326" w:type="dxa"/>
            <w:tcBorders/>
            <w:shd w:fill="CCEEFF" w:val="clear"/>
            <w:vAlign w:val="center"/>
          </w:tcPr>
          <w:p>
            <w:pPr>
              <w:pStyle w:val="TableContents"/>
              <w:spacing w:before="0" w:after="1"/>
              <w:ind w:left="0" w:right="0" w:hanging="0"/>
              <w:rPr/>
            </w:pPr>
            <w:r>
              <w:rPr/>
              <w:t>​</w:t>
            </w:r>
          </w:p>
        </w:tc>
        <w:tc>
          <w:tcPr>
            <w:tcW w:w="347" w:type="dxa"/>
            <w:tcBorders/>
            <w:shd w:fill="CCEEFF" w:val="clear"/>
            <w:vAlign w:val="center"/>
          </w:tcPr>
          <w:p>
            <w:pPr>
              <w:pStyle w:val="TableContents"/>
              <w:spacing w:before="0" w:after="1"/>
              <w:ind w:left="0" w:right="0" w:hanging="0"/>
              <w:rPr/>
            </w:pPr>
            <w:r>
              <w:rPr/>
              <w:t> </w:t>
            </w:r>
          </w:p>
        </w:tc>
        <w:tc>
          <w:tcPr>
            <w:tcW w:w="121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34,380</w:t>
            </w:r>
          </w:p>
        </w:tc>
        <w:tc>
          <w:tcPr>
            <w:tcW w:w="371" w:type="dxa"/>
            <w:tcBorders/>
            <w:shd w:fill="CCEEFF" w:val="clear"/>
            <w:vAlign w:val="center"/>
          </w:tcPr>
          <w:p>
            <w:pPr>
              <w:pStyle w:val="TableContents"/>
              <w:spacing w:before="0" w:after="1"/>
              <w:ind w:left="0" w:right="0" w:hanging="0"/>
              <w:rPr/>
            </w:pPr>
            <w:r>
              <w:rPr/>
              <w:t>​</w:t>
            </w:r>
          </w:p>
        </w:tc>
      </w:tr>
      <w:tr>
        <w:trPr/>
        <w:tc>
          <w:tcPr>
            <w:tcW w:w="448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326" w:type="dxa"/>
            <w:tcBorders/>
            <w:shd w:fill="auto" w:val="clear"/>
            <w:vAlign w:val="center"/>
          </w:tcPr>
          <w:p>
            <w:pPr>
              <w:pStyle w:val="TableContents"/>
              <w:spacing w:before="0" w:after="1"/>
              <w:ind w:left="0" w:right="0" w:hanging="0"/>
              <w:rPr/>
            </w:pPr>
            <w:r>
              <w:rPr/>
              <w:t>​</w:t>
            </w:r>
          </w:p>
        </w:tc>
        <w:tc>
          <w:tcPr>
            <w:tcW w:w="27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5,930</w:t>
            </w:r>
          </w:p>
        </w:tc>
        <w:tc>
          <w:tcPr>
            <w:tcW w:w="326" w:type="dxa"/>
            <w:tcBorders/>
            <w:shd w:fill="auto" w:val="clear"/>
            <w:vAlign w:val="center"/>
          </w:tcPr>
          <w:p>
            <w:pPr>
              <w:pStyle w:val="TableContents"/>
              <w:spacing w:before="0" w:after="1"/>
              <w:ind w:left="0" w:right="0" w:hanging="0"/>
              <w:rPr/>
            </w:pPr>
            <w:r>
              <w:rPr/>
              <w:t>​</w:t>
            </w:r>
          </w:p>
        </w:tc>
        <w:tc>
          <w:tcPr>
            <w:tcW w:w="34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1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4,632</w:t>
            </w:r>
          </w:p>
        </w:tc>
        <w:tc>
          <w:tcPr>
            <w:tcW w:w="371" w:type="dxa"/>
            <w:tcBorders/>
            <w:shd w:fill="auto" w:val="clear"/>
            <w:vAlign w:val="center"/>
          </w:tcPr>
          <w:p>
            <w:pPr>
              <w:pStyle w:val="TableContents"/>
              <w:spacing w:before="0" w:after="1"/>
              <w:ind w:left="0" w:right="0" w:hanging="0"/>
              <w:rPr/>
            </w:pPr>
            <w:r>
              <w:rPr/>
              <w:t>​</w:t>
            </w:r>
          </w:p>
        </w:tc>
      </w:tr>
      <w:tr>
        <w:trPr/>
        <w:tc>
          <w:tcPr>
            <w:tcW w:w="44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software, net</w:t>
            </w:r>
          </w:p>
        </w:tc>
        <w:tc>
          <w:tcPr>
            <w:tcW w:w="326" w:type="dxa"/>
            <w:tcBorders/>
            <w:shd w:fill="CCEEFF" w:val="clear"/>
            <w:vAlign w:val="center"/>
          </w:tcPr>
          <w:p>
            <w:pPr>
              <w:pStyle w:val="TableContents"/>
              <w:spacing w:before="0" w:after="1"/>
              <w:ind w:left="0" w:right="0" w:hanging="0"/>
              <w:rPr/>
            </w:pPr>
            <w:r>
              <w:rPr/>
              <w:t>​</w:t>
            </w:r>
          </w:p>
        </w:tc>
        <w:tc>
          <w:tcPr>
            <w:tcW w:w="27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38,790</w:t>
            </w:r>
          </w:p>
        </w:tc>
        <w:tc>
          <w:tcPr>
            <w:tcW w:w="326" w:type="dxa"/>
            <w:tcBorders/>
            <w:shd w:fill="CCEEFF" w:val="clear"/>
            <w:vAlign w:val="center"/>
          </w:tcPr>
          <w:p>
            <w:pPr>
              <w:pStyle w:val="TableContents"/>
              <w:spacing w:before="0" w:after="1"/>
              <w:ind w:left="0" w:right="0" w:hanging="0"/>
              <w:rPr/>
            </w:pPr>
            <w:r>
              <w:rPr/>
              <w:t>​</w:t>
            </w:r>
          </w:p>
        </w:tc>
        <w:tc>
          <w:tcPr>
            <w:tcW w:w="3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39,012</w:t>
            </w:r>
          </w:p>
        </w:tc>
        <w:tc>
          <w:tcPr>
            <w:tcW w:w="371"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Software development costs capitalized for the three months ended March 31, 2023 and 2022, excluding acquisitions, were $4,007 and $2,912, respectively.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amortization expense, including amortization of acquired technology, was $4,229 and $3,301 for the three months ended March 31, 2023 and 2022, respectively, and is included in cost of revenues, software subscriptions in the condensed consolidated statements of comprehensive loss. </w:t>
      </w:r>
    </w:p>
    <w:p>
      <w:pPr>
        <w:pStyle w:val="TextBody"/>
        <w:spacing w:before="0" w:after="240"/>
        <w:ind w:left="0" w:right="0" w:firstLine="360"/>
        <w:jc w:val="both"/>
        <w:rPr/>
      </w:pPr>
      <w:r>
        <w:rPr/>
        <w:t>​</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bookmarkStart w:id="1052" w:name="Tc_9JTyl0mr80mb754-1STOSg_6_5"/>
      <w:bookmarkStart w:id="1053" w:name="Tc_oqspcMAHskWLfyaUMpuHLA_6_2"/>
      <w:bookmarkStart w:id="1054" w:name="Tc_pi0JLA61w0WlnJTHNAqpYw_6_0"/>
      <w:bookmarkStart w:id="1055" w:name="Tc_jK6tmyO_nEG4GqdU76XQdA_5_0"/>
      <w:bookmarkStart w:id="1056" w:name="Tc_RXd7ugVWZEC2JnkBDHhJ3w_4_5"/>
      <w:bookmarkStart w:id="1057" w:name="Tc_OFo02YgzPkCuMWXvKQ53eA_4_2"/>
      <w:bookmarkStart w:id="1058" w:name="Tc_6hUjit5JIk2zBcD39DUALA_4_0"/>
      <w:bookmarkStart w:id="1059" w:name="Tc_sZyAdrTaIkqCMaO9lPU9vw_3_2"/>
      <w:bookmarkStart w:id="1060" w:name="Tc_h-6LP60l_0ukne83ZlFQMw_2_5"/>
      <w:bookmarkStart w:id="1061" w:name="Tc_Lw02fgI97U6Pao5xm6o-7Q_2_2"/>
      <w:bookmarkStart w:id="1062" w:name="Tc_ylznued8KEKCwDogWoGvnA_1_5"/>
      <w:bookmarkStart w:id="1063" w:name="Tc_PTHGAdiW_EqOgoeXk1TsJw_1_2"/>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Times;serif" w:hAnsi="Times New Roman;Times;serif"/>
          <w:b/>
          <w:sz w:val="20"/>
        </w:rPr>
        <w:t xml:space="preserve">6.    GOODWILL AND OTHER INTANGIBLE ASSETS </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Goodwill and other intangible assets are as follows for the periods presented:</w:t>
      </w:r>
    </w:p>
    <w:p>
      <w:pPr>
        <w:pStyle w:val="TextBody"/>
        <w:spacing w:before="0" w:after="0"/>
        <w:ind w:left="360" w:right="0" w:hanging="0"/>
        <w:jc w:val="both"/>
        <w:rPr/>
      </w:pPr>
      <w:r>
        <w:rPr/>
        <w:t>​</w:t>
      </w:r>
    </w:p>
    <w:tbl>
      <w:tblPr>
        <w:tblW w:w="5409" w:type="dxa"/>
        <w:jc w:val="left"/>
        <w:tblInd w:w="0" w:type="dxa"/>
        <w:tblCellMar>
          <w:top w:w="0" w:type="dxa"/>
          <w:left w:w="0" w:type="dxa"/>
          <w:bottom w:w="0" w:type="dxa"/>
          <w:right w:w="0" w:type="dxa"/>
        </w:tblCellMar>
      </w:tblPr>
      <w:tblGrid>
        <w:gridCol w:w="2311"/>
        <w:gridCol w:w="109"/>
        <w:gridCol w:w="280"/>
        <w:gridCol w:w="1040"/>
        <w:gridCol w:w="109"/>
        <w:gridCol w:w="297"/>
        <w:gridCol w:w="1263"/>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67485" cy="175260"/>
                      <wp:effectExtent l="0" t="0" r="0" b="0"/>
                      <wp:wrapNone/>
                      <wp:docPr id="157" name="Frame157"/>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7800" cy="175260"/>
                      <wp:effectExtent l="0" t="0" r="0" b="0"/>
                      <wp:wrapNone/>
                      <wp:docPr id="159" name="Frame159"/>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60400" cy="175260"/>
                      <wp:effectExtent l="0" t="0" r="0" b="0"/>
                      <wp:wrapNone/>
                      <wp:docPr id="160" name="Frame160"/>
                      <a:graphic xmlns:a="http://schemas.openxmlformats.org/drawingml/2006/main">
                        <a:graphicData uri="http://schemas.microsoft.com/office/word/2010/wordprocessingShape">
                          <wps:wsp>
                            <wps:cNvSpPr txBox="1"/>
                            <wps:spPr>
                              <a:xfrm>
                                <a:off x="0" y="0"/>
                                <a:ext cx="660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8595" cy="175260"/>
                      <wp:effectExtent l="0" t="0" r="0" b="0"/>
                      <wp:wrapNone/>
                      <wp:docPr id="162" name="Frame162"/>
                      <a:graphic xmlns:a="http://schemas.openxmlformats.org/drawingml/2006/main">
                        <a:graphicData uri="http://schemas.microsoft.com/office/word/2010/wordprocessingShape">
                          <wps:wsp>
                            <wps:cNvSpPr txBox="1"/>
                            <wps:spPr>
                              <a:xfrm>
                                <a:off x="0" y="0"/>
                                <a:ext cx="188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802005" cy="175260"/>
                      <wp:effectExtent l="0" t="0" r="0" b="0"/>
                      <wp:wrapNone/>
                      <wp:docPr id="163" name="Frame163"/>
                      <a:graphic xmlns:a="http://schemas.openxmlformats.org/drawingml/2006/main">
                        <a:graphicData uri="http://schemas.microsoft.com/office/word/2010/wordprocessingShape">
                          <wps:wsp>
                            <wps:cNvSpPr txBox="1"/>
                            <wps:spPr>
                              <a:xfrm>
                                <a:off x="0" y="0"/>
                                <a:ext cx="8020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March 31, </w:t>
            </w:r>
          </w:p>
        </w:tc>
        <w:tc>
          <w:tcPr>
            <w:tcW w:w="109" w:type="dxa"/>
            <w:tcBorders/>
            <w:shd w:fill="auto" w:val="clear"/>
            <w:vAlign w:val="center"/>
          </w:tcPr>
          <w:p>
            <w:pPr>
              <w:pStyle w:val="TableContents"/>
              <w:spacing w:before="0" w:after="1"/>
              <w:ind w:left="0" w:right="0" w:hanging="0"/>
              <w:jc w:val="center"/>
              <w:rPr/>
            </w:pPr>
            <w:r>
              <w:rPr/>
              <w:t>​</w:t>
            </w:r>
          </w:p>
        </w:tc>
        <w:tc>
          <w:tcPr>
            <w:tcW w:w="15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32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jc w:val="center"/>
              <w:rPr/>
            </w:pPr>
            <w:r>
              <w:rPr/>
              <w:t>​</w:t>
            </w:r>
          </w:p>
        </w:tc>
        <w:tc>
          <w:tcPr>
            <w:tcW w:w="15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32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jc w:val="center"/>
              <w:rPr/>
            </w:pPr>
            <w:r>
              <w:rPr/>
              <w:t>​</w:t>
            </w:r>
          </w:p>
        </w:tc>
        <w:tc>
          <w:tcPr>
            <w:tcW w:w="297" w:type="dxa"/>
            <w:tcBorders/>
            <w:shd w:fill="auto" w:val="clear"/>
            <w:vAlign w:val="center"/>
          </w:tcPr>
          <w:p>
            <w:pPr>
              <w:pStyle w:val="TableContents"/>
              <w:spacing w:before="0" w:after="1"/>
              <w:ind w:left="0" w:right="0" w:hanging="0"/>
              <w:jc w:val="center"/>
              <w:rPr/>
            </w:pPr>
            <w:r>
              <w:rPr/>
              <w:t>​</w:t>
            </w:r>
          </w:p>
        </w:tc>
        <w:tc>
          <w:tcPr>
            <w:tcW w:w="1263" w:type="dxa"/>
            <w:tcBorders/>
            <w:shd w:fill="auto" w:val="clear"/>
            <w:vAlign w:val="center"/>
          </w:tcPr>
          <w:p>
            <w:pPr>
              <w:pStyle w:val="TableContents"/>
              <w:spacing w:before="0" w:after="1"/>
              <w:ind w:left="0" w:right="0" w:hanging="0"/>
              <w:jc w:val="center"/>
              <w:rPr/>
            </w:pPr>
            <w:r>
              <w:rPr/>
              <w:t>​</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254,897</w:t>
            </w:r>
          </w:p>
        </w:tc>
        <w:tc>
          <w:tcPr>
            <w:tcW w:w="109" w:type="dxa"/>
            <w:tcBorders/>
            <w:shd w:fill="CCEEFF" w:val="clear"/>
            <w:vAlign w:val="center"/>
          </w:tcPr>
          <w:p>
            <w:pPr>
              <w:pStyle w:val="TableContents"/>
              <w:spacing w:before="0" w:after="1"/>
              <w:ind w:left="0" w:right="0" w:hanging="0"/>
              <w:rPr/>
            </w:pPr>
            <w:r>
              <w:rPr/>
              <w:t>​</w:t>
            </w:r>
          </w:p>
        </w:tc>
        <w:tc>
          <w:tcPr>
            <w:tcW w:w="2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251,842</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intangible assets, net</w:t>
            </w:r>
          </w:p>
        </w:tc>
        <w:tc>
          <w:tcPr>
            <w:tcW w:w="109" w:type="dxa"/>
            <w:tcBorders/>
            <w:shd w:fill="auto" w:val="clear"/>
            <w:vAlign w:val="center"/>
          </w:tcPr>
          <w:p>
            <w:pPr>
              <w:pStyle w:val="TableContents"/>
              <w:spacing w:before="0" w:after="1"/>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4,406</w:t>
            </w:r>
          </w:p>
        </w:tc>
        <w:tc>
          <w:tcPr>
            <w:tcW w:w="109" w:type="dxa"/>
            <w:tcBorders/>
            <w:shd w:fill="auto" w:val="clear"/>
            <w:vAlign w:val="center"/>
          </w:tcPr>
          <w:p>
            <w:pPr>
              <w:pStyle w:val="TableContents"/>
              <w:spacing w:before="0" w:after="1"/>
              <w:ind w:left="0" w:right="0" w:hanging="0"/>
              <w:rPr/>
            </w:pPr>
            <w:r>
              <w:rPr/>
              <w:t>​</w:t>
            </w:r>
          </w:p>
        </w:tc>
        <w:tc>
          <w:tcPr>
            <w:tcW w:w="29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5,181</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spacing w:before="0" w:after="1"/>
              <w:ind w:left="0" w:right="0" w:hanging="0"/>
              <w:rPr/>
            </w:pPr>
            <w:r>
              <w:rPr/>
              <w:t>​</w:t>
            </w:r>
          </w:p>
        </w:tc>
        <w:tc>
          <w:tcPr>
            <w:tcW w:w="28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259,303</w:t>
            </w:r>
          </w:p>
        </w:tc>
        <w:tc>
          <w:tcPr>
            <w:tcW w:w="109" w:type="dxa"/>
            <w:tcBorders/>
            <w:shd w:fill="CCEEFF" w:val="clear"/>
            <w:vAlign w:val="center"/>
          </w:tcPr>
          <w:p>
            <w:pPr>
              <w:pStyle w:val="TableContents"/>
              <w:spacing w:before="0" w:after="1"/>
              <w:ind w:left="0" w:right="0" w:hanging="0"/>
              <w:rPr/>
            </w:pPr>
            <w:r>
              <w:rPr/>
              <w:t>​</w:t>
            </w:r>
          </w:p>
        </w:tc>
        <w:tc>
          <w:tcPr>
            <w:tcW w:w="29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257,023</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bookmarkStart w:id="1064" w:name="Tc_kFLXrAkNAkyNlM_r6YaArg_4_1"/>
      <w:bookmarkStart w:id="1065" w:name="Tc_gOGjQnsQQ0mNszkYbonCSA_3_12"/>
      <w:bookmarkStart w:id="1066" w:name="Tc_Hae41NTyUUm6-gSa2Bhx4Q_3_9"/>
      <w:bookmarkStart w:id="1067" w:name="Tc_34pSaYzS-kyiJELjoetylg_3_6"/>
      <w:bookmarkStart w:id="1068" w:name="Tc_LajS31JIlU6Hf4QGtTaumw_3_1"/>
      <w:bookmarkStart w:id="1069" w:name="Tc_4EJAZxItwUyAs51TP5M7nw_2_13"/>
      <w:bookmarkStart w:id="1070" w:name="Tc_WArt0UUK1kaPnRmyJmak-g_2_9"/>
      <w:bookmarkStart w:id="1071" w:name="Tc_TyJykxe8TUCaNRjn_K0K-w_2_6"/>
      <w:bookmarkStart w:id="1072" w:name="Tc_5R6hDpgj7kGEyu_6DP6p0g_2_1"/>
      <w:bookmarkStart w:id="1073" w:name="Tc_NtsvBbG4cka7zQ-zr4WogQ_8_9"/>
      <w:bookmarkStart w:id="1074" w:name="Tc_fpzSlM3ap0OicDYroQ-upQ_8_6"/>
      <w:bookmarkStart w:id="1075" w:name="Tc_F_zEV_2W1U6VRnFFu7Ot8w_8_1"/>
      <w:bookmarkStart w:id="1076" w:name="Tc_YQkvN1VIREqcaUuY1Wir_g_7_1"/>
      <w:bookmarkStart w:id="1077" w:name="Tc_a_crnfCU8063YN_vaww02A_6_9"/>
      <w:bookmarkStart w:id="1078" w:name="Tc_0fT2PivltUSayGE5ozyO5Q_6_6"/>
      <w:bookmarkStart w:id="1079" w:name="Tc_ft7RukjZYUajZJ0VH4vVBg_6_1"/>
      <w:bookmarkStart w:id="1080" w:name="Tc_g3FocvHe2keXFcHvQ9odSA_4_1"/>
      <w:bookmarkStart w:id="1081" w:name="Tc_-GrrXkU880K3SZ5it9Qt6w_3_6"/>
      <w:bookmarkStart w:id="1082" w:name="Tc__haQi-mLt0WqI-7F0VYdew_2_9"/>
      <w:bookmarkStart w:id="1083" w:name="Tc_iSafILWInke7PQwyeGFLdg_2_6"/>
      <w:bookmarkStart w:id="1084" w:name="Tc_4HvJOlYm9UG_be4gm5rgOg_1_10"/>
      <w:bookmarkStart w:id="1085" w:name="Tc_ItwfGy3P1k2JUctyFt4RVw_1_7"/>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r>
        <w:rPr>
          <w:rFonts w:ascii="Times New Roman;Times;serif" w:hAnsi="Times New Roman;Times;serif"/>
          <w:sz w:val="20"/>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p>
      <w:pPr>
        <w:pStyle w:val="TextBody"/>
        <w:spacing w:before="0" w:after="0"/>
        <w:ind w:left="0" w:right="0" w:firstLine="360"/>
        <w:rPr/>
      </w:pPr>
      <w:r>
        <w:rPr/>
        <w:t>​</w:t>
      </w:r>
    </w:p>
    <w:tbl>
      <w:tblPr>
        <w:tblW w:w="7784" w:type="dxa"/>
        <w:jc w:val="left"/>
        <w:tblInd w:w="0" w:type="dxa"/>
        <w:tblCellMar>
          <w:top w:w="0" w:type="dxa"/>
          <w:left w:w="0" w:type="dxa"/>
          <w:bottom w:w="0" w:type="dxa"/>
          <w:right w:w="0" w:type="dxa"/>
        </w:tblCellMar>
      </w:tblPr>
      <w:tblGrid>
        <w:gridCol w:w="124"/>
        <w:gridCol w:w="3811"/>
        <w:gridCol w:w="109"/>
        <w:gridCol w:w="109"/>
        <w:gridCol w:w="109"/>
        <w:gridCol w:w="109"/>
        <w:gridCol w:w="211"/>
        <w:gridCol w:w="1321"/>
        <w:gridCol w:w="109"/>
        <w:gridCol w:w="211"/>
        <w:gridCol w:w="15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8740" cy="175260"/>
                      <wp:effectExtent l="0" t="0" r="0" b="0"/>
                      <wp:wrapNone/>
                      <wp:docPr id="164" name="Frame164"/>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19985" cy="175260"/>
                      <wp:effectExtent l="0" t="0" r="0" b="0"/>
                      <wp:wrapNone/>
                      <wp:docPr id="165" name="Frame165"/>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838835" cy="175260"/>
                      <wp:effectExtent l="0" t="0" r="0" b="0"/>
                      <wp:wrapNone/>
                      <wp:docPr id="171" name="Frame171"/>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91235" cy="175260"/>
                      <wp:effectExtent l="0" t="0" r="0" b="0"/>
                      <wp:wrapNone/>
                      <wp:docPr id="174" name="Frame174"/>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jc w:val="center"/>
              <w:rPr/>
            </w:pPr>
            <w:r>
              <w:rPr/>
              <w:t>​</w:t>
            </w:r>
          </w:p>
        </w:tc>
        <w:tc>
          <w:tcPr>
            <w:tcW w:w="38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5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24" w:type="dxa"/>
            <w:tcBorders/>
            <w:shd w:fill="auto" w:val="clear"/>
            <w:vAlign w:val="center"/>
          </w:tcPr>
          <w:p>
            <w:pPr>
              <w:pStyle w:val="TableContents"/>
              <w:spacing w:before="0" w:after="0"/>
              <w:ind w:left="0" w:right="0" w:hanging="0"/>
              <w:jc w:val="center"/>
              <w:rPr/>
            </w:pPr>
            <w:r>
              <w:rPr/>
              <w:t>​</w:t>
            </w:r>
          </w:p>
        </w:tc>
        <w:tc>
          <w:tcPr>
            <w:tcW w:w="38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5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0"/>
              <w:ind w:left="0" w:right="0" w:hanging="0"/>
              <w:jc w:val="center"/>
              <w:rPr/>
            </w:pPr>
            <w:r>
              <w:rPr/>
              <w:t>​</w:t>
            </w:r>
          </w:p>
        </w:tc>
        <w:tc>
          <w:tcPr>
            <w:tcW w:w="17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4" w:type="dxa"/>
            <w:tcBorders/>
            <w:shd w:fill="auto" w:val="clear"/>
            <w:vAlign w:val="center"/>
          </w:tcPr>
          <w:p>
            <w:pPr>
              <w:pStyle w:val="TableContents"/>
              <w:spacing w:before="0" w:after="0"/>
              <w:ind w:left="0" w:right="0" w:hanging="0"/>
              <w:jc w:val="center"/>
              <w:rPr/>
            </w:pPr>
            <w:r>
              <w:rPr/>
              <w:t>​</w:t>
            </w:r>
          </w:p>
        </w:tc>
        <w:tc>
          <w:tcPr>
            <w:tcW w:w="381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53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561" w:type="dxa"/>
            <w:tcBorders/>
            <w:shd w:fill="auto" w:val="clear"/>
            <w:vAlign w:val="center"/>
          </w:tcPr>
          <w:p>
            <w:pPr>
              <w:pStyle w:val="TableContents"/>
              <w:spacing w:before="0" w:after="0"/>
              <w:ind w:left="0" w:right="0" w:hanging="0"/>
              <w:jc w:val="center"/>
              <w:rPr/>
            </w:pPr>
            <w:r>
              <w:rPr/>
              <w:t>​</w:t>
            </w:r>
          </w:p>
        </w:tc>
      </w:tr>
      <w:tr>
        <w:trPr/>
        <w:tc>
          <w:tcPr>
            <w:tcW w:w="124" w:type="dxa"/>
            <w:tcBorders/>
            <w:shd w:fill="CCEEFF" w:val="clear"/>
            <w:vAlign w:val="center"/>
          </w:tcPr>
          <w:p>
            <w:pPr>
              <w:pStyle w:val="TableContents"/>
              <w:spacing w:before="0" w:after="0"/>
              <w:ind w:left="0" w:right="0" w:hanging="0"/>
              <w:jc w:val="center"/>
              <w:rPr/>
            </w:pPr>
            <w:r>
              <w:rPr/>
              <w:t>​</w:t>
            </w:r>
          </w:p>
        </w:tc>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amortization period (years)</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pPr>
            <w:r>
              <w:rPr/>
              <w:t>​</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center"/>
              <w:rPr/>
            </w:pPr>
            <w:r>
              <w:rPr/>
              <w:t>​</w:t>
            </w:r>
          </w:p>
        </w:tc>
        <w:tc>
          <w:tcPr>
            <w:tcW w:w="15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24" w:type="dxa"/>
            <w:tcBorders/>
            <w:shd w:fill="auto" w:val="clear"/>
            <w:vAlign w:val="center"/>
          </w:tcPr>
          <w:p>
            <w:pPr>
              <w:pStyle w:val="TableContents"/>
              <w:spacing w:before="0" w:after="0"/>
              <w:ind w:left="0" w:right="0" w:hanging="0"/>
              <w:jc w:val="center"/>
              <w:rPr/>
            </w:pPr>
            <w:r>
              <w:rPr/>
              <w:t>​</w:t>
            </w:r>
          </w:p>
        </w:tc>
        <w:tc>
          <w:tcPr>
            <w:tcW w:w="38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32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561" w:type="dxa"/>
            <w:tcBorders/>
            <w:shd w:fill="auto" w:val="clear"/>
            <w:vAlign w:val="center"/>
          </w:tcPr>
          <w:p>
            <w:pPr>
              <w:pStyle w:val="TableContents"/>
              <w:spacing w:before="0" w:after="0"/>
              <w:ind w:left="0" w:right="0" w:hanging="0"/>
              <w:jc w:val="center"/>
              <w:rPr/>
            </w:pPr>
            <w:r>
              <w:rPr/>
              <w:t>​</w:t>
            </w:r>
          </w:p>
        </w:tc>
      </w:tr>
      <w:tr>
        <w:trPr/>
        <w:tc>
          <w:tcPr>
            <w:tcW w:w="124" w:type="dxa"/>
            <w:tcBorders/>
            <w:shd w:fill="CCEEFF" w:val="clear"/>
            <w:vAlign w:val="center"/>
          </w:tcPr>
          <w:p>
            <w:pPr>
              <w:pStyle w:val="TableContents"/>
              <w:spacing w:before="0" w:after="0"/>
              <w:ind w:left="0" w:right="0" w:hanging="0"/>
              <w:jc w:val="center"/>
              <w:rPr/>
            </w:pPr>
            <w:r>
              <w:rPr/>
              <w:t>​</w:t>
            </w:r>
          </w:p>
        </w:tc>
        <w:tc>
          <w:tcPr>
            <w:tcW w:w="3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value</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10,802</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10,667</w:t>
            </w:r>
          </w:p>
        </w:tc>
      </w:tr>
      <w:tr>
        <w:trPr/>
        <w:tc>
          <w:tcPr>
            <w:tcW w:w="124" w:type="dxa"/>
            <w:tcBorders/>
            <w:shd w:fill="auto" w:val="clear"/>
            <w:vAlign w:val="center"/>
          </w:tcPr>
          <w:p>
            <w:pPr>
              <w:pStyle w:val="TableContents"/>
              <w:spacing w:before="0" w:after="0"/>
              <w:ind w:left="0" w:right="0" w:hanging="0"/>
              <w:jc w:val="center"/>
              <w:rPr/>
            </w:pPr>
            <w:r>
              <w:rPr/>
              <w:t>​</w:t>
            </w:r>
          </w:p>
        </w:tc>
        <w:tc>
          <w:tcPr>
            <w:tcW w:w="3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(6,396)</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5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(5,486)</w:t>
            </w:r>
          </w:p>
        </w:tc>
      </w:tr>
      <w:tr>
        <w:trPr/>
        <w:tc>
          <w:tcPr>
            <w:tcW w:w="124" w:type="dxa"/>
            <w:tcBorders/>
            <w:shd w:fill="CCEEFF" w:val="clear"/>
            <w:vAlign w:val="center"/>
          </w:tcPr>
          <w:p>
            <w:pPr>
              <w:pStyle w:val="TableContents"/>
              <w:spacing w:before="0" w:after="0"/>
              <w:ind w:left="0" w:right="0" w:hanging="0"/>
              <w:rPr/>
            </w:pPr>
            <w:r>
              <w:rPr/>
              <w:t>​</w:t>
            </w:r>
          </w:p>
        </w:tc>
        <w:tc>
          <w:tcPr>
            <w:tcW w:w="38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Carrying value</w:t>
            </w:r>
          </w:p>
        </w:tc>
        <w:tc>
          <w:tcPr>
            <w:tcW w:w="109" w:type="dxa"/>
            <w:tcBorders/>
            <w:shd w:fill="CCEEFF" w:val="clear"/>
            <w:vAlign w:val="center"/>
          </w:tcPr>
          <w:p>
            <w:pPr>
              <w:pStyle w:val="TableContents"/>
              <w:spacing w:before="0" w:after="0"/>
              <w:ind w:left="0" w:right="0" w:hanging="0"/>
              <w:jc w:val="both"/>
              <w:rPr/>
            </w:pPr>
            <w:r>
              <w:rPr/>
              <w:t>​</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5,181</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amortization of other intangible assets:</w:t>
      </w:r>
    </w:p>
    <w:p>
      <w:pPr>
        <w:pStyle w:val="TextBody"/>
        <w:spacing w:before="0" w:after="0"/>
        <w:ind w:left="0" w:right="0" w:firstLine="360"/>
        <w:jc w:val="both"/>
        <w:rPr/>
      </w:pPr>
      <w:r>
        <w:rPr/>
        <w:t>​</w:t>
      </w:r>
    </w:p>
    <w:tbl>
      <w:tblPr>
        <w:tblW w:w="10185" w:type="dxa"/>
        <w:jc w:val="left"/>
        <w:tblInd w:w="0" w:type="dxa"/>
        <w:tblCellMar>
          <w:top w:w="0" w:type="dxa"/>
          <w:left w:w="0" w:type="dxa"/>
          <w:bottom w:w="0" w:type="dxa"/>
          <w:right w:w="0" w:type="dxa"/>
        </w:tblCellMar>
      </w:tblPr>
      <w:tblGrid>
        <w:gridCol w:w="124"/>
        <w:gridCol w:w="2986"/>
        <w:gridCol w:w="109"/>
        <w:gridCol w:w="109"/>
        <w:gridCol w:w="109"/>
        <w:gridCol w:w="326"/>
        <w:gridCol w:w="1241"/>
        <w:gridCol w:w="1864"/>
        <w:gridCol w:w="326"/>
        <w:gridCol w:w="499"/>
        <w:gridCol w:w="1001"/>
        <w:gridCol w:w="109"/>
        <w:gridCol w:w="211"/>
        <w:gridCol w:w="117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8740" cy="175260"/>
                      <wp:effectExtent l="0" t="0" r="0" b="0"/>
                      <wp:wrapNone/>
                      <wp:docPr id="175" name="Frame175"/>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896110" cy="175260"/>
                      <wp:effectExtent l="0" t="0" r="0" b="0"/>
                      <wp:wrapNone/>
                      <wp:docPr id="176" name="Frame176"/>
                      <a:graphic xmlns:a="http://schemas.openxmlformats.org/drawingml/2006/main">
                        <a:graphicData uri="http://schemas.microsoft.com/office/word/2010/wordprocessingShape">
                          <wps:wsp>
                            <wps:cNvSpPr txBox="1"/>
                            <wps:spPr>
                              <a:xfrm>
                                <a:off x="0" y="0"/>
                                <a:ext cx="1896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88035" cy="175260"/>
                      <wp:effectExtent l="0" t="0" r="0" b="0"/>
                      <wp:wrapNone/>
                      <wp:docPr id="181" name="Frame181"/>
                      <a:graphic xmlns:a="http://schemas.openxmlformats.org/drawingml/2006/main">
                        <a:graphicData uri="http://schemas.microsoft.com/office/word/2010/wordprocessingShape">
                          <wps:wsp>
                            <wps:cNvSpPr txBox="1"/>
                            <wps:spPr>
                              <a:xfrm>
                                <a:off x="0" y="0"/>
                                <a:ext cx="788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83640" cy="175260"/>
                      <wp:effectExtent l="0" t="0" r="0" b="0"/>
                      <wp:wrapNone/>
                      <wp:docPr id="182" name="Frame182"/>
                      <a:graphic xmlns:a="http://schemas.openxmlformats.org/drawingml/2006/main">
                        <a:graphicData uri="http://schemas.microsoft.com/office/word/2010/wordprocessingShape">
                          <wps:wsp>
                            <wps:cNvSpPr txBox="1"/>
                            <wps:spPr>
                              <a:xfrm>
                                <a:off x="0" y="0"/>
                                <a:ext cx="1183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16865" cy="175260"/>
                      <wp:effectExtent l="0" t="0" r="0" b="0"/>
                      <wp:wrapNone/>
                      <wp:docPr id="184" name="Frame184"/>
                      <a:graphic xmlns:a="http://schemas.openxmlformats.org/drawingml/2006/main">
                        <a:graphicData uri="http://schemas.microsoft.com/office/word/2010/wordprocessingShape">
                          <wps:wsp>
                            <wps:cNvSpPr txBox="1"/>
                            <wps:spPr>
                              <a:xfrm>
                                <a:off x="0" y="0"/>
                                <a:ext cx="316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35635" cy="175260"/>
                      <wp:effectExtent l="0" t="0" r="0" b="0"/>
                      <wp:wrapNone/>
                      <wp:docPr id="185" name="Frame185"/>
                      <a:graphic xmlns:a="http://schemas.openxmlformats.org/drawingml/2006/main">
                        <a:graphicData uri="http://schemas.microsoft.com/office/word/2010/wordprocessingShape">
                          <wps:wsp>
                            <wps:cNvSpPr txBox="1"/>
                            <wps:spPr>
                              <a:xfrm>
                                <a:off x="0" y="0"/>
                                <a:ext cx="635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43585" cy="175260"/>
                      <wp:effectExtent l="0" t="0" r="0" b="0"/>
                      <wp:wrapNone/>
                      <wp:docPr id="188" name="Frame188"/>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jc w:val="both"/>
              <w:rPr/>
            </w:pPr>
            <w:r>
              <w:rPr/>
              <w:t>​</w:t>
            </w:r>
          </w:p>
        </w:tc>
        <w:tc>
          <w:tcPr>
            <w:tcW w:w="2986"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540" w:type="dxa"/>
            <w:gridSpan w:val="4"/>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99" w:type="dxa"/>
            <w:tcBorders/>
            <w:shd w:fill="auto" w:val="clear"/>
            <w:vAlign w:val="center"/>
          </w:tcPr>
          <w:p>
            <w:pPr>
              <w:pStyle w:val="TableContents"/>
              <w:spacing w:before="0" w:after="0"/>
              <w:ind w:left="0" w:right="0" w:hanging="0"/>
              <w:rPr/>
            </w:pPr>
            <w:r>
              <w:rPr/>
              <w:t>​</w:t>
            </w:r>
          </w:p>
        </w:tc>
        <w:tc>
          <w:tcPr>
            <w:tcW w:w="2492" w:type="dxa"/>
            <w:gridSpan w:val="4"/>
            <w:tcBorders/>
            <w:shd w:fill="auto" w:val="clear"/>
            <w:vAlign w:val="center"/>
          </w:tcPr>
          <w:p>
            <w:pPr>
              <w:pStyle w:val="TableContents"/>
              <w:spacing w:before="0" w:after="0"/>
              <w:ind w:left="0" w:right="0" w:hanging="0"/>
              <w:jc w:val="center"/>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9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 xml:space="preserve">For the three months ended March 31,  </w:t>
            </w:r>
          </w:p>
        </w:tc>
        <w:tc>
          <w:tcPr>
            <w:tcW w:w="10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326" w:type="dxa"/>
            <w:tcBorders/>
            <w:shd w:fill="auto" w:val="clear"/>
            <w:vAlign w:val="center"/>
          </w:tcPr>
          <w:p>
            <w:pPr>
              <w:pStyle w:val="TableContents"/>
              <w:spacing w:before="0" w:after="0"/>
              <w:ind w:left="0" w:right="0" w:hanging="0"/>
              <w:rPr/>
            </w:pPr>
            <w:r>
              <w:rPr/>
              <w:t>​</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r>
      <w:tr>
        <w:trPr/>
        <w:tc>
          <w:tcPr>
            <w:tcW w:w="124" w:type="dxa"/>
            <w:tcBorders/>
            <w:shd w:fill="CCEEFF" w:val="clear"/>
            <w:vAlign w:val="center"/>
          </w:tcPr>
          <w:p>
            <w:pPr>
              <w:pStyle w:val="TableContents"/>
              <w:spacing w:before="0" w:after="0"/>
              <w:ind w:left="0" w:right="0" w:hanging="0"/>
              <w:rPr/>
            </w:pPr>
            <w:r>
              <w:rPr/>
              <w:t>​</w:t>
            </w:r>
          </w:p>
        </w:tc>
        <w:tc>
          <w:tcPr>
            <w:tcW w:w="2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0"/>
              <w:ind w:left="0" w:right="0" w:hanging="0"/>
              <w:rPr/>
            </w:pPr>
            <w:r>
              <w:rPr/>
              <w:t>    </w:t>
            </w:r>
          </w:p>
        </w:tc>
        <w:tc>
          <w:tcPr>
            <w:tcW w:w="4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124" w:type="dxa"/>
            <w:tcBorders/>
            <w:shd w:fill="auto" w:val="clear"/>
            <w:vAlign w:val="center"/>
          </w:tcPr>
          <w:p>
            <w:pPr>
              <w:pStyle w:val="TableContents"/>
              <w:spacing w:before="0" w:after="0"/>
              <w:ind w:left="0" w:right="0" w:hanging="0"/>
              <w:rPr/>
            </w:pPr>
            <w:r>
              <w:rPr/>
              <w:t>​</w:t>
            </w:r>
          </w:p>
        </w:tc>
        <w:tc>
          <w:tcPr>
            <w:tcW w:w="29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1" w:type="dxa"/>
            <w:tcBorders/>
            <w:shd w:fill="auto" w:val="clear"/>
            <w:vAlign w:val="center"/>
          </w:tcPr>
          <w:p>
            <w:pPr>
              <w:pStyle w:val="TableContents"/>
              <w:spacing w:before="0" w:after="0"/>
              <w:ind w:left="0" w:right="0" w:hanging="0"/>
              <w:rPr/>
            </w:pPr>
            <w:r>
              <w:rPr/>
              <w:t>​</w:t>
            </w:r>
          </w:p>
        </w:tc>
        <w:tc>
          <w:tcPr>
            <w:tcW w:w="18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0"/>
              <w:ind w:left="0" w:right="0" w:hanging="0"/>
              <w:rPr/>
            </w:pPr>
            <w:r>
              <w:rPr/>
              <w:t>​</w:t>
            </w:r>
          </w:p>
        </w:tc>
        <w:tc>
          <w:tcPr>
            <w:tcW w:w="499" w:type="dxa"/>
            <w:tcBorders/>
            <w:shd w:fill="auto" w:val="clear"/>
            <w:vAlign w:val="center"/>
          </w:tcPr>
          <w:p>
            <w:pPr>
              <w:pStyle w:val="TableContents"/>
              <w:spacing w:before="0" w:after="0"/>
              <w:ind w:left="0" w:right="0" w:hanging="0"/>
              <w:rPr/>
            </w:pPr>
            <w:r>
              <w:rPr/>
              <w:t>​</w:t>
            </w:r>
          </w:p>
        </w:tc>
        <w:tc>
          <w:tcPr>
            <w:tcW w:w="10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w:t>
            </w:r>
          </w:p>
        </w:tc>
        <w:tc>
          <w:tcPr>
            <w:tcW w:w="1171" w:type="dxa"/>
            <w:tcBorders/>
            <w:shd w:fill="auto"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314</w:t>
            </w:r>
          </w:p>
        </w:tc>
      </w:tr>
    </w:tbl>
    <w:p>
      <w:pPr>
        <w:pStyle w:val="TextBody"/>
        <w:spacing w:before="0" w:after="0"/>
        <w:ind w:left="0" w:right="0" w:firstLine="36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086" w:name="Tc_zrWTJazIB0WdgfAyXp8PZg_12_4"/>
      <w:bookmarkStart w:id="1087" w:name="Tc_DwyyGuiyP0y_X1kbKZMMSw_12_1"/>
      <w:bookmarkStart w:id="1088" w:name="Tc_9sOfK6Wp70ewlkmDS54H7w_12_0"/>
      <w:bookmarkStart w:id="1089" w:name="Tc_PDusI6Yv50WzuWpzlsZzbg_11_4"/>
      <w:bookmarkStart w:id="1090" w:name="Tc_qJqjUTMHo0mTGkXIJzwVUg_11_1"/>
      <w:bookmarkStart w:id="1091" w:name="Tc_njKOxMQM8E6yvlQATIF7eA_11_0"/>
      <w:bookmarkStart w:id="1092" w:name="Tc_tZSQYySnOkOqyY25-ow4rA_10_0"/>
      <w:bookmarkStart w:id="1093" w:name="Tc_3FzZOXxN-0q4lLtB--SfBg_9_0"/>
      <w:bookmarkStart w:id="1094" w:name="Tc_LQg9d995MU66KIp4hHq4GQ_6_0"/>
      <w:bookmarkStart w:id="1095" w:name="Tc_G7FCNR4OFUKvf7I00CFc8Q_5_4"/>
      <w:bookmarkStart w:id="1096" w:name="Tc_dROOizyg6U-eBHlBoFJZKQ_5_1"/>
      <w:bookmarkStart w:id="1097" w:name="Tc_8ZolUMpZuUiK9AeRVy0Vgw_5_0"/>
      <w:bookmarkStart w:id="1098" w:name="Tc_zln738uQ5ECk7-fPzI5jeQ_3_2"/>
      <w:bookmarkStart w:id="1099" w:name="Tc_d2ajk45nBkmZcc_2bkTi8A_2_5"/>
      <w:bookmarkStart w:id="1100" w:name="Tc__KXuH14w90-KTPIERCWcLQ_2_2"/>
      <w:bookmarkStart w:id="1101" w:name="Tc_CelP-7S0W0iM55fJW_tBmg_1_5"/>
      <w:bookmarkStart w:id="1102" w:name="Tc_J0IB1qPB40maHII81kYPRg_1_2"/>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r>
        <w:rPr>
          <w:rFonts w:ascii="Times New Roman;Times;serif" w:hAnsi="Times New Roman;Times;serif"/>
          <w:b/>
          <w:i w:val="false"/>
          <w:caps w:val="false"/>
          <w:smallCaps w:val="false"/>
          <w:sz w:val="20"/>
        </w:rPr>
        <w:t>7.</w:t>
      </w:r>
      <w:r>
        <w:rPr>
          <w:rFonts w:ascii="Times New Roman;Times;serif" w:hAnsi="Times New Roman;Times;serif"/>
          <w:b/>
          <w:sz w:val="20"/>
        </w:rPr>
        <w:t xml:space="preserve">DEBT </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Credit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2022, the Company entered into the Second Amendment to the Credit Agreement, with a banking syndicate, which provides (i) a term loan in the aggregate amount of $50,000 (the “Term Loan”); and (ii) a $200,000 revolving facility (the “Line of Credit”). Our indebtedness at March 31, 2023 and December 31, 2022 was as follows:</w:t>
      </w:r>
    </w:p>
    <w:p>
      <w:pPr>
        <w:pStyle w:val="TextBody"/>
        <w:spacing w:before="0" w:after="0"/>
        <w:ind w:left="0" w:right="0" w:hanging="0"/>
        <w:rPr/>
      </w:pPr>
      <w:r>
        <w:rPr/>
        <w:t>​</w:t>
      </w:r>
    </w:p>
    <w:tbl>
      <w:tblPr>
        <w:tblW w:w="6409" w:type="dxa"/>
        <w:jc w:val="left"/>
        <w:tblInd w:w="0" w:type="dxa"/>
        <w:tblCellMar>
          <w:top w:w="0" w:type="dxa"/>
          <w:left w:w="0" w:type="dxa"/>
          <w:bottom w:w="0" w:type="dxa"/>
          <w:right w:w="0" w:type="dxa"/>
        </w:tblCellMar>
      </w:tblPr>
      <w:tblGrid>
        <w:gridCol w:w="2836"/>
        <w:gridCol w:w="211"/>
        <w:gridCol w:w="1321"/>
        <w:gridCol w:w="109"/>
        <w:gridCol w:w="326"/>
        <w:gridCol w:w="1606"/>
      </w:tblGrid>
      <w:tr>
        <w:trPr/>
        <w:tc>
          <w:tcPr>
            <w:tcW w:w="2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00860" cy="175260"/>
                      <wp:effectExtent l="0" t="0" r="0" b="0"/>
                      <wp:wrapNone/>
                      <wp:docPr id="189" name="Frame189"/>
                      <a:graphic xmlns:a="http://schemas.openxmlformats.org/drawingml/2006/main">
                        <a:graphicData uri="http://schemas.microsoft.com/office/word/2010/wordprocessingShape">
                          <wps:wsp>
                            <wps:cNvSpPr txBox="1"/>
                            <wps:spPr>
                              <a:xfrm>
                                <a:off x="0" y="0"/>
                                <a:ext cx="180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38835" cy="175260"/>
                      <wp:effectExtent l="0" t="0" r="0" b="0"/>
                      <wp:wrapNone/>
                      <wp:docPr id="191" name="Frame191"/>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019810" cy="175260"/>
                      <wp:effectExtent l="0" t="0" r="0" b="0"/>
                      <wp:wrapNone/>
                      <wp:docPr id="194" name="Frame194"/>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3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6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3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606" w:type="dxa"/>
            <w:tcBorders/>
            <w:shd w:fill="auto" w:val="clear"/>
            <w:vAlign w:val="center"/>
          </w:tcPr>
          <w:p>
            <w:pPr>
              <w:pStyle w:val="TableContents"/>
              <w:spacing w:before="0" w:after="1"/>
              <w:ind w:left="0" w:right="0" w:hanging="0"/>
              <w:jc w:val="center"/>
              <w:rPr/>
            </w:pPr>
            <w:r>
              <w:rPr/>
              <w:t>​</w:t>
            </w:r>
          </w:p>
        </w:tc>
      </w:tr>
      <w:tr>
        <w:trPr/>
        <w:tc>
          <w:tcPr>
            <w:tcW w:w="283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6" w:type="dxa"/>
            <w:tcBorders/>
            <w:shd w:fill="auto" w:val="clear"/>
            <w:vAlign w:val="center"/>
          </w:tcPr>
          <w:p>
            <w:pPr>
              <w:pStyle w:val="TableContents"/>
              <w:spacing w:before="0" w:after="1"/>
              <w:ind w:left="0" w:right="0" w:hanging="0"/>
              <w:rPr/>
            </w:pPr>
            <w:r>
              <w:rPr/>
              <w:t>​</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Loan</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shd w:fill="CCEEFF" w:val="cle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6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portion of long-term debt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r>
      <w:tr>
        <w:trPr/>
        <w:tc>
          <w:tcPr>
            <w:tcW w:w="283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32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06" w:type="dxa"/>
            <w:tcBorders/>
            <w:shd w:fill="CCEEFF" w:val="clear"/>
            <w:vAlign w:val="center"/>
          </w:tcPr>
          <w:p>
            <w:pPr>
              <w:pStyle w:val="TableContents"/>
              <w:spacing w:before="0" w:after="1"/>
              <w:ind w:left="0" w:right="0" w:hanging="0"/>
              <w:jc w:val="right"/>
              <w:rPr/>
            </w:pPr>
            <w:r>
              <w:rPr/>
              <w:t>​</w:t>
            </w:r>
          </w:p>
        </w:tc>
      </w:tr>
      <w:tr>
        <w:trPr/>
        <w:tc>
          <w:tcPr>
            <w:tcW w:w="283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6" w:type="dxa"/>
            <w:tcBorders/>
            <w:shd w:fill="auto" w:val="clear"/>
            <w:vAlign w:val="center"/>
          </w:tcPr>
          <w:p>
            <w:pPr>
              <w:pStyle w:val="TableContents"/>
              <w:spacing w:before="0" w:after="1"/>
              <w:ind w:left="0" w:right="0" w:hanging="0"/>
              <w:jc w:val="right"/>
              <w:rPr/>
            </w:pPr>
            <w:r>
              <w:rPr/>
              <w:t>​</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Loan</w:t>
            </w:r>
          </w:p>
        </w:tc>
        <w:tc>
          <w:tcPr>
            <w:tcW w:w="211" w:type="dxa"/>
            <w:tcBorders/>
            <w:shd w:fill="CCEEFF" w:val="clear"/>
            <w:vAlign w:val="center"/>
          </w:tcPr>
          <w:p>
            <w:pPr>
              <w:pStyle w:val="TableContents"/>
              <w:spacing w:before="0" w:after="1"/>
              <w:ind w:left="0" w:right="0" w:hanging="0"/>
              <w:rPr/>
            </w:pPr>
            <w:r>
              <w:rPr/>
              <w:t>​</w:t>
            </w:r>
          </w:p>
        </w:tc>
        <w:tc>
          <w:tcPr>
            <w:tcW w:w="13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46,250</w:t>
            </w:r>
          </w:p>
        </w:tc>
        <w:tc>
          <w:tcPr>
            <w:tcW w:w="10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6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46,875</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financing costs</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auto" w:val="cle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6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8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Debt, net of current portion</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46,093</w:t>
            </w:r>
          </w:p>
        </w:tc>
        <w:tc>
          <w:tcPr>
            <w:tcW w:w="109" w:type="dxa"/>
            <w:tcBorders/>
            <w:shd w:fill="CCEEFF" w:val="cle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6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46,709</w:t>
            </w:r>
          </w:p>
        </w:tc>
      </w:tr>
      <w:tr>
        <w:trPr/>
        <w:tc>
          <w:tcPr>
            <w:tcW w:w="28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debt, net of financing costs</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48,593</w:t>
            </w:r>
          </w:p>
        </w:tc>
        <w:tc>
          <w:tcPr>
            <w:tcW w:w="109" w:type="dxa"/>
            <w:tcBorders/>
            <w:shd w:fill="auto" w:val="clear"/>
            <w:vAlign w:val="center"/>
          </w:tcPr>
          <w:p>
            <w:pPr>
              <w:pStyle w:val="TableContents"/>
              <w:spacing w:before="0" w:after="1"/>
              <w:ind w:left="0" w:right="0" w:hanging="0"/>
              <w:rPr/>
            </w:pPr>
            <w:r>
              <w:rPr/>
              <w:t>​</w:t>
            </w:r>
          </w:p>
        </w:tc>
        <w:tc>
          <w:tcPr>
            <w:tcW w:w="32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6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48,897</w:t>
            </w:r>
          </w:p>
        </w:tc>
      </w:tr>
      <w:tr>
        <w:trPr/>
        <w:tc>
          <w:tcPr>
            <w:tcW w:w="283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32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6"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bookmarkStart w:id="1103" w:name="_019ae6c9_2f90_4e89_8f61_b89f221003cb"/>
      <w:bookmarkEnd w:id="1103"/>
      <w:r>
        <w:rPr>
          <w:rFonts w:ascii="Times New Roman;Times;serif" w:hAnsi="Times New Roman;Times;serif"/>
          <w:b/>
          <w:i w:val="false"/>
          <w:caps w:val="false"/>
          <w:smallCaps w:val="false"/>
          <w:sz w:val="20"/>
        </w:rPr>
        <w:t>8.</w:t>
      </w:r>
      <w:r>
        <w:rPr>
          <w:rFonts w:ascii="Times New Roman;Times;serif" w:hAnsi="Times New Roman;Times;serif"/>
          <w:b/>
          <w:sz w:val="20"/>
        </w:rPr>
        <w:t>STOCKHOLDERS’ EQUITY</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2023 and 2022, the Company issued 592 and 272 shares of Class A common stock (“Class A”), respectively, related to the exercise of options, net of 17 and 47 shares, respectively, returned to the Company in lieu of payment of the exercise price and taxes due on these exercises.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2023 and 2022, the Company issued 391 and 3 shares of Class A common stock, respectively, in connection with the vesting of Restricted Stock Units (“RSUs”), net of 231 and 1 shares, respectively, returned to the Company in lieu of payment of taxes due on the vesting of these RSUs.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2023, a stockholder exchanged 2,589 shares of Class B common stock, for an equivalent number of shares of Class A common stock.</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Tax Sharing</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Agreement Payments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termination of the Company’s S-Corporation election effective July 27, 2020, the Company entered into a tax sharing agreement (“Tax Sharing Agreement”) with the former S-Corporation shareholders. All obligations of the Company under the Tax Sharing Agreement are satisfied by adjustments of additional paid in capital.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2022, the Company distributed $536 to the former S-Corporation shareholders under the Tax Sharing Agreement to settle the Company’s obligation for income taxes related to the allocation of taxable income to the S-Corporation short tax period ended July 26, 2020. </w:t>
      </w:r>
    </w:p>
    <w:p>
      <w:pPr>
        <w:pStyle w:val="TextBody"/>
        <w:spacing w:before="0" w:after="0"/>
        <w:ind w:left="0" w:right="0" w:firstLine="36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104" w:name="Tc_ZRAqOlF5_0akfHiyrcyChQ_20_5"/>
      <w:bookmarkStart w:id="1105" w:name="Tc_hRLTa9iQ3kukwi-BSLqYFw_20_2"/>
      <w:bookmarkStart w:id="1106" w:name="Tc__eUp6-pclEeuACBoNAQcSw_20_0"/>
      <w:bookmarkStart w:id="1107" w:name="Tc_yMVhiGISbEaNaOnpa_E7qQ_19_5"/>
      <w:bookmarkStart w:id="1108" w:name="Tc_t7gSX5CUD0uiRaUGEZNmwQ_19_2"/>
      <w:bookmarkStart w:id="1109" w:name="Tc_rhwVFTgOmk6YjigFcYowPQ_19_0"/>
      <w:bookmarkStart w:id="1110" w:name="Tc_IBEXX0Lf7EOhn7b_XyqASw_17_0"/>
      <w:bookmarkStart w:id="1111" w:name="Tc_FEPYaso__kSUdiNyxqwwvw_16_6"/>
      <w:bookmarkStart w:id="1112" w:name="Tc_nEaxqISEd0qOp4msKxM_jg_16_3"/>
      <w:bookmarkStart w:id="1113" w:name="Tc_oKtf_8N67U6zCAL07Yx4qg_16_0"/>
      <w:bookmarkStart w:id="1114" w:name="Tc_o9gnD7iHnkiqzuot8Z7zDQ_15_0"/>
      <w:bookmarkStart w:id="1115" w:name="Tc_R3WWcw7AzEOiOLO6nGajlQ_14_0"/>
      <w:bookmarkStart w:id="1116" w:name="Tc_5bi3BFxJiEW_TeMNgwf-vA_12_5"/>
      <w:bookmarkStart w:id="1117" w:name="Tc_wFxAr0V9kUuXOneuWrPQuA_12_2"/>
      <w:bookmarkStart w:id="1118" w:name="Tc_jGJh-woEbkSdz8k88xt6Qw_12_0"/>
      <w:bookmarkStart w:id="1119" w:name="Tc_icrxbh3OVUC2cDhhDib1vQ_11_7"/>
      <w:bookmarkStart w:id="1120" w:name="Tc_T40_0BMaok6RgD_WTJ2Yxg_11_4"/>
      <w:bookmarkStart w:id="1121" w:name="Tc_cenkznhxyU20TFgK-iQadQ_11_0"/>
      <w:bookmarkStart w:id="1122" w:name="Tc_zG4Q4oVUL0yWL1_IqjsMHw_10_5"/>
      <w:bookmarkStart w:id="1123" w:name="Tc_eolokNSf_kqTYvLjRnAL2g_10_2"/>
      <w:bookmarkStart w:id="1124" w:name="Tc_zMlesMnzVkaD3KaXnHYINA_10_0"/>
      <w:bookmarkStart w:id="1125" w:name="Tc_2LygdGmBJkKTZ-O7KvAFrA_9_0"/>
      <w:bookmarkStart w:id="1126" w:name="Tc_tTizRbWCWkmpVrYvEfemlg_7_5"/>
      <w:bookmarkStart w:id="1127" w:name="Tc_MUrSwzVsHkS6-OmnL8SbPA_7_2"/>
      <w:bookmarkStart w:id="1128" w:name="Tc_UfLFdCj1wUSTJnw5NIw8zA_7_0"/>
      <w:bookmarkStart w:id="1129" w:name="Tc_5EOZilRGwUe3D7yFKlJ8YQ_6_7"/>
      <w:bookmarkStart w:id="1130" w:name="Tc_z6oPnCBiqE6dblVpANBZWQ_6_4"/>
      <w:bookmarkStart w:id="1131" w:name="Tc_ttu2FuekF0ChuOqYUUxUPw_6_0"/>
      <w:bookmarkStart w:id="1132" w:name="Tc_eN7iEqQgzUmQGnzxwaVTWA_5_5"/>
      <w:bookmarkStart w:id="1133" w:name="Tc_878C81jrykKqzu2eKyCz6w_5_2"/>
      <w:bookmarkStart w:id="1134" w:name="Tc_6sazx4YcSkGYd1YF-dVOFQ_5_0"/>
      <w:bookmarkStart w:id="1135" w:name="Tc_lY-imlxNNkC927EJ9e6Pgw_4_0"/>
      <w:bookmarkStart w:id="1136" w:name="Tc_oGqIOtDzfUSUkCR4tXxycA_3_2"/>
      <w:bookmarkStart w:id="1137" w:name="Tc_HcKini2l_EqXhQWvWCdHVw_2_5"/>
      <w:bookmarkStart w:id="1138" w:name="Tc_f-HEO_inR0ilUne3XefKAw_2_2"/>
      <w:bookmarkStart w:id="1139" w:name="Tc_B3f7lwNhqUKmIPzOKx17Ug_2_0"/>
      <w:bookmarkStart w:id="1140" w:name="Tc_tqEH2eYNYUaXZNgzyksMEA_1_2"/>
      <w:bookmarkStart w:id="1141" w:name="_e33def32_f154_44a5_90fc_3b934590cd3f"/>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ascii="Times New Roman;Times;serif" w:hAnsi="Times New Roman;Times;serif"/>
          <w:b/>
          <w:sz w:val="20"/>
        </w:rPr>
        <w:t>9.    EARNINGS PER SHARE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tables below illustrate the calculation of basic and diluted net loss per common share for the Class A common and Class B common for the periods reflected below.</w:t>
      </w:r>
    </w:p>
    <w:p>
      <w:pPr>
        <w:pStyle w:val="TextBody"/>
        <w:spacing w:before="0" w:after="0"/>
        <w:ind w:left="0" w:right="0" w:firstLine="360"/>
        <w:jc w:val="both"/>
        <w:rPr/>
      </w:pPr>
      <w:r>
        <w:rPr/>
        <w:t>​</w:t>
      </w:r>
    </w:p>
    <w:tbl>
      <w:tblPr>
        <w:tblW w:w="9777" w:type="dxa"/>
        <w:jc w:val="left"/>
        <w:tblInd w:w="0" w:type="dxa"/>
        <w:tblCellMar>
          <w:top w:w="0" w:type="dxa"/>
          <w:left w:w="0" w:type="dxa"/>
          <w:bottom w:w="0" w:type="dxa"/>
          <w:right w:w="0" w:type="dxa"/>
        </w:tblCellMar>
      </w:tblPr>
      <w:tblGrid>
        <w:gridCol w:w="6106"/>
        <w:gridCol w:w="326"/>
        <w:gridCol w:w="275"/>
        <w:gridCol w:w="1038"/>
        <w:gridCol w:w="470"/>
        <w:gridCol w:w="275"/>
        <w:gridCol w:w="881"/>
        <w:gridCol w:w="406"/>
      </w:tblGrid>
      <w:tr>
        <w:trPr/>
        <w:tc>
          <w:tcPr>
            <w:tcW w:w="6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877310" cy="175260"/>
                      <wp:effectExtent l="0" t="0" r="0" b="0"/>
                      <wp:wrapNone/>
                      <wp:docPr id="195" name="Frame195"/>
                      <a:graphic xmlns:a="http://schemas.openxmlformats.org/drawingml/2006/main">
                        <a:graphicData uri="http://schemas.microsoft.com/office/word/2010/wordprocessingShape">
                          <wps:wsp>
                            <wps:cNvSpPr txBox="1"/>
                            <wps:spPr>
                              <a:xfrm>
                                <a:off x="0" y="0"/>
                                <a:ext cx="3877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74625" cy="175260"/>
                      <wp:effectExtent l="0" t="0" r="0" b="0"/>
                      <wp:wrapNone/>
                      <wp:docPr id="197" name="Frame197"/>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59130" cy="175260"/>
                      <wp:effectExtent l="0" t="0" r="0" b="0"/>
                      <wp:wrapNone/>
                      <wp:docPr id="198" name="Frame198"/>
                      <a:graphic xmlns:a="http://schemas.openxmlformats.org/drawingml/2006/main">
                        <a:graphicData uri="http://schemas.microsoft.com/office/word/2010/wordprocessingShape">
                          <wps:wsp>
                            <wps:cNvSpPr txBox="1"/>
                            <wps:spPr>
                              <a:xfrm>
                                <a:off x="0" y="0"/>
                                <a:ext cx="659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98450" cy="175260"/>
                      <wp:effectExtent l="0" t="0" r="0" b="0"/>
                      <wp:wrapNone/>
                      <wp:docPr id="199" name="Frame199"/>
                      <a:graphic xmlns:a="http://schemas.openxmlformats.org/drawingml/2006/main">
                        <a:graphicData uri="http://schemas.microsoft.com/office/word/2010/wordprocessingShape">
                          <wps:wsp>
                            <wps:cNvSpPr txBox="1"/>
                            <wps:spPr>
                              <a:xfrm>
                                <a:off x="0" y="0"/>
                                <a:ext cx="298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74625" cy="175260"/>
                      <wp:effectExtent l="0" t="0" r="0" b="0"/>
                      <wp:wrapNone/>
                      <wp:docPr id="200" name="Frame200"/>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59435" cy="175260"/>
                      <wp:effectExtent l="0" t="0" r="0" b="0"/>
                      <wp:wrapNone/>
                      <wp:docPr id="201" name="Frame201"/>
                      <a:graphic xmlns:a="http://schemas.openxmlformats.org/drawingml/2006/main">
                        <a:graphicData uri="http://schemas.microsoft.com/office/word/2010/wordprocessingShape">
                          <wps:wsp>
                            <wps:cNvSpPr txBox="1"/>
                            <wps:spPr>
                              <a:xfrm>
                                <a:off x="0" y="0"/>
                                <a:ext cx="559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7810" cy="175260"/>
                      <wp:effectExtent l="0" t="0" r="0" b="0"/>
                      <wp:wrapNone/>
                      <wp:docPr id="202" name="Frame202"/>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3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Class A common stock:</w:t>
            </w:r>
          </w:p>
        </w:tc>
        <w:tc>
          <w:tcPr>
            <w:tcW w:w="326" w:type="dxa"/>
            <w:tcBorders/>
            <w:shd w:fill="auto" w:val="clear"/>
            <w:vAlign w:val="center"/>
          </w:tcPr>
          <w:p>
            <w:pPr>
              <w:pStyle w:val="TableContents"/>
              <w:spacing w:before="0" w:after="0"/>
              <w:ind w:left="0" w:right="0" w:hanging="0"/>
              <w:rPr/>
            </w:pPr>
            <w:r>
              <w:rPr/>
              <w:t>    </w:t>
            </w:r>
          </w:p>
        </w:tc>
        <w:tc>
          <w:tcPr>
            <w:tcW w:w="13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0" w:type="dxa"/>
            <w:tcBorders/>
            <w:shd w:fill="auto" w:val="clear"/>
            <w:vAlign w:val="center"/>
          </w:tcPr>
          <w:p>
            <w:pPr>
              <w:pStyle w:val="TableContents"/>
              <w:spacing w:before="0" w:after="0"/>
              <w:ind w:left="0" w:right="0" w:hanging="0"/>
              <w:rPr/>
            </w:pPr>
            <w:r>
              <w:rPr/>
              <w:t>    </w:t>
            </w:r>
          </w:p>
        </w:tc>
        <w:tc>
          <w:tcPr>
            <w:tcW w:w="11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0"/>
              <w:ind w:left="0" w:right="0" w:hanging="0"/>
              <w:rPr/>
            </w:pPr>
            <w:r>
              <w:rPr/>
              <w:t>​</w:t>
            </w:r>
          </w:p>
        </w:tc>
      </w:tr>
      <w:tr>
        <w:trPr/>
        <w:tc>
          <w:tcPr>
            <w:tcW w:w="9777"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6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3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basic:</w:t>
            </w:r>
          </w:p>
        </w:tc>
        <w:tc>
          <w:tcPr>
            <w:tcW w:w="326" w:type="dxa"/>
            <w:tcBorders/>
            <w:shd w:fill="CCEEFF" w:val="clear"/>
            <w:vAlign w:val="center"/>
          </w:tcPr>
          <w:p>
            <w:pPr>
              <w:pStyle w:val="TableContents"/>
              <w:spacing w:before="0" w:after="0"/>
              <w:ind w:left="0" w:right="0" w:hanging="0"/>
              <w:rPr/>
            </w:pPr>
            <w:r>
              <w:rPr/>
              <w:t> </w:t>
            </w:r>
          </w:p>
        </w:tc>
        <w:tc>
          <w:tcPr>
            <w:tcW w:w="275" w:type="dxa"/>
            <w:tcBorders/>
            <w:shd w:fill="CCEEFF" w:val="clear"/>
            <w:vAlign w:val="center"/>
          </w:tcPr>
          <w:p>
            <w:pPr>
              <w:pStyle w:val="TableContents"/>
              <w:spacing w:before="0" w:after="0"/>
              <w:ind w:left="0" w:right="0" w:hanging="0"/>
              <w:rPr/>
            </w:pPr>
            <w:r>
              <w:rPr/>
              <w:t>​</w:t>
            </w:r>
          </w:p>
        </w:tc>
        <w:tc>
          <w:tcPr>
            <w:tcW w:w="1038" w:type="dxa"/>
            <w:tcBorders/>
            <w:shd w:fill="CCEEFF" w:val="clear"/>
            <w:vAlign w:val="center"/>
          </w:tcPr>
          <w:p>
            <w:pPr>
              <w:pStyle w:val="TableContents"/>
              <w:spacing w:before="0" w:after="0"/>
              <w:ind w:left="0" w:right="0" w:hanging="0"/>
              <w:jc w:val="right"/>
              <w:rPr/>
            </w:pPr>
            <w:r>
              <w:rPr/>
              <w:t>​</w:t>
            </w:r>
          </w:p>
        </w:tc>
        <w:tc>
          <w:tcPr>
            <w:tcW w:w="470"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881"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(18,132)</w:t>
            </w:r>
          </w:p>
        </w:tc>
        <w:tc>
          <w:tcPr>
            <w:tcW w:w="470"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A common stock as a percentage of total shares outstanding, basic</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33.49</w:t>
            </w:r>
          </w:p>
        </w:tc>
        <w:tc>
          <w:tcPr>
            <w:tcW w:w="4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28.39</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Class A stockholders, basic</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(6,072)</w:t>
            </w:r>
          </w:p>
        </w:tc>
        <w:tc>
          <w:tcPr>
            <w:tcW w:w="470"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1038" w:type="dxa"/>
            <w:tcBorders/>
            <w:shd w:fill="CCEEFF" w:val="clear"/>
            <w:vAlign w:val="center"/>
          </w:tcPr>
          <w:p>
            <w:pPr>
              <w:pStyle w:val="TableContents"/>
              <w:spacing w:before="0" w:after="0"/>
              <w:ind w:left="0" w:right="0" w:hanging="0"/>
              <w:jc w:val="right"/>
              <w:rPr/>
            </w:pPr>
            <w:r>
              <w:rPr/>
              <w:t>​</w:t>
            </w:r>
          </w:p>
        </w:tc>
        <w:tc>
          <w:tcPr>
            <w:tcW w:w="470"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881"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diluted:</w:t>
            </w:r>
          </w:p>
        </w:tc>
        <w:tc>
          <w:tcPr>
            <w:tcW w:w="326"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pPr>
            <w:r>
              <w:rPr/>
              <w:t>​</w:t>
            </w:r>
          </w:p>
        </w:tc>
        <w:tc>
          <w:tcPr>
            <w:tcW w:w="1038" w:type="dxa"/>
            <w:tcBorders/>
            <w:shd w:fill="auto" w:val="clear"/>
            <w:vAlign w:val="center"/>
          </w:tcPr>
          <w:p>
            <w:pPr>
              <w:pStyle w:val="TableContents"/>
              <w:spacing w:before="0" w:after="0"/>
              <w:ind w:left="0" w:right="0" w:hanging="0"/>
              <w:jc w:val="right"/>
              <w:rPr/>
            </w:pPr>
            <w:r>
              <w:rPr/>
              <w:t>  </w:t>
            </w:r>
          </w:p>
        </w:tc>
        <w:tc>
          <w:tcPr>
            <w:tcW w:w="470"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pPr>
            <w:r>
              <w:rPr/>
              <w:t>​</w:t>
            </w:r>
          </w:p>
        </w:tc>
        <w:tc>
          <w:tcPr>
            <w:tcW w:w="881"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rPr/>
            </w:pPr>
            <w:r>
              <w:rPr/>
              <w:t> </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(18,132)</w:t>
            </w:r>
          </w:p>
        </w:tc>
        <w:tc>
          <w:tcPr>
            <w:tcW w:w="470"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A common stock as a percentage of total shares outstanding, diluted</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33.49</w:t>
            </w:r>
          </w:p>
        </w:tc>
        <w:tc>
          <w:tcPr>
            <w:tcW w:w="47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7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28.39</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Class A stockholders, diluted</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(6,072)</w:t>
            </w:r>
          </w:p>
        </w:tc>
        <w:tc>
          <w:tcPr>
            <w:tcW w:w="470" w:type="dxa"/>
            <w:tcBorders/>
            <w:shd w:fill="CCEEFF" w:val="clear"/>
            <w:vAlign w:val="center"/>
          </w:tcPr>
          <w:p>
            <w:pPr>
              <w:pStyle w:val="TableContents"/>
              <w:spacing w:before="0" w:after="0"/>
              <w:ind w:left="0" w:right="0" w:hanging="0"/>
              <w:rPr/>
            </w:pPr>
            <w:r>
              <w:rPr/>
              <w:t>​</w:t>
            </w:r>
          </w:p>
        </w:tc>
        <w:tc>
          <w:tcPr>
            <w:tcW w:w="27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1038" w:type="dxa"/>
            <w:tcBorders/>
            <w:shd w:fill="auto" w:val="clear"/>
            <w:vAlign w:val="center"/>
          </w:tcPr>
          <w:p>
            <w:pPr>
              <w:pStyle w:val="TableContents"/>
              <w:spacing w:before="0" w:after="0"/>
              <w:ind w:left="0" w:right="0" w:hanging="0"/>
              <w:jc w:val="right"/>
              <w:rPr/>
            </w:pPr>
            <w:r>
              <w:rPr/>
              <w:t>​</w:t>
            </w:r>
          </w:p>
        </w:tc>
        <w:tc>
          <w:tcPr>
            <w:tcW w:w="470"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881" w:type="dxa"/>
            <w:tcBorders/>
            <w:shd w:fill="auto" w:val="clear"/>
            <w:vAlign w:val="center"/>
          </w:tcPr>
          <w:p>
            <w:pPr>
              <w:pStyle w:val="TableContents"/>
              <w:spacing w:before="0" w:after="0"/>
              <w:ind w:left="0" w:right="0" w:hanging="0"/>
              <w:jc w:val="right"/>
              <w:rPr/>
            </w:pPr>
            <w:r>
              <w:rPr/>
              <w:t>​</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basic and diluted:</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1038" w:type="dxa"/>
            <w:tcBorders/>
            <w:shd w:fill="CCEEFF" w:val="clear"/>
            <w:vAlign w:val="center"/>
          </w:tcPr>
          <w:p>
            <w:pPr>
              <w:pStyle w:val="TableContents"/>
              <w:spacing w:before="0" w:after="0"/>
              <w:ind w:left="0" w:right="0" w:hanging="0"/>
              <w:jc w:val="right"/>
              <w:rPr/>
            </w:pPr>
            <w:r>
              <w:rPr/>
              <w:t>  </w:t>
            </w:r>
          </w:p>
        </w:tc>
        <w:tc>
          <w:tcPr>
            <w:tcW w:w="470"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 </w:t>
            </w:r>
          </w:p>
        </w:tc>
        <w:tc>
          <w:tcPr>
            <w:tcW w:w="881" w:type="dxa"/>
            <w:tcBorders/>
            <w:shd w:fill="CCEEFF" w:val="clear"/>
            <w:vAlign w:val="center"/>
          </w:tcPr>
          <w:p>
            <w:pPr>
              <w:pStyle w:val="TableContents"/>
              <w:spacing w:before="0" w:after="0"/>
              <w:ind w:left="0" w:right="0" w:hanging="0"/>
              <w:jc w:val="right"/>
              <w:rPr/>
            </w:pPr>
            <w:r>
              <w:rPr/>
              <w:t>  </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Class A common stock, basic</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10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50,456</w:t>
            </w:r>
          </w:p>
        </w:tc>
        <w:tc>
          <w:tcPr>
            <w:tcW w:w="470"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 </w:t>
            </w:r>
          </w:p>
        </w:tc>
        <w:tc>
          <w:tcPr>
            <w:tcW w:w="8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42,349</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20"/>
              </w:rPr>
              <w:t>Dilutive effect of common stock equivalents</w:t>
            </w:r>
            <w:r>
              <w:rPr>
                <w:rFonts w:ascii="Times New Roman;Times;serif" w:hAnsi="Times New Roman;Times;serif"/>
                <w:sz w:val="14"/>
              </w:rPr>
              <w:t xml:space="preserve">(1) (2) </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70"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Class A common stock, diluted</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03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50,456</w:t>
            </w:r>
          </w:p>
        </w:tc>
        <w:tc>
          <w:tcPr>
            <w:tcW w:w="470"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8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42,349</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1038" w:type="dxa"/>
            <w:tcBorders/>
            <w:shd w:fill="CCEEFF" w:val="clear"/>
            <w:vAlign w:val="center"/>
          </w:tcPr>
          <w:p>
            <w:pPr>
              <w:pStyle w:val="TableContents"/>
              <w:spacing w:before="0" w:after="0"/>
              <w:ind w:left="0" w:right="0" w:hanging="0"/>
              <w:jc w:val="right"/>
              <w:rPr/>
            </w:pPr>
            <w:r>
              <w:rPr/>
              <w:t>​</w:t>
            </w:r>
          </w:p>
        </w:tc>
        <w:tc>
          <w:tcPr>
            <w:tcW w:w="470"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881"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per Class A share, basic</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470"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per Class A share, diluted</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470" w:type="dxa"/>
            <w:tcBorders/>
            <w:shd w:fill="CCEEFF" w:val="clear"/>
            <w:vAlign w:val="center"/>
          </w:tcPr>
          <w:p>
            <w:pPr>
              <w:pStyle w:val="TableContents"/>
              <w:spacing w:before="0" w:after="0"/>
              <w:ind w:left="0" w:right="0" w:hanging="0"/>
              <w:rPr/>
            </w:pPr>
            <w:r>
              <w:rPr/>
              <w:t>​</w:t>
            </w:r>
          </w:p>
        </w:tc>
        <w:tc>
          <w:tcPr>
            <w:tcW w:w="27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CCEEFF" w:val="clear"/>
            <w:vAlign w:val="center"/>
          </w:tcPr>
          <w:p>
            <w:pPr>
              <w:pStyle w:val="TableContents"/>
              <w:spacing w:before="0" w:after="0"/>
              <w:ind w:left="0" w:right="0" w:hanging="0"/>
              <w:rPr/>
            </w:pPr>
            <w:r>
              <w:rPr/>
              <w:t>​</w:t>
            </w:r>
          </w:p>
        </w:tc>
      </w:tr>
    </w:tbl>
    <w:tbl>
      <w:tblPr>
        <w:tblW w:w="10205" w:type="dxa"/>
        <w:jc w:val="left"/>
        <w:tblInd w:w="0" w:type="dxa"/>
        <w:tblCellMar>
          <w:top w:w="28" w:type="dxa"/>
          <w:left w:w="28" w:type="dxa"/>
          <w:bottom w:w="28" w:type="dxa"/>
          <w:right w:w="28" w:type="dxa"/>
        </w:tblCellMar>
      </w:tblPr>
      <w:tblGrid>
        <w:gridCol w:w="124"/>
        <w:gridCol w:w="272"/>
        <w:gridCol w:w="9809"/>
      </w:tblGrid>
      <w:tr>
        <w:trPr/>
        <w:tc>
          <w:tcPr>
            <w:tcW w:w="12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(1)</w:t>
            </w:r>
          </w:p>
        </w:tc>
        <w:tc>
          <w:tcPr>
            <w:tcW w:w="980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18"/>
              </w:rPr>
              <w:t>For the three months ended March 31, 2023, the following weighted-average outstanding shares of common stock equivalents by award type were excluded from the computation of diluted net loss per share attributable to Class A stockholders, as the impact of including them would have been anti-dilutive: 8,335</w:t>
            </w:r>
            <w:r>
              <w:rPr>
                <w:caps w:val="false"/>
                <w:smallCaps w:val="false"/>
              </w:rPr>
              <w:t xml:space="preserve"> </w:t>
            </w:r>
            <w:r>
              <w:rPr>
                <w:rFonts w:ascii="Times New Roman;Times;serif" w:hAnsi="Times New Roman;Times;serif"/>
                <w:b w:val="false"/>
                <w:i w:val="false"/>
                <w:caps w:val="false"/>
                <w:smallCaps w:val="false"/>
                <w:sz w:val="18"/>
              </w:rPr>
              <w:t>options (including 705</w:t>
            </w:r>
            <w:r>
              <w:rPr>
                <w:caps w:val="false"/>
                <w:smallCaps w:val="false"/>
              </w:rPr>
              <w:t xml:space="preserve"> </w:t>
            </w:r>
            <w:r>
              <w:rPr>
                <w:rFonts w:ascii="Times New Roman;Times;serif" w:hAnsi="Times New Roman;Times;serif"/>
                <w:b w:val="false"/>
                <w:i w:val="false"/>
                <w:caps w:val="false"/>
                <w:smallCaps w:val="false"/>
                <w:sz w:val="18"/>
              </w:rPr>
              <w:t>out-of-the-money options), 235</w:t>
            </w:r>
            <w:r>
              <w:rPr>
                <w:caps w:val="false"/>
                <w:smallCaps w:val="false"/>
              </w:rPr>
              <w:t xml:space="preserve"> </w:t>
            </w:r>
            <w:r>
              <w:rPr>
                <w:rFonts w:ascii="Times New Roman;Times;serif" w:hAnsi="Times New Roman;Times;serif"/>
                <w:b w:val="false"/>
                <w:i w:val="false"/>
                <w:caps w:val="false"/>
                <w:smallCaps w:val="false"/>
                <w:sz w:val="18"/>
              </w:rPr>
              <w:t>restricted stock awards (“RSA’s”), 3,141</w:t>
            </w:r>
            <w:r>
              <w:rPr>
                <w:caps w:val="false"/>
                <w:smallCaps w:val="false"/>
              </w:rPr>
              <w:t xml:space="preserve"> </w:t>
            </w:r>
            <w:r>
              <w:rPr>
                <w:rFonts w:ascii="Times New Roman;Times;serif" w:hAnsi="Times New Roman;Times;serif"/>
                <w:b w:val="false"/>
                <w:i w:val="false"/>
                <w:caps w:val="false"/>
                <w:smallCaps w:val="false"/>
                <w:sz w:val="18"/>
              </w:rPr>
              <w:t>RSU’s and 45</w:t>
            </w:r>
            <w:r>
              <w:rPr>
                <w:caps w:val="false"/>
                <w:smallCaps w:val="false"/>
              </w:rPr>
              <w:t xml:space="preserve"> </w:t>
            </w:r>
            <w:r>
              <w:rPr>
                <w:rFonts w:ascii="Times New Roman;Times;serif" w:hAnsi="Times New Roman;Times;serif"/>
                <w:b w:val="false"/>
                <w:i w:val="false"/>
                <w:caps w:val="false"/>
                <w:smallCaps w:val="false"/>
                <w:sz w:val="18"/>
              </w:rPr>
              <w:t>shares under the ESPP.</w:t>
            </w:r>
          </w:p>
        </w:tc>
      </w:tr>
    </w:tbl>
    <w:tbl>
      <w:tblPr>
        <w:tblW w:w="10205" w:type="dxa"/>
        <w:jc w:val="left"/>
        <w:tblInd w:w="0" w:type="dxa"/>
        <w:tblCellMar>
          <w:top w:w="28" w:type="dxa"/>
          <w:left w:w="28" w:type="dxa"/>
          <w:bottom w:w="28" w:type="dxa"/>
          <w:right w:w="28" w:type="dxa"/>
        </w:tblCellMar>
      </w:tblPr>
      <w:tblGrid>
        <w:gridCol w:w="124"/>
        <w:gridCol w:w="273"/>
        <w:gridCol w:w="9808"/>
      </w:tblGrid>
      <w:tr>
        <w:trPr/>
        <w:tc>
          <w:tcPr>
            <w:tcW w:w="12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(2)</w:t>
            </w:r>
          </w:p>
        </w:tc>
        <w:tc>
          <w:tcPr>
            <w:tcW w:w="9808"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18"/>
              </w:rPr>
              <w:t>For the three months ended March 31, 2022, the following weighted-average outstanding shares of common stock equivalents by award type were excluded from the computation of diluted net loss per share attributable to Class A stockholders as the impact of including them would have been anti-dilutive: 9,430</w:t>
            </w:r>
            <w:r>
              <w:rPr>
                <w:caps w:val="false"/>
                <w:smallCaps w:val="false"/>
              </w:rPr>
              <w:t xml:space="preserve"> </w:t>
            </w:r>
            <w:r>
              <w:rPr>
                <w:rFonts w:ascii="Times New Roman;Times;serif" w:hAnsi="Times New Roman;Times;serif"/>
                <w:b w:val="false"/>
                <w:i w:val="false"/>
                <w:caps w:val="false"/>
                <w:smallCaps w:val="false"/>
                <w:sz w:val="18"/>
              </w:rPr>
              <w:t>options (including 768</w:t>
            </w:r>
            <w:r>
              <w:rPr>
                <w:caps w:val="false"/>
                <w:smallCaps w:val="false"/>
              </w:rPr>
              <w:t xml:space="preserve"> </w:t>
            </w:r>
            <w:r>
              <w:rPr>
                <w:rFonts w:ascii="Times New Roman;Times;serif" w:hAnsi="Times New Roman;Times;serif"/>
                <w:b w:val="false"/>
                <w:i w:val="false"/>
                <w:caps w:val="false"/>
                <w:smallCaps w:val="false"/>
                <w:sz w:val="18"/>
              </w:rPr>
              <w:t>out-of-themoney options), 326</w:t>
            </w:r>
            <w:r>
              <w:rPr>
                <w:caps w:val="false"/>
                <w:smallCaps w:val="false"/>
              </w:rPr>
              <w:t xml:space="preserve"> </w:t>
            </w:r>
            <w:r>
              <w:rPr>
                <w:rFonts w:ascii="Times New Roman;Times;serif" w:hAnsi="Times New Roman;Times;serif"/>
                <w:b w:val="false"/>
                <w:i w:val="false"/>
                <w:caps w:val="false"/>
                <w:smallCaps w:val="false"/>
                <w:sz w:val="18"/>
              </w:rPr>
              <w:t>RSA’s, 1,547</w:t>
            </w:r>
            <w:r>
              <w:rPr>
                <w:caps w:val="false"/>
                <w:smallCaps w:val="false"/>
              </w:rPr>
              <w:t xml:space="preserve"> </w:t>
            </w:r>
            <w:r>
              <w:rPr>
                <w:rFonts w:ascii="Times New Roman;Times;serif" w:hAnsi="Times New Roman;Times;serif"/>
                <w:b w:val="false"/>
                <w:i w:val="false"/>
                <w:caps w:val="false"/>
                <w:smallCaps w:val="false"/>
                <w:sz w:val="18"/>
              </w:rPr>
              <w:t>RSUs and 41</w:t>
            </w:r>
            <w:r>
              <w:rPr>
                <w:caps w:val="false"/>
                <w:smallCaps w:val="false"/>
              </w:rPr>
              <w:t xml:space="preserve"> </w:t>
            </w:r>
            <w:r>
              <w:rPr>
                <w:rFonts w:ascii="Times New Roman;Times;serif" w:hAnsi="Times New Roman;Times;serif"/>
                <w:b w:val="false"/>
                <w:i w:val="false"/>
                <w:caps w:val="false"/>
                <w:smallCaps w:val="false"/>
                <w:sz w:val="18"/>
              </w:rPr>
              <w:t>shares under the ESPP.</w:t>
            </w:r>
          </w:p>
        </w:tc>
      </w:tr>
    </w:tbl>
    <w:p>
      <w:pPr>
        <w:pStyle w:val="TextBody"/>
        <w:pBdr/>
        <w:spacing w:before="0" w:after="0"/>
        <w:ind w:left="0" w:right="0" w:hanging="36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1142" w:name="Tc_wunMDTP1k0GcPUfUXOs-AA_20_5"/>
      <w:bookmarkStart w:id="1143" w:name="Tc_B9-yJy8lSkC_2oaMKou9RQ_20_2"/>
      <w:bookmarkStart w:id="1144" w:name="Tc_7slx-JPSgUisGgnUFaqfxQ_20_0"/>
      <w:bookmarkStart w:id="1145" w:name="Tc_C0qgXD3RCEKRqT3TAsos9Q_19_5"/>
      <w:bookmarkStart w:id="1146" w:name="Tc_tT9pyy12N0WF8K2b7lRYsQ_19_2"/>
      <w:bookmarkStart w:id="1147" w:name="Tc_fZdiYNMk40qNLumx3fv11Q_19_0"/>
      <w:bookmarkStart w:id="1148" w:name="Tc_62LC9XJW_0C9hZKe-9JdrA_17_0"/>
      <w:bookmarkStart w:id="1149" w:name="Tc_UtddA4la_keo-nro7LuNBg_16_6"/>
      <w:bookmarkStart w:id="1150" w:name="Tc_CkEYYQDS80--OUoUYoIMrQ_16_3"/>
      <w:bookmarkStart w:id="1151" w:name="Tc_zLcnwTUCa0qB65bvn4oPNw_16_0"/>
      <w:bookmarkStart w:id="1152" w:name="Tc_7jiL1vAVqUCjUTRh1necSA_15_0"/>
      <w:bookmarkStart w:id="1153" w:name="Tc_yjIZ-p3pwkKyTOvHIskrwg_14_0"/>
      <w:bookmarkStart w:id="1154" w:name="Tc_Melu9eaIsUSrkLWGNNL5mA_12_5"/>
      <w:bookmarkStart w:id="1155" w:name="Tc_oWOtKpLg3EaXZazc-KBlVw_12_2"/>
      <w:bookmarkStart w:id="1156" w:name="Tc_lfiGwlc6GE-B-4Zispx0Qw_12_0"/>
      <w:bookmarkStart w:id="1157" w:name="Tc_9OfFc2sPIU2aQhCoCND9Rg_11_7"/>
      <w:bookmarkStart w:id="1158" w:name="Tc_gcFIhFuoKkG1MiJSMUa22Q_11_4"/>
      <w:bookmarkStart w:id="1159" w:name="Tc_1t-596Vnm0u_9KLqwzT8sQ_11_0"/>
      <w:bookmarkStart w:id="1160" w:name="Tc_8blSVpQbKEyFPiA6sted2w_10_5"/>
      <w:bookmarkStart w:id="1161" w:name="Tc_BWkze0XzbUKuR0-ClrckPw_10_2"/>
      <w:bookmarkStart w:id="1162" w:name="Tc_3nlL9RkE80yQAgHq5Ybk5w_10_0"/>
      <w:bookmarkStart w:id="1163" w:name="Tc_fy6Rdz1ZtkOOJhX1meUSLg_9_0"/>
      <w:bookmarkStart w:id="1164" w:name="Tc_T0Bl5QX1ZEK_YPe1PpzzyA_7_5"/>
      <w:bookmarkStart w:id="1165" w:name="Tc_skWfJnjGoUiA03qs7l0Viw_7_2"/>
      <w:bookmarkStart w:id="1166" w:name="Tc_Lujy8wlQIEuYBQENXUwpzw_7_0"/>
      <w:bookmarkStart w:id="1167" w:name="Tc_hmLipUHhbkKxxZG-Ji0Aqg_6_7"/>
      <w:bookmarkStart w:id="1168" w:name="Tc_jV-_eJIrREaPztt6ykmS7g_6_4"/>
      <w:bookmarkStart w:id="1169" w:name="Tc_4GjFJhSeZke-H8pT6WGG3g_6_0"/>
      <w:bookmarkStart w:id="1170" w:name="Tc_PIWqTzsaik-Y9XxUfZyYyQ_5_5"/>
      <w:bookmarkStart w:id="1171" w:name="Tc_eW4TiLerZEi-jCXLm4CpWQ_5_2"/>
      <w:bookmarkStart w:id="1172" w:name="Tc__khtK_Wvsk6U_P2omVPgPQ_5_0"/>
      <w:bookmarkStart w:id="1173" w:name="Tc_8Nmxm_b1dUmGUt7FeXR46g_4_0"/>
      <w:bookmarkStart w:id="1174" w:name="Tc_sArkYtAt9029w8SzkIEHVA_3_2"/>
      <w:bookmarkStart w:id="1175" w:name="Tc__fl_7SDKTkGF_0oenLVwAQ_2_5"/>
      <w:bookmarkStart w:id="1176" w:name="Tc_8ypgtuR8hUWGE6X2i33kUQ_2_2"/>
      <w:bookmarkStart w:id="1177" w:name="Tc_jrEaK8t7Jki1skWd2xG0mw_2_0"/>
      <w:bookmarkStart w:id="1178" w:name="Tc_22UTQbuVo0qCysJF3Xg4jQ_1_2"/>
      <w:bookmarkStart w:id="1179" w:name="Tc_wunMDTP1k0GcPUfUXOs-AA_20_5"/>
      <w:bookmarkStart w:id="1180" w:name="Tc_B9-yJy8lSkC_2oaMKou9RQ_20_2"/>
      <w:bookmarkStart w:id="1181" w:name="Tc_7slx-JPSgUisGgnUFaqfxQ_20_0"/>
      <w:bookmarkStart w:id="1182" w:name="Tc_C0qgXD3RCEKRqT3TAsos9Q_19_5"/>
      <w:bookmarkStart w:id="1183" w:name="Tc_tT9pyy12N0WF8K2b7lRYsQ_19_2"/>
      <w:bookmarkStart w:id="1184" w:name="Tc_fZdiYNMk40qNLumx3fv11Q_19_0"/>
      <w:bookmarkStart w:id="1185" w:name="Tc_62LC9XJW_0C9hZKe-9JdrA_17_0"/>
      <w:bookmarkStart w:id="1186" w:name="Tc_UtddA4la_keo-nro7LuNBg_16_6"/>
      <w:bookmarkStart w:id="1187" w:name="Tc_CkEYYQDS80--OUoUYoIMrQ_16_3"/>
      <w:bookmarkStart w:id="1188" w:name="Tc_zLcnwTUCa0qB65bvn4oPNw_16_0"/>
      <w:bookmarkStart w:id="1189" w:name="Tc_7jiL1vAVqUCjUTRh1necSA_15_0"/>
      <w:bookmarkStart w:id="1190" w:name="Tc_yjIZ-p3pwkKyTOvHIskrwg_14_0"/>
      <w:bookmarkStart w:id="1191" w:name="Tc_Melu9eaIsUSrkLWGNNL5mA_12_5"/>
      <w:bookmarkStart w:id="1192" w:name="Tc_oWOtKpLg3EaXZazc-KBlVw_12_2"/>
      <w:bookmarkStart w:id="1193" w:name="Tc_lfiGwlc6GE-B-4Zispx0Qw_12_0"/>
      <w:bookmarkStart w:id="1194" w:name="Tc_9OfFc2sPIU2aQhCoCND9Rg_11_7"/>
      <w:bookmarkStart w:id="1195" w:name="Tc_gcFIhFuoKkG1MiJSMUa22Q_11_4"/>
      <w:bookmarkStart w:id="1196" w:name="Tc_1t-596Vnm0u_9KLqwzT8sQ_11_0"/>
      <w:bookmarkStart w:id="1197" w:name="Tc_8blSVpQbKEyFPiA6sted2w_10_5"/>
      <w:bookmarkStart w:id="1198" w:name="Tc_BWkze0XzbUKuR0-ClrckPw_10_2"/>
      <w:bookmarkStart w:id="1199" w:name="Tc_3nlL9RkE80yQAgHq5Ybk5w_10_0"/>
      <w:bookmarkStart w:id="1200" w:name="Tc_fy6Rdz1ZtkOOJhX1meUSLg_9_0"/>
      <w:bookmarkStart w:id="1201" w:name="Tc_T0Bl5QX1ZEK_YPe1PpzzyA_7_5"/>
      <w:bookmarkStart w:id="1202" w:name="Tc_skWfJnjGoUiA03qs7l0Viw_7_2"/>
      <w:bookmarkStart w:id="1203" w:name="Tc_Lujy8wlQIEuYBQENXUwpzw_7_0"/>
      <w:bookmarkStart w:id="1204" w:name="Tc_hmLipUHhbkKxxZG-Ji0Aqg_6_7"/>
      <w:bookmarkStart w:id="1205" w:name="Tc_jV-_eJIrREaPztt6ykmS7g_6_4"/>
      <w:bookmarkStart w:id="1206" w:name="Tc_4GjFJhSeZke-H8pT6WGG3g_6_0"/>
      <w:bookmarkStart w:id="1207" w:name="Tc_PIWqTzsaik-Y9XxUfZyYyQ_5_5"/>
      <w:bookmarkStart w:id="1208" w:name="Tc_eW4TiLerZEi-jCXLm4CpWQ_5_2"/>
      <w:bookmarkStart w:id="1209" w:name="Tc__khtK_Wvsk6U_P2omVPgPQ_5_0"/>
      <w:bookmarkStart w:id="1210" w:name="Tc_8Nmxm_b1dUmGUt7FeXR46g_4_0"/>
      <w:bookmarkStart w:id="1211" w:name="Tc_sArkYtAt9029w8SzkIEHVA_3_2"/>
      <w:bookmarkStart w:id="1212" w:name="Tc__fl_7SDKTkGF_0oenLVwAQ_2_5"/>
      <w:bookmarkStart w:id="1213" w:name="Tc_8ypgtuR8hUWGE6X2i33kUQ_2_2"/>
      <w:bookmarkStart w:id="1214" w:name="Tc_jrEaK8t7Jki1skWd2xG0mw_2_0"/>
      <w:bookmarkStart w:id="1215" w:name="Tc_22UTQbuVo0qCysJF3Xg4jQ_1_2"/>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tbl>
      <w:tblPr>
        <w:tblW w:w="9775" w:type="dxa"/>
        <w:jc w:val="left"/>
        <w:tblInd w:w="0" w:type="dxa"/>
        <w:tblCellMar>
          <w:top w:w="0" w:type="dxa"/>
          <w:left w:w="0" w:type="dxa"/>
          <w:bottom w:w="0" w:type="dxa"/>
          <w:right w:w="0" w:type="dxa"/>
        </w:tblCellMar>
      </w:tblPr>
      <w:tblGrid>
        <w:gridCol w:w="6106"/>
        <w:gridCol w:w="326"/>
        <w:gridCol w:w="262"/>
        <w:gridCol w:w="991"/>
        <w:gridCol w:w="449"/>
        <w:gridCol w:w="262"/>
        <w:gridCol w:w="973"/>
        <w:gridCol w:w="406"/>
      </w:tblGrid>
      <w:tr>
        <w:trPr/>
        <w:tc>
          <w:tcPr>
            <w:tcW w:w="6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877310" cy="175260"/>
                      <wp:effectExtent l="0" t="0" r="0" b="0"/>
                      <wp:wrapNone/>
                      <wp:docPr id="203" name="Frame203"/>
                      <a:graphic xmlns:a="http://schemas.openxmlformats.org/drawingml/2006/main">
                        <a:graphicData uri="http://schemas.microsoft.com/office/word/2010/wordprocessingShape">
                          <wps:wsp>
                            <wps:cNvSpPr txBox="1"/>
                            <wps:spPr>
                              <a:xfrm>
                                <a:off x="0" y="0"/>
                                <a:ext cx="3877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6370" cy="175260"/>
                      <wp:effectExtent l="0" t="0" r="0" b="0"/>
                      <wp:wrapNone/>
                      <wp:docPr id="205" name="Frame205"/>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29285" cy="175260"/>
                      <wp:effectExtent l="0" t="0" r="0" b="0"/>
                      <wp:wrapNone/>
                      <wp:docPr id="206" name="Frame206"/>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5115" cy="175260"/>
                      <wp:effectExtent l="0" t="0" r="0" b="0"/>
                      <wp:wrapNone/>
                      <wp:docPr id="207" name="Frame207"/>
                      <a:graphic xmlns:a="http://schemas.openxmlformats.org/drawingml/2006/main">
                        <a:graphicData uri="http://schemas.microsoft.com/office/word/2010/wordprocessingShape">
                          <wps:wsp>
                            <wps:cNvSpPr txBox="1"/>
                            <wps:spPr>
                              <a:xfrm>
                                <a:off x="0" y="0"/>
                                <a:ext cx="285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66370" cy="175260"/>
                      <wp:effectExtent l="0" t="0" r="0" b="0"/>
                      <wp:wrapNone/>
                      <wp:docPr id="208" name="Frame208"/>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17855" cy="175260"/>
                      <wp:effectExtent l="0" t="0" r="0" b="0"/>
                      <wp:wrapNone/>
                      <wp:docPr id="209" name="Frame209"/>
                      <a:graphic xmlns:a="http://schemas.openxmlformats.org/drawingml/2006/main">
                        <a:graphicData uri="http://schemas.microsoft.com/office/word/2010/wordprocessingShape">
                          <wps:wsp>
                            <wps:cNvSpPr txBox="1"/>
                            <wps:spPr>
                              <a:xfrm>
                                <a:off x="0" y="0"/>
                                <a:ext cx="617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57810" cy="175260"/>
                      <wp:effectExtent l="0" t="0" r="0" b="0"/>
                      <wp:wrapNone/>
                      <wp:docPr id="210" name="Frame21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3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Class B common stock:</w:t>
            </w:r>
          </w:p>
        </w:tc>
        <w:tc>
          <w:tcPr>
            <w:tcW w:w="326" w:type="dxa"/>
            <w:tcBorders/>
            <w:shd w:fill="auto" w:val="clear"/>
            <w:vAlign w:val="center"/>
          </w:tcPr>
          <w:p>
            <w:pPr>
              <w:pStyle w:val="TableContents"/>
              <w:spacing w:before="0" w:after="0"/>
              <w:ind w:left="0" w:right="0" w:hanging="0"/>
              <w:rPr/>
            </w:pPr>
            <w:r>
              <w:rPr/>
              <w:t>    </w:t>
            </w:r>
          </w:p>
        </w:tc>
        <w:tc>
          <w:tcPr>
            <w:tcW w:w="125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9" w:type="dxa"/>
            <w:tcBorders/>
            <w:shd w:fill="auto" w:val="clear"/>
            <w:vAlign w:val="center"/>
          </w:tcPr>
          <w:p>
            <w:pPr>
              <w:pStyle w:val="TableContents"/>
              <w:spacing w:before="0" w:after="0"/>
              <w:ind w:left="0" w:right="0" w:hanging="0"/>
              <w:rPr/>
            </w:pPr>
            <w:r>
              <w:rPr/>
              <w:t>    </w:t>
            </w:r>
          </w:p>
        </w:tc>
        <w:tc>
          <w:tcPr>
            <w:tcW w:w="12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0"/>
              <w:ind w:left="0" w:right="0" w:hanging="0"/>
              <w:rPr/>
            </w:pPr>
            <w:r>
              <w:rPr/>
              <w:t>​</w:t>
            </w:r>
          </w:p>
        </w:tc>
      </w:tr>
      <w:tr>
        <w:trPr/>
        <w:tc>
          <w:tcPr>
            <w:tcW w:w="9775"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6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37"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basic:</w:t>
            </w:r>
          </w:p>
        </w:tc>
        <w:tc>
          <w:tcPr>
            <w:tcW w:w="326" w:type="dxa"/>
            <w:tcBorders/>
            <w:shd w:fill="CCEEFF" w:val="clear"/>
            <w:vAlign w:val="center"/>
          </w:tcPr>
          <w:p>
            <w:pPr>
              <w:pStyle w:val="TableContents"/>
              <w:spacing w:before="0" w:after="0"/>
              <w:ind w:left="0" w:right="0" w:hanging="0"/>
              <w:rPr/>
            </w:pPr>
            <w:r>
              <w:rPr/>
              <w:t> </w:t>
            </w:r>
          </w:p>
        </w:tc>
        <w:tc>
          <w:tcPr>
            <w:tcW w:w="262"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449"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w:t>
            </w:r>
          </w:p>
        </w:tc>
        <w:tc>
          <w:tcPr>
            <w:tcW w:w="973"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(18,132)</w:t>
            </w:r>
          </w:p>
        </w:tc>
        <w:tc>
          <w:tcPr>
            <w:tcW w:w="449"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B common stock as a percentage of total shares outstanding, basic</w:t>
            </w:r>
          </w:p>
        </w:tc>
        <w:tc>
          <w:tcPr>
            <w:tcW w:w="326" w:type="dxa"/>
            <w:tcBorders/>
            <w:shd w:fill="CCEEFF" w:val="clear"/>
            <w:vAlign w:val="center"/>
          </w:tcPr>
          <w:p>
            <w:pPr>
              <w:pStyle w:val="TableContents"/>
              <w:spacing w:before="0" w:after="0"/>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66.51</w:t>
            </w:r>
          </w:p>
        </w:tc>
        <w:tc>
          <w:tcPr>
            <w:tcW w:w="44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6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71.61</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Class B stockholders, basic</w:t>
            </w:r>
          </w:p>
        </w:tc>
        <w:tc>
          <w:tcPr>
            <w:tcW w:w="326" w:type="dxa"/>
            <w:tcBorders/>
            <w:shd w:fill="auto" w:val="clear"/>
            <w:vAlign w:val="center"/>
          </w:tcPr>
          <w:p>
            <w:pPr>
              <w:pStyle w:val="TableContents"/>
              <w:spacing w:before="0" w:after="0"/>
              <w:ind w:left="0" w:right="0" w:hanging="0"/>
              <w:rPr/>
            </w:pPr>
            <w:r>
              <w:rPr/>
              <w:t>​</w:t>
            </w:r>
          </w:p>
        </w:tc>
        <w:tc>
          <w:tcPr>
            <w:tcW w:w="26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(12,060)</w:t>
            </w:r>
          </w:p>
        </w:tc>
        <w:tc>
          <w:tcPr>
            <w:tcW w:w="449" w:type="dxa"/>
            <w:tcBorders/>
            <w:shd w:fill="auto" w:val="clear"/>
            <w:vAlign w:val="center"/>
          </w:tcPr>
          <w:p>
            <w:pPr>
              <w:pStyle w:val="TableContents"/>
              <w:spacing w:before="0" w:after="0"/>
              <w:ind w:left="0" w:right="0" w:hanging="0"/>
              <w:rPr/>
            </w:pPr>
            <w:r>
              <w:rPr/>
              <w:t>​</w:t>
            </w:r>
          </w:p>
        </w:tc>
        <w:tc>
          <w:tcPr>
            <w:tcW w:w="26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449"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w:t>
            </w:r>
          </w:p>
        </w:tc>
        <w:tc>
          <w:tcPr>
            <w:tcW w:w="973"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diluted:</w:t>
            </w:r>
          </w:p>
        </w:tc>
        <w:tc>
          <w:tcPr>
            <w:tcW w:w="326" w:type="dxa"/>
            <w:tcBorders/>
            <w:shd w:fill="auto" w:val="clear"/>
            <w:vAlign w:val="center"/>
          </w:tcPr>
          <w:p>
            <w:pPr>
              <w:pStyle w:val="TableContents"/>
              <w:spacing w:before="0" w:after="0"/>
              <w:ind w:left="0" w:right="0" w:hanging="0"/>
              <w:rPr/>
            </w:pPr>
            <w:r>
              <w:rPr/>
              <w:t> </w:t>
            </w:r>
          </w:p>
        </w:tc>
        <w:tc>
          <w:tcPr>
            <w:tcW w:w="262"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rPr/>
            </w:pPr>
            <w:r>
              <w:rPr/>
              <w:t> </w:t>
            </w:r>
          </w:p>
        </w:tc>
        <w:tc>
          <w:tcPr>
            <w:tcW w:w="262" w:type="dxa"/>
            <w:tcBorders/>
            <w:shd w:fill="auto" w:val="clear"/>
            <w:vAlign w:val="center"/>
          </w:tcPr>
          <w:p>
            <w:pPr>
              <w:pStyle w:val="TableContents"/>
              <w:spacing w:before="0" w:after="0"/>
              <w:ind w:left="0" w:right="0" w:hanging="0"/>
              <w:rPr/>
            </w:pPr>
            <w:r>
              <w:rPr/>
              <w:t>​</w:t>
            </w:r>
          </w:p>
        </w:tc>
        <w:tc>
          <w:tcPr>
            <w:tcW w:w="973"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rPr/>
            </w:pPr>
            <w:r>
              <w:rPr/>
              <w:t> </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all stockholders</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(18,132)</w:t>
            </w:r>
          </w:p>
        </w:tc>
        <w:tc>
          <w:tcPr>
            <w:tcW w:w="449"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Class B common stock as a percentage of total shares outstanding, diluted</w:t>
            </w:r>
          </w:p>
        </w:tc>
        <w:tc>
          <w:tcPr>
            <w:tcW w:w="326" w:type="dxa"/>
            <w:tcBorders/>
            <w:shd w:fill="auto" w:val="clear"/>
            <w:vAlign w:val="center"/>
          </w:tcPr>
          <w:p>
            <w:pPr>
              <w:pStyle w:val="TableContents"/>
              <w:spacing w:before="0" w:after="0"/>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66.51</w:t>
            </w:r>
          </w:p>
        </w:tc>
        <w:tc>
          <w:tcPr>
            <w:tcW w:w="44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6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71.61</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Class B stockholders, diluted</w:t>
            </w:r>
          </w:p>
        </w:tc>
        <w:tc>
          <w:tcPr>
            <w:tcW w:w="326" w:type="dxa"/>
            <w:tcBorders/>
            <w:shd w:fill="CCEEFF" w:val="clear"/>
            <w:vAlign w:val="center"/>
          </w:tcPr>
          <w:p>
            <w:pPr>
              <w:pStyle w:val="TableContents"/>
              <w:spacing w:before="0" w:after="0"/>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(12,060)</w:t>
            </w:r>
          </w:p>
        </w:tc>
        <w:tc>
          <w:tcPr>
            <w:tcW w:w="449" w:type="dxa"/>
            <w:tcBorders/>
            <w:shd w:fill="CCEEFF" w:val="clear"/>
            <w:vAlign w:val="center"/>
          </w:tcPr>
          <w:p>
            <w:pPr>
              <w:pStyle w:val="TableContents"/>
              <w:spacing w:before="0" w:after="0"/>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449"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w:t>
            </w:r>
          </w:p>
        </w:tc>
        <w:tc>
          <w:tcPr>
            <w:tcW w:w="973" w:type="dxa"/>
            <w:tcBorders/>
            <w:shd w:fill="auto" w:val="clear"/>
            <w:vAlign w:val="center"/>
          </w:tcPr>
          <w:p>
            <w:pPr>
              <w:pStyle w:val="TableContents"/>
              <w:spacing w:before="0" w:after="0"/>
              <w:ind w:left="0" w:right="0" w:hanging="0"/>
              <w:jc w:val="right"/>
              <w:rPr/>
            </w:pPr>
            <w:r>
              <w:rPr/>
              <w:t>​</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basic and diluted:</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  </w:t>
            </w:r>
          </w:p>
        </w:tc>
        <w:tc>
          <w:tcPr>
            <w:tcW w:w="449"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 </w:t>
            </w:r>
          </w:p>
        </w:tc>
        <w:tc>
          <w:tcPr>
            <w:tcW w:w="973" w:type="dxa"/>
            <w:tcBorders/>
            <w:shd w:fill="CCEEFF" w:val="clear"/>
            <w:vAlign w:val="center"/>
          </w:tcPr>
          <w:p>
            <w:pPr>
              <w:pStyle w:val="TableContents"/>
              <w:spacing w:before="0" w:after="0"/>
              <w:ind w:left="0" w:right="0" w:hanging="0"/>
              <w:jc w:val="right"/>
              <w:rPr/>
            </w:pPr>
            <w:r>
              <w:rPr/>
              <w:t>  </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Class B common stock, basic</w:t>
            </w:r>
          </w:p>
        </w:tc>
        <w:tc>
          <w:tcPr>
            <w:tcW w:w="326"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100,221</w:t>
            </w:r>
          </w:p>
        </w:tc>
        <w:tc>
          <w:tcPr>
            <w:tcW w:w="449"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 </w:t>
            </w:r>
          </w:p>
        </w:tc>
        <w:tc>
          <w:tcPr>
            <w:tcW w:w="9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106,807</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 of common stock equivalents</w:t>
            </w:r>
          </w:p>
        </w:tc>
        <w:tc>
          <w:tcPr>
            <w:tcW w:w="326" w:type="dxa"/>
            <w:tcBorders/>
            <w:shd w:fill="CCEEFF" w:val="clear"/>
            <w:vAlign w:val="center"/>
          </w:tcPr>
          <w:p>
            <w:pPr>
              <w:pStyle w:val="TableContents"/>
              <w:spacing w:before="0" w:after="0"/>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49" w:type="dxa"/>
            <w:tcBorders/>
            <w:shd w:fill="CCEEFF" w:val="clear"/>
            <w:vAlign w:val="center"/>
          </w:tcPr>
          <w:p>
            <w:pPr>
              <w:pStyle w:val="TableContents"/>
              <w:spacing w:before="0" w:after="0"/>
              <w:ind w:left="0" w:right="0" w:hanging="0"/>
              <w:rPr/>
            </w:pPr>
            <w:r>
              <w:rPr/>
              <w:t>​</w:t>
            </w:r>
          </w:p>
        </w:tc>
        <w:tc>
          <w:tcPr>
            <w:tcW w:w="26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Class B common stock, diluted</w:t>
            </w:r>
          </w:p>
        </w:tc>
        <w:tc>
          <w:tcPr>
            <w:tcW w:w="326" w:type="dxa"/>
            <w:tcBorders/>
            <w:shd w:fill="auto" w:val="clear"/>
            <w:vAlign w:val="center"/>
          </w:tcPr>
          <w:p>
            <w:pPr>
              <w:pStyle w:val="TableContents"/>
              <w:spacing w:before="0" w:after="0"/>
              <w:ind w:left="0" w:right="0" w:hanging="0"/>
              <w:rPr/>
            </w:pPr>
            <w:r>
              <w:rPr/>
              <w:t>​</w:t>
            </w:r>
          </w:p>
        </w:tc>
        <w:tc>
          <w:tcPr>
            <w:tcW w:w="262"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100,221</w:t>
            </w:r>
          </w:p>
        </w:tc>
        <w:tc>
          <w:tcPr>
            <w:tcW w:w="449" w:type="dxa"/>
            <w:tcBorders/>
            <w:shd w:fill="auto" w:val="clear"/>
            <w:vAlign w:val="center"/>
          </w:tcPr>
          <w:p>
            <w:pPr>
              <w:pStyle w:val="TableContents"/>
              <w:spacing w:before="0" w:after="0"/>
              <w:ind w:left="0" w:right="0" w:hanging="0"/>
              <w:rPr/>
            </w:pPr>
            <w:r>
              <w:rPr/>
              <w:t>​</w:t>
            </w:r>
          </w:p>
        </w:tc>
        <w:tc>
          <w:tcPr>
            <w:tcW w:w="262"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7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106,807</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449"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w:t>
            </w:r>
          </w:p>
        </w:tc>
        <w:tc>
          <w:tcPr>
            <w:tcW w:w="973"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rPr/>
            </w:pPr>
            <w:r>
              <w:rPr/>
              <w:t>​</w:t>
            </w:r>
          </w:p>
        </w:tc>
      </w:tr>
      <w:tr>
        <w:trPr/>
        <w:tc>
          <w:tcPr>
            <w:tcW w:w="61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per Class B share, basic</w:t>
            </w:r>
          </w:p>
        </w:tc>
        <w:tc>
          <w:tcPr>
            <w:tcW w:w="326" w:type="dxa"/>
            <w:tcBorders/>
            <w:shd w:fill="auto" w:val="clear"/>
            <w:vAlign w:val="center"/>
          </w:tcPr>
          <w:p>
            <w:pPr>
              <w:pStyle w:val="TableContents"/>
              <w:spacing w:before="0" w:after="0"/>
              <w:ind w:left="0" w:right="0" w:hanging="0"/>
              <w:rPr/>
            </w:pPr>
            <w:r>
              <w:rPr/>
              <w:t>​</w:t>
            </w:r>
          </w:p>
        </w:tc>
        <w:tc>
          <w:tcPr>
            <w:tcW w:w="26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449" w:type="dxa"/>
            <w:tcBorders/>
            <w:shd w:fill="auto" w:val="clear"/>
            <w:vAlign w:val="center"/>
          </w:tcPr>
          <w:p>
            <w:pPr>
              <w:pStyle w:val="TableContents"/>
              <w:spacing w:before="0" w:after="0"/>
              <w:ind w:left="0" w:right="0" w:hanging="0"/>
              <w:rPr/>
            </w:pPr>
            <w:r>
              <w:rPr/>
              <w:t>​</w:t>
            </w:r>
          </w:p>
        </w:tc>
        <w:tc>
          <w:tcPr>
            <w:tcW w:w="26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auto" w:val="clear"/>
            <w:vAlign w:val="center"/>
          </w:tcPr>
          <w:p>
            <w:pPr>
              <w:pStyle w:val="TableContents"/>
              <w:spacing w:before="0" w:after="0"/>
              <w:ind w:left="0" w:right="0" w:hanging="0"/>
              <w:rPr/>
            </w:pPr>
            <w:r>
              <w:rPr/>
              <w:t>​</w:t>
            </w:r>
          </w:p>
        </w:tc>
      </w:tr>
      <w:tr>
        <w:trPr/>
        <w:tc>
          <w:tcPr>
            <w:tcW w:w="61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per Class B share, diluted</w:t>
            </w:r>
          </w:p>
        </w:tc>
        <w:tc>
          <w:tcPr>
            <w:tcW w:w="326" w:type="dxa"/>
            <w:tcBorders/>
            <w:shd w:fill="CCEEFF" w:val="clear"/>
            <w:vAlign w:val="center"/>
          </w:tcPr>
          <w:p>
            <w:pPr>
              <w:pStyle w:val="TableContents"/>
              <w:spacing w:before="0" w:after="0"/>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449" w:type="dxa"/>
            <w:tcBorders/>
            <w:shd w:fill="CCEEFF" w:val="clear"/>
            <w:vAlign w:val="center"/>
          </w:tcPr>
          <w:p>
            <w:pPr>
              <w:pStyle w:val="TableContents"/>
              <w:spacing w:before="0" w:after="0"/>
              <w:ind w:left="0" w:right="0" w:hanging="0"/>
              <w:rPr/>
            </w:pPr>
            <w:r>
              <w:rPr/>
              <w:t>​</w:t>
            </w:r>
          </w:p>
        </w:tc>
        <w:tc>
          <w:tcPr>
            <w:tcW w:w="26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06"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216" w:name="Tc_xGL2SqOqZkGZQ8z2aTs6_w_11_0"/>
      <w:bookmarkStart w:id="1217" w:name="Tc_iZ2dK7ekrU6lXDpMM-u9fQ_10_4"/>
      <w:bookmarkStart w:id="1218" w:name="Tc_a3IvTCa-p0SW9uz9IwmmBg_10_0"/>
      <w:bookmarkStart w:id="1219" w:name="Tc_ikU24yyZtka14UrlGgUDNw_9_4"/>
      <w:bookmarkStart w:id="1220" w:name="Tc_8XnxKP0adU6YXXgZY2T7_A_9_0"/>
      <w:bookmarkStart w:id="1221" w:name="Tc_jXYadNIxjEWlZXd84CgCXw_8_4"/>
      <w:bookmarkStart w:id="1222" w:name="Tc_dOei0LytRkCtNfXUdubhuw_8_0"/>
      <w:bookmarkStart w:id="1223" w:name="Tc_8a_WdDzXVEScH4J17UNhAw_7_9"/>
      <w:bookmarkStart w:id="1224" w:name="Tc_h63UkBROAUCvsg-I3iLd-w_7_4"/>
      <w:bookmarkStart w:id="1225" w:name="Tc_1uur6ibOy0GwumrdnOfmXQ_7_0"/>
      <w:bookmarkStart w:id="1226" w:name="Tc_cZUnTJye8Ui8w3_wH6td1w_6_5"/>
      <w:bookmarkStart w:id="1227" w:name="Tc_6uLIaNCGnE-IoVCfS6oobA_5_9"/>
      <w:bookmarkStart w:id="1228" w:name="Tc_ruCsUzOvXkWMD5hNinGfzA_5_7"/>
      <w:bookmarkStart w:id="1229" w:name="Tc_l1ik8cp2PEGRFTLKFzABxQ_5_5"/>
      <w:bookmarkStart w:id="1230" w:name="Tc_E460R19NhESJ65WotVwD0w_5_2"/>
      <w:bookmarkStart w:id="1231" w:name="Tc_UvoXdyOGG0aDR8v-lq5qTQ_5_0"/>
      <w:bookmarkStart w:id="1232" w:name="Tc_x36FtTvGmU2mOrja__WK4Q_4_9"/>
      <w:bookmarkStart w:id="1233" w:name="Tc_jnRf499ik0O-riDOrXv-2Q_4_7"/>
      <w:bookmarkStart w:id="1234" w:name="Tc_hfU1tTRQcEGJ5TtPHYIQcA_4_5"/>
      <w:bookmarkStart w:id="1235" w:name="Tc_0XtiGQNe4UiE_HikePBp9Q_3_9"/>
      <w:bookmarkStart w:id="1236" w:name="Tc_FlDq0BaxT0-j6zM0ANpoJw_3_7"/>
      <w:bookmarkStart w:id="1237" w:name="Tc_saX4lhcMl0WoML1veKzbYw_3_5"/>
      <w:bookmarkStart w:id="1238" w:name="Tc_-8OBzlt-NUK9NIcT0NFq_w_2_7"/>
      <w:bookmarkStart w:id="1239" w:name="Tc_VDVnNp-CWkqIu7dEgHreDw_2_5"/>
      <w:bookmarkStart w:id="1240" w:name="Tc_Y_ltEPWkP0qY-IAWM17-jg_1_7"/>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b/>
          <w:sz w:val="20"/>
        </w:rPr>
        <w:t>10.    STOCK-BASED AWARD PLANS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March 31, 2023, 14,786 shares of Class A common were available for issuance under the 2020 Plan. </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 xml:space="preserve">Options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following table summarizes activity for options outstanding under the 2020 Plan for the three months ended March 31, 2023:</w:t>
      </w:r>
    </w:p>
    <w:p>
      <w:pPr>
        <w:pStyle w:val="TextBody"/>
        <w:spacing w:before="0" w:after="0"/>
        <w:ind w:left="0" w:right="0" w:hanging="0"/>
        <w:rPr/>
      </w:pPr>
      <w:r>
        <w:rPr/>
        <w:t>​</w:t>
      </w:r>
    </w:p>
    <w:tbl>
      <w:tblPr>
        <w:tblW w:w="8302" w:type="dxa"/>
        <w:jc w:val="left"/>
        <w:tblInd w:w="0" w:type="dxa"/>
        <w:tblCellMar>
          <w:top w:w="0" w:type="dxa"/>
          <w:left w:w="0" w:type="dxa"/>
          <w:bottom w:w="0" w:type="dxa"/>
          <w:right w:w="0" w:type="dxa"/>
        </w:tblCellMar>
      </w:tblPr>
      <w:tblGrid>
        <w:gridCol w:w="4186"/>
        <w:gridCol w:w="146"/>
        <w:gridCol w:w="571"/>
        <w:gridCol w:w="109"/>
        <w:gridCol w:w="211"/>
        <w:gridCol w:w="796"/>
        <w:gridCol w:w="146"/>
        <w:gridCol w:w="991"/>
        <w:gridCol w:w="109"/>
        <w:gridCol w:w="211"/>
        <w:gridCol w:w="826"/>
      </w:tblGrid>
      <w:tr>
        <w:trPr/>
        <w:tc>
          <w:tcPr>
            <w:tcW w:w="4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58110" cy="175260"/>
                      <wp:effectExtent l="0" t="0" r="0" b="0"/>
                      <wp:wrapNone/>
                      <wp:docPr id="211" name="Frame211"/>
                      <a:graphic xmlns:a="http://schemas.openxmlformats.org/drawingml/2006/main">
                        <a:graphicData uri="http://schemas.microsoft.com/office/word/2010/wordprocessingShape">
                          <wps:wsp>
                            <wps:cNvSpPr txBox="1"/>
                            <wps:spPr>
                              <a:xfrm>
                                <a:off x="0" y="0"/>
                                <a:ext cx="2658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2710" cy="175260"/>
                      <wp:effectExtent l="0" t="0" r="0" b="0"/>
                      <wp:wrapNone/>
                      <wp:docPr id="212" name="Frame21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585" cy="175260"/>
                      <wp:effectExtent l="0" t="0" r="0" b="0"/>
                      <wp:wrapNone/>
                      <wp:docPr id="213" name="Frame21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05460" cy="175260"/>
                      <wp:effectExtent l="0" t="0" r="0" b="0"/>
                      <wp:wrapNone/>
                      <wp:docPr id="216" name="Frame21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2710" cy="175260"/>
                      <wp:effectExtent l="0" t="0" r="0" b="0"/>
                      <wp:wrapNone/>
                      <wp:docPr id="217" name="Frame21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29285" cy="175260"/>
                      <wp:effectExtent l="0" t="0" r="0" b="0"/>
                      <wp:wrapNone/>
                      <wp:docPr id="218" name="Frame218"/>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24510" cy="175260"/>
                      <wp:effectExtent l="0" t="0" r="0" b="0"/>
                      <wp:wrapNone/>
                      <wp:docPr id="221" name="Frame22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8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shd w:fill="auto" w:val="clear"/>
            <w:vAlign w:val="center"/>
          </w:tcPr>
          <w:p>
            <w:pPr>
              <w:pStyle w:val="TableContents"/>
              <w:spacing w:before="0" w:after="0"/>
              <w:ind w:left="0" w:right="0" w:hanging="0"/>
              <w:rPr/>
            </w:pPr>
            <w:r>
              <w:rPr/>
              <w:t>​</w:t>
            </w:r>
          </w:p>
        </w:tc>
        <w:tc>
          <w:tcPr>
            <w:tcW w:w="1037" w:type="dxa"/>
            <w:gridSpan w:val="2"/>
            <w:tcBorders/>
            <w:shd w:fill="auto" w:val="clear"/>
            <w:vAlign w:val="center"/>
          </w:tcPr>
          <w:p>
            <w:pPr>
              <w:pStyle w:val="TableContents"/>
              <w:spacing w:before="0" w:after="0"/>
              <w:ind w:left="0" w:right="0" w:hanging="0"/>
              <w:jc w:val="center"/>
              <w:rPr/>
            </w:pPr>
            <w:r>
              <w:rPr/>
              <w:t>​</w:t>
            </w:r>
          </w:p>
        </w:tc>
      </w:tr>
      <w:tr>
        <w:trPr/>
        <w:tc>
          <w:tcPr>
            <w:tcW w:w="418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shd w:fill="auto" w:val="clear"/>
            <w:vAlign w:val="center"/>
          </w:tcPr>
          <w:p>
            <w:pPr>
              <w:pStyle w:val="TableContents"/>
              <w:spacing w:before="0" w:after="0"/>
              <w:ind w:left="0" w:right="0" w:hanging="0"/>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8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shd w:fill="auto" w:val="clear"/>
            <w:vAlign w:val="center"/>
          </w:tcPr>
          <w:p>
            <w:pPr>
              <w:pStyle w:val="TableContents"/>
              <w:spacing w:before="0" w:after="0"/>
              <w:ind w:left="0" w:right="0" w:hanging="0"/>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2020 Plan Option Activity</w:t>
            </w:r>
          </w:p>
        </w:tc>
        <w:tc>
          <w:tcPr>
            <w:tcW w:w="14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shd w:fill="auto" w:val="clear"/>
            <w:vAlign w:val="center"/>
          </w:tcPr>
          <w:p>
            <w:pPr>
              <w:pStyle w:val="TableContents"/>
              <w:spacing w:before="0" w:after="0"/>
              <w:ind w:left="0" w:right="0" w:hanging="0"/>
              <w:jc w:val="right"/>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shd w:fill="auto" w:val="clear"/>
            <w:vAlign w:val="center"/>
          </w:tcPr>
          <w:p>
            <w:pPr>
              <w:pStyle w:val="TableContents"/>
              <w:spacing w:before="0" w:after="0"/>
              <w:ind w:left="0" w:right="0" w:hanging="0"/>
              <w:jc w:val="right"/>
              <w:rPr/>
            </w:pPr>
            <w:r>
              <w:rPr/>
              <w:t>​</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302" w:type="dxa"/>
            <w:gridSpan w:val="11"/>
            <w:tcBorders/>
            <w:shd w:fill="auto" w:val="clear"/>
            <w:vAlign w:val="center"/>
          </w:tcPr>
          <w:p>
            <w:pPr>
              <w:pStyle w:val="TableContents"/>
              <w:spacing w:before="0" w:after="283"/>
              <w:ind w:left="0" w:right="0" w:hanging="0"/>
              <w:rPr>
                <w:sz w:val="4"/>
                <w:szCs w:val="4"/>
              </w:rPr>
            </w:pPr>
            <w:r>
              <w:rPr>
                <w:sz w:val="4"/>
                <w:szCs w:val="4"/>
              </w:rPr>
            </w:r>
          </w:p>
        </w:tc>
      </w:tr>
      <w:tr>
        <w:trPr/>
        <w:tc>
          <w:tcPr>
            <w:tcW w:w="418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079" w:type="dxa"/>
            <w:gridSpan w:val="6"/>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14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146" w:type="dxa"/>
            <w:tcBorders/>
            <w:shd w:fill="CCEEFF" w:val="clear"/>
            <w:vAlign w:val="center"/>
          </w:tcPr>
          <w:p>
            <w:pPr>
              <w:pStyle w:val="TableContents"/>
              <w:spacing w:before="0" w:after="0"/>
              <w:ind w:left="0" w:right="0" w:hanging="0"/>
              <w:jc w:val="right"/>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86,514</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14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1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2020 Plan options outstanding at March 31, 2023</w:t>
            </w:r>
          </w:p>
        </w:tc>
        <w:tc>
          <w:tcPr>
            <w:tcW w:w="146" w:type="dxa"/>
            <w:tcBorders/>
            <w:shd w:fill="CCEEFF" w:val="clear"/>
            <w:vAlign w:val="center"/>
          </w:tcPr>
          <w:p>
            <w:pPr>
              <w:pStyle w:val="TableContents"/>
              <w:spacing w:before="0" w:after="0"/>
              <w:ind w:left="0" w:right="0" w:hanging="0"/>
              <w:rPr/>
            </w:pPr>
            <w:r>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7,899</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14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128,086</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2020 Plan options excercisable at March 31, 2023</w:t>
            </w:r>
          </w:p>
        </w:tc>
        <w:tc>
          <w:tcPr>
            <w:tcW w:w="146" w:type="dxa"/>
            <w:tcBorders/>
            <w:shd w:fill="auto" w:val="clear"/>
            <w:vAlign w:val="center"/>
          </w:tcPr>
          <w:p>
            <w:pPr>
              <w:pStyle w:val="TableContents"/>
              <w:spacing w:before="0" w:after="0"/>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14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104,037</w:t>
            </w:r>
          </w:p>
        </w:tc>
      </w:tr>
      <w:tr>
        <w:trPr/>
        <w:tc>
          <w:tcPr>
            <w:tcW w:w="418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*Amended Options have indefinite contractual lives</w:t>
            </w:r>
          </w:p>
        </w:tc>
        <w:tc>
          <w:tcPr>
            <w:tcW w:w="1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bookmarkStart w:id="1241" w:name="Tc_rc3bhztzT0Sc5WXaudKlVw_10_4"/>
      <w:bookmarkStart w:id="1242" w:name="Tc__KuxAeic60yRWaBgbwz9Nw_10_0"/>
      <w:bookmarkStart w:id="1243" w:name="Tc_OgW-gHRIVkyIU0wibqsVTA_9_0"/>
      <w:bookmarkStart w:id="1244" w:name="Tc_AunMVR5qBkK7tbjTRlvnpQ_8_0"/>
      <w:bookmarkStart w:id="1245" w:name="Tc_srF4g9KESk6vxY91No3GKA_7_0"/>
      <w:bookmarkStart w:id="1246" w:name="Tc_AwyLYeYK0EuUW1tKO9zqfw_6_4"/>
      <w:bookmarkStart w:id="1247" w:name="Tc_9k7gFOQldEe2MelEVA26hA_6_0"/>
      <w:bookmarkStart w:id="1248" w:name="Tc_Q6JFoVIYgUeFRImSRfKo-w_5_4"/>
      <w:bookmarkStart w:id="1249" w:name="Tc_oPfvxYYsoUeq8wN6ZwU-MA_5_2"/>
      <w:bookmarkStart w:id="1250" w:name="Tc_BD6TM4Z0G0WOJwXJmVJIAA_4_4"/>
      <w:bookmarkStart w:id="1251" w:name="Tc_RLvnAVOwvEmLKIBctCiG1Q_3_4"/>
      <w:bookmarkStart w:id="1252" w:name="Tc_iPzb2sZn90aYf6OAOA9skA_2_4"/>
      <w:bookmarkStart w:id="1253" w:name="Tc_iW1hUCpfH0aOkUaR5Fke3A_7_0"/>
      <w:bookmarkStart w:id="1254" w:name="Tc_fWXdoV-GSkq76PvYOzF-bQ_6_2"/>
      <w:bookmarkStart w:id="1255" w:name="Tc_m8lf75Yz-ku9PiYPe3d8HA_5_8"/>
      <w:bookmarkStart w:id="1256" w:name="Tc_wtm4VI0VAk-st5hDaUK_5g_5_6"/>
      <w:bookmarkStart w:id="1257" w:name="Tc_UvzVid988E-AnMyBkhbG9A_5_4"/>
      <w:bookmarkStart w:id="1258" w:name="Tc_7uIWQBErqE2JwRwNN6Nwgw_5_2"/>
      <w:bookmarkStart w:id="1259" w:name="Tc_erMcxasJ_kSsmQzEMX79_A_5_0"/>
      <w:bookmarkStart w:id="1260" w:name="Tc_RqLPFwq-IE6L9FKjyLwPgA_4_8"/>
      <w:bookmarkStart w:id="1261" w:name="Tc_7ie-1gzfkEe73ltfVo2Ufg_4_4"/>
      <w:bookmarkStart w:id="1262" w:name="Tc_bbMdj3-wTU24ivLKXpP7tA_3_8"/>
      <w:bookmarkStart w:id="1263" w:name="Tc_R-d_nOvlREmbvoG0bpV2Mw_3_4"/>
      <w:bookmarkStart w:id="1264" w:name="Tc__MPej6h5N02OOe_gouCCUg_2_6"/>
      <w:bookmarkStart w:id="1265" w:name="Tc_wPMYuODsrU2wKNN5Ag_GlA_2_2"/>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r>
        <w:rPr>
          <w:rFonts w:ascii="Times New Roman;Times;serif" w:hAnsi="Times New Roman;Times;serif"/>
          <w:sz w:val="20"/>
        </w:rPr>
        <w:t>The detail of options outstanding, vested and exercisable under the 2020 Plan as of March 31, 2023 is as follows:</w:t>
      </w:r>
    </w:p>
    <w:p>
      <w:pPr>
        <w:pStyle w:val="TextBody"/>
        <w:spacing w:before="0" w:after="0"/>
        <w:ind w:left="0" w:right="0" w:hanging="0"/>
        <w:rPr/>
      </w:pPr>
      <w:r>
        <w:rPr/>
        <w:t>​</w:t>
      </w:r>
    </w:p>
    <w:tbl>
      <w:tblPr>
        <w:tblW w:w="6261" w:type="dxa"/>
        <w:jc w:val="left"/>
        <w:tblInd w:w="0" w:type="dxa"/>
        <w:tblCellMar>
          <w:top w:w="0" w:type="dxa"/>
          <w:left w:w="0" w:type="dxa"/>
          <w:bottom w:w="0" w:type="dxa"/>
          <w:right w:w="0" w:type="dxa"/>
        </w:tblCellMar>
      </w:tblPr>
      <w:tblGrid>
        <w:gridCol w:w="1306"/>
        <w:gridCol w:w="326"/>
        <w:gridCol w:w="571"/>
        <w:gridCol w:w="326"/>
        <w:gridCol w:w="976"/>
        <w:gridCol w:w="326"/>
        <w:gridCol w:w="723"/>
        <w:gridCol w:w="413"/>
        <w:gridCol w:w="1294"/>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829310" cy="175260"/>
                      <wp:effectExtent l="0" t="0" r="0" b="0"/>
                      <wp:wrapNone/>
                      <wp:docPr id="222" name="Frame222"/>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4" name="Frame22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19760" cy="175260"/>
                      <wp:effectExtent l="0" t="0" r="0" b="0"/>
                      <wp:wrapNone/>
                      <wp:docPr id="226" name="Frame226"/>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59105" cy="175260"/>
                      <wp:effectExtent l="0" t="0" r="0" b="0"/>
                      <wp:wrapNone/>
                      <wp:docPr id="228" name="Frame228"/>
                      <a:graphic xmlns:a="http://schemas.openxmlformats.org/drawingml/2006/main">
                        <a:graphicData uri="http://schemas.microsoft.com/office/word/2010/wordprocessingShape">
                          <wps:wsp>
                            <wps:cNvSpPr txBox="1"/>
                            <wps:spPr>
                              <a:xfrm>
                                <a:off x="0" y="0"/>
                                <a:ext cx="459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62255" cy="175260"/>
                      <wp:effectExtent l="0" t="0" r="0" b="0"/>
                      <wp:wrapNone/>
                      <wp:docPr id="229" name="Frame229"/>
                      <a:graphic xmlns:a="http://schemas.openxmlformats.org/drawingml/2006/main">
                        <a:graphicData uri="http://schemas.microsoft.com/office/word/2010/wordprocessingShape">
                          <wps:wsp>
                            <wps:cNvSpPr txBox="1"/>
                            <wps:spPr>
                              <a:xfrm>
                                <a:off x="0" y="0"/>
                                <a:ext cx="262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21690" cy="175260"/>
                      <wp:effectExtent l="0" t="0" r="0" b="0"/>
                      <wp:wrapNone/>
                      <wp:docPr id="230" name="Frame230"/>
                      <a:graphic xmlns:a="http://schemas.openxmlformats.org/drawingml/2006/main">
                        <a:graphicData uri="http://schemas.microsoft.com/office/word/2010/wordprocessingShape">
                          <wps:wsp>
                            <wps:cNvSpPr txBox="1"/>
                            <wps:spPr>
                              <a:xfrm>
                                <a:off x="0" y="0"/>
                                <a:ext cx="821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center"/>
              <w:rPr/>
            </w:pPr>
            <w:r>
              <w:rPr/>
              <w:t>​</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center"/>
              <w:rPr/>
            </w:pPr>
            <w:r>
              <w:rPr/>
              <w:t>​</w: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7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shd w:fill="auto" w:val="clear"/>
            <w:vAlign w:val="center"/>
          </w:tcPr>
          <w:p>
            <w:pPr>
              <w:pStyle w:val="TableContents"/>
              <w:spacing w:before="0" w:after="0"/>
              <w:ind w:left="0" w:right="0" w:hanging="0"/>
              <w:rPr/>
            </w:pPr>
            <w:r>
              <w:rPr/>
              <w:t>​</w:t>
            </w:r>
          </w:p>
        </w:tc>
        <w:tc>
          <w:tcPr>
            <w:tcW w:w="243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    </w:t>
            </w:r>
          </w:p>
        </w:tc>
        <w:tc>
          <w:tcPr>
            <w:tcW w:w="723" w:type="dxa"/>
            <w:tcBorders/>
            <w:shd w:fill="auto" w:val="clear"/>
            <w:vAlign w:val="center"/>
          </w:tcPr>
          <w:p>
            <w:pPr>
              <w:pStyle w:val="TableContents"/>
              <w:spacing w:before="0" w:after="0"/>
              <w:ind w:left="0" w:right="0" w:hanging="0"/>
              <w:jc w:val="center"/>
              <w:rPr/>
            </w:pPr>
            <w:r>
              <w:rPr/>
              <w:t>​</w:t>
            </w:r>
          </w:p>
        </w:tc>
        <w:tc>
          <w:tcPr>
            <w:tcW w:w="413"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3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center"/>
              <w:rPr/>
            </w:pPr>
            <w:r>
              <w:rPr/>
              <w:t>​</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3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Exercise Prices</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shd w:fill="auto" w:val="clear"/>
            <w:vAlign w:val="center"/>
          </w:tcPr>
          <w:p>
            <w:pPr>
              <w:pStyle w:val="TableContents"/>
              <w:spacing w:before="0" w:after="0"/>
              <w:ind w:left="0" w:right="0" w:hanging="0"/>
              <w:rPr/>
            </w:pPr>
            <w:r>
              <w:rPr/>
              <w:t>​</w:t>
            </w:r>
          </w:p>
        </w:tc>
        <w:tc>
          <w:tcPr>
            <w:tcW w:w="7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13" w:type="dxa"/>
            <w:tcBorders/>
            <w:shd w:fill="auto" w:val="clear"/>
            <w:vAlign w:val="center"/>
          </w:tcPr>
          <w:p>
            <w:pPr>
              <w:pStyle w:val="TableContents"/>
              <w:spacing w:before="0" w:after="0"/>
              <w:ind w:left="0" w:right="0" w:hanging="0"/>
              <w:rPr/>
            </w:pPr>
            <w:r>
              <w:rPr/>
              <w:t>​</w:t>
            </w:r>
          </w:p>
        </w:tc>
        <w:tc>
          <w:tcPr>
            <w:tcW w:w="129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6261"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629"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$0.15 to $0.71</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413" w:type="dxa"/>
            <w:tcBorders/>
            <w:shd w:fill="CCEEFF" w:val="clear"/>
            <w:vAlign w:val="center"/>
          </w:tcPr>
          <w:p>
            <w:pPr>
              <w:pStyle w:val="TableContents"/>
              <w:spacing w:before="0" w:after="0"/>
              <w:ind w:left="0" w:right="0" w:hanging="0"/>
              <w:rPr/>
            </w:pPr>
            <w:r>
              <w:rPr/>
              <w:t>​</w:t>
            </w:r>
          </w:p>
        </w:tc>
        <w:tc>
          <w:tcPr>
            <w:tcW w:w="1294"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$2.15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$2.50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2,126</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2,126</w:t>
            </w:r>
          </w:p>
        </w:tc>
        <w:tc>
          <w:tcPr>
            <w:tcW w:w="413" w:type="dxa"/>
            <w:tcBorders/>
            <w:shd w:fill="CCEEFF" w:val="clear"/>
            <w:vAlign w:val="center"/>
          </w:tcPr>
          <w:p>
            <w:pPr>
              <w:pStyle w:val="TableContents"/>
              <w:spacing w:before="0" w:after="0"/>
              <w:ind w:left="0" w:right="0" w:hanging="0"/>
              <w:rPr/>
            </w:pPr>
            <w:r>
              <w:rPr/>
              <w:t>​</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$2.67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$3.17 </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413" w:type="dxa"/>
            <w:tcBorders/>
            <w:shd w:fill="CCEEFF" w:val="clear"/>
            <w:vAlign w:val="center"/>
          </w:tcPr>
          <w:p>
            <w:pPr>
              <w:pStyle w:val="TableContents"/>
              <w:spacing w:before="0" w:after="0"/>
              <w:ind w:left="0" w:right="0" w:hanging="0"/>
              <w:rPr/>
            </w:pPr>
            <w:r>
              <w:rPr/>
              <w:t>​</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$3.73 </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$4.70 </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413" w:type="dxa"/>
            <w:tcBorders/>
            <w:shd w:fill="CCEEFF" w:val="clear"/>
            <w:vAlign w:val="center"/>
          </w:tcPr>
          <w:p>
            <w:pPr>
              <w:pStyle w:val="TableContents"/>
              <w:spacing w:before="0" w:after="0"/>
              <w:ind w:left="0" w:right="0" w:hanging="0"/>
              <w:rPr/>
            </w:pPr>
            <w:r>
              <w:rPr/>
              <w:t>​</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$18.47 </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$18.96 </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spacing w:before="0" w:after="0"/>
              <w:ind w:left="0" w:right="0" w:hanging="0"/>
              <w:rPr/>
            </w:pPr>
            <w:r>
              <w:rPr/>
              <w:t>​</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413" w:type="dxa"/>
            <w:tcBorders/>
            <w:shd w:fill="CCEEFF" w:val="clear"/>
            <w:vAlign w:val="center"/>
          </w:tcPr>
          <w:p>
            <w:pPr>
              <w:pStyle w:val="TableContents"/>
              <w:spacing w:before="0" w:after="0"/>
              <w:ind w:left="0" w:right="0" w:hanging="0"/>
              <w:rPr/>
            </w:pPr>
            <w:r>
              <w:rPr/>
              <w:t>​</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$19.00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$32.16 </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spacing w:before="0" w:after="0"/>
              <w:ind w:left="0" w:right="0" w:hanging="0"/>
              <w:rPr/>
            </w:pPr>
            <w:r>
              <w:rPr/>
              <w:t>​</w:t>
            </w:r>
          </w:p>
        </w:tc>
        <w:tc>
          <w:tcPr>
            <w:tcW w:w="7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413" w:type="dxa"/>
            <w:tcBorders/>
            <w:shd w:fill="CCEEFF" w:val="clear"/>
            <w:vAlign w:val="center"/>
          </w:tcPr>
          <w:p>
            <w:pPr>
              <w:pStyle w:val="TableContents"/>
              <w:spacing w:before="0" w:after="0"/>
              <w:ind w:left="0" w:right="0" w:hanging="0"/>
              <w:rPr/>
            </w:pPr>
            <w:r>
              <w:rPr/>
              <w:t>​</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7,899</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5,983</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grant date fair value of options is estimated using the Black-Scholes model.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were no options issued under the 2020 Plan during the three months ended March 31, 2023 or 2022. </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At March 31, 2023, $8,755 of unrecognized compensation expense associated with options is expected to be recognized over a weighted average period of approximately 1.8 years.</w:t>
      </w:r>
    </w:p>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three months ended March 31, 2023:</w:t>
      </w:r>
    </w:p>
    <w:p>
      <w:pPr>
        <w:pStyle w:val="TextBody"/>
        <w:spacing w:before="0" w:after="0"/>
        <w:ind w:left="0" w:right="0" w:firstLine="360"/>
        <w:jc w:val="both"/>
        <w:rPr/>
      </w:pPr>
      <w:r>
        <w:rPr/>
        <w:t>​</w:t>
      </w:r>
    </w:p>
    <w:tbl>
      <w:tblPr>
        <w:tblW w:w="5339" w:type="dxa"/>
        <w:jc w:val="left"/>
        <w:tblInd w:w="0" w:type="dxa"/>
        <w:tblCellMar>
          <w:top w:w="0" w:type="dxa"/>
          <w:left w:w="0" w:type="dxa"/>
          <w:bottom w:w="0" w:type="dxa"/>
          <w:right w:w="0" w:type="dxa"/>
        </w:tblCellMar>
      </w:tblPr>
      <w:tblGrid>
        <w:gridCol w:w="2656"/>
        <w:gridCol w:w="326"/>
        <w:gridCol w:w="571"/>
        <w:gridCol w:w="326"/>
        <w:gridCol w:w="351"/>
        <w:gridCol w:w="955"/>
        <w:gridCol w:w="154"/>
      </w:tblGrid>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1" w:type="dxa"/>
            <w:tcBorders/>
            <w:shd w:fill="auto" w:val="clear"/>
            <w:vAlign w:val="center"/>
          </w:tcPr>
          <w:p>
            <w:pPr>
              <w:pStyle w:val="TableContents"/>
              <w:spacing w:before="0" w:after="0"/>
              <w:ind w:left="0" w:right="0" w:hanging="0"/>
              <w:rPr/>
            </w:pPr>
            <w:r>
              <w:rPr/>
              <w:t>​</w:t>
            </w:r>
          </w:p>
        </w:tc>
        <w:tc>
          <w:tcPr>
            <w:tcW w:w="95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351" w:type="dxa"/>
            <w:tcBorders/>
            <w:shd w:fill="auto" w:val="clear"/>
            <w:vAlign w:val="center"/>
          </w:tcPr>
          <w:p>
            <w:pPr>
              <w:pStyle w:val="TableContents"/>
              <w:spacing w:before="0" w:after="0"/>
              <w:ind w:left="0" w:right="0" w:hanging="0"/>
              <w:jc w:val="center"/>
              <w:rPr/>
            </w:pPr>
            <w:r>
              <w:rPr/>
              <w:t>​</w:t>
            </w:r>
          </w:p>
        </w:tc>
        <w:tc>
          <w:tcPr>
            <w:tcW w:w="955"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c>
          <w:tcPr>
            <w:tcW w:w="326" w:type="dxa"/>
            <w:tcBorders/>
            <w:shd w:fill="CCEEFF" w:val="clear"/>
            <w:vAlign w:val="center"/>
          </w:tcPr>
          <w:p>
            <w:pPr>
              <w:pStyle w:val="TableContents"/>
              <w:spacing w:before="0" w:after="0"/>
              <w:ind w:left="0" w:right="0" w:hanging="0"/>
              <w:rPr/>
            </w:pPr>
            <w:r>
              <w:rPr/>
              <w:t>​</w:t>
            </w:r>
          </w:p>
        </w:tc>
        <w:tc>
          <w:tcPr>
            <w:tcW w:w="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c>
          <w:tcPr>
            <w:tcW w:w="154" w:type="dxa"/>
            <w:tcBorders/>
            <w:shd w:fill="CCEEFF"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2,139</w:t>
            </w:r>
          </w:p>
        </w:tc>
        <w:tc>
          <w:tcPr>
            <w:tcW w:w="326" w:type="dxa"/>
            <w:tcBorders/>
            <w:shd w:fill="auto" w:val="clear"/>
            <w:vAlign w:val="center"/>
          </w:tcPr>
          <w:p>
            <w:pPr>
              <w:pStyle w:val="TableContents"/>
              <w:spacing w:before="0" w:after="0"/>
              <w:ind w:left="0" w:right="0" w:hanging="0"/>
              <w:rPr/>
            </w:pPr>
            <w:r>
              <w:rPr/>
              <w:t>​</w:t>
            </w:r>
          </w:p>
        </w:tc>
        <w:tc>
          <w:tcPr>
            <w:tcW w:w="351" w:type="dxa"/>
            <w:tcBorders/>
            <w:shd w:fill="auto" w:val="clear"/>
            <w:vAlign w:val="center"/>
          </w:tcPr>
          <w:p>
            <w:pPr>
              <w:pStyle w:val="TableContents"/>
              <w:spacing w:before="0" w:after="0"/>
              <w:ind w:left="0" w:right="0" w:hanging="0"/>
              <w:jc w:val="center"/>
              <w:rPr/>
            </w:pPr>
            <w:r>
              <w:rPr/>
              <w:t>​</w:t>
            </w:r>
          </w:p>
        </w:tc>
        <w:tc>
          <w:tcPr>
            <w:tcW w:w="9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26" w:type="dxa"/>
            <w:tcBorders/>
            <w:shd w:fill="CCEEFF" w:val="clear"/>
            <w:vAlign w:val="center"/>
          </w:tcPr>
          <w:p>
            <w:pPr>
              <w:pStyle w:val="TableContents"/>
              <w:spacing w:before="0" w:after="0"/>
              <w:ind w:left="0" w:right="0" w:hanging="0"/>
              <w:rPr/>
            </w:pPr>
            <w:r>
              <w:rPr/>
              <w:t>​</w:t>
            </w:r>
          </w:p>
        </w:tc>
        <w:tc>
          <w:tcPr>
            <w:tcW w:w="351" w:type="dxa"/>
            <w:tcBorders/>
            <w:shd w:fill="CCEEFF" w:val="clear"/>
            <w:vAlign w:val="center"/>
          </w:tcPr>
          <w:p>
            <w:pPr>
              <w:pStyle w:val="TableContents"/>
              <w:spacing w:before="0" w:after="0"/>
              <w:ind w:left="0" w:right="0" w:hanging="0"/>
              <w:jc w:val="center"/>
              <w:rPr/>
            </w:pPr>
            <w:r>
              <w:rPr/>
              <w:t>​</w:t>
            </w:r>
          </w:p>
        </w:tc>
        <w:tc>
          <w:tcPr>
            <w:tcW w:w="9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w:t>
            </w:r>
          </w:p>
        </w:tc>
        <w:tc>
          <w:tcPr>
            <w:tcW w:w="154" w:type="dxa"/>
            <w:tcBorders/>
            <w:shd w:fill="CCEEFF"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0"/>
              <w:ind w:left="0" w:right="0" w:hanging="0"/>
              <w:rPr/>
            </w:pPr>
            <w:r>
              <w:rPr/>
              <w:t>​</w:t>
            </w:r>
          </w:p>
        </w:tc>
        <w:tc>
          <w:tcPr>
            <w:tcW w:w="351" w:type="dxa"/>
            <w:tcBorders/>
            <w:shd w:fill="auto" w:val="clear"/>
            <w:vAlign w:val="center"/>
          </w:tcPr>
          <w:p>
            <w:pPr>
              <w:pStyle w:val="TableContents"/>
              <w:spacing w:before="0" w:after="0"/>
              <w:ind w:left="0" w:right="0" w:hanging="0"/>
              <w:jc w:val="center"/>
              <w:rPr/>
            </w:pPr>
            <w:r>
              <w:rPr/>
              <w:t>​</w:t>
            </w:r>
          </w:p>
        </w:tc>
        <w:tc>
          <w:tcPr>
            <w:tcW w:w="9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326" w:type="dxa"/>
            <w:tcBorders/>
            <w:shd w:fill="CCEEFF" w:val="clear"/>
            <w:vAlign w:val="center"/>
          </w:tcPr>
          <w:p>
            <w:pPr>
              <w:pStyle w:val="TableContents"/>
              <w:spacing w:before="0" w:after="0"/>
              <w:ind w:left="0" w:right="0" w:hanging="0"/>
              <w:rPr/>
            </w:pPr>
            <w:r>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c>
          <w:tcPr>
            <w:tcW w:w="326" w:type="dxa"/>
            <w:tcBorders/>
            <w:shd w:fill="CCEEFF" w:val="clear"/>
            <w:vAlign w:val="center"/>
          </w:tcPr>
          <w:p>
            <w:pPr>
              <w:pStyle w:val="TableContents"/>
              <w:spacing w:before="0" w:after="0"/>
              <w:ind w:left="0" w:right="0" w:hanging="0"/>
              <w:rPr/>
            </w:pPr>
            <w:r>
              <w:rPr/>
              <w:t>​</w:t>
            </w:r>
          </w:p>
        </w:tc>
        <w:tc>
          <w:tcPr>
            <w:tcW w:w="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c>
          <w:tcPr>
            <w:tcW w:w="154" w:type="dxa"/>
            <w:tcBorders/>
            <w:shd w:fill="CCEEFF" w:val="clear"/>
            <w:vAlign w:val="center"/>
          </w:tcPr>
          <w:p>
            <w:pPr>
              <w:pStyle w:val="TableContents"/>
              <w:spacing w:before="0" w:after="0"/>
              <w:ind w:left="0" w:right="0" w:hanging="0"/>
              <w:jc w:val="center"/>
              <w:rPr/>
            </w:pPr>
            <w:r>
              <w:rPr/>
              <w:t>​</w:t>
            </w:r>
          </w:p>
        </w:tc>
      </w:tr>
    </w:tbl>
    <w:p>
      <w:pPr>
        <w:pStyle w:val="TextBody"/>
        <w:spacing w:before="0" w:after="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RSUs is measured based on the fair value of the Company’s underlying common stock on the date of grant and is recognized on a straight-line basis in the condensed consolidated statements of comprehensive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RSUs are settled by issuing Class A shares or the equivalent value in cash at the Board’s discretion. At March 31, 2023, $53,653 of unrecognized compensation cost for RSUs is expected to be recognized over a weighted average period of approximately 3.3 years.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Taxamo acquisition, certain continuing employees of Taxamo received RSUs with service and performance conditions (“PSUs”). At March 31, 2023, there are 895 shares of our Class A common stock with an aggregate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bookmarkStart w:id="1266" w:name="Tc_h8bTixQSsESjo--A1jWjqA_7_12"/>
      <w:bookmarkStart w:id="1267" w:name="Tc_ve65t3xylEyX-c_4NcDDdw_7_9"/>
      <w:bookmarkStart w:id="1268" w:name="Tc_OdgYJG_HiE-VMZIFwASgMw_7_6"/>
      <w:bookmarkStart w:id="1269" w:name="Tc_62GQSo0kREm8YPretzRW_g_7_3"/>
      <w:bookmarkStart w:id="1270" w:name="Tc_f-LwGrfgxkiRwiSfSOglVQ_7_0"/>
      <w:bookmarkStart w:id="1271" w:name="Tc_Xilg4pWxrUCIG8IRri2kUg_6_12"/>
      <w:bookmarkStart w:id="1272" w:name="Tc_xJI2Nr8kCEWQWxKoawcrgQ_6_11"/>
      <w:bookmarkStart w:id="1273" w:name="Tc_LP_3_BPiGE-m3gbH1Lz9pg_6_9"/>
      <w:bookmarkStart w:id="1274" w:name="Tc_RSl_6NxOzkqyLtllC7bQYQ_6_8"/>
      <w:bookmarkStart w:id="1275" w:name="Tc_KrWh3zpadUKsbITOtuXeeg_6_6"/>
      <w:bookmarkStart w:id="1276" w:name="Tc_yXMgw9F6pUKblRPP9eB_pw_6_5"/>
      <w:bookmarkStart w:id="1277" w:name="Tc_5UhfMrLWlkaSRjkdv6QulQ_6_3"/>
      <w:bookmarkStart w:id="1278" w:name="Tc_Ikray5f2M0OFtsp4CLibFQ_6_2"/>
      <w:bookmarkStart w:id="1279" w:name="Tc_m0tdLX55w02_gfOhKGJo-A_6_0"/>
      <w:bookmarkStart w:id="1280" w:name="Tc_9v5KThw9nUuBpdIhPJmoZA_5_0"/>
      <w:bookmarkStart w:id="1281" w:name="Tc__sKOoJ6aJ0uZ_iTNGkiWxA_4_12"/>
      <w:bookmarkStart w:id="1282" w:name="Tc_kUvh8xgTkESMNxvdcEK4LQ_4_9"/>
      <w:bookmarkStart w:id="1283" w:name="Tc_e9uPuEDVDEe4Ke6pK8lf8Q_4_6"/>
      <w:bookmarkStart w:id="1284" w:name="Tc_SRxMEp8k90-pDdixKwl65g_4_3"/>
      <w:bookmarkStart w:id="1285" w:name="Tc_bbj2qkLMqUmPUUtfATxsFw_4_0"/>
      <w:bookmarkStart w:id="1286" w:name="Tc_TDvi-t-9TEar4dVwIEcxQw_3_10"/>
      <w:bookmarkStart w:id="1287" w:name="Tc_5LObk5yNFUywTKmq8jSIcw_3_7"/>
      <w:bookmarkStart w:id="1288" w:name="Tc_BUsbhYRSw02iZYrjD4h4ww_3_4"/>
      <w:bookmarkStart w:id="1289" w:name="Tc_VZxLaSHhC0qDafiGT1-n-A_3_1"/>
      <w:bookmarkStart w:id="1290" w:name="Tc_AuwFdrUJm0GsLDvcCL0i6w_3_0"/>
      <w:bookmarkStart w:id="1291" w:name="Tc_32SP_AX1HEGXFSEiK24UKQ_2_10"/>
      <w:bookmarkStart w:id="1292" w:name="Tc_0M04f2wf_0W9ewJ-zvehRg_2_7"/>
      <w:bookmarkStart w:id="1293" w:name="Tc_oNpTm4xhVEGyU7niZcUmNQ_2_4"/>
      <w:bookmarkStart w:id="1294" w:name="Tc_r_G01PV_GUu6xyRTXCWAIQ_2_1"/>
      <w:bookmarkStart w:id="1295" w:name="Tc_SmGEW2P2sEG3kh6DuejZMQ_1_2"/>
      <w:bookmarkStart w:id="1296" w:name="Tc_gCx8CTFR5EmHHquqxOxpWA_7_4"/>
      <w:bookmarkStart w:id="1297" w:name="Tc_oIRN59yWmEOryCWfSTWsMg_7_0"/>
      <w:bookmarkStart w:id="1298" w:name="Tc_IAnAx4cBdkGvcDec6pC6pQ_6_4"/>
      <w:bookmarkStart w:id="1299" w:name="Tc_7EtYhkRShUaqSfsrxVVYBQ_6_0"/>
      <w:bookmarkStart w:id="1300" w:name="Tc_j-3eUxoiikWHXV8IFgkqdQ_5_4"/>
      <w:bookmarkStart w:id="1301" w:name="Tc_FtHcsrhaw0-fHg0BYsfLAg_5_2"/>
      <w:bookmarkStart w:id="1302" w:name="Tc_NNU0DmVNkEKmIceL5LZ0Pg_4_4"/>
      <w:bookmarkStart w:id="1303" w:name="Tc_6r_YBJmiIEuxslvJGCzz1w_3_4"/>
      <w:bookmarkStart w:id="1304" w:name="Tc_TQc8NkSW7Ey5Vd6WL_QNvQ_2_4"/>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r>
        <w:rPr>
          <w:rFonts w:ascii="Times New Roman;Times;serif" w:hAnsi="Times New Roman;Times;serif"/>
          <w:sz w:val="20"/>
        </w:rPr>
        <w:t>grant date fair value of $15,803 that will be accounted for as post-acquisition compensation expense over the vesting period if targets are achieved. The performance-based condition will be satisfied upon meeting certain performance targets for the year ended 2023. As of March 31, 2023, it is not probable that these targets will be met, thus no compensation expense has been recorded to date related to these PSUs.</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Awards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RSA activity for the three months ended March 31, 2023:</w:t>
      </w:r>
    </w:p>
    <w:p>
      <w:pPr>
        <w:pStyle w:val="TextBody"/>
        <w:spacing w:before="0" w:after="0"/>
        <w:ind w:left="0" w:right="0" w:firstLine="360"/>
        <w:jc w:val="both"/>
        <w:rPr/>
      </w:pPr>
      <w:r>
        <w:rPr/>
        <w:t>​</w:t>
      </w:r>
    </w:p>
    <w:tbl>
      <w:tblPr>
        <w:tblW w:w="5032" w:type="dxa"/>
        <w:jc w:val="left"/>
        <w:tblInd w:w="0" w:type="dxa"/>
        <w:tblCellMar>
          <w:top w:w="0" w:type="dxa"/>
          <w:left w:w="0" w:type="dxa"/>
          <w:bottom w:w="0" w:type="dxa"/>
          <w:right w:w="0" w:type="dxa"/>
        </w:tblCellMar>
      </w:tblPr>
      <w:tblGrid>
        <w:gridCol w:w="2656"/>
        <w:gridCol w:w="326"/>
        <w:gridCol w:w="481"/>
        <w:gridCol w:w="109"/>
        <w:gridCol w:w="351"/>
        <w:gridCol w:w="955"/>
        <w:gridCol w:w="154"/>
      </w:tblGrid>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51" w:type="dxa"/>
            <w:tcBorders/>
            <w:shd w:fill="auto" w:val="clear"/>
            <w:vAlign w:val="center"/>
          </w:tcPr>
          <w:p>
            <w:pPr>
              <w:pStyle w:val="TableContents"/>
              <w:spacing w:before="0" w:after="0"/>
              <w:ind w:left="0" w:right="0" w:hanging="0"/>
              <w:rPr/>
            </w:pPr>
            <w:r>
              <w:rPr/>
              <w:t>​</w:t>
            </w:r>
          </w:p>
        </w:tc>
        <w:tc>
          <w:tcPr>
            <w:tcW w:w="955"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351" w:type="dxa"/>
            <w:tcBorders/>
            <w:shd w:fill="auto" w:val="clear"/>
            <w:vAlign w:val="center"/>
          </w:tcPr>
          <w:p>
            <w:pPr>
              <w:pStyle w:val="TableContents"/>
              <w:spacing w:before="0" w:after="0"/>
              <w:ind w:left="0" w:right="0" w:hanging="0"/>
              <w:jc w:val="center"/>
              <w:rPr/>
            </w:pPr>
            <w:r>
              <w:rPr/>
              <w:t>​</w:t>
            </w:r>
          </w:p>
        </w:tc>
        <w:tc>
          <w:tcPr>
            <w:tcW w:w="955"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shd w:fill="auto" w:val="clear"/>
            <w:vAlign w:val="center"/>
          </w:tcPr>
          <w:p>
            <w:pPr>
              <w:pStyle w:val="TableContents"/>
              <w:spacing w:before="0" w:after="0"/>
              <w:ind w:left="0" w:right="0" w:hanging="0"/>
              <w:rPr/>
            </w:pPr>
            <w:r>
              <w:rPr/>
              <w:t>​</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09" w:type="dxa"/>
            <w:tcBorders/>
            <w:shd w:fill="CCEEFF" w:val="clear"/>
            <w:vAlign w:val="center"/>
          </w:tcPr>
          <w:p>
            <w:pPr>
              <w:pStyle w:val="TableContents"/>
              <w:spacing w:before="0" w:after="0"/>
              <w:ind w:left="0" w:right="0" w:hanging="0"/>
              <w:rPr/>
            </w:pPr>
            <w:r>
              <w:rPr/>
              <w:t>​</w:t>
            </w:r>
          </w:p>
        </w:tc>
        <w:tc>
          <w:tcPr>
            <w:tcW w:w="3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54" w:type="dxa"/>
            <w:tcBorders/>
            <w:shd w:fill="CCEEFF"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326" w:type="dxa"/>
            <w:tcBorders/>
            <w:shd w:fill="auto" w:val="clear"/>
            <w:vAlign w:val="center"/>
          </w:tcPr>
          <w:p>
            <w:pPr>
              <w:pStyle w:val="TableContents"/>
              <w:spacing w:before="0" w:after="0"/>
              <w:ind w:left="0" w:right="0" w:hanging="0"/>
              <w:rPr/>
            </w:pPr>
            <w:r>
              <w:rPr/>
              <w:t>​</w:t>
            </w:r>
          </w:p>
        </w:tc>
        <w:tc>
          <w:tcPr>
            <w:tcW w:w="48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09" w:type="dxa"/>
            <w:tcBorders/>
            <w:shd w:fill="auto" w:val="clear"/>
            <w:vAlign w:val="center"/>
          </w:tcPr>
          <w:p>
            <w:pPr>
              <w:pStyle w:val="TableContents"/>
              <w:spacing w:before="0" w:after="0"/>
              <w:ind w:left="0" w:right="0" w:hanging="0"/>
              <w:rPr/>
            </w:pPr>
            <w:r>
              <w:rPr/>
              <w:t>​</w:t>
            </w:r>
          </w:p>
        </w:tc>
        <w:tc>
          <w:tcPr>
            <w:tcW w:w="3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54"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351" w:type="dxa"/>
            <w:tcBorders/>
            <w:shd w:fill="auto" w:val="clear"/>
            <w:vAlign w:val="center"/>
          </w:tcPr>
          <w:p>
            <w:pPr>
              <w:pStyle w:val="TableContents"/>
              <w:spacing w:before="0" w:after="0"/>
              <w:ind w:left="0" w:right="0" w:hanging="0"/>
              <w:jc w:val="center"/>
              <w:rPr/>
            </w:pPr>
            <w:r>
              <w:rPr/>
              <w:t>​</w:t>
            </w:r>
          </w:p>
        </w:tc>
        <w:tc>
          <w:tcPr>
            <w:tcW w:w="955"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RSAs is measured based on the fair value of the Company’s underlying common stock on the date of grant and is recognized on a straight-line basis in the condensed consolidated statements of comprehensive loss over the period during which the participants are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At March 31, 2023, $1,389 of unrecognized compensation cost for RSAs is expected to be recognized over a weighted average period of approximately 0.8 years.</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Employee Stock Purchase 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provides eligible employees with rights during each six-month ESPP offering period to purchase shares of the Company’s Class A common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reflected in accrued salaries and benefits in the condensed consolidated balance sheets until such shares are purchased. Amounts withheld from participants for the offering period ending May 31, 2023 aggregated $937 as of March 31, 2023. As of March 31, 2023, 5,065 shares of Class A common stock were available for issuance under the ESPP.</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2023 there was approximately $131 of unrecognized ESPP stock-based compensation cost expected to be recognized on a straight-line basis over the remaining term of the six-month offering period ending May 31, 2023.</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At March 31, 2023 and 2022, there were two ESPP offering periods open that end May 31, 2023 and 2022, respectively. The fair value of ESPP purchase rights for the offering periods is comprised of the value of the 15% ESPP discount and the value associated with the call or put over the respective ESPP offering period. ESPP offering periods reflected in the March 31, 2023 and 2022 financial statements include the periods noted below in the table. The value of the call or put was estimated using the Black-Scholes model with the following assumptions:</w:t>
      </w:r>
    </w:p>
    <w:p>
      <w:pPr>
        <w:pStyle w:val="TextBody"/>
        <w:spacing w:before="0" w:after="0"/>
        <w:ind w:left="0" w:right="0" w:hanging="0"/>
        <w:rPr/>
      </w:pPr>
      <w:r>
        <w:rPr/>
        <w:t>​</w:t>
      </w:r>
    </w:p>
    <w:tbl>
      <w:tblPr>
        <w:tblW w:w="7715" w:type="dxa"/>
        <w:jc w:val="left"/>
        <w:tblInd w:w="0" w:type="dxa"/>
        <w:tblCellMar>
          <w:top w:w="0" w:type="dxa"/>
          <w:left w:w="0" w:type="dxa"/>
          <w:bottom w:w="0" w:type="dxa"/>
          <w:right w:w="0" w:type="dxa"/>
        </w:tblCellMar>
      </w:tblPr>
      <w:tblGrid>
        <w:gridCol w:w="2971"/>
        <w:gridCol w:w="222"/>
        <w:gridCol w:w="603"/>
        <w:gridCol w:w="316"/>
        <w:gridCol w:w="247"/>
        <w:gridCol w:w="668"/>
        <w:gridCol w:w="271"/>
        <w:gridCol w:w="222"/>
        <w:gridCol w:w="603"/>
        <w:gridCol w:w="316"/>
        <w:gridCol w:w="247"/>
        <w:gridCol w:w="668"/>
        <w:gridCol w:w="361"/>
      </w:tblGrid>
      <w:tr>
        <w:trPr/>
        <w:tc>
          <w:tcPr>
            <w:tcW w:w="2971"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pPr>
            <w:r>
              <w:rPr/>
              <w:t>​</w:t>
            </w:r>
          </w:p>
        </w:tc>
        <w:tc>
          <w:tcPr>
            <w:tcW w:w="603"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247"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w:t>
            </w:r>
          </w:p>
        </w:tc>
        <w:tc>
          <w:tcPr>
            <w:tcW w:w="222" w:type="dxa"/>
            <w:tcBorders/>
            <w:shd w:fill="auto" w:val="clear"/>
            <w:vAlign w:val="center"/>
          </w:tcPr>
          <w:p>
            <w:pPr>
              <w:pStyle w:val="TableContents"/>
              <w:spacing w:before="0" w:after="0"/>
              <w:ind w:left="0" w:right="0" w:hanging="0"/>
              <w:rPr/>
            </w:pPr>
            <w:r>
              <w:rPr/>
              <w:t>​</w:t>
            </w:r>
          </w:p>
        </w:tc>
        <w:tc>
          <w:tcPr>
            <w:tcW w:w="603"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247" w:type="dxa"/>
            <w:tcBorders/>
            <w:shd w:fill="auto" w:val="clear"/>
            <w:vAlign w:val="center"/>
          </w:tcPr>
          <w:p>
            <w:pPr>
              <w:pStyle w:val="TableContents"/>
              <w:spacing w:before="0" w:after="0"/>
              <w:ind w:left="0" w:right="0" w:hanging="0"/>
              <w:rPr/>
            </w:pPr>
            <w:r>
              <w:rPr/>
              <w:t>​</w:t>
            </w:r>
          </w:p>
        </w:tc>
        <w:tc>
          <w:tcPr>
            <w:tcW w:w="668"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522"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 Ending</w:t>
            </w:r>
          </w:p>
        </w:tc>
      </w:tr>
      <w:tr>
        <w:trPr/>
        <w:tc>
          <w:tcPr>
            <w:tcW w:w="2971" w:type="dxa"/>
            <w:tcBorders/>
            <w:shd w:fill="auto" w:val="clear"/>
            <w:vAlign w:val="center"/>
          </w:tcPr>
          <w:p>
            <w:pPr>
              <w:pStyle w:val="TableContents"/>
              <w:spacing w:before="0" w:after="0"/>
              <w:ind w:left="0" w:right="0" w:hanging="0"/>
              <w:rPr/>
            </w:pPr>
            <w:r>
              <w:rPr/>
              <w:t>​</w:t>
            </w:r>
          </w:p>
        </w:tc>
        <w:tc>
          <w:tcPr>
            <w:tcW w:w="8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5/31/2023</w:t>
            </w:r>
          </w:p>
        </w:tc>
        <w:tc>
          <w:tcPr>
            <w:tcW w:w="316" w:type="dxa"/>
            <w:tcBorders/>
            <w:shd w:fill="auto" w:val="clear"/>
            <w:vAlign w:val="center"/>
          </w:tcPr>
          <w:p>
            <w:pPr>
              <w:pStyle w:val="TableContents"/>
              <w:spacing w:before="0" w:after="0"/>
              <w:ind w:left="0" w:right="0" w:hanging="0"/>
              <w:jc w:val="center"/>
              <w:rPr/>
            </w:pPr>
            <w:r>
              <w:rPr/>
              <w:t>​</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11/30/2022</w:t>
            </w:r>
          </w:p>
        </w:tc>
        <w:tc>
          <w:tcPr>
            <w:tcW w:w="271" w:type="dxa"/>
            <w:tcBorders/>
            <w:shd w:fill="auto" w:val="clear"/>
            <w:vAlign w:val="center"/>
          </w:tcPr>
          <w:p>
            <w:pPr>
              <w:pStyle w:val="TableContents"/>
              <w:spacing w:before="0" w:after="0"/>
              <w:ind w:left="0" w:right="0" w:hanging="0"/>
              <w:jc w:val="center"/>
              <w:rPr/>
            </w:pPr>
            <w:r>
              <w:rPr/>
              <w:t>​</w:t>
            </w:r>
          </w:p>
        </w:tc>
        <w:tc>
          <w:tcPr>
            <w:tcW w:w="8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5/31/2022</w:t>
            </w:r>
          </w:p>
        </w:tc>
        <w:tc>
          <w:tcPr>
            <w:tcW w:w="316" w:type="dxa"/>
            <w:tcBorders/>
            <w:shd w:fill="auto" w:val="clear"/>
            <w:vAlign w:val="center"/>
          </w:tcPr>
          <w:p>
            <w:pPr>
              <w:pStyle w:val="TableContents"/>
              <w:spacing w:before="0" w:after="0"/>
              <w:ind w:left="0" w:right="0" w:hanging="0"/>
              <w:jc w:val="center"/>
              <w:rPr/>
            </w:pPr>
            <w:r>
              <w:rPr/>
              <w:t>​</w:t>
            </w:r>
          </w:p>
        </w:tc>
        <w:tc>
          <w:tcPr>
            <w:tcW w:w="9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11/30/2021</w:t>
            </w:r>
          </w:p>
        </w:tc>
        <w:tc>
          <w:tcPr>
            <w:tcW w:w="361" w:type="dxa"/>
            <w:tcBorders/>
            <w:shd w:fill="auto" w:val="clear"/>
            <w:vAlign w:val="center"/>
          </w:tcPr>
          <w:p>
            <w:pPr>
              <w:pStyle w:val="TableContents"/>
              <w:spacing w:before="0" w:after="0"/>
              <w:ind w:left="0" w:right="0" w:hanging="0"/>
              <w:jc w:val="center"/>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market value of common stock</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17.21</w:t>
            </w:r>
          </w:p>
        </w:tc>
        <w:tc>
          <w:tcPr>
            <w:tcW w:w="31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271"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17.38</w:t>
            </w:r>
          </w:p>
        </w:tc>
        <w:tc>
          <w:tcPr>
            <w:tcW w:w="31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61"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Volatility</w:t>
            </w:r>
          </w:p>
        </w:tc>
        <w:tc>
          <w:tcPr>
            <w:tcW w:w="222" w:type="dxa"/>
            <w:tcBorders/>
            <w:shd w:fill="auto" w:val="clear"/>
            <w:vAlign w:val="center"/>
          </w:tcPr>
          <w:p>
            <w:pPr>
              <w:pStyle w:val="TableContents"/>
              <w:spacing w:before="0" w:after="0"/>
              <w:ind w:left="0" w:right="0" w:hanging="0"/>
              <w:rPr/>
            </w:pPr>
            <w:r>
              <w:rPr/>
              <w:t> </w:t>
            </w:r>
          </w:p>
        </w:tc>
        <w:tc>
          <w:tcPr>
            <w:tcW w:w="6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247" w:type="dxa"/>
            <w:tcBorders/>
            <w:shd w:fill="auto" w:val="clear"/>
            <w:vAlign w:val="center"/>
          </w:tcPr>
          <w:p>
            <w:pPr>
              <w:pStyle w:val="TableContents"/>
              <w:spacing w:before="0" w:after="0"/>
              <w:ind w:left="0" w:right="0" w:hanging="0"/>
              <w:rPr/>
            </w:pPr>
            <w:r>
              <w:rPr/>
              <w:t> </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22" w:type="dxa"/>
            <w:tcBorders/>
            <w:shd w:fill="auto" w:val="clear"/>
            <w:vAlign w:val="center"/>
          </w:tcPr>
          <w:p>
            <w:pPr>
              <w:pStyle w:val="TableContents"/>
              <w:spacing w:before="0" w:after="0"/>
              <w:ind w:left="0" w:right="0" w:hanging="0"/>
              <w:rPr/>
            </w:pPr>
            <w:r>
              <w:rPr/>
              <w:t> </w:t>
            </w:r>
          </w:p>
        </w:tc>
        <w:tc>
          <w:tcPr>
            <w:tcW w:w="6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47" w:type="dxa"/>
            <w:tcBorders/>
            <w:shd w:fill="auto" w:val="clear"/>
            <w:vAlign w:val="center"/>
          </w:tcPr>
          <w:p>
            <w:pPr>
              <w:pStyle w:val="TableContents"/>
              <w:spacing w:before="0" w:after="0"/>
              <w:ind w:left="0" w:right="0" w:hanging="0"/>
              <w:rPr/>
            </w:pPr>
            <w:r>
              <w:rPr/>
              <w:t> </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(years)</w:t>
            </w:r>
          </w:p>
        </w:tc>
        <w:tc>
          <w:tcPr>
            <w:tcW w:w="222" w:type="dxa"/>
            <w:tcBorders/>
            <w:shd w:fill="CCEEFF" w:val="clear"/>
            <w:vAlign w:val="center"/>
          </w:tcPr>
          <w:p>
            <w:pPr>
              <w:pStyle w:val="TableContents"/>
              <w:spacing w:before="0" w:after="0"/>
              <w:ind w:left="0" w:right="0" w:hanging="0"/>
              <w:rPr/>
            </w:pPr>
            <w:r>
              <w:rPr/>
              <w:t> </w:t>
            </w:r>
          </w:p>
        </w:tc>
        <w:tc>
          <w:tcPr>
            <w:tcW w:w="6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pPr>
            <w:r>
              <w:rPr/>
              <w:t> </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spacing w:before="0" w:after="0"/>
              <w:ind w:left="0" w:right="0" w:hanging="0"/>
              <w:rPr/>
            </w:pPr>
            <w:r>
              <w:rPr/>
              <w:t>​</w:t>
            </w:r>
          </w:p>
        </w:tc>
        <w:tc>
          <w:tcPr>
            <w:tcW w:w="222" w:type="dxa"/>
            <w:tcBorders/>
            <w:shd w:fill="CCEEFF" w:val="clear"/>
            <w:vAlign w:val="center"/>
          </w:tcPr>
          <w:p>
            <w:pPr>
              <w:pStyle w:val="TableContents"/>
              <w:spacing w:before="0" w:after="0"/>
              <w:ind w:left="0" w:right="0" w:hanging="0"/>
              <w:rPr/>
            </w:pPr>
            <w:r>
              <w:rPr/>
              <w:t> </w:t>
            </w:r>
          </w:p>
        </w:tc>
        <w:tc>
          <w:tcPr>
            <w:tcW w:w="6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spacing w:before="0" w:after="0"/>
              <w:ind w:left="0" w:right="0" w:hanging="0"/>
              <w:rPr/>
            </w:pPr>
            <w:r>
              <w:rPr/>
              <w:t>​</w:t>
            </w:r>
          </w:p>
        </w:tc>
        <w:tc>
          <w:tcPr>
            <w:tcW w:w="247" w:type="dxa"/>
            <w:tcBorders/>
            <w:shd w:fill="CCEEFF" w:val="clear"/>
            <w:vAlign w:val="center"/>
          </w:tcPr>
          <w:p>
            <w:pPr>
              <w:pStyle w:val="TableContents"/>
              <w:spacing w:before="0" w:after="0"/>
              <w:ind w:left="0" w:right="0" w:hanging="0"/>
              <w:rPr/>
            </w:pPr>
            <w:r>
              <w:rPr/>
              <w:t> </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222" w:type="dxa"/>
            <w:tcBorders/>
            <w:shd w:fill="auto" w:val="clear"/>
            <w:vAlign w:val="center"/>
          </w:tcPr>
          <w:p>
            <w:pPr>
              <w:pStyle w:val="TableContents"/>
              <w:spacing w:before="0" w:after="0"/>
              <w:ind w:left="0" w:right="0" w:hanging="0"/>
              <w:rPr/>
            </w:pPr>
            <w:r>
              <w:rPr/>
              <w:t> </w:t>
            </w:r>
          </w:p>
        </w:tc>
        <w:tc>
          <w:tcPr>
            <w:tcW w:w="6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247" w:type="dxa"/>
            <w:tcBorders/>
            <w:shd w:fill="auto" w:val="clear"/>
            <w:vAlign w:val="center"/>
          </w:tcPr>
          <w:p>
            <w:pPr>
              <w:pStyle w:val="TableContents"/>
              <w:spacing w:before="0" w:after="0"/>
              <w:ind w:left="0" w:right="0" w:hanging="0"/>
              <w:rPr/>
            </w:pPr>
            <w:r>
              <w:rPr/>
              <w:t> </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22" w:type="dxa"/>
            <w:tcBorders/>
            <w:shd w:fill="auto" w:val="clear"/>
            <w:vAlign w:val="center"/>
          </w:tcPr>
          <w:p>
            <w:pPr>
              <w:pStyle w:val="TableContents"/>
              <w:spacing w:before="0" w:after="0"/>
              <w:ind w:left="0" w:right="0" w:hanging="0"/>
              <w:rPr/>
            </w:pPr>
            <w:r>
              <w:rPr/>
              <w:t> </w:t>
            </w:r>
          </w:p>
        </w:tc>
        <w:tc>
          <w:tcPr>
            <w:tcW w:w="60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247" w:type="dxa"/>
            <w:tcBorders/>
            <w:shd w:fill="auto" w:val="clear"/>
            <w:vAlign w:val="center"/>
          </w:tcPr>
          <w:p>
            <w:pPr>
              <w:pStyle w:val="TableContents"/>
              <w:spacing w:before="0" w:after="0"/>
              <w:ind w:left="0" w:right="0" w:hanging="0"/>
              <w:rPr/>
            </w:pPr>
            <w:r>
              <w:rPr/>
              <w:t> </w:t>
            </w:r>
          </w:p>
        </w:tc>
        <w:tc>
          <w:tcPr>
            <w:tcW w:w="66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w:t>
            </w:r>
          </w:p>
        </w:tc>
        <w:tc>
          <w:tcPr>
            <w:tcW w:w="222" w:type="dxa"/>
            <w:tcBorders/>
            <w:shd w:fill="CCEEFF" w:val="clear"/>
            <w:vAlign w:val="center"/>
          </w:tcPr>
          <w:p>
            <w:pPr>
              <w:pStyle w:val="TableContents"/>
              <w:spacing w:before="0" w:after="0"/>
              <w:ind w:left="0" w:right="0" w:hanging="0"/>
              <w:rPr/>
            </w:pPr>
            <w:r>
              <w:rPr/>
              <w:t> </w:t>
            </w:r>
          </w:p>
        </w:tc>
        <w:tc>
          <w:tcPr>
            <w:tcW w:w="6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247" w:type="dxa"/>
            <w:tcBorders/>
            <w:shd w:fill="CCEEFF" w:val="clear"/>
            <w:vAlign w:val="center"/>
          </w:tcPr>
          <w:p>
            <w:pPr>
              <w:pStyle w:val="TableContents"/>
              <w:spacing w:before="0" w:after="0"/>
              <w:ind w:left="0" w:right="0" w:hanging="0"/>
              <w:rPr/>
            </w:pPr>
            <w:r>
              <w:rPr/>
              <w:t> </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22" w:type="dxa"/>
            <w:tcBorders/>
            <w:shd w:fill="CCEEFF" w:val="clear"/>
            <w:vAlign w:val="center"/>
          </w:tcPr>
          <w:p>
            <w:pPr>
              <w:pStyle w:val="TableContents"/>
              <w:spacing w:before="0" w:after="0"/>
              <w:ind w:left="0" w:right="0" w:hanging="0"/>
              <w:rPr/>
            </w:pPr>
            <w:r>
              <w:rPr/>
              <w:t> </w:t>
            </w:r>
          </w:p>
        </w:tc>
        <w:tc>
          <w:tcPr>
            <w:tcW w:w="60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47" w:type="dxa"/>
            <w:tcBorders/>
            <w:shd w:fill="CCEEFF" w:val="clear"/>
            <w:vAlign w:val="center"/>
          </w:tcPr>
          <w:p>
            <w:pPr>
              <w:pStyle w:val="TableContents"/>
              <w:spacing w:before="0" w:after="0"/>
              <w:ind w:left="0" w:right="0" w:hanging="0"/>
              <w:rPr/>
            </w:pPr>
            <w:r>
              <w:rPr/>
              <w:t> </w:t>
            </w:r>
          </w:p>
        </w:tc>
        <w:tc>
          <w:tcPr>
            <w:tcW w:w="6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bookmarkStart w:id="1305" w:name="Tc_epFFBW5jDEOQp0fXqtC1pw_10_5"/>
      <w:bookmarkStart w:id="1306" w:name="Tc_acAJXpD_gki9RK-9o8tqyA_10_2"/>
      <w:bookmarkStart w:id="1307" w:name="Tc_nmVr-f62Bk2kFjiaxTIxhg_10_0"/>
      <w:bookmarkStart w:id="1308" w:name="Tc_IKtiBozMX0KMqRd-6Ar29Q_9_0"/>
      <w:bookmarkStart w:id="1309" w:name="Tc_0dtjFX43MkGGXk9k1v5bfg_8_0"/>
      <w:bookmarkStart w:id="1310" w:name="Tc_llvd2-Z_-0mSmiEzIL2l3Q_7_0"/>
      <w:bookmarkStart w:id="1311" w:name="Tc_5ze9QFn9W0a7ximlVZKCSQ_6_0"/>
      <w:bookmarkStart w:id="1312" w:name="Tc_i5Ccv2FxF0qC5avX_pDISw_5_5"/>
      <w:bookmarkStart w:id="1313" w:name="Tc_Q6Z3S7NiSUemCr3epR5iVw_5_2"/>
      <w:bookmarkStart w:id="1314" w:name="Tc_DF8rVH1mAE-0b4mP37b2yg_5_0"/>
      <w:bookmarkStart w:id="1315" w:name="Tc_P1J20Sy0t0mDYzlTJGgXKg_4_0"/>
      <w:bookmarkStart w:id="1316" w:name="Tc_SbvYXBsdj06RGu90l7ggLQ_3_2"/>
      <w:bookmarkStart w:id="1317" w:name="Tc_cfbH9LX-Vk-URuSR_OWtBQ_2_5"/>
      <w:bookmarkStart w:id="1318" w:name="Tc_d097S3eILUmD-aPQRCnS5w_2_2"/>
      <w:bookmarkStart w:id="1319" w:name="Tc_6KzIcbdXsUWEBoITbwoiGQ_1_2"/>
      <w:bookmarkStart w:id="1320" w:name="Tc_5uWJi7G4702SKk-s2Ywpqg_9_5"/>
      <w:bookmarkStart w:id="1321" w:name="Tc_S_rdRT6uN0aOveUzQ5OXFQ_9_2"/>
      <w:bookmarkStart w:id="1322" w:name="Tc_7cqOg4_40kiMsDLlPWmQSw_9_0"/>
      <w:bookmarkStart w:id="1323" w:name="Tc_aLYLYDNzvE6a18LN14fAUw_8_0"/>
      <w:bookmarkStart w:id="1324" w:name="Tc_OHpugRjV30yjRkwmnUJBig_7_0"/>
      <w:bookmarkStart w:id="1325" w:name="Tc_EKa1jH7dW0OjS-zEHWZ2nA_6_0"/>
      <w:bookmarkStart w:id="1326" w:name="Tc_bkhHAJLSj0-F2XtHtsRN6w_5_5"/>
      <w:bookmarkStart w:id="1327" w:name="Tc_pmWHNVN4FkaErFJ-65zgOQ_5_2"/>
      <w:bookmarkStart w:id="1328" w:name="Tc_2HiyDlGIJUqWq9QnLGsTRQ_5_0"/>
      <w:bookmarkStart w:id="1329" w:name="Tc_uxFndIhwmEKuZcZ_H-_B_A_4_0"/>
      <w:bookmarkStart w:id="1330" w:name="Tc_VnVghF7XiUahOnKqbq75ig_3_2"/>
      <w:bookmarkStart w:id="1331" w:name="Tc_3wVi5TxQAEK-v82a-9zKfQ_2_5"/>
      <w:bookmarkStart w:id="1332" w:name="Tc_gKbOKu62_0Cb7ZnAipHsqw_2_2"/>
      <w:bookmarkStart w:id="1333" w:name="Tc_dTz93ynomkyAOPuNZwyzig_1_2"/>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r>
        <w:rPr>
          <w:rFonts w:ascii="Times New Roman;Times;serif" w:hAnsi="Times New Roman;Times;serif"/>
          <w:sz w:val="20"/>
        </w:rPr>
        <w:t>Volatility is representative of expected stock price volatility over the offering period. Effective with the offering period beginning December 1, 2022, the Company’s volatility was applied and will be applied to future offering periods. Prior to this offering period, volatility was based on the historical and implied volatility of comparable publicly traded companies over a similar expected term for the respective offering periods. The expected term represents the term of the ESPP offering period, which is generally six months. The Company does not expect to pay dividends after the Offering. The risk-free interest rate was based on the rate for a U.S. Treasury zero-coupon issue with a term that closely approximates the expected term of the award at the date nearest the offering term.</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b/>
          <w:sz w:val="20"/>
        </w:rPr>
      </w:pPr>
      <w:r>
        <w:rPr>
          <w:rFonts w:ascii="Times New Roman;Times;serif" w:hAnsi="Times New Roman;Times;serif"/>
          <w:b/>
          <w:sz w:val="20"/>
        </w:rPr>
        <w:t>Stock-Based Compensation</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cost related to incentive awards, net of forfeitures, as follows:</w:t>
      </w:r>
    </w:p>
    <w:p>
      <w:pPr>
        <w:pStyle w:val="TextBody"/>
        <w:spacing w:before="0" w:after="0"/>
        <w:ind w:left="0" w:right="0" w:firstLine="360"/>
        <w:jc w:val="both"/>
        <w:rPr/>
      </w:pPr>
      <w:r>
        <w:rPr/>
        <w:t>​</w:t>
      </w:r>
    </w:p>
    <w:tbl>
      <w:tblPr>
        <w:tblW w:w="6543" w:type="dxa"/>
        <w:jc w:val="left"/>
        <w:tblInd w:w="0" w:type="dxa"/>
        <w:tblCellMar>
          <w:top w:w="0" w:type="dxa"/>
          <w:left w:w="0" w:type="dxa"/>
          <w:bottom w:w="0" w:type="dxa"/>
          <w:right w:w="0" w:type="dxa"/>
        </w:tblCellMar>
      </w:tblPr>
      <w:tblGrid>
        <w:gridCol w:w="3451"/>
        <w:gridCol w:w="109"/>
        <w:gridCol w:w="308"/>
        <w:gridCol w:w="989"/>
        <w:gridCol w:w="477"/>
        <w:gridCol w:w="308"/>
        <w:gridCol w:w="901"/>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1385" cy="175260"/>
                      <wp:effectExtent l="0" t="0" r="0" b="0"/>
                      <wp:wrapNone/>
                      <wp:docPr id="231" name="Frame231"/>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95580" cy="175260"/>
                      <wp:effectExtent l="0" t="0" r="0" b="0"/>
                      <wp:wrapNone/>
                      <wp:docPr id="233" name="Frame233"/>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28015" cy="175260"/>
                      <wp:effectExtent l="0" t="0" r="0" b="0"/>
                      <wp:wrapNone/>
                      <wp:docPr id="234" name="Frame234"/>
                      <a:graphic xmlns:a="http://schemas.openxmlformats.org/drawingml/2006/main">
                        <a:graphicData uri="http://schemas.microsoft.com/office/word/2010/wordprocessingShape">
                          <wps:wsp>
                            <wps:cNvSpPr txBox="1"/>
                            <wps:spPr>
                              <a:xfrm>
                                <a:off x="0" y="0"/>
                                <a:ext cx="628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02895" cy="175260"/>
                      <wp:effectExtent l="0" t="0" r="0" b="0"/>
                      <wp:wrapNone/>
                      <wp:docPr id="235" name="Frame235"/>
                      <a:graphic xmlns:a="http://schemas.openxmlformats.org/drawingml/2006/main">
                        <a:graphicData uri="http://schemas.microsoft.com/office/word/2010/wordprocessingShape">
                          <wps:wsp>
                            <wps:cNvSpPr txBox="1"/>
                            <wps:spPr>
                              <a:xfrm>
                                <a:off x="0" y="0"/>
                                <a:ext cx="302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95580" cy="175260"/>
                      <wp:effectExtent l="0" t="0" r="0" b="0"/>
                      <wp:wrapNone/>
                      <wp:docPr id="236" name="Frame236"/>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72135" cy="175260"/>
                      <wp:effectExtent l="0" t="0" r="0" b="0"/>
                      <wp:wrapNone/>
                      <wp:docPr id="237" name="Frame23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8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7" w:type="dxa"/>
            <w:tcBorders/>
            <w:shd w:fill="auto" w:val="clear"/>
            <w:vAlign w:val="center"/>
          </w:tcPr>
          <w:p>
            <w:pPr>
              <w:pStyle w:val="TableContents"/>
              <w:spacing w:before="0" w:after="0"/>
              <w:ind w:left="0" w:right="0" w:hanging="0"/>
              <w:rPr/>
            </w:pPr>
            <w:r>
              <w:rPr/>
              <w:t>    </w:t>
            </w:r>
          </w:p>
        </w:tc>
        <w:tc>
          <w:tcPr>
            <w:tcW w:w="12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54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8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w:t>
            </w:r>
          </w:p>
        </w:tc>
        <w:tc>
          <w:tcPr>
            <w:tcW w:w="989" w:type="dxa"/>
            <w:tcBorders/>
            <w:shd w:fill="CCEEFF" w:val="clear"/>
            <w:vAlign w:val="center"/>
          </w:tcPr>
          <w:p>
            <w:pPr>
              <w:pStyle w:val="TableContents"/>
              <w:spacing w:before="0" w:after="0"/>
              <w:ind w:left="0" w:right="0" w:hanging="0"/>
              <w:rPr/>
            </w:pPr>
            <w:r>
              <w:rPr/>
              <w:t>​</w:t>
            </w:r>
          </w:p>
        </w:tc>
        <w:tc>
          <w:tcPr>
            <w:tcW w:w="477"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109"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2,171</w:t>
            </w:r>
          </w:p>
        </w:tc>
        <w:tc>
          <w:tcPr>
            <w:tcW w:w="477"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2,281</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w:t>
            </w:r>
          </w:p>
        </w:tc>
        <w:tc>
          <w:tcPr>
            <w:tcW w:w="109"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98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8,345</w:t>
            </w:r>
          </w:p>
        </w:tc>
        <w:tc>
          <w:tcPr>
            <w:tcW w:w="477"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RSAs</w:t>
            </w:r>
          </w:p>
        </w:tc>
        <w:tc>
          <w:tcPr>
            <w:tcW w:w="109"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98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c>
          <w:tcPr>
            <w:tcW w:w="477"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ESPP</w:t>
            </w:r>
          </w:p>
        </w:tc>
        <w:tc>
          <w:tcPr>
            <w:tcW w:w="109" w:type="dxa"/>
            <w:tcBorders/>
            <w:shd w:fill="CCEEFF" w:val="clear"/>
            <w:vAlign w:val="center"/>
          </w:tcPr>
          <w:p>
            <w:pPr>
              <w:pStyle w:val="TableContents"/>
              <w:spacing w:before="0" w:after="0"/>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8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477" w:type="dxa"/>
            <w:tcBorders/>
            <w:shd w:fill="CCEEFF" w:val="clear"/>
            <w:vAlign w:val="center"/>
          </w:tcPr>
          <w:p>
            <w:pPr>
              <w:pStyle w:val="TableContents"/>
              <w:spacing w:before="0" w:after="0"/>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auto" w:val="clear"/>
            <w:vAlign w:val="center"/>
          </w:tcPr>
          <w:p>
            <w:pPr>
              <w:pStyle w:val="TableContents"/>
              <w:spacing w:before="0" w:after="0"/>
              <w:ind w:left="0" w:right="0" w:hanging="0"/>
              <w:rPr/>
            </w:pPr>
            <w:r>
              <w:rPr/>
              <w:t>​</w:t>
            </w:r>
          </w:p>
        </w:tc>
        <w:tc>
          <w:tcPr>
            <w:tcW w:w="30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11,434</w:t>
            </w:r>
          </w:p>
        </w:tc>
        <w:tc>
          <w:tcPr>
            <w:tcW w:w="477" w:type="dxa"/>
            <w:tcBorders/>
            <w:shd w:fill="auto" w:val="clear"/>
            <w:vAlign w:val="center"/>
          </w:tcPr>
          <w:p>
            <w:pPr>
              <w:pStyle w:val="TableContents"/>
              <w:spacing w:before="0" w:after="0"/>
              <w:ind w:left="0" w:right="0" w:hanging="0"/>
              <w:rPr/>
            </w:pPr>
            <w:r>
              <w:rPr/>
              <w:t>​</w:t>
            </w:r>
          </w:p>
        </w:tc>
        <w:tc>
          <w:tcPr>
            <w:tcW w:w="30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4,933</w:t>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989" w:type="dxa"/>
            <w:tcBorders/>
            <w:shd w:fill="auto" w:val="clear"/>
            <w:vAlign w:val="center"/>
          </w:tcPr>
          <w:p>
            <w:pPr>
              <w:pStyle w:val="TableContents"/>
              <w:spacing w:before="0" w:after="0"/>
              <w:ind w:left="0" w:right="0" w:hanging="0"/>
              <w:rPr/>
            </w:pPr>
            <w:r>
              <w:rPr/>
              <w:t>​</w:t>
            </w:r>
          </w:p>
        </w:tc>
        <w:tc>
          <w:tcPr>
            <w:tcW w:w="477"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recognized stock-based compensation cost in the condensed consolidated statements of comprehensive loss as follows: </w:t>
      </w:r>
    </w:p>
    <w:p>
      <w:pPr>
        <w:pStyle w:val="TextBody"/>
        <w:spacing w:before="0" w:after="0"/>
        <w:ind w:left="0" w:right="0" w:firstLine="360"/>
        <w:jc w:val="both"/>
        <w:rPr/>
      </w:pPr>
      <w:r>
        <w:rPr/>
        <w:t>​</w:t>
      </w:r>
    </w:p>
    <w:tbl>
      <w:tblPr>
        <w:tblW w:w="6543" w:type="dxa"/>
        <w:jc w:val="left"/>
        <w:tblInd w:w="0" w:type="dxa"/>
        <w:tblCellMar>
          <w:top w:w="0" w:type="dxa"/>
          <w:left w:w="0" w:type="dxa"/>
          <w:bottom w:w="0" w:type="dxa"/>
          <w:right w:w="0" w:type="dxa"/>
        </w:tblCellMar>
      </w:tblPr>
      <w:tblGrid>
        <w:gridCol w:w="3451"/>
        <w:gridCol w:w="109"/>
        <w:gridCol w:w="298"/>
        <w:gridCol w:w="956"/>
        <w:gridCol w:w="461"/>
        <w:gridCol w:w="298"/>
        <w:gridCol w:w="970"/>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1385" cy="175260"/>
                      <wp:effectExtent l="0" t="0" r="0" b="0"/>
                      <wp:wrapNone/>
                      <wp:docPr id="238" name="Frame238"/>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9230" cy="175260"/>
                      <wp:effectExtent l="0" t="0" r="0" b="0"/>
                      <wp:wrapNone/>
                      <wp:docPr id="240" name="Frame240"/>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07060" cy="175260"/>
                      <wp:effectExtent l="0" t="0" r="0" b="0"/>
                      <wp:wrapNone/>
                      <wp:docPr id="241" name="Frame241"/>
                      <a:graphic xmlns:a="http://schemas.openxmlformats.org/drawingml/2006/main">
                        <a:graphicData uri="http://schemas.microsoft.com/office/word/2010/wordprocessingShape">
                          <wps:wsp>
                            <wps:cNvSpPr txBox="1"/>
                            <wps:spPr>
                              <a:xfrm>
                                <a:off x="0" y="0"/>
                                <a:ext cx="60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92735" cy="175260"/>
                      <wp:effectExtent l="0" t="0" r="0" b="0"/>
                      <wp:wrapNone/>
                      <wp:docPr id="242" name="Frame242"/>
                      <a:graphic xmlns:a="http://schemas.openxmlformats.org/drawingml/2006/main">
                        <a:graphicData uri="http://schemas.microsoft.com/office/word/2010/wordprocessingShape">
                          <wps:wsp>
                            <wps:cNvSpPr txBox="1"/>
                            <wps:spPr>
                              <a:xfrm>
                                <a:off x="0" y="0"/>
                                <a:ext cx="29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9230" cy="175260"/>
                      <wp:effectExtent l="0" t="0" r="0" b="0"/>
                      <wp:wrapNone/>
                      <wp:docPr id="243" name="Frame243"/>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15950" cy="175260"/>
                      <wp:effectExtent l="0" t="0" r="0" b="0"/>
                      <wp:wrapNone/>
                      <wp:docPr id="244" name="Frame244"/>
                      <a:graphic xmlns:a="http://schemas.openxmlformats.org/drawingml/2006/main">
                        <a:graphicData uri="http://schemas.microsoft.com/office/word/2010/wordprocessingShape">
                          <wps:wsp>
                            <wps:cNvSpPr txBox="1"/>
                            <wps:spPr>
                              <a:xfrm>
                                <a:off x="0" y="0"/>
                                <a:ext cx="615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8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1" w:type="dxa"/>
            <w:tcBorders/>
            <w:shd w:fill="auto" w:val="clear"/>
            <w:vAlign w:val="center"/>
          </w:tcPr>
          <w:p>
            <w:pPr>
              <w:pStyle w:val="TableContents"/>
              <w:spacing w:before="0" w:after="0"/>
              <w:ind w:left="0" w:right="0" w:hanging="0"/>
              <w:rPr/>
            </w:pPr>
            <w:r>
              <w:rPr/>
              <w:t>    </w:t>
            </w:r>
          </w:p>
        </w:tc>
        <w:tc>
          <w:tcPr>
            <w:tcW w:w="126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543"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98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jc w:val="center"/>
              <w:rPr/>
            </w:pPr>
            <w:r>
              <w:rPr/>
              <w:t>​</w:t>
            </w:r>
          </w:p>
        </w:tc>
        <w:tc>
          <w:tcPr>
            <w:tcW w:w="956" w:type="dxa"/>
            <w:tcBorders/>
            <w:shd w:fill="CCEEFF" w:val="clear"/>
            <w:vAlign w:val="center"/>
          </w:tcPr>
          <w:p>
            <w:pPr>
              <w:pStyle w:val="TableContents"/>
              <w:spacing w:before="0" w:after="0"/>
              <w:ind w:left="0" w:right="0" w:hanging="0"/>
              <w:jc w:val="center"/>
              <w:rPr/>
            </w:pPr>
            <w:r>
              <w:rPr/>
              <w:t>​</w:t>
            </w:r>
          </w:p>
        </w:tc>
        <w:tc>
          <w:tcPr>
            <w:tcW w:w="461" w:type="dxa"/>
            <w:tcBorders/>
            <w:shd w:fill="CCEEFF" w:val="clear"/>
            <w:vAlign w:val="center"/>
          </w:tcPr>
          <w:p>
            <w:pPr>
              <w:pStyle w:val="TableContents"/>
              <w:spacing w:before="0" w:after="0"/>
              <w:ind w:left="0" w:right="0" w:hanging="0"/>
              <w:jc w:val="center"/>
              <w:rPr/>
            </w:pPr>
            <w:r>
              <w:rPr/>
              <w:t>​</w:t>
            </w:r>
          </w:p>
        </w:tc>
        <w:tc>
          <w:tcPr>
            <w:tcW w:w="298" w:type="dxa"/>
            <w:tcBorders/>
            <w:shd w:fill="CCEEFF" w:val="clear"/>
            <w:vAlign w:val="center"/>
          </w:tcPr>
          <w:p>
            <w:pPr>
              <w:pStyle w:val="TableContents"/>
              <w:spacing w:before="0" w:after="0"/>
              <w:ind w:left="0" w:right="0" w:hanging="0"/>
              <w:jc w:val="center"/>
              <w:rPr/>
            </w:pPr>
            <w:r>
              <w:rPr/>
              <w:t>​</w:t>
            </w:r>
          </w:p>
        </w:tc>
        <w:tc>
          <w:tcPr>
            <w:tcW w:w="970" w:type="dxa"/>
            <w:tcBorders/>
            <w:shd w:fill="CCEEFF" w:val="clear"/>
            <w:vAlign w:val="center"/>
          </w:tcPr>
          <w:p>
            <w:pPr>
              <w:pStyle w:val="TableContents"/>
              <w:spacing w:before="0" w:after="0"/>
              <w:ind w:left="0" w:right="0" w:hanging="0"/>
              <w:jc w:val="center"/>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software subscriptions</w:t>
            </w:r>
          </w:p>
        </w:tc>
        <w:tc>
          <w:tcPr>
            <w:tcW w:w="109"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461"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services</w:t>
            </w:r>
          </w:p>
        </w:tc>
        <w:tc>
          <w:tcPr>
            <w:tcW w:w="109"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461"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 </w:t>
            </w:r>
          </w:p>
        </w:tc>
        <w:tc>
          <w:tcPr>
            <w:tcW w:w="9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461" w:type="dxa"/>
            <w:tcBorders/>
            <w:shd w:fill="auto" w:val="clear"/>
            <w:vAlign w:val="center"/>
          </w:tcPr>
          <w:p>
            <w:pPr>
              <w:pStyle w:val="TableContents"/>
              <w:spacing w:before="0" w:after="0"/>
              <w:ind w:left="0" w:right="0" w:hanging="0"/>
              <w:rPr/>
            </w:pPr>
            <w:r>
              <w:rPr/>
              <w:t>​</w:t>
            </w:r>
          </w:p>
        </w:tc>
        <w:tc>
          <w:tcPr>
            <w:tcW w:w="298" w:type="dxa"/>
            <w:tcBorders/>
            <w:shd w:fill="auto" w:val="clear"/>
            <w:vAlign w:val="center"/>
          </w:tcPr>
          <w:p>
            <w:pPr>
              <w:pStyle w:val="TableContents"/>
              <w:spacing w:before="0" w:after="0"/>
              <w:ind w:left="0" w:right="0" w:hanging="0"/>
              <w:rPr/>
            </w:pPr>
            <w:r>
              <w:rPr/>
              <w:t> </w:t>
            </w:r>
          </w:p>
        </w:tc>
        <w:tc>
          <w:tcPr>
            <w:tcW w:w="97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109"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2,898</w:t>
            </w:r>
          </w:p>
        </w:tc>
        <w:tc>
          <w:tcPr>
            <w:tcW w:w="461" w:type="dxa"/>
            <w:tcBorders/>
            <w:shd w:fill="CCEEFF" w:val="clear"/>
            <w:vAlign w:val="center"/>
          </w:tcPr>
          <w:p>
            <w:pPr>
              <w:pStyle w:val="TableContents"/>
              <w:spacing w:before="0" w:after="0"/>
              <w:ind w:left="0" w:right="0" w:hanging="0"/>
              <w:rPr/>
            </w:pPr>
            <w:r>
              <w:rPr/>
              <w:t>​</w:t>
            </w:r>
          </w:p>
        </w:tc>
        <w:tc>
          <w:tcPr>
            <w:tcW w:w="298" w:type="dxa"/>
            <w:tcBorders/>
            <w:shd w:fill="CCEEFF" w:val="clear"/>
            <w:vAlign w:val="center"/>
          </w:tcPr>
          <w:p>
            <w:pPr>
              <w:pStyle w:val="TableContents"/>
              <w:spacing w:before="0" w:after="0"/>
              <w:ind w:left="0" w:right="0" w:hanging="0"/>
              <w:rPr/>
            </w:pPr>
            <w:r>
              <w:rPr/>
              <w:t> </w:t>
            </w:r>
          </w:p>
        </w:tc>
        <w:tc>
          <w:tcPr>
            <w:tcW w:w="97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1,572</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auto" w:val="clear"/>
            <w:vAlign w:val="center"/>
          </w:tcPr>
          <w:p>
            <w:pPr>
              <w:pStyle w:val="TableContents"/>
              <w:spacing w:before="0" w:after="0"/>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4,470</w:t>
            </w:r>
          </w:p>
        </w:tc>
        <w:tc>
          <w:tcPr>
            <w:tcW w:w="461" w:type="dxa"/>
            <w:tcBorders/>
            <w:shd w:fill="auto" w:val="clear"/>
            <w:vAlign w:val="center"/>
          </w:tcPr>
          <w:p>
            <w:pPr>
              <w:pStyle w:val="TableContents"/>
              <w:spacing w:before="0" w:after="0"/>
              <w:ind w:left="0" w:right="0" w:hanging="0"/>
              <w:rPr/>
            </w:pPr>
            <w:r>
              <w:rPr/>
              <w:t>​</w:t>
            </w:r>
          </w:p>
        </w:tc>
        <w:tc>
          <w:tcPr>
            <w:tcW w:w="29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2,395</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spacing w:before="0" w:after="0"/>
              <w:ind w:left="0" w:right="0" w:hanging="0"/>
              <w:rPr/>
            </w:pPr>
            <w:r>
              <w:rPr/>
              <w:t>​</w:t>
            </w:r>
          </w:p>
        </w:tc>
        <w:tc>
          <w:tcPr>
            <w:tcW w:w="29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11,434</w:t>
            </w:r>
          </w:p>
        </w:tc>
        <w:tc>
          <w:tcPr>
            <w:tcW w:w="461" w:type="dxa"/>
            <w:tcBorders/>
            <w:shd w:fill="CCEEFF" w:val="clear"/>
            <w:vAlign w:val="center"/>
          </w:tcPr>
          <w:p>
            <w:pPr>
              <w:pStyle w:val="TableContents"/>
              <w:spacing w:before="0" w:after="0"/>
              <w:ind w:left="0" w:right="0" w:hanging="0"/>
              <w:rPr/>
            </w:pPr>
            <w:r>
              <w:rPr/>
              <w:t>​</w:t>
            </w:r>
          </w:p>
        </w:tc>
        <w:tc>
          <w:tcPr>
            <w:tcW w:w="29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4,933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11.   COMMITMENTS AND CONTINGENCIES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12.   INCOME TAXES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reported income tax expense of $9,553 and $808 for the three months ended March 31, 2023, and 2022, respectively. The effective income tax rate ("ETR") was an expense of 111.4% for the three months ended March 31, 2023,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CellMar>
          <w:top w:w="0" w:type="dxa"/>
          <w:left w:w="0" w:type="dxa"/>
          <w:bottom w:w="0" w:type="dxa"/>
          <w:right w:w="0" w:type="dxa"/>
        </w:tblCellMar>
      </w:tblPr>
      <w:tblGrid>
        <w:gridCol w:w="6646"/>
      </w:tblGrid>
      <w:tr>
        <w:trPr/>
        <w:tc>
          <w:tcPr>
            <w:tcW w:w="6646" w:type="dxa"/>
            <w:tcBorders/>
            <w:shd w:fill="auto" w:val="clear"/>
            <w:vAlign w:val="center"/>
          </w:tcPr>
          <w:p>
            <w:pPr>
              <w:pStyle w:val="TableContents"/>
              <w:spacing w:before="0" w:after="0"/>
              <w:ind w:left="0" w:right="0" w:hanging="0"/>
              <w:rPr/>
            </w:pPr>
            <w:r>
              <w:rPr/>
              <w:t>​</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compared to an expense of 170.5% for the three months ended March 31, 2022.  The ETR for the three months ended March 31, 2023 and 2022 differ from the U.S. federal statutory income tax rate of 21% primarily due to income tax expense on income allocated to state jurisdictions, differences in tax rates on foreign jurisdiction income or loss, and limitations on deductions of certain employees’ compensation under Internal Revenue Code Section 162(m).  In addition, the ETR for March 31, 2023 includes a valuation allowance recorded on certain foreign deferred tax assets.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Normal"/>
        <w:spacing w:before="0" w:after="0"/>
        <w:rPr>
          <w:sz w:val="4"/>
          <w:szCs w:val="4"/>
        </w:rPr>
      </w:pPr>
      <w:r>
        <w:rPr>
          <w:sz w:val="4"/>
          <w:szCs w:val="4"/>
        </w:rPr>
      </w:r>
      <w:bookmarkStart w:id="1334" w:name="Item2MANAGEMENTSDISCUSSIONANDANALYSIS_19"/>
      <w:bookmarkStart w:id="1335" w:name="_9e48099e_4d40_4819_9767_65c64bf9db09"/>
      <w:bookmarkStart w:id="1336" w:name="Item2MANAGEMENTSDISCUSSIONANDANALYSIS_19"/>
      <w:bookmarkStart w:id="1337" w:name="_9e48099e_4d40_4819_9767_65c64bf9db09"/>
      <w:bookmarkEnd w:id="1336"/>
      <w:bookmarkEnd w:id="1337"/>
    </w:p>
    <w:tbl>
      <w:tblPr>
        <w:tblW w:w="10205" w:type="dxa"/>
        <w:jc w:val="left"/>
        <w:tblInd w:w="0" w:type="dxa"/>
        <w:tblCellMar>
          <w:top w:w="0" w:type="dxa"/>
          <w:left w:w="0" w:type="dxa"/>
          <w:bottom w:w="0" w:type="dxa"/>
          <w:right w:w="0" w:type="dxa"/>
        </w:tblCellMar>
      </w:tblPr>
      <w:tblGrid>
        <w:gridCol w:w="693"/>
        <w:gridCol w:w="9512"/>
      </w:tblGrid>
      <w:tr>
        <w:trPr/>
        <w:tc>
          <w:tcPr>
            <w:tcW w:w="693"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2.</w:t>
            </w:r>
          </w:p>
        </w:tc>
        <w:tc>
          <w:tcPr>
            <w:tcW w:w="9512"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b/>
                <w:sz w:val="20"/>
              </w:rPr>
              <w:t>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tc>
      </w:tr>
    </w:tbl>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March 10, 2023 (the “2022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2022 Annual Report and as may be subsequently updated by our other SEC filings.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1,400 professionals and serves companies across the globe.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43% and 39% of software subscription revenue from cloud-based subscriptions during the three months ended March 31, 2023 and 2022, respectively. While our on-premise software subscription revenue comprised 57% and 61% of our software subscription revenues during the three months ended March 31, 2023 and 2022, respectively, it continues to decrease as a percentage of total software subscriptions revenues as cloud-based subscriptions grow.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partner ecosystem is a differentiating, competitive strength in both our software development and our sales and marketing activities. We integrate with key technology partners that span Enterprise Resource Planning (“ERP”), Customer Relationship Management (“CRM”), procurement, billing, Point of Sale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 of $132.8 million and $115.0 million for the three months ended March 31, 2023 and 2022, respectively. We had a net loss of $(18.1) million and $(0.3) million for the three months ended March 31, 2023 and 2022, respectively. These amounts are presented in accordance with United States (“ U.S.”) generally accepted accounting principles (“GAAP”).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loss or income before interest, taxes, depreciation, and amortization, as adjusted to exclude charges for asset impairments, stock-based compensation expense, severance expense, acquisition contingent consideration, litigation settlements, and transaction costs (which includes offering costs related to the sale of shares of certain of our Class B shareholders which are not representative of normal business operations). Adjusted EBITDA was $20.2 million and $19.1 million for the three months ended March 31, 2023 and 2022,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software subscriptions and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Software Subscriptions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remaining estimated period of benefit to the customer.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expenses consist primarily of personnel and related expenses in support of sales and marketing efforts. These costs include salaries, benefits, bonuses and stock-based compensation. In addition, selling expense includes costs related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 </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our general and administrative expenses to increase in absolute dollars as we continue to expand our operations, hire additional personnel, integrate current and future acquisitions, invest in our systems and tools to support improvements in future operating leverage, and incur additional costs associated with being a publicly-listed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(Income) Expense,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(income) expense, net reflects the net amount of our interest expense and interest income within the same period.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consists primarily of interest incurred related to borrowings,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and amortization of the discount on deferred purchase consideration associated with the LCR-Dixon Corporation (“LCR-Dixon”) acquisition will be recorded as interest expense.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reflects earnings on investments of our cash on hand, our investment securities, and on our funds held for customers related to our managed outsourcing services. Interest income will vary as a result of fluctuations in the future level of funds available for investment and the rate of return available in the market on such funds.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Income Tax Expense (Benefit)</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primarily of federal,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carryforwards, applicable tax rates, and transfer pricing methodologies. Judgments and estimates related to our projections and assumptions are inherently uncertain; therefore, actual results could materially differ from our projections.</w:t>
      </w:r>
    </w:p>
    <w:p>
      <w:pPr>
        <w:pStyle w:val="TextBody"/>
        <w:spacing w:before="0" w:after="0"/>
        <w:ind w:left="0" w:right="0" w:firstLine="360"/>
        <w:jc w:val="both"/>
        <w:rPr/>
      </w:pPr>
      <w:r>
        <w:rPr/>
        <w:t>​</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2022 Annual Report. The period-to-period comparison of financial results is not necessarily indicative of financial results to be achieved in future periods. The following table sets forth our condensed consolidated statements of comprehensive loss for the periods indicated.  </w:t>
      </w:r>
    </w:p>
    <w:tbl>
      <w:tblPr>
        <w:tblW w:w="10205" w:type="dxa"/>
        <w:jc w:val="left"/>
        <w:tblInd w:w="0" w:type="dxa"/>
        <w:tblCellMar>
          <w:top w:w="0" w:type="dxa"/>
          <w:left w:w="0" w:type="dxa"/>
          <w:bottom w:w="0" w:type="dxa"/>
          <w:right w:w="0" w:type="dxa"/>
        </w:tblCellMar>
      </w:tblPr>
      <w:tblGrid>
        <w:gridCol w:w="4985"/>
        <w:gridCol w:w="326"/>
        <w:gridCol w:w="211"/>
        <w:gridCol w:w="793"/>
        <w:gridCol w:w="326"/>
        <w:gridCol w:w="211"/>
        <w:gridCol w:w="781"/>
        <w:gridCol w:w="146"/>
        <w:gridCol w:w="257"/>
        <w:gridCol w:w="964"/>
        <w:gridCol w:w="178"/>
        <w:gridCol w:w="707"/>
        <w:gridCol w:w="320"/>
      </w:tblGrid>
      <w:tr>
        <w:trPr/>
        <w:tc>
          <w:tcPr>
            <w:tcW w:w="49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165475" cy="175260"/>
                      <wp:effectExtent l="0" t="0" r="0" b="0"/>
                      <wp:wrapNone/>
                      <wp:docPr id="245" name="Frame245"/>
                      <a:graphic xmlns:a="http://schemas.openxmlformats.org/drawingml/2006/main">
                        <a:graphicData uri="http://schemas.microsoft.com/office/word/2010/wordprocessingShape">
                          <wps:wsp>
                            <wps:cNvSpPr txBox="1"/>
                            <wps:spPr>
                              <a:xfrm>
                                <a:off x="0" y="0"/>
                                <a:ext cx="31654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03555" cy="175260"/>
                      <wp:effectExtent l="0" t="0" r="0" b="0"/>
                      <wp:wrapNone/>
                      <wp:docPr id="248" name="Frame248"/>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95935" cy="175260"/>
                      <wp:effectExtent l="0" t="0" r="0" b="0"/>
                      <wp:wrapNone/>
                      <wp:docPr id="251" name="Frame2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92710" cy="175260"/>
                      <wp:effectExtent l="0" t="0" r="0" b="0"/>
                      <wp:wrapNone/>
                      <wp:docPr id="252" name="Frame25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3195" cy="175260"/>
                      <wp:effectExtent l="0" t="0" r="0" b="0"/>
                      <wp:wrapNone/>
                      <wp:docPr id="253" name="Frame253"/>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12140" cy="175260"/>
                      <wp:effectExtent l="0" t="0" r="0" b="0"/>
                      <wp:wrapNone/>
                      <wp:docPr id="254" name="Frame254"/>
                      <a:graphic xmlns:a="http://schemas.openxmlformats.org/drawingml/2006/main">
                        <a:graphicData uri="http://schemas.microsoft.com/office/word/2010/wordprocessingShape">
                          <wps:wsp>
                            <wps:cNvSpPr txBox="1"/>
                            <wps:spPr>
                              <a:xfrm>
                                <a:off x="0" y="0"/>
                                <a:ext cx="612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13030" cy="175260"/>
                      <wp:effectExtent l="0" t="0" r="0" b="0"/>
                      <wp:wrapNone/>
                      <wp:docPr id="255" name="Frame255"/>
                      <a:graphic xmlns:a="http://schemas.openxmlformats.org/drawingml/2006/main">
                        <a:graphicData uri="http://schemas.microsoft.com/office/word/2010/wordprocessingShape">
                          <wps:wsp>
                            <wps:cNvSpPr txBox="1"/>
                            <wps:spPr>
                              <a:xfrm>
                                <a:off x="0" y="0"/>
                                <a:ext cx="1130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48945" cy="175260"/>
                      <wp:effectExtent l="0" t="0" r="0" b="0"/>
                      <wp:wrapNone/>
                      <wp:docPr id="256" name="Frame256"/>
                      <a:graphic xmlns:a="http://schemas.openxmlformats.org/drawingml/2006/main">
                        <a:graphicData uri="http://schemas.microsoft.com/office/word/2010/wordprocessingShape">
                          <wps:wsp>
                            <wps:cNvSpPr txBox="1"/>
                            <wps:spPr>
                              <a:xfrm>
                                <a:off x="0" y="0"/>
                                <a:ext cx="448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3200" cy="175260"/>
                      <wp:effectExtent l="0" t="0" r="0" b="0"/>
                      <wp:wrapNone/>
                      <wp:docPr id="257" name="Frame257"/>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2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jc w:val="center"/>
              <w:rPr/>
            </w:pPr>
            <w:r>
              <w:rPr/>
              <w:t>​</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jc w:val="center"/>
              <w:rPr/>
            </w:pPr>
            <w:r>
              <w:rPr/>
              <w:t>​</w:t>
            </w:r>
          </w:p>
        </w:tc>
      </w:tr>
      <w:tr>
        <w:trPr/>
        <w:tc>
          <w:tcPr>
            <w:tcW w:w="49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2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jc w:val="center"/>
              <w:rPr/>
            </w:pPr>
            <w:r>
              <w:rPr/>
              <w:t>​</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jc w:val="center"/>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0"/>
              <w:ind w:left="0" w:right="0" w:hanging="0"/>
              <w:rPr/>
            </w:pPr>
            <w:r>
              <w:rPr/>
              <w:t>​</w:t>
            </w:r>
          </w:p>
        </w:tc>
        <w:tc>
          <w:tcPr>
            <w:tcW w:w="210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320" w:type="dxa"/>
            <w:tcBorders/>
            <w:shd w:fill="auto" w:val="clear"/>
            <w:vAlign w:val="center"/>
          </w:tcPr>
          <w:p>
            <w:pPr>
              <w:pStyle w:val="TableContents"/>
              <w:spacing w:before="0" w:after="0"/>
              <w:ind w:left="0" w:right="0" w:hanging="0"/>
              <w:jc w:val="center"/>
              <w:rPr/>
            </w:pPr>
            <w:r>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64" w:type="dxa"/>
            <w:tcBorders/>
            <w:shd w:fill="CCEEFF" w:val="clear"/>
            <w:vAlign w:val="center"/>
          </w:tcPr>
          <w:p>
            <w:pPr>
              <w:pStyle w:val="TableContents"/>
              <w:spacing w:before="0" w:after="0"/>
              <w:ind w:left="0" w:right="0" w:hanging="0"/>
              <w:jc w:val="right"/>
              <w:rPr/>
            </w:pPr>
            <w:r>
              <w:rPr/>
              <w:t>​</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pPr>
            <w:r>
              <w:rPr/>
              <w:t>​</w:t>
            </w:r>
          </w:p>
        </w:tc>
        <w:tc>
          <w:tcPr>
            <w:tcW w:w="320" w:type="dxa"/>
            <w:tcBorders/>
            <w:shd w:fill="CCEEFF" w:val="clear"/>
            <w:vAlign w:val="center"/>
          </w:tcPr>
          <w:p>
            <w:pPr>
              <w:pStyle w:val="TableContents"/>
              <w:spacing w:before="0" w:after="0"/>
              <w:ind w:left="0" w:right="0" w:hanging="0"/>
              <w:jc w:val="right"/>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111,014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97,131</w:t>
            </w:r>
          </w:p>
        </w:tc>
        <w:tc>
          <w:tcPr>
            <w:tcW w:w="146" w:type="dxa"/>
            <w:tcBorders/>
            <w:shd w:fill="auto" w:val="clear"/>
            <w:vAlign w:val="center"/>
          </w:tcPr>
          <w:p>
            <w:pPr>
              <w:pStyle w:val="TableContents"/>
              <w:spacing w:before="0" w:after="0"/>
              <w:ind w:left="0" w:right="0" w:hanging="0"/>
              <w:rPr/>
            </w:pPr>
            <w:r>
              <w:rPr/>
              <w:t> </w:t>
            </w:r>
          </w:p>
        </w:tc>
        <w:tc>
          <w:tcPr>
            <w:tcW w:w="2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13,883</w:t>
            </w:r>
          </w:p>
        </w:tc>
        <w:tc>
          <w:tcPr>
            <w:tcW w:w="178"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17,853</w:t>
            </w:r>
          </w:p>
        </w:tc>
        <w:tc>
          <w:tcPr>
            <w:tcW w:w="146"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132,751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114,984</w:t>
            </w:r>
          </w:p>
        </w:tc>
        <w:tc>
          <w:tcPr>
            <w:tcW w:w="14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17,767</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64" w:type="dxa"/>
            <w:tcBorders/>
            <w:shd w:fill="CCEEFF" w:val="clear"/>
            <w:vAlign w:val="center"/>
          </w:tcPr>
          <w:p>
            <w:pPr>
              <w:pStyle w:val="TableContents"/>
              <w:spacing w:before="0" w:after="0"/>
              <w:ind w:left="0" w:right="0" w:hanging="0"/>
              <w:jc w:val="right"/>
              <w:rPr/>
            </w:pPr>
            <w:r>
              <w:rPr/>
              <w:t>​</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pPr>
            <w:r>
              <w:rPr/>
              <w:t>​</w:t>
            </w:r>
          </w:p>
        </w:tc>
        <w:tc>
          <w:tcPr>
            <w:tcW w:w="320" w:type="dxa"/>
            <w:tcBorders/>
            <w:shd w:fill="CCEEFF"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32,913</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4,490</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11,953</w:t>
            </w:r>
          </w:p>
        </w:tc>
        <w:tc>
          <w:tcPr>
            <w:tcW w:w="146"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51,747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44,866</w:t>
            </w:r>
          </w:p>
        </w:tc>
        <w:tc>
          <w:tcPr>
            <w:tcW w:w="14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81,004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70,118</w:t>
            </w:r>
          </w:p>
        </w:tc>
        <w:tc>
          <w:tcPr>
            <w:tcW w:w="146"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10,886</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jc w:val="right"/>
              <w:rPr/>
            </w:pPr>
            <w:r>
              <w:rPr/>
              <w:t>​</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20" w:type="dxa"/>
            <w:tcBorders/>
            <w:shd w:fill="auto" w:val="clear"/>
            <w:vAlign w:val="center"/>
          </w:tcPr>
          <w:p>
            <w:pPr>
              <w:pStyle w:val="TableContents"/>
              <w:spacing w:before="0" w:after="0"/>
              <w:ind w:left="0" w:right="0" w:hanging="0"/>
              <w:rPr/>
            </w:pPr>
            <w:r>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9,633</w:t>
            </w:r>
          </w:p>
        </w:tc>
        <w:tc>
          <w:tcPr>
            <w:tcW w:w="14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6,229</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27,452</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28,757</w:t>
            </w:r>
          </w:p>
        </w:tc>
        <w:tc>
          <w:tcPr>
            <w:tcW w:w="14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5,553</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146"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89,933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69,650</w:t>
            </w:r>
          </w:p>
        </w:tc>
        <w:tc>
          <w:tcPr>
            <w:tcW w:w="14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20,283</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4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(9,397)</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CCEEFF"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4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auto" w:val="clear"/>
            <w:vAlign w:val="center"/>
          </w:tcPr>
          <w:p>
            <w:pPr>
              <w:pStyle w:val="TableContents"/>
              <w:spacing w:before="0" w:after="0"/>
              <w:ind w:left="0" w:right="0" w:hanging="0"/>
              <w:rPr/>
            </w:pPr>
            <w:r>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(8,579)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14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(9,053)</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CCEEFF"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expense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14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8,745</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auto" w:val="clear"/>
            <w:vAlign w:val="center"/>
          </w:tcPr>
          <w:p>
            <w:pPr>
              <w:pStyle w:val="TableContents"/>
              <w:spacing w:before="0" w:after="0"/>
              <w:ind w:left="0" w:right="0" w:hanging="0"/>
              <w:rPr/>
            </w:pPr>
            <w:r>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146"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(17,798)</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CCEEFF"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jc w:val="right"/>
              <w:rPr/>
            </w:pPr>
            <w:r>
              <w:rPr/>
              <w:t>​</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20" w:type="dxa"/>
            <w:tcBorders/>
            <w:shd w:fill="auto" w:val="clear"/>
            <w:vAlign w:val="center"/>
          </w:tcPr>
          <w:p>
            <w:pPr>
              <w:pStyle w:val="TableContents"/>
              <w:spacing w:before="0" w:after="0"/>
              <w:ind w:left="0" w:right="0" w:hanging="0"/>
              <w:rPr/>
            </w:pPr>
            <w:r>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 and revaluations, net of tax</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2,049</w:t>
            </w:r>
          </w:p>
        </w:tc>
        <w:tc>
          <w:tcPr>
            <w:tcW w:w="14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pPr>
            <w:r>
              <w:rPr/>
              <w:t>​</w:t>
            </w:r>
          </w:p>
        </w:tc>
        <w:tc>
          <w:tcPr>
            <w:tcW w:w="9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(5,171)</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CCEEFF"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on investments, net of tax</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auto" w:val="clear"/>
            <w:vAlign w:val="center"/>
          </w:tcPr>
          <w:p>
            <w:pPr>
              <w:pStyle w:val="TableContents"/>
              <w:spacing w:before="0" w:after="0"/>
              <w:ind w:left="0" w:right="0" w:hanging="0"/>
              <w:rPr/>
            </w:pPr>
            <w:r>
              <w:rPr/>
              <w:t>​</w:t>
            </w:r>
          </w:p>
        </w:tc>
      </w:tr>
      <w:tr>
        <w:trPr/>
        <w:tc>
          <w:tcPr>
            <w:tcW w:w="498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comprehensive (income) loss, net of tax</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2,049</w:t>
            </w:r>
          </w:p>
        </w:tc>
        <w:tc>
          <w:tcPr>
            <w:tcW w:w="146" w:type="dxa"/>
            <w:tcBorders/>
            <w:shd w:fill="CCEEFF" w:val="clear"/>
            <w:vAlign w:val="center"/>
          </w:tcPr>
          <w:p>
            <w:pPr>
              <w:pStyle w:val="TableContents"/>
              <w:spacing w:before="0" w:after="0"/>
              <w:ind w:left="0" w:right="0" w:hanging="0"/>
              <w:rPr/>
            </w:pPr>
            <w:r>
              <w:rPr/>
              <w:t>​</w:t>
            </w:r>
          </w:p>
        </w:tc>
        <w:tc>
          <w:tcPr>
            <w:tcW w:w="25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(5,184)</w:t>
            </w:r>
          </w:p>
        </w:tc>
        <w:tc>
          <w:tcPr>
            <w:tcW w:w="178" w:type="dxa"/>
            <w:tcBorders/>
            <w:shd w:fill="CCEEFF" w:val="clear"/>
            <w:vAlign w:val="center"/>
          </w:tcPr>
          <w:p>
            <w:pPr>
              <w:pStyle w:val="TableContents"/>
              <w:spacing w:before="0" w:after="0"/>
              <w:ind w:left="0" w:right="0" w:hanging="0"/>
              <w:rPr/>
            </w:pPr>
            <w:r>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CCEEFF"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(14,997)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(2,383)</w:t>
            </w:r>
          </w:p>
        </w:tc>
        <w:tc>
          <w:tcPr>
            <w:tcW w:w="146" w:type="dxa"/>
            <w:tcBorders/>
            <w:shd w:fill="auto" w:val="clear"/>
            <w:vAlign w:val="center"/>
          </w:tcPr>
          <w:p>
            <w:pPr>
              <w:pStyle w:val="TableContents"/>
              <w:spacing w:before="0" w:after="0"/>
              <w:ind w:left="0" w:right="0" w:hanging="0"/>
              <w:rPr/>
            </w:pPr>
            <w:r>
              <w:rPr/>
              <w:t>​</w:t>
            </w:r>
          </w:p>
        </w:tc>
        <w:tc>
          <w:tcPr>
            <w:tcW w:w="25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(12,614)</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0" w:type="dxa"/>
            <w:tcBorders/>
            <w:shd w:fill="auto"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93"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8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5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64"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20" w:type="dxa"/>
            <w:tcBorders/>
            <w:shd w:fill="auto" w:val="clear"/>
            <w:vAlign w:val="center"/>
          </w:tcPr>
          <w:p>
            <w:pPr>
              <w:pStyle w:val="TableContents"/>
              <w:spacing w:before="0" w:after="0"/>
              <w:ind w:left="0" w:right="0" w:hanging="0"/>
              <w:rPr/>
            </w:pPr>
            <w:r>
              <w:rPr/>
              <w:t>​</w:t>
            </w:r>
          </w:p>
        </w:tc>
      </w:tr>
      <w:tr>
        <w:trPr/>
        <w:tc>
          <w:tcPr>
            <w:tcW w:w="498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Percentage change not meaningful.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964" w:type="dxa"/>
            <w:tcBorders/>
            <w:shd w:fill="auto" w:val="clear"/>
            <w:vAlign w:val="center"/>
          </w:tcPr>
          <w:p>
            <w:pPr>
              <w:pStyle w:val="TableContents"/>
              <w:spacing w:before="0" w:after="0"/>
              <w:ind w:left="0" w:right="0" w:hanging="0"/>
              <w:rPr/>
            </w:pPr>
            <w:r>
              <w:rPr/>
              <w:t>​</w:t>
            </w:r>
          </w:p>
        </w:tc>
        <w:tc>
          <w:tcPr>
            <w:tcW w:w="178"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20"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pBdr/>
        <w:spacing w:before="0" w:after="0"/>
        <w:ind w:left="0" w:right="0" w:hanging="36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5640" w:type="dxa"/>
        <w:jc w:val="left"/>
        <w:tblInd w:w="0" w:type="dxa"/>
        <w:tblCellMar>
          <w:top w:w="0" w:type="dxa"/>
          <w:left w:w="0" w:type="dxa"/>
          <w:bottom w:w="0" w:type="dxa"/>
          <w:right w:w="0" w:type="dxa"/>
        </w:tblCellMar>
      </w:tblPr>
      <w:tblGrid>
        <w:gridCol w:w="3451"/>
        <w:gridCol w:w="219"/>
        <w:gridCol w:w="701"/>
        <w:gridCol w:w="338"/>
        <w:gridCol w:w="219"/>
        <w:gridCol w:w="712"/>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1385" cy="175260"/>
                      <wp:effectExtent l="0" t="0" r="0" b="0"/>
                      <wp:wrapNone/>
                      <wp:docPr id="258" name="Frame258"/>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9065" cy="175260"/>
                      <wp:effectExtent l="0" t="0" r="0" b="0"/>
                      <wp:wrapNone/>
                      <wp:docPr id="259" name="Frame259"/>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45135" cy="175260"/>
                      <wp:effectExtent l="0" t="0" r="0" b="0"/>
                      <wp:wrapNone/>
                      <wp:docPr id="260" name="Frame260"/>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4630" cy="175260"/>
                      <wp:effectExtent l="0" t="0" r="0" b="0"/>
                      <wp:wrapNone/>
                      <wp:docPr id="261" name="Frame261"/>
                      <a:graphic xmlns:a="http://schemas.openxmlformats.org/drawingml/2006/main">
                        <a:graphicData uri="http://schemas.microsoft.com/office/word/2010/wordprocessingShape">
                          <wps:wsp>
                            <wps:cNvSpPr txBox="1"/>
                            <wps:spPr>
                              <a:xfrm>
                                <a:off x="0" y="0"/>
                                <a:ext cx="214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9065" cy="175260"/>
                      <wp:effectExtent l="0" t="0" r="0" b="0"/>
                      <wp:wrapNone/>
                      <wp:docPr id="262" name="Frame262"/>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52120" cy="175260"/>
                      <wp:effectExtent l="0" t="0" r="0" b="0"/>
                      <wp:wrapNone/>
                      <wp:docPr id="263" name="Frame263"/>
                      <a:graphic xmlns:a="http://schemas.openxmlformats.org/drawingml/2006/main">
                        <a:graphicData uri="http://schemas.microsoft.com/office/word/2010/wordprocessingShape">
                          <wps:wsp>
                            <wps:cNvSpPr txBox="1"/>
                            <wps:spPr>
                              <a:xfrm>
                                <a:off x="0" y="0"/>
                                <a:ext cx="452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218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451" w:type="dxa"/>
            <w:tcBorders/>
            <w:shd w:fill="auto" w:val="clear"/>
            <w:vAlign w:val="center"/>
          </w:tcPr>
          <w:p>
            <w:pPr>
              <w:pStyle w:val="TableContents"/>
              <w:spacing w:before="0" w:after="0"/>
              <w:ind w:left="0" w:right="0" w:hanging="0"/>
              <w:rPr/>
            </w:pPr>
            <w:r>
              <w:rPr/>
              <w:t>​</w:t>
            </w:r>
          </w:p>
        </w:tc>
        <w:tc>
          <w:tcPr>
            <w:tcW w:w="218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9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8" w:type="dxa"/>
            <w:tcBorders/>
            <w:shd w:fill="auto" w:val="clear"/>
            <w:vAlign w:val="center"/>
          </w:tcPr>
          <w:p>
            <w:pPr>
              <w:pStyle w:val="TableContents"/>
              <w:spacing w:before="0" w:after="0"/>
              <w:ind w:left="0" w:right="0" w:hanging="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40" w:type="dxa"/>
            <w:gridSpan w:val="6"/>
            <w:tcBorders/>
            <w:shd w:fill="auto" w:val="clear"/>
            <w:vAlign w:val="center"/>
          </w:tcPr>
          <w:p>
            <w:pPr>
              <w:pStyle w:val="TableContents"/>
              <w:spacing w:before="0" w:after="283"/>
              <w:ind w:left="0" w:right="0" w:hanging="0"/>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rPr/>
            </w:pPr>
            <w:r>
              <w:rPr/>
              <w:t>​</w:t>
            </w:r>
          </w:p>
        </w:tc>
        <w:tc>
          <w:tcPr>
            <w:tcW w:w="218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Stock-based compensation expense:</w:t>
            </w:r>
          </w:p>
        </w:tc>
        <w:tc>
          <w:tcPr>
            <w:tcW w:w="219" w:type="dxa"/>
            <w:tcBorders/>
            <w:shd w:fill="CCEEFF" w:val="clear"/>
            <w:vAlign w:val="center"/>
          </w:tcPr>
          <w:p>
            <w:pPr>
              <w:pStyle w:val="TableContents"/>
              <w:spacing w:before="0" w:after="0"/>
              <w:ind w:left="0" w:right="0" w:hanging="0"/>
              <w:rPr/>
            </w:pPr>
            <w:r>
              <w:rPr/>
              <w:t>​</w:t>
            </w:r>
          </w:p>
        </w:tc>
        <w:tc>
          <w:tcPr>
            <w:tcW w:w="701" w:type="dxa"/>
            <w:tcBorders/>
            <w:shd w:fill="CCEEFF" w:val="clear"/>
            <w:vAlign w:val="center"/>
          </w:tcPr>
          <w:p>
            <w:pPr>
              <w:pStyle w:val="TableContents"/>
              <w:spacing w:before="0" w:after="0"/>
              <w:ind w:left="0" w:right="0" w:hanging="0"/>
              <w:rPr/>
            </w:pPr>
            <w:r>
              <w:rPr/>
              <w:t>​</w:t>
            </w:r>
          </w:p>
        </w:tc>
        <w:tc>
          <w:tcPr>
            <w:tcW w:w="338"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w:t>
            </w:r>
          </w:p>
        </w:tc>
        <w:tc>
          <w:tcPr>
            <w:tcW w:w="712"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software subscriptions</w:t>
            </w:r>
          </w:p>
        </w:tc>
        <w:tc>
          <w:tcPr>
            <w:tcW w:w="2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c>
          <w:tcPr>
            <w:tcW w:w="338"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services</w:t>
            </w:r>
          </w:p>
        </w:tc>
        <w:tc>
          <w:tcPr>
            <w:tcW w:w="219"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38"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19"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38"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71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219"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2,898</w:t>
            </w:r>
          </w:p>
        </w:tc>
        <w:tc>
          <w:tcPr>
            <w:tcW w:w="338"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7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1,572</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4,470</w:t>
            </w:r>
          </w:p>
        </w:tc>
        <w:tc>
          <w:tcPr>
            <w:tcW w:w="338" w:type="dxa"/>
            <w:tcBorders/>
            <w:shd w:fill="auto" w:val="clear"/>
            <w:vAlign w:val="center"/>
          </w:tcPr>
          <w:p>
            <w:pPr>
              <w:pStyle w:val="TableContents"/>
              <w:spacing w:before="0" w:after="0"/>
              <w:ind w:left="0" w:right="0" w:hanging="0"/>
              <w:rPr/>
            </w:pPr>
            <w:r>
              <w:rPr/>
              <w:t>​</w:t>
            </w:r>
          </w:p>
        </w:tc>
        <w:tc>
          <w:tcPr>
            <w:tcW w:w="21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2,395</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11,434</w:t>
            </w:r>
          </w:p>
        </w:tc>
        <w:tc>
          <w:tcPr>
            <w:tcW w:w="338" w:type="dxa"/>
            <w:tcBorders/>
            <w:shd w:fill="CCEEFF" w:val="clear"/>
            <w:vAlign w:val="center"/>
          </w:tcPr>
          <w:p>
            <w:pPr>
              <w:pStyle w:val="TableContents"/>
              <w:spacing w:before="0" w:after="0"/>
              <w:ind w:left="0" w:right="0" w:hanging="0"/>
              <w:rPr/>
            </w:pPr>
            <w:r>
              <w:rPr/>
              <w:t>​</w:t>
            </w:r>
          </w:p>
        </w:tc>
        <w:tc>
          <w:tcPr>
            <w:tcW w:w="21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4,933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p>
      <w:pPr>
        <w:pStyle w:val="TextBody"/>
        <w:spacing w:before="0" w:after="0"/>
        <w:ind w:left="0" w:right="0" w:hanging="0"/>
        <w:rPr/>
      </w:pPr>
      <w:r>
        <w:rPr/>
        <w:t>​</w:t>
      </w:r>
    </w:p>
    <w:tbl>
      <w:tblPr>
        <w:tblW w:w="9467" w:type="dxa"/>
        <w:jc w:val="left"/>
        <w:tblInd w:w="0" w:type="dxa"/>
        <w:tblCellMar>
          <w:top w:w="0" w:type="dxa"/>
          <w:left w:w="0" w:type="dxa"/>
          <w:bottom w:w="0" w:type="dxa"/>
          <w:right w:w="0" w:type="dxa"/>
        </w:tblCellMar>
      </w:tblPr>
      <w:tblGrid>
        <w:gridCol w:w="5686"/>
        <w:gridCol w:w="326"/>
        <w:gridCol w:w="1135"/>
        <w:gridCol w:w="699"/>
        <w:gridCol w:w="1106"/>
        <w:gridCol w:w="361"/>
        <w:gridCol w:w="154"/>
      </w:tblGrid>
      <w:tr>
        <w:trPr/>
        <w:tc>
          <w:tcPr>
            <w:tcW w:w="5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610610" cy="175260"/>
                      <wp:effectExtent l="0" t="0" r="0" b="0"/>
                      <wp:wrapNone/>
                      <wp:docPr id="264" name="Frame264"/>
                      <a:graphic xmlns:a="http://schemas.openxmlformats.org/drawingml/2006/main">
                        <a:graphicData uri="http://schemas.microsoft.com/office/word/2010/wordprocessingShape">
                          <wps:wsp>
                            <wps:cNvSpPr txBox="1"/>
                            <wps:spPr>
                              <a:xfrm>
                                <a:off x="0" y="0"/>
                                <a:ext cx="3610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20725" cy="175260"/>
                      <wp:effectExtent l="0" t="0" r="0" b="0"/>
                      <wp:wrapNone/>
                      <wp:docPr id="266" name="Frame266"/>
                      <a:graphic xmlns:a="http://schemas.openxmlformats.org/drawingml/2006/main">
                        <a:graphicData uri="http://schemas.microsoft.com/office/word/2010/wordprocessingShape">
                          <wps:wsp>
                            <wps:cNvSpPr txBox="1"/>
                            <wps:spPr>
                              <a:xfrm>
                                <a:off x="0" y="0"/>
                                <a:ext cx="720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43865" cy="175260"/>
                      <wp:effectExtent l="0" t="0" r="0" b="0"/>
                      <wp:wrapNone/>
                      <wp:docPr id="267" name="Frame267"/>
                      <a:graphic xmlns:a="http://schemas.openxmlformats.org/drawingml/2006/main">
                        <a:graphicData uri="http://schemas.microsoft.com/office/word/2010/wordprocessingShape">
                          <wps:wsp>
                            <wps:cNvSpPr txBox="1"/>
                            <wps:spPr>
                              <a:xfrm>
                                <a:off x="0" y="0"/>
                                <a:ext cx="443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02310" cy="175260"/>
                      <wp:effectExtent l="0" t="0" r="0" b="0"/>
                      <wp:wrapNone/>
                      <wp:docPr id="268" name="Frame268"/>
                      <a:graphic xmlns:a="http://schemas.openxmlformats.org/drawingml/2006/main">
                        <a:graphicData uri="http://schemas.microsoft.com/office/word/2010/wordprocessingShape">
                          <wps:wsp>
                            <wps:cNvSpPr txBox="1"/>
                            <wps:spPr>
                              <a:xfrm>
                                <a:off x="0" y="0"/>
                                <a:ext cx="70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9235" cy="175260"/>
                      <wp:effectExtent l="0" t="0" r="0" b="0"/>
                      <wp:wrapNone/>
                      <wp:docPr id="269" name="Frame26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7790" cy="175260"/>
                      <wp:effectExtent l="0" t="0" r="0" b="0"/>
                      <wp:wrapNone/>
                      <wp:docPr id="270" name="Frame270"/>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4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99" w:type="dxa"/>
            <w:tcBorders/>
            <w:shd w:fill="auto" w:val="clear"/>
            <w:vAlign w:val="center"/>
          </w:tcPr>
          <w:p>
            <w:pPr>
              <w:pStyle w:val="TableContents"/>
              <w:spacing w:before="0" w:after="0"/>
              <w:ind w:left="0" w:right="0" w:hanging="0"/>
              <w:rPr/>
            </w:pPr>
            <w:r>
              <w:rPr/>
              <w:t>    </w:t>
            </w:r>
          </w:p>
        </w:tc>
        <w:tc>
          <w:tcPr>
            <w:tcW w:w="11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946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56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40"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1"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auto" w:val="clear"/>
            <w:vAlign w:val="center"/>
          </w:tcPr>
          <w:p>
            <w:pPr>
              <w:pStyle w:val="TableContents"/>
              <w:spacing w:before="0" w:after="0"/>
              <w:ind w:left="0" w:right="0" w:hanging="0"/>
              <w:rPr/>
            </w:pPr>
            <w:r>
              <w:rPr/>
              <w:t> </w:t>
            </w:r>
          </w:p>
        </w:tc>
        <w:tc>
          <w:tcPr>
            <w:tcW w:w="1135" w:type="dxa"/>
            <w:tcBorders/>
            <w:shd w:fill="auto" w:val="clear"/>
            <w:vAlign w:val="center"/>
          </w:tcPr>
          <w:p>
            <w:pPr>
              <w:pStyle w:val="TableContents"/>
              <w:spacing w:before="0" w:after="0"/>
              <w:ind w:left="0" w:right="0" w:hanging="0"/>
              <w:jc w:val="right"/>
              <w:rPr/>
            </w:pPr>
            <w:r>
              <w:rPr/>
              <w:t>  </w:t>
            </w:r>
          </w:p>
        </w:tc>
        <w:tc>
          <w:tcPr>
            <w:tcW w:w="699" w:type="dxa"/>
            <w:tcBorders/>
            <w:shd w:fill="auto" w:val="clear"/>
            <w:vAlign w:val="center"/>
          </w:tcPr>
          <w:p>
            <w:pPr>
              <w:pStyle w:val="TableContents"/>
              <w:spacing w:before="0" w:after="0"/>
              <w:ind w:left="0" w:right="0" w:hanging="0"/>
              <w:rPr/>
            </w:pPr>
            <w:r>
              <w:rPr/>
              <w:t> </w:t>
            </w:r>
          </w:p>
        </w:tc>
        <w:tc>
          <w:tcPr>
            <w:tcW w:w="110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spacing w:before="0" w:after="0"/>
              <w:ind w:left="0" w:right="0" w:hanging="0"/>
              <w:rPr/>
            </w:pPr>
            <w:r>
              <w:rPr/>
              <w:t> </w:t>
            </w:r>
          </w:p>
        </w:tc>
        <w:tc>
          <w:tcPr>
            <w:tcW w:w="11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auto" w:val="clear"/>
            <w:vAlign w:val="center"/>
          </w:tcPr>
          <w:p>
            <w:pPr>
              <w:pStyle w:val="TableContents"/>
              <w:spacing w:before="0" w:after="0"/>
              <w:ind w:left="0" w:right="0" w:hanging="0"/>
              <w:rPr/>
            </w:pPr>
            <w:r>
              <w:rPr/>
              <w:t> </w:t>
            </w:r>
          </w:p>
        </w:tc>
        <w:tc>
          <w:tcPr>
            <w:tcW w:w="11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0"/>
              <w:ind w:left="0" w:right="0" w:hanging="0"/>
              <w:rPr/>
            </w:pPr>
            <w:r>
              <w:rPr/>
              <w:t> </w:t>
            </w:r>
          </w:p>
        </w:tc>
        <w:tc>
          <w:tcPr>
            <w:tcW w:w="11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auto" w:val="clear"/>
            <w:vAlign w:val="center"/>
          </w:tcPr>
          <w:p>
            <w:pPr>
              <w:pStyle w:val="TableContents"/>
              <w:spacing w:before="0" w:after="0"/>
              <w:ind w:left="0" w:right="0" w:hanging="0"/>
              <w:rPr/>
            </w:pPr>
            <w:r>
              <w:rPr/>
              <w:t> </w:t>
            </w:r>
          </w:p>
        </w:tc>
        <w:tc>
          <w:tcPr>
            <w:tcW w:w="1135" w:type="dxa"/>
            <w:tcBorders/>
            <w:shd w:fill="auto" w:val="clear"/>
            <w:vAlign w:val="center"/>
          </w:tcPr>
          <w:p>
            <w:pPr>
              <w:pStyle w:val="TableContents"/>
              <w:spacing w:before="0" w:after="0"/>
              <w:ind w:left="0" w:right="0" w:hanging="0"/>
              <w:jc w:val="right"/>
              <w:rPr/>
            </w:pPr>
            <w:r>
              <w:rPr/>
              <w:t>  </w:t>
            </w:r>
          </w:p>
        </w:tc>
        <w:tc>
          <w:tcPr>
            <w:tcW w:w="699" w:type="dxa"/>
            <w:tcBorders/>
            <w:shd w:fill="auto" w:val="clear"/>
            <w:vAlign w:val="center"/>
          </w:tcPr>
          <w:p>
            <w:pPr>
              <w:pStyle w:val="TableContents"/>
              <w:spacing w:before="0" w:after="0"/>
              <w:ind w:left="0" w:right="0" w:hanging="0"/>
              <w:rPr/>
            </w:pPr>
            <w:r>
              <w:rPr/>
              <w:t> </w:t>
            </w:r>
          </w:p>
        </w:tc>
        <w:tc>
          <w:tcPr>
            <w:tcW w:w="1106"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spacing w:before="0" w:after="0"/>
              <w:ind w:left="0" w:right="0" w:hanging="0"/>
              <w:rPr/>
            </w:pPr>
            <w:r>
              <w:rPr/>
              <w:t> </w:t>
            </w:r>
          </w:p>
        </w:tc>
        <w:tc>
          <w:tcPr>
            <w:tcW w:w="11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auto" w:val="clear"/>
            <w:vAlign w:val="center"/>
          </w:tcPr>
          <w:p>
            <w:pPr>
              <w:pStyle w:val="TableContents"/>
              <w:spacing w:before="0" w:after="0"/>
              <w:ind w:left="0" w:right="0" w:hanging="0"/>
              <w:rPr/>
            </w:pPr>
            <w:r>
              <w:rPr/>
              <w:t> </w:t>
            </w:r>
          </w:p>
        </w:tc>
        <w:tc>
          <w:tcPr>
            <w:tcW w:w="11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CCEEFF" w:val="clear"/>
            <w:vAlign w:val="center"/>
          </w:tcPr>
          <w:p>
            <w:pPr>
              <w:pStyle w:val="TableContents"/>
              <w:spacing w:before="0" w:after="0"/>
              <w:ind w:left="0" w:right="0" w:hanging="0"/>
              <w:rPr/>
            </w:pPr>
            <w:r>
              <w:rPr/>
              <w:t> </w:t>
            </w:r>
          </w:p>
        </w:tc>
        <w:tc>
          <w:tcPr>
            <w:tcW w:w="11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auto" w:val="clear"/>
            <w:vAlign w:val="center"/>
          </w:tcPr>
          <w:p>
            <w:pPr>
              <w:pStyle w:val="TableContents"/>
              <w:spacing w:before="0" w:after="0"/>
              <w:ind w:left="0" w:right="0" w:hanging="0"/>
              <w:rPr/>
            </w:pPr>
            <w:r>
              <w:rPr/>
              <w:t> </w:t>
            </w:r>
          </w:p>
        </w:tc>
        <w:tc>
          <w:tcPr>
            <w:tcW w:w="11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 </w:t>
            </w:r>
          </w:p>
        </w:tc>
        <w:tc>
          <w:tcPr>
            <w:tcW w:w="1135" w:type="dxa"/>
            <w:tcBorders/>
            <w:shd w:fill="CCEEFF" w:val="clear"/>
            <w:vAlign w:val="center"/>
          </w:tcPr>
          <w:p>
            <w:pPr>
              <w:pStyle w:val="TableContents"/>
              <w:spacing w:before="0" w:after="0"/>
              <w:ind w:left="0" w:right="0" w:hanging="0"/>
              <w:jc w:val="right"/>
              <w:rPr/>
            </w:pPr>
            <w:r>
              <w:rPr/>
              <w:t>  </w:t>
            </w:r>
          </w:p>
        </w:tc>
        <w:tc>
          <w:tcPr>
            <w:tcW w:w="699" w:type="dxa"/>
            <w:tcBorders/>
            <w:shd w:fill="CCEEFF" w:val="clear"/>
            <w:vAlign w:val="center"/>
          </w:tcPr>
          <w:p>
            <w:pPr>
              <w:pStyle w:val="TableContents"/>
              <w:spacing w:before="0" w:after="0"/>
              <w:ind w:left="0" w:right="0" w:hanging="0"/>
              <w:rPr/>
            </w:pPr>
            <w:r>
              <w:rPr/>
              <w:t> </w:t>
            </w:r>
          </w:p>
        </w:tc>
        <w:tc>
          <w:tcPr>
            <w:tcW w:w="110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 </w:t>
            </w:r>
          </w:p>
        </w:tc>
        <w:tc>
          <w:tcPr>
            <w:tcW w:w="11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spacing w:before="0" w:after="0"/>
              <w:ind w:left="0" w:right="0" w:hanging="0"/>
              <w:rPr/>
            </w:pPr>
            <w:r>
              <w:rPr/>
              <w:t> </w:t>
            </w:r>
          </w:p>
        </w:tc>
        <w:tc>
          <w:tcPr>
            <w:tcW w:w="11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 </w:t>
            </w:r>
          </w:p>
        </w:tc>
        <w:tc>
          <w:tcPr>
            <w:tcW w:w="11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11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 net</w:t>
            </w:r>
          </w:p>
        </w:tc>
        <w:tc>
          <w:tcPr>
            <w:tcW w:w="326" w:type="dxa"/>
            <w:tcBorders/>
            <w:shd w:fill="auto" w:val="clear"/>
            <w:vAlign w:val="center"/>
          </w:tcPr>
          <w:p>
            <w:pPr>
              <w:pStyle w:val="TableContents"/>
              <w:spacing w:before="0" w:after="0"/>
              <w:ind w:left="0" w:right="0" w:hanging="0"/>
              <w:rPr/>
            </w:pPr>
            <w:r>
              <w:rPr/>
              <w:t> </w:t>
            </w:r>
          </w:p>
        </w:tc>
        <w:tc>
          <w:tcPr>
            <w:tcW w:w="11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rPr/>
            </w:pPr>
            <w:r>
              <w:rPr/>
              <w:t> </w:t>
            </w:r>
          </w:p>
        </w:tc>
        <w:tc>
          <w:tcPr>
            <w:tcW w:w="11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auto" w:val="clear"/>
            <w:vAlign w:val="center"/>
          </w:tcPr>
          <w:p>
            <w:pPr>
              <w:pStyle w:val="TableContents"/>
              <w:spacing w:before="0" w:after="0"/>
              <w:ind w:left="0" w:right="0" w:hanging="0"/>
              <w:rPr/>
            </w:pPr>
            <w:r>
              <w:rPr/>
              <w:t> </w:t>
            </w:r>
          </w:p>
        </w:tc>
        <w:tc>
          <w:tcPr>
            <w:tcW w:w="11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spacing w:before="0" w:after="0"/>
              <w:ind w:left="0" w:right="0" w:hanging="0"/>
              <w:rPr/>
            </w:pPr>
            <w:r>
              <w:rPr/>
              <w:t> </w:t>
            </w:r>
          </w:p>
        </w:tc>
        <w:tc>
          <w:tcPr>
            <w:tcW w:w="11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auto" w:val="clear"/>
            <w:vAlign w:val="center"/>
          </w:tcPr>
          <w:p>
            <w:pPr>
              <w:pStyle w:val="TableContents"/>
              <w:spacing w:before="0" w:after="0"/>
              <w:ind w:left="0" w:right="0" w:hanging="0"/>
              <w:rPr/>
            </w:pPr>
            <w:r>
              <w:rPr/>
              <w:t> </w:t>
            </w:r>
          </w:p>
        </w:tc>
        <w:tc>
          <w:tcPr>
            <w:tcW w:w="11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 </w:t>
            </w:r>
          </w:p>
        </w:tc>
        <w:tc>
          <w:tcPr>
            <w:tcW w:w="11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 </w:t>
            </w:r>
          </w:p>
        </w:tc>
        <w:tc>
          <w:tcPr>
            <w:tcW w:w="11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spacing w:before="0" w:after="0"/>
              <w:ind w:left="0" w:right="0" w:hanging="0"/>
              <w:rPr/>
            </w:pPr>
            <w:r>
              <w:rPr/>
              <w:t>​</w:t>
            </w:r>
          </w:p>
        </w:tc>
        <w:tc>
          <w:tcPr>
            <w:tcW w:w="1135" w:type="dxa"/>
            <w:tcBorders/>
            <w:shd w:fill="CCEEFF" w:val="clear"/>
            <w:vAlign w:val="center"/>
          </w:tcPr>
          <w:p>
            <w:pPr>
              <w:pStyle w:val="TableContents"/>
              <w:spacing w:before="0" w:after="0"/>
              <w:ind w:left="0" w:right="0" w:hanging="0"/>
              <w:jc w:val="right"/>
              <w:rPr/>
            </w:pPr>
            <w:r>
              <w:rPr/>
              <w:t>​</w:t>
            </w:r>
          </w:p>
        </w:tc>
        <w:tc>
          <w:tcPr>
            <w:tcW w:w="699" w:type="dxa"/>
            <w:tcBorders/>
            <w:shd w:fill="CCEEFF" w:val="clear"/>
            <w:vAlign w:val="center"/>
          </w:tcPr>
          <w:p>
            <w:pPr>
              <w:pStyle w:val="TableContents"/>
              <w:spacing w:before="0" w:after="0"/>
              <w:ind w:left="0" w:right="0" w:hanging="0"/>
              <w:rPr/>
            </w:pPr>
            <w:r>
              <w:rPr/>
              <w:t>​</w:t>
            </w:r>
          </w:p>
        </w:tc>
        <w:tc>
          <w:tcPr>
            <w:tcW w:w="110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 and revaluations, net of tax</w:t>
            </w:r>
          </w:p>
        </w:tc>
        <w:tc>
          <w:tcPr>
            <w:tcW w:w="326" w:type="dxa"/>
            <w:tcBorders/>
            <w:shd w:fill="auto" w:val="clear"/>
            <w:vAlign w:val="center"/>
          </w:tcPr>
          <w:p>
            <w:pPr>
              <w:pStyle w:val="TableContents"/>
              <w:spacing w:before="0" w:after="0"/>
              <w:ind w:left="0" w:right="0" w:hanging="0"/>
              <w:rPr/>
            </w:pPr>
            <w:r>
              <w:rPr/>
              <w:t>​</w:t>
            </w:r>
          </w:p>
        </w:tc>
        <w:tc>
          <w:tcPr>
            <w:tcW w:w="11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on investments, net of tax</w:t>
            </w:r>
          </w:p>
        </w:tc>
        <w:tc>
          <w:tcPr>
            <w:tcW w:w="326" w:type="dxa"/>
            <w:tcBorders/>
            <w:shd w:fill="CCEEFF" w:val="clear"/>
            <w:vAlign w:val="center"/>
          </w:tcPr>
          <w:p>
            <w:pPr>
              <w:pStyle w:val="TableContents"/>
              <w:spacing w:before="0" w:after="0"/>
              <w:ind w:left="0" w:right="0" w:hanging="0"/>
              <w:rPr/>
            </w:pPr>
            <w:r>
              <w:rPr/>
              <w:t>​</w:t>
            </w:r>
          </w:p>
        </w:tc>
        <w:tc>
          <w:tcPr>
            <w:tcW w:w="113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spacing w:before="0" w:after="0"/>
              <w:ind w:left="0" w:right="0" w:hanging="0"/>
              <w:rPr/>
            </w:pPr>
            <w:r>
              <w:rPr/>
              <w:t>​</w:t>
            </w:r>
          </w:p>
        </w:tc>
      </w:tr>
      <w:tr>
        <w:trPr/>
        <w:tc>
          <w:tcPr>
            <w:tcW w:w="5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comprehensive loss, net of tax</w:t>
            </w:r>
          </w:p>
        </w:tc>
        <w:tc>
          <w:tcPr>
            <w:tcW w:w="326" w:type="dxa"/>
            <w:tcBorders/>
            <w:shd w:fill="auto" w:val="clear"/>
            <w:vAlign w:val="center"/>
          </w:tcPr>
          <w:p>
            <w:pPr>
              <w:pStyle w:val="TableContents"/>
              <w:spacing w:before="0" w:after="0"/>
              <w:ind w:left="0" w:right="0" w:hanging="0"/>
              <w:rPr/>
            </w:pPr>
            <w:r>
              <w:rPr/>
              <w:t> </w:t>
            </w:r>
          </w:p>
        </w:tc>
        <w:tc>
          <w:tcPr>
            <w:tcW w:w="11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69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CCEEFF" w:val="clear"/>
            <w:vAlign w:val="center"/>
          </w:tcPr>
          <w:p>
            <w:pPr>
              <w:pStyle w:val="TableContents"/>
              <w:spacing w:before="0" w:after="0"/>
              <w:ind w:left="0" w:right="0" w:hanging="0"/>
              <w:rPr/>
            </w:pPr>
            <w:r>
              <w:rPr/>
              <w:t> </w:t>
            </w:r>
          </w:p>
        </w:tc>
        <w:tc>
          <w:tcPr>
            <w:tcW w:w="11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6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 xml:space="preserve">Three Months Ended March 31, 2023 Compared to Three Months Ended March 31, 2022 </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300" w:type="dxa"/>
        <w:jc w:val="left"/>
        <w:tblInd w:w="0" w:type="dxa"/>
        <w:tblCellMar>
          <w:top w:w="0" w:type="dxa"/>
          <w:left w:w="0" w:type="dxa"/>
          <w:bottom w:w="0" w:type="dxa"/>
          <w:right w:w="0" w:type="dxa"/>
        </w:tblCellMar>
      </w:tblPr>
      <w:tblGrid>
        <w:gridCol w:w="1951"/>
        <w:gridCol w:w="326"/>
        <w:gridCol w:w="211"/>
        <w:gridCol w:w="781"/>
        <w:gridCol w:w="326"/>
        <w:gridCol w:w="211"/>
        <w:gridCol w:w="781"/>
        <w:gridCol w:w="326"/>
        <w:gridCol w:w="291"/>
        <w:gridCol w:w="933"/>
        <w:gridCol w:w="201"/>
        <w:gridCol w:w="646"/>
        <w:gridCol w:w="316"/>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38885" cy="175260"/>
                      <wp:effectExtent l="0" t="0" r="0" b="0"/>
                      <wp:wrapNone/>
                      <wp:docPr id="271" name="Frame271"/>
                      <a:graphic xmlns:a="http://schemas.openxmlformats.org/drawingml/2006/main">
                        <a:graphicData uri="http://schemas.microsoft.com/office/word/2010/wordprocessingShape">
                          <wps:wsp>
                            <wps:cNvSpPr txBox="1"/>
                            <wps:spPr>
                              <a:xfrm>
                                <a:off x="0" y="0"/>
                                <a:ext cx="1238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5935" cy="175260"/>
                      <wp:effectExtent l="0" t="0" r="0" b="0"/>
                      <wp:wrapNone/>
                      <wp:docPr id="274" name="Frame27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95935" cy="175260"/>
                      <wp:effectExtent l="0" t="0" r="0" b="0"/>
                      <wp:wrapNone/>
                      <wp:docPr id="277" name="Frame27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4785" cy="175260"/>
                      <wp:effectExtent l="0" t="0" r="0" b="0"/>
                      <wp:wrapNone/>
                      <wp:docPr id="279" name="Frame279"/>
                      <a:graphic xmlns:a="http://schemas.openxmlformats.org/drawingml/2006/main">
                        <a:graphicData uri="http://schemas.microsoft.com/office/word/2010/wordprocessingShape">
                          <wps:wsp>
                            <wps:cNvSpPr txBox="1"/>
                            <wps:spPr>
                              <a:xfrm>
                                <a:off x="0" y="0"/>
                                <a:ext cx="184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92455" cy="175260"/>
                      <wp:effectExtent l="0" t="0" r="0" b="0"/>
                      <wp:wrapNone/>
                      <wp:docPr id="280" name="Frame280"/>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7635" cy="175260"/>
                      <wp:effectExtent l="0" t="0" r="0" b="0"/>
                      <wp:wrapNone/>
                      <wp:docPr id="281" name="Frame281"/>
                      <a:graphic xmlns:a="http://schemas.openxmlformats.org/drawingml/2006/main">
                        <a:graphicData uri="http://schemas.microsoft.com/office/word/2010/wordprocessingShape">
                          <wps:wsp>
                            <wps:cNvSpPr txBox="1"/>
                            <wps:spPr>
                              <a:xfrm>
                                <a:off x="0" y="0"/>
                                <a:ext cx="127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10210" cy="175260"/>
                      <wp:effectExtent l="0" t="0" r="0" b="0"/>
                      <wp:wrapNone/>
                      <wp:docPr id="282" name="Frame282"/>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0660" cy="175260"/>
                      <wp:effectExtent l="0" t="0" r="0" b="0"/>
                      <wp:wrapNone/>
                      <wp:docPr id="283" name="Frame28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center"/>
              <w:rPr/>
            </w:pPr>
            <w:r>
              <w:rPr/>
              <w:t>​</w:t>
            </w:r>
          </w:p>
        </w:tc>
        <w:tc>
          <w:tcPr>
            <w:tcW w:w="201"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center"/>
              <w:rPr/>
            </w:pPr>
            <w:r>
              <w:rPr/>
              <w:t>​</w:t>
            </w:r>
          </w:p>
        </w:tc>
        <w:tc>
          <w:tcPr>
            <w:tcW w:w="201"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7300"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jc w:val="center"/>
              <w:rPr/>
            </w:pPr>
            <w:r>
              <w:rPr/>
              <w:t>​</w:t>
            </w:r>
          </w:p>
        </w:tc>
        <w:tc>
          <w:tcPr>
            <w:tcW w:w="933" w:type="dxa"/>
            <w:tcBorders/>
            <w:shd w:fill="auto" w:val="clear"/>
            <w:vAlign w:val="center"/>
          </w:tcPr>
          <w:p>
            <w:pPr>
              <w:pStyle w:val="TableContents"/>
              <w:spacing w:before="0" w:after="0"/>
              <w:ind w:left="0" w:right="0" w:hanging="0"/>
              <w:jc w:val="center"/>
              <w:rPr/>
            </w:pPr>
            <w:r>
              <w:rPr/>
              <w:t>​</w:t>
            </w:r>
          </w:p>
        </w:tc>
        <w:tc>
          <w:tcPr>
            <w:tcW w:w="201" w:type="dxa"/>
            <w:tcBorders/>
            <w:shd w:fill="auto" w:val="clear"/>
            <w:vAlign w:val="center"/>
          </w:tcPr>
          <w:p>
            <w:pPr>
              <w:pStyle w:val="TableContents"/>
              <w:spacing w:before="0" w:after="0"/>
              <w:ind w:left="0" w:right="0" w:hanging="0"/>
              <w:jc w:val="center"/>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91"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w:t>
            </w:r>
          </w:p>
        </w:tc>
      </w:tr>
      <w:tr>
        <w:trPr/>
        <w:tc>
          <w:tcPr>
            <w:tcW w:w="19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97,131</w:t>
            </w:r>
          </w:p>
        </w:tc>
        <w:tc>
          <w:tcPr>
            <w:tcW w:w="326" w:type="dxa"/>
            <w:tcBorders/>
            <w:shd w:fill="CCEEFF" w:val="clear"/>
            <w:vAlign w:val="center"/>
          </w:tcPr>
          <w:p>
            <w:pPr>
              <w:pStyle w:val="TableContents"/>
              <w:spacing w:before="0" w:after="0"/>
              <w:ind w:left="0" w:right="0" w:hanging="0"/>
              <w:rPr/>
            </w:pPr>
            <w:r>
              <w:rPr/>
              <w:t>​</w:t>
            </w:r>
          </w:p>
        </w:tc>
        <w:tc>
          <w:tcPr>
            <w:tcW w:w="2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13,883</w:t>
            </w:r>
          </w:p>
        </w:tc>
        <w:tc>
          <w:tcPr>
            <w:tcW w:w="201"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21,737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17,853</w:t>
            </w:r>
          </w:p>
        </w:tc>
        <w:tc>
          <w:tcPr>
            <w:tcW w:w="326" w:type="dxa"/>
            <w:tcBorders/>
            <w:shd w:fill="auto" w:val="clear"/>
            <w:vAlign w:val="center"/>
          </w:tcPr>
          <w:p>
            <w:pPr>
              <w:pStyle w:val="TableContents"/>
              <w:spacing w:before="0" w:after="0"/>
              <w:ind w:left="0" w:right="0" w:hanging="0"/>
              <w:rPr/>
            </w:pPr>
            <w:r>
              <w:rPr/>
              <w:t>​</w:t>
            </w:r>
          </w:p>
        </w:tc>
        <w:tc>
          <w:tcPr>
            <w:tcW w:w="29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c>
          <w:tcPr>
            <w:tcW w:w="201"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132,751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114,984</w:t>
            </w:r>
          </w:p>
        </w:tc>
        <w:tc>
          <w:tcPr>
            <w:tcW w:w="326" w:type="dxa"/>
            <w:tcBorders/>
            <w:shd w:fill="CCEEFF" w:val="clear"/>
            <w:vAlign w:val="center"/>
          </w:tcPr>
          <w:p>
            <w:pPr>
              <w:pStyle w:val="TableContents"/>
              <w:spacing w:before="0" w:after="0"/>
              <w:ind w:left="0" w:right="0" w:hanging="0"/>
              <w:rPr/>
            </w:pPr>
            <w:r>
              <w:rPr/>
              <w:t>​</w:t>
            </w:r>
          </w:p>
        </w:tc>
        <w:tc>
          <w:tcPr>
            <w:tcW w:w="29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17,767</w:t>
            </w:r>
          </w:p>
        </w:tc>
        <w:tc>
          <w:tcPr>
            <w:tcW w:w="201" w:type="dxa"/>
            <w:tcBorders/>
            <w:shd w:fill="CCEEFF" w:val="clear"/>
            <w:vAlign w:val="center"/>
          </w:tcPr>
          <w:p>
            <w:pPr>
              <w:pStyle w:val="TableContents"/>
              <w:spacing w:before="0" w:after="0"/>
              <w:ind w:left="0" w:right="0" w:hanging="0"/>
              <w:rPr/>
            </w:pPr>
            <w:r>
              <w:rPr/>
              <w:t> </w:t>
            </w:r>
          </w:p>
        </w:tc>
        <w:tc>
          <w:tcPr>
            <w:tcW w:w="6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bookmarkStart w:id="1338" w:name="_Hlk79409928"/>
      <w:bookmarkEnd w:id="1338"/>
      <w:r>
        <w:rPr>
          <w:rFonts w:ascii="Times New Roman;Times;serif" w:hAnsi="Times New Roman;Times;serif"/>
          <w:sz w:val="20"/>
        </w:rPr>
        <w:t>Revenues increased $17.8 million, or 15.5%, to $132.8 million for the three months ended March 31, 2023 compared to $115.0 million for the three months ended March 31, 2022. The increase in software subscriptions revenues of $13.9 million, or 14.3%, was primarily driven by increases from our existing customers. Software subscriptions revenues derived from new customers averaged 6.8% and 9.6% of total software subscriptions revenues in the three months ended March 31, 2023 and 2022, respectively.</w:t>
      </w:r>
    </w:p>
    <w:p>
      <w:pPr>
        <w:pStyle w:val="TextBody"/>
        <w:spacing w:before="0" w:after="0"/>
        <w:ind w:left="0" w:right="0" w:firstLine="360"/>
        <w:jc w:val="both"/>
        <w:rPr>
          <w:highlight w:val="yellow"/>
        </w:rPr>
      </w:pPr>
      <w:r>
        <w:rPr>
          <w:highlight w:val="yellow"/>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$3.9 million increase in services revenues was primarily driven by an increase of $2.5 million in software subscription related services associated with the growth in subscription revenues, which includes new customers implementing our solutions and existing customers upgrading to newer versions of our solutions. In addition, our managed services offering experienced a $1.4 million increase in recurring services revenues over the prior year due to returns processing volume increases related to customer business growth and regulatory changes as customers expanded their tax filings into more jurisdictions.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455" w:type="dxa"/>
        <w:jc w:val="left"/>
        <w:tblInd w:w="0" w:type="dxa"/>
        <w:tblCellMar>
          <w:top w:w="0" w:type="dxa"/>
          <w:left w:w="0" w:type="dxa"/>
          <w:bottom w:w="0" w:type="dxa"/>
          <w:right w:w="0" w:type="dxa"/>
        </w:tblCellMar>
      </w:tblPr>
      <w:tblGrid>
        <w:gridCol w:w="3316"/>
        <w:gridCol w:w="326"/>
        <w:gridCol w:w="211"/>
        <w:gridCol w:w="676"/>
        <w:gridCol w:w="326"/>
        <w:gridCol w:w="211"/>
        <w:gridCol w:w="676"/>
        <w:gridCol w:w="326"/>
        <w:gridCol w:w="313"/>
        <w:gridCol w:w="848"/>
        <w:gridCol w:w="216"/>
        <w:gridCol w:w="694"/>
        <w:gridCol w:w="316"/>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05660" cy="175260"/>
                      <wp:effectExtent l="0" t="0" r="0" b="0"/>
                      <wp:wrapNone/>
                      <wp:docPr id="284" name="Frame284"/>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9260" cy="175260"/>
                      <wp:effectExtent l="0" t="0" r="0" b="0"/>
                      <wp:wrapNone/>
                      <wp:docPr id="287" name="Frame28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29260" cy="175260"/>
                      <wp:effectExtent l="0" t="0" r="0" b="0"/>
                      <wp:wrapNone/>
                      <wp:docPr id="290" name="Frame29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98755" cy="175260"/>
                      <wp:effectExtent l="0" t="0" r="0" b="0"/>
                      <wp:wrapNone/>
                      <wp:docPr id="292" name="Frame292"/>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38480" cy="175260"/>
                      <wp:effectExtent l="0" t="0" r="0" b="0"/>
                      <wp:wrapNone/>
                      <wp:docPr id="293" name="Frame293"/>
                      <a:graphic xmlns:a="http://schemas.openxmlformats.org/drawingml/2006/main">
                        <a:graphicData uri="http://schemas.microsoft.com/office/word/2010/wordprocessingShape">
                          <wps:wsp>
                            <wps:cNvSpPr txBox="1"/>
                            <wps:spPr>
                              <a:xfrm>
                                <a:off x="0" y="0"/>
                                <a:ext cx="538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7160" cy="175260"/>
                      <wp:effectExtent l="0" t="0" r="0" b="0"/>
                      <wp:wrapNone/>
                      <wp:docPr id="294" name="Frame294"/>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40690" cy="175260"/>
                      <wp:effectExtent l="0" t="0" r="0" b="0"/>
                      <wp:wrapNone/>
                      <wp:docPr id="295" name="Frame295"/>
                      <a:graphic xmlns:a="http://schemas.openxmlformats.org/drawingml/2006/main">
                        <a:graphicData uri="http://schemas.microsoft.com/office/word/2010/wordprocessingShape">
                          <wps:wsp>
                            <wps:cNvSpPr txBox="1"/>
                            <wps:spPr>
                              <a:xfrm>
                                <a:off x="0" y="0"/>
                                <a:ext cx="440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0660" cy="175260"/>
                      <wp:effectExtent l="0" t="0" r="0" b="0"/>
                      <wp:wrapNone/>
                      <wp:docPr id="296" name="Frame29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32,913</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4,490</w:t>
            </w:r>
          </w:p>
        </w:tc>
        <w:tc>
          <w:tcPr>
            <w:tcW w:w="216" w:type="dxa"/>
            <w:tcBorders/>
            <w:shd w:fill="CCEEFF" w:val="clear"/>
            <w:vAlign w:val="center"/>
          </w:tcPr>
          <w:p>
            <w:pPr>
              <w:pStyle w:val="TableContents"/>
              <w:spacing w:before="0" w:after="0"/>
              <w:ind w:left="0" w:right="0" w:hanging="0"/>
              <w:rPr/>
            </w:pPr>
            <w:r>
              <w:rPr/>
              <w:t> </w:t>
            </w:r>
          </w:p>
        </w:tc>
        <w:tc>
          <w:tcPr>
            <w:tcW w:w="6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$4.5 million, or 13.6%, to $37.4 million for the three months ended March 31, 2023 compared to $32.9 million for the three months ended March 31, 2022. This was driven by a $1.2 million increase in costs of personnel supporting period over period growth of sales and customers and ongoing infrastructure investments and support costs to enable the continued expansion of customer transaction volumes for our cloud-based subscription customers. In addition, this included an increase in depreciation and amortization of capitalized software and acquired intangible assets of $2.7 million associated with our ongoing investments in internal-use software for cloud-based subscription solutions, software developed for sale for new products and enhancements to existing products, and costs associated with the amortization of acquired intangible assets. Lastly, stock-based compensation increased by $0.6 million for the three months ended March 31, 2023 over the same period in 2022. As a percentage of software subscriptions revenues, the cost of software subscriptions revenues decreased to 33.7% in the three months ended March 31, 2023 compared to 33.9% for the same period in 2022. After excluding stock-based compensation expense, as a percentage of software subscriptions revenue, cost of software subscriptions revenues decreased to 32.8% the three months ended March 31, 2023 compared to 33.4% for the same period in 2022.</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tbl>
      <w:tblPr>
        <w:tblW w:w="7300" w:type="dxa"/>
        <w:jc w:val="left"/>
        <w:tblInd w:w="0" w:type="dxa"/>
        <w:tblCellMar>
          <w:top w:w="0" w:type="dxa"/>
          <w:left w:w="0" w:type="dxa"/>
          <w:bottom w:w="0" w:type="dxa"/>
          <w:right w:w="0" w:type="dxa"/>
        </w:tblCellMar>
      </w:tblPr>
      <w:tblGrid>
        <w:gridCol w:w="2161"/>
        <w:gridCol w:w="326"/>
        <w:gridCol w:w="211"/>
        <w:gridCol w:w="676"/>
        <w:gridCol w:w="326"/>
        <w:gridCol w:w="211"/>
        <w:gridCol w:w="676"/>
        <w:gridCol w:w="326"/>
        <w:gridCol w:w="313"/>
        <w:gridCol w:w="848"/>
        <w:gridCol w:w="216"/>
        <w:gridCol w:w="694"/>
        <w:gridCol w:w="31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72235" cy="175260"/>
                      <wp:effectExtent l="0" t="0" r="0" b="0"/>
                      <wp:wrapNone/>
                      <wp:docPr id="297" name="Frame297"/>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29260" cy="175260"/>
                      <wp:effectExtent l="0" t="0" r="0" b="0"/>
                      <wp:wrapNone/>
                      <wp:docPr id="300" name="Frame30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29260" cy="175260"/>
                      <wp:effectExtent l="0" t="0" r="0" b="0"/>
                      <wp:wrapNone/>
                      <wp:docPr id="303" name="Frame30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98755" cy="175260"/>
                      <wp:effectExtent l="0" t="0" r="0" b="0"/>
                      <wp:wrapNone/>
                      <wp:docPr id="305" name="Frame30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38480" cy="175260"/>
                      <wp:effectExtent l="0" t="0" r="0" b="0"/>
                      <wp:wrapNone/>
                      <wp:docPr id="306" name="Frame306"/>
                      <a:graphic xmlns:a="http://schemas.openxmlformats.org/drawingml/2006/main">
                        <a:graphicData uri="http://schemas.microsoft.com/office/word/2010/wordprocessingShape">
                          <wps:wsp>
                            <wps:cNvSpPr txBox="1"/>
                            <wps:spPr>
                              <a:xfrm>
                                <a:off x="0" y="0"/>
                                <a:ext cx="538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7160" cy="175260"/>
                      <wp:effectExtent l="0" t="0" r="0" b="0"/>
                      <wp:wrapNone/>
                      <wp:docPr id="307" name="Frame307"/>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40690" cy="175260"/>
                      <wp:effectExtent l="0" t="0" r="0" b="0"/>
                      <wp:wrapNone/>
                      <wp:docPr id="308" name="Frame308"/>
                      <a:graphic xmlns:a="http://schemas.openxmlformats.org/drawingml/2006/main">
                        <a:graphicData uri="http://schemas.microsoft.com/office/word/2010/wordprocessingShape">
                          <wps:wsp>
                            <wps:cNvSpPr txBox="1"/>
                            <wps:spPr>
                              <a:xfrm>
                                <a:off x="0" y="0"/>
                                <a:ext cx="440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0660" cy="175260"/>
                      <wp:effectExtent l="0" t="0" r="0" b="0"/>
                      <wp:wrapNone/>
                      <wp:docPr id="309" name="Frame30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11,953</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216" w:type="dxa"/>
            <w:tcBorders/>
            <w:shd w:fill="CCEEFF" w:val="clear"/>
            <w:vAlign w:val="center"/>
          </w:tcPr>
          <w:p>
            <w:pPr>
              <w:pStyle w:val="TableContents"/>
              <w:spacing w:before="0" w:after="0"/>
              <w:ind w:left="0" w:right="0" w:hanging="0"/>
              <w:rPr/>
            </w:pPr>
            <w:r>
              <w:rPr/>
              <w:t> </w:t>
            </w:r>
          </w:p>
        </w:tc>
        <w:tc>
          <w:tcPr>
            <w:tcW w:w="6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$2.4 million, or 20.0%, to $14.3 million for the three months ended March 31, 2023 compared to $12.0 million for the three months ended March 31, 2022. The increase in cost of services revenues was primarily due to a $2.0 million increase in costs of service delivery personnel to support revenue growth in software subscription-related services and our managed services offering. In addition, this includes an increase in stock-based compensation of $0.4 million for the three months ended March 31, 2023 over the same period in 2022. As a percentage of services revenues, cost of services revenues decreased to 66.0% in the three months ended March 31, 2023 compared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67.0% for the same period in 2022. After excluding stock-based compensation expense, as a percentage of services revenues, cost of services revenues decreased to 62.1% compared to 64.7% for the same period in 2022.</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345" w:type="dxa"/>
        <w:jc w:val="left"/>
        <w:tblInd w:w="0" w:type="dxa"/>
        <w:tblCellMar>
          <w:top w:w="0" w:type="dxa"/>
          <w:left w:w="0" w:type="dxa"/>
          <w:bottom w:w="0" w:type="dxa"/>
          <w:right w:w="0" w:type="dxa"/>
        </w:tblCellMar>
      </w:tblPr>
      <w:tblGrid>
        <w:gridCol w:w="2311"/>
        <w:gridCol w:w="326"/>
        <w:gridCol w:w="211"/>
        <w:gridCol w:w="676"/>
        <w:gridCol w:w="326"/>
        <w:gridCol w:w="211"/>
        <w:gridCol w:w="571"/>
        <w:gridCol w:w="326"/>
        <w:gridCol w:w="313"/>
        <w:gridCol w:w="848"/>
        <w:gridCol w:w="216"/>
        <w:gridCol w:w="694"/>
        <w:gridCol w:w="31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467485" cy="175260"/>
                      <wp:effectExtent l="0" t="0" r="0" b="0"/>
                      <wp:wrapNone/>
                      <wp:docPr id="310" name="Frame310"/>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29260" cy="175260"/>
                      <wp:effectExtent l="0" t="0" r="0" b="0"/>
                      <wp:wrapNone/>
                      <wp:docPr id="313" name="Frame31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62585" cy="175260"/>
                      <wp:effectExtent l="0" t="0" r="0" b="0"/>
                      <wp:wrapNone/>
                      <wp:docPr id="316" name="Frame31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98755" cy="175260"/>
                      <wp:effectExtent l="0" t="0" r="0" b="0"/>
                      <wp:wrapNone/>
                      <wp:docPr id="318" name="Frame318"/>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8480" cy="175260"/>
                      <wp:effectExtent l="0" t="0" r="0" b="0"/>
                      <wp:wrapNone/>
                      <wp:docPr id="319" name="Frame319"/>
                      <a:graphic xmlns:a="http://schemas.openxmlformats.org/drawingml/2006/main">
                        <a:graphicData uri="http://schemas.microsoft.com/office/word/2010/wordprocessingShape">
                          <wps:wsp>
                            <wps:cNvSpPr txBox="1"/>
                            <wps:spPr>
                              <a:xfrm>
                                <a:off x="0" y="0"/>
                                <a:ext cx="538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7160" cy="175260"/>
                      <wp:effectExtent l="0" t="0" r="0" b="0"/>
                      <wp:wrapNone/>
                      <wp:docPr id="320" name="Frame320"/>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40690" cy="175260"/>
                      <wp:effectExtent l="0" t="0" r="0" b="0"/>
                      <wp:wrapNone/>
                      <wp:docPr id="321" name="Frame321"/>
                      <a:graphic xmlns:a="http://schemas.openxmlformats.org/drawingml/2006/main">
                        <a:graphicData uri="http://schemas.microsoft.com/office/word/2010/wordprocessingShape">
                          <wps:wsp>
                            <wps:cNvSpPr txBox="1"/>
                            <wps:spPr>
                              <a:xfrm>
                                <a:off x="0" y="0"/>
                                <a:ext cx="440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0660" cy="175260"/>
                      <wp:effectExtent l="0" t="0" r="0" b="0"/>
                      <wp:wrapNone/>
                      <wp:docPr id="322" name="Frame32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9,633</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6,229</w:t>
            </w:r>
          </w:p>
        </w:tc>
        <w:tc>
          <w:tcPr>
            <w:tcW w:w="216" w:type="dxa"/>
            <w:tcBorders/>
            <w:shd w:fill="CCEEFF" w:val="clear"/>
            <w:vAlign w:val="center"/>
          </w:tcPr>
          <w:p>
            <w:pPr>
              <w:pStyle w:val="TableContents"/>
              <w:spacing w:before="0" w:after="0"/>
              <w:ind w:left="0" w:right="0" w:hanging="0"/>
              <w:rPr/>
            </w:pPr>
            <w:r>
              <w:rPr/>
              <w:t> </w:t>
            </w:r>
          </w:p>
        </w:tc>
        <w:tc>
          <w:tcPr>
            <w:tcW w:w="6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$6.2 million, or 64.7%, to $15.9 million for the three months ended March 31, 2023 compared to $9.6 million for the three months ended March 31, 2022. The increase in research and development expenses was due primarily to a $4.1 million increase in personnel and other support costs related to development work associated with innovation, new solutions to address end-to-end data analysis and compliance needs of our customers, and continued expansion of connectors and application program interfaces (“APIs”) to customer ERP and other software platforms. This also included an increase in stock-based compensation of $2.1 million for the three months ended March 31, 2023 over the same period in 2022.  As a percentage of total revenues, research and development expenses increased to 11.9% in the three months ended March 31, 2023 compared to 8.4% for the same period in 2022. After excluding stock-based compensation expense, research and development expenses as a percentage of total revenues increased to 10.3% in the three months ended March 31, 2023 compared to 8.3% for the same period in 2022.  Research and development expense excludes those costs that have been capitalized for solutions that have met our capitalization policy.</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7060" w:type="dxa"/>
        <w:jc w:val="left"/>
        <w:tblInd w:w="0" w:type="dxa"/>
        <w:tblCellMar>
          <w:top w:w="0" w:type="dxa"/>
          <w:left w:w="0" w:type="dxa"/>
          <w:bottom w:w="0" w:type="dxa"/>
          <w:right w:w="0" w:type="dxa"/>
        </w:tblCellMar>
      </w:tblPr>
      <w:tblGrid>
        <w:gridCol w:w="1921"/>
        <w:gridCol w:w="326"/>
        <w:gridCol w:w="211"/>
        <w:gridCol w:w="676"/>
        <w:gridCol w:w="326"/>
        <w:gridCol w:w="211"/>
        <w:gridCol w:w="676"/>
        <w:gridCol w:w="326"/>
        <w:gridCol w:w="313"/>
        <w:gridCol w:w="848"/>
        <w:gridCol w:w="216"/>
        <w:gridCol w:w="694"/>
        <w:gridCol w:w="316"/>
      </w:tblGrid>
      <w:tr>
        <w:trPr/>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19835" cy="175260"/>
                      <wp:effectExtent l="0" t="0" r="0" b="0"/>
                      <wp:wrapNone/>
                      <wp:docPr id="323" name="Frame323"/>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9260" cy="175260"/>
                      <wp:effectExtent l="0" t="0" r="0" b="0"/>
                      <wp:wrapNone/>
                      <wp:docPr id="326" name="Frame32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29260" cy="175260"/>
                      <wp:effectExtent l="0" t="0" r="0" b="0"/>
                      <wp:wrapNone/>
                      <wp:docPr id="329" name="Frame32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98755" cy="175260"/>
                      <wp:effectExtent l="0" t="0" r="0" b="0"/>
                      <wp:wrapNone/>
                      <wp:docPr id="331" name="Frame331"/>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38480" cy="175260"/>
                      <wp:effectExtent l="0" t="0" r="0" b="0"/>
                      <wp:wrapNone/>
                      <wp:docPr id="332" name="Frame332"/>
                      <a:graphic xmlns:a="http://schemas.openxmlformats.org/drawingml/2006/main">
                        <a:graphicData uri="http://schemas.microsoft.com/office/word/2010/wordprocessingShape">
                          <wps:wsp>
                            <wps:cNvSpPr txBox="1"/>
                            <wps:spPr>
                              <a:xfrm>
                                <a:off x="0" y="0"/>
                                <a:ext cx="538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7160" cy="175260"/>
                      <wp:effectExtent l="0" t="0" r="0" b="0"/>
                      <wp:wrapNone/>
                      <wp:docPr id="333" name="Frame333"/>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40690" cy="175260"/>
                      <wp:effectExtent l="0" t="0" r="0" b="0"/>
                      <wp:wrapNone/>
                      <wp:docPr id="334" name="Frame334"/>
                      <a:graphic xmlns:a="http://schemas.openxmlformats.org/drawingml/2006/main">
                        <a:graphicData uri="http://schemas.microsoft.com/office/word/2010/wordprocessingShape">
                          <wps:wsp>
                            <wps:cNvSpPr txBox="1"/>
                            <wps:spPr>
                              <a:xfrm>
                                <a:off x="0" y="0"/>
                                <a:ext cx="440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0660" cy="175260"/>
                      <wp:effectExtent l="0" t="0" r="0" b="0"/>
                      <wp:wrapNone/>
                      <wp:docPr id="335" name="Frame33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1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27,452</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c>
          <w:tcPr>
            <w:tcW w:w="216" w:type="dxa"/>
            <w:tcBorders/>
            <w:shd w:fill="CCEEFF" w:val="clear"/>
            <w:vAlign w:val="center"/>
          </w:tcPr>
          <w:p>
            <w:pPr>
              <w:pStyle w:val="TableContents"/>
              <w:spacing w:before="0" w:after="0"/>
              <w:ind w:left="0" w:right="0" w:hanging="0"/>
              <w:rPr/>
            </w:pPr>
            <w:r>
              <w:rPr/>
              <w:t> </w:t>
            </w:r>
          </w:p>
        </w:tc>
        <w:tc>
          <w:tcPr>
            <w:tcW w:w="6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increased $8.3 million, or 30.2%, to $35.7 million for the three months ended March 31, 2023 compared to $27.5 million for the same period in 2022. This increase included a $3.8 million increase in payroll and related expenses associated with the growth in period over period subscription sales and services revenues and expansion of our partner and channel management programs. In addition, it included an increase of $2.7 million in advertising and promotional spending and expanded brand awareness efforts. This also included an increase in stock-based compensation of $1.3 million for the three months ended March 31, 2023 over the same period in 2022. Lastly, there was an increase of $0.5 million in amortization of acquired intangible assets associated with prior acquisitions. As a percentage of total revenues, selling and marketing expenses increased to 26.9% in the three months ended March 31, 2023 compared to 23.9% for the same period in 2022. After excluding stock-based compensation expense, selling and marketing expenses as a percentage of total revenues increased to 24.7% compared to 22.5% for the same period in 2022.</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450" w:type="dxa"/>
        <w:jc w:val="left"/>
        <w:tblInd w:w="0" w:type="dxa"/>
        <w:tblCellMar>
          <w:top w:w="0" w:type="dxa"/>
          <w:left w:w="0" w:type="dxa"/>
          <w:bottom w:w="0" w:type="dxa"/>
          <w:right w:w="0" w:type="dxa"/>
        </w:tblCellMar>
      </w:tblPr>
      <w:tblGrid>
        <w:gridCol w:w="2311"/>
        <w:gridCol w:w="326"/>
        <w:gridCol w:w="211"/>
        <w:gridCol w:w="676"/>
        <w:gridCol w:w="326"/>
        <w:gridCol w:w="211"/>
        <w:gridCol w:w="676"/>
        <w:gridCol w:w="326"/>
        <w:gridCol w:w="313"/>
        <w:gridCol w:w="848"/>
        <w:gridCol w:w="216"/>
        <w:gridCol w:w="694"/>
        <w:gridCol w:w="31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467485" cy="175260"/>
                      <wp:effectExtent l="0" t="0" r="0" b="0"/>
                      <wp:wrapNone/>
                      <wp:docPr id="336" name="Frame336"/>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29260" cy="175260"/>
                      <wp:effectExtent l="0" t="0" r="0" b="0"/>
                      <wp:wrapNone/>
                      <wp:docPr id="339" name="Frame33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29260" cy="175260"/>
                      <wp:effectExtent l="0" t="0" r="0" b="0"/>
                      <wp:wrapNone/>
                      <wp:docPr id="342" name="Frame34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98755" cy="175260"/>
                      <wp:effectExtent l="0" t="0" r="0" b="0"/>
                      <wp:wrapNone/>
                      <wp:docPr id="344" name="Frame344"/>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38480" cy="175260"/>
                      <wp:effectExtent l="0" t="0" r="0" b="0"/>
                      <wp:wrapNone/>
                      <wp:docPr id="345" name="Frame345"/>
                      <a:graphic xmlns:a="http://schemas.openxmlformats.org/drawingml/2006/main">
                        <a:graphicData uri="http://schemas.microsoft.com/office/word/2010/wordprocessingShape">
                          <wps:wsp>
                            <wps:cNvSpPr txBox="1"/>
                            <wps:spPr>
                              <a:xfrm>
                                <a:off x="0" y="0"/>
                                <a:ext cx="538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7160" cy="175260"/>
                      <wp:effectExtent l="0" t="0" r="0" b="0"/>
                      <wp:wrapNone/>
                      <wp:docPr id="346" name="Frame346"/>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40690" cy="175260"/>
                      <wp:effectExtent l="0" t="0" r="0" b="0"/>
                      <wp:wrapNone/>
                      <wp:docPr id="347" name="Frame347"/>
                      <a:graphic xmlns:a="http://schemas.openxmlformats.org/drawingml/2006/main">
                        <a:graphicData uri="http://schemas.microsoft.com/office/word/2010/wordprocessingShape">
                          <wps:wsp>
                            <wps:cNvSpPr txBox="1"/>
                            <wps:spPr>
                              <a:xfrm>
                                <a:off x="0" y="0"/>
                                <a:ext cx="440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0660" cy="175260"/>
                      <wp:effectExtent l="0" t="0" r="0" b="0"/>
                      <wp:wrapNone/>
                      <wp:docPr id="348" name="Frame34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313" w:type="dxa"/>
            <w:tcBorders/>
            <w:shd w:fill="auto" w:val="clear"/>
            <w:vAlign w:val="center"/>
          </w:tcPr>
          <w:p>
            <w:pPr>
              <w:pStyle w:val="TableContents"/>
              <w:spacing w:before="0" w:after="0"/>
              <w:ind w:left="0" w:right="0" w:hanging="0"/>
              <w:rPr/>
            </w:pPr>
            <w:r>
              <w:rPr/>
              <w:t>​</w:t>
            </w:r>
          </w:p>
        </w:tc>
        <w:tc>
          <w:tcPr>
            <w:tcW w:w="848" w:type="dxa"/>
            <w:tcBorders/>
            <w:shd w:fill="auto" w:val="clear"/>
            <w:vAlign w:val="center"/>
          </w:tcPr>
          <w:p>
            <w:pPr>
              <w:pStyle w:val="TableContents"/>
              <w:spacing w:before="0" w:after="0"/>
              <w:ind w:left="0" w:right="0" w:hanging="0"/>
              <w:jc w:val="center"/>
              <w:rPr/>
            </w:pPr>
            <w:r>
              <w:rPr/>
              <w:t>​</w:t>
            </w:r>
          </w:p>
        </w:tc>
        <w:tc>
          <w:tcPr>
            <w:tcW w:w="216" w:type="dxa"/>
            <w:tcBorders/>
            <w:shd w:fill="auto" w:val="clear"/>
            <w:vAlign w:val="center"/>
          </w:tcPr>
          <w:p>
            <w:pPr>
              <w:pStyle w:val="TableContents"/>
              <w:spacing w:before="0" w:after="0"/>
              <w:ind w:left="0" w:right="0" w:hanging="0"/>
              <w:rPr/>
            </w:pPr>
            <w:r>
              <w:rPr/>
              <w:t>​</w:t>
            </w:r>
          </w:p>
        </w:tc>
        <w:tc>
          <w:tcPr>
            <w:tcW w:w="694"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34,310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28,757</w:t>
            </w:r>
          </w:p>
        </w:tc>
        <w:tc>
          <w:tcPr>
            <w:tcW w:w="326" w:type="dxa"/>
            <w:tcBorders/>
            <w:shd w:fill="CCEEFF" w:val="clear"/>
            <w:vAlign w:val="center"/>
          </w:tcPr>
          <w:p>
            <w:pPr>
              <w:pStyle w:val="TableContents"/>
              <w:spacing w:before="0" w:after="0"/>
              <w:ind w:left="0" w:right="0" w:hanging="0"/>
              <w:rPr/>
            </w:pPr>
            <w:r>
              <w:rPr/>
              <w:t>​</w:t>
            </w:r>
          </w:p>
        </w:tc>
        <w:tc>
          <w:tcPr>
            <w:tcW w:w="3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5,553</w:t>
            </w:r>
          </w:p>
        </w:tc>
        <w:tc>
          <w:tcPr>
            <w:tcW w:w="216" w:type="dxa"/>
            <w:tcBorders/>
            <w:shd w:fill="CCEEFF" w:val="clear"/>
            <w:vAlign w:val="center"/>
          </w:tcPr>
          <w:p>
            <w:pPr>
              <w:pStyle w:val="TableContents"/>
              <w:spacing w:before="0" w:after="0"/>
              <w:ind w:left="0" w:right="0" w:hanging="0"/>
              <w:rPr/>
            </w:pPr>
            <w:r>
              <w:rPr/>
              <w:t> </w:t>
            </w:r>
          </w:p>
        </w:tc>
        <w:tc>
          <w:tcPr>
            <w:tcW w:w="6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$5.6 million, or 19.3%, to $34.3 million for the three months ended March 31, 2023 compared to $28.8 million for the same period in 2022. General and administrative expenses increased $3.8 million due to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In addition, this also included an increase in stock-based compensation of $2.1 million for the three months ended March 31, 2023 over the same period in 2022. As a percentage of total revenues, general and administrative expenses increased to 25.8% in the three months ended March 31,2023 compared to 25.0% for the same period in 2022. After excluding stock-based compensation expense, as a percentage of total revenues general and administrative expenses decreased to 22.1% compared to 22.9% for the same period in 2022.</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Depreciation and Amortization </w:t>
      </w:r>
    </w:p>
    <w:tbl>
      <w:tblPr>
        <w:tblW w:w="7525" w:type="dxa"/>
        <w:jc w:val="left"/>
        <w:tblInd w:w="0" w:type="dxa"/>
        <w:tblCellMar>
          <w:top w:w="0" w:type="dxa"/>
          <w:left w:w="0" w:type="dxa"/>
          <w:bottom w:w="0" w:type="dxa"/>
          <w:right w:w="0" w:type="dxa"/>
        </w:tblCellMar>
      </w:tblPr>
      <w:tblGrid>
        <w:gridCol w:w="2596"/>
        <w:gridCol w:w="326"/>
        <w:gridCol w:w="211"/>
        <w:gridCol w:w="571"/>
        <w:gridCol w:w="326"/>
        <w:gridCol w:w="211"/>
        <w:gridCol w:w="571"/>
        <w:gridCol w:w="326"/>
        <w:gridCol w:w="306"/>
        <w:gridCol w:w="612"/>
        <w:gridCol w:w="474"/>
        <w:gridCol w:w="679"/>
        <w:gridCol w:w="316"/>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48460" cy="175260"/>
                      <wp:effectExtent l="0" t="0" r="0" b="0"/>
                      <wp:wrapNone/>
                      <wp:docPr id="349" name="Frame349"/>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62585" cy="175260"/>
                      <wp:effectExtent l="0" t="0" r="0" b="0"/>
                      <wp:wrapNone/>
                      <wp:docPr id="352" name="Frame35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62585" cy="175260"/>
                      <wp:effectExtent l="0" t="0" r="0" b="0"/>
                      <wp:wrapNone/>
                      <wp:docPr id="355" name="Frame35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94310" cy="175260"/>
                      <wp:effectExtent l="0" t="0" r="0" b="0"/>
                      <wp:wrapNone/>
                      <wp:docPr id="357" name="Frame357"/>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88620" cy="175260"/>
                      <wp:effectExtent l="0" t="0" r="0" b="0"/>
                      <wp:wrapNone/>
                      <wp:docPr id="358" name="Frame358"/>
                      <a:graphic xmlns:a="http://schemas.openxmlformats.org/drawingml/2006/main">
                        <a:graphicData uri="http://schemas.microsoft.com/office/word/2010/wordprocessingShape">
                          <wps:wsp>
                            <wps:cNvSpPr txBox="1"/>
                            <wps:spPr>
                              <a:xfrm>
                                <a:off x="0" y="0"/>
                                <a:ext cx="388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00990" cy="175260"/>
                      <wp:effectExtent l="0" t="0" r="0" b="0"/>
                      <wp:wrapNone/>
                      <wp:docPr id="359" name="Frame359"/>
                      <a:graphic xmlns:a="http://schemas.openxmlformats.org/drawingml/2006/main">
                        <a:graphicData uri="http://schemas.microsoft.com/office/word/2010/wordprocessingShape">
                          <wps:wsp>
                            <wps:cNvSpPr txBox="1"/>
                            <wps:spPr>
                              <a:xfrm>
                                <a:off x="0" y="0"/>
                                <a:ext cx="300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31165" cy="175260"/>
                      <wp:effectExtent l="0" t="0" r="0" b="0"/>
                      <wp:wrapNone/>
                      <wp:docPr id="360" name="Frame360"/>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0660" cy="175260"/>
                      <wp:effectExtent l="0" t="0" r="0" b="0"/>
                      <wp:wrapNone/>
                      <wp:docPr id="361" name="Frame36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12" w:type="dxa"/>
            <w:tcBorders/>
            <w:shd w:fill="auto" w:val="clear"/>
            <w:vAlign w:val="center"/>
          </w:tcPr>
          <w:p>
            <w:pPr>
              <w:pStyle w:val="TableContents"/>
              <w:spacing w:before="0" w:after="0"/>
              <w:ind w:left="0" w:right="0" w:hanging="0"/>
              <w:jc w:val="center"/>
              <w:rPr/>
            </w:pPr>
            <w:r>
              <w:rPr/>
              <w:t>​</w:t>
            </w:r>
          </w:p>
        </w:tc>
        <w:tc>
          <w:tcPr>
            <w:tcW w:w="474"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12" w:type="dxa"/>
            <w:tcBorders/>
            <w:shd w:fill="auto" w:val="clear"/>
            <w:vAlign w:val="center"/>
          </w:tcPr>
          <w:p>
            <w:pPr>
              <w:pStyle w:val="TableContents"/>
              <w:spacing w:before="0" w:after="0"/>
              <w:ind w:left="0" w:right="0" w:hanging="0"/>
              <w:jc w:val="center"/>
              <w:rPr/>
            </w:pPr>
            <w:r>
              <w:rPr/>
              <w:t>​</w:t>
            </w:r>
          </w:p>
        </w:tc>
        <w:tc>
          <w:tcPr>
            <w:tcW w:w="474"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326" w:type="dxa"/>
            <w:tcBorders/>
            <w:shd w:fill="CCEEFF" w:val="clear"/>
            <w:vAlign w:val="center"/>
          </w:tcPr>
          <w:p>
            <w:pPr>
              <w:pStyle w:val="TableContents"/>
              <w:spacing w:before="0" w:after="0"/>
              <w:ind w:left="0" w:right="0" w:hanging="0"/>
              <w:rPr/>
            </w:pPr>
            <w:r>
              <w:rPr/>
              <w:t>    </w:t>
            </w:r>
          </w:p>
        </w:tc>
        <w:tc>
          <w:tcPr>
            <w:tcW w:w="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474" w:type="dxa"/>
            <w:tcBorders/>
            <w:shd w:fill="CCEEFF" w:val="clear"/>
            <w:vAlign w:val="center"/>
          </w:tcPr>
          <w:p>
            <w:pPr>
              <w:pStyle w:val="TableContents"/>
              <w:spacing w:before="0" w:after="0"/>
              <w:ind w:left="0" w:right="0" w:hanging="0"/>
              <w:rPr/>
            </w:pPr>
            <w:r>
              <w:rPr/>
              <w:t>    </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$0.8 million, or 26.4%, to $3.7 million for the three months ended March 31, 2023 compared to $3.0 million for the same period in 2022. The increase was primarily due to the impact of infrastructure and technology purchases and other capitalized infrastructure costs to support our growth. As a percentage of revenues, depreciation expense increased slightly to 2.8% in the three months ended March 31, 2023 compared to 2.6% for the same period in 2022.</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Net</w:t>
      </w:r>
    </w:p>
    <w:tbl>
      <w:tblPr>
        <w:tblW w:w="7135" w:type="dxa"/>
        <w:jc w:val="left"/>
        <w:tblInd w:w="0" w:type="dxa"/>
        <w:tblCellMar>
          <w:top w:w="0" w:type="dxa"/>
          <w:left w:w="0" w:type="dxa"/>
          <w:bottom w:w="0" w:type="dxa"/>
          <w:right w:w="0" w:type="dxa"/>
        </w:tblCellMar>
      </w:tblPr>
      <w:tblGrid>
        <w:gridCol w:w="2491"/>
        <w:gridCol w:w="326"/>
        <w:gridCol w:w="213"/>
        <w:gridCol w:w="425"/>
        <w:gridCol w:w="329"/>
        <w:gridCol w:w="213"/>
        <w:gridCol w:w="425"/>
        <w:gridCol w:w="326"/>
        <w:gridCol w:w="283"/>
        <w:gridCol w:w="645"/>
        <w:gridCol w:w="437"/>
        <w:gridCol w:w="706"/>
        <w:gridCol w:w="316"/>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581785" cy="175260"/>
                      <wp:effectExtent l="0" t="0" r="0" b="0"/>
                      <wp:wrapNone/>
                      <wp:docPr id="362" name="Frame362"/>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5255" cy="175260"/>
                      <wp:effectExtent l="0" t="0" r="0" b="0"/>
                      <wp:wrapNone/>
                      <wp:docPr id="364" name="Frame364"/>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69875" cy="175260"/>
                      <wp:effectExtent l="0" t="0" r="0" b="0"/>
                      <wp:wrapNone/>
                      <wp:docPr id="365" name="Frame365"/>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8915" cy="175260"/>
                      <wp:effectExtent l="0" t="0" r="0" b="0"/>
                      <wp:wrapNone/>
                      <wp:docPr id="366" name="Frame366"/>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5255" cy="175260"/>
                      <wp:effectExtent l="0" t="0" r="0" b="0"/>
                      <wp:wrapNone/>
                      <wp:docPr id="367" name="Frame367"/>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69875" cy="175260"/>
                      <wp:effectExtent l="0" t="0" r="0" b="0"/>
                      <wp:wrapNone/>
                      <wp:docPr id="368" name="Frame368"/>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9705" cy="175260"/>
                      <wp:effectExtent l="0" t="0" r="0" b="0"/>
                      <wp:wrapNone/>
                      <wp:docPr id="370" name="Frame370"/>
                      <a:graphic xmlns:a="http://schemas.openxmlformats.org/drawingml/2006/main">
                        <a:graphicData uri="http://schemas.microsoft.com/office/word/2010/wordprocessingShape">
                          <wps:wsp>
                            <wps:cNvSpPr txBox="1"/>
                            <wps:spPr>
                              <a:xfrm>
                                <a:off x="0" y="0"/>
                                <a:ext cx="179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09575" cy="175260"/>
                      <wp:effectExtent l="0" t="0" r="0" b="0"/>
                      <wp:wrapNone/>
                      <wp:docPr id="371" name="Frame371"/>
                      <a:graphic xmlns:a="http://schemas.openxmlformats.org/drawingml/2006/main">
                        <a:graphicData uri="http://schemas.microsoft.com/office/word/2010/wordprocessingShape">
                          <wps:wsp>
                            <wps:cNvSpPr txBox="1"/>
                            <wps:spPr>
                              <a:xfrm>
                                <a:off x="0" y="0"/>
                                <a:ext cx="409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77495" cy="175260"/>
                      <wp:effectExtent l="0" t="0" r="0" b="0"/>
                      <wp:wrapNone/>
                      <wp:docPr id="372" name="Frame372"/>
                      <a:graphic xmlns:a="http://schemas.openxmlformats.org/drawingml/2006/main">
                        <a:graphicData uri="http://schemas.microsoft.com/office/word/2010/wordprocessingShape">
                          <wps:wsp>
                            <wps:cNvSpPr txBox="1"/>
                            <wps:spPr>
                              <a:xfrm>
                                <a:off x="0" y="0"/>
                                <a:ext cx="277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48310" cy="175260"/>
                      <wp:effectExtent l="0" t="0" r="0" b="0"/>
                      <wp:wrapNone/>
                      <wp:docPr id="373" name="Frame373"/>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0660" cy="175260"/>
                      <wp:effectExtent l="0" t="0" r="0" b="0"/>
                      <wp:wrapNone/>
                      <wp:docPr id="374" name="Frame37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center"/>
              <w:rPr/>
            </w:pPr>
            <w:r>
              <w:rPr/>
              <w:t>​</w:t>
            </w:r>
          </w:p>
        </w:tc>
        <w:tc>
          <w:tcPr>
            <w:tcW w:w="437"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4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283"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center"/>
              <w:rPr/>
            </w:pPr>
            <w:r>
              <w:rPr/>
              <w:t>​</w:t>
            </w:r>
          </w:p>
        </w:tc>
        <w:tc>
          <w:tcPr>
            <w:tcW w:w="437"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49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6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9" w:type="dxa"/>
            <w:tcBorders/>
            <w:shd w:fill="auto" w:val="clear"/>
            <w:vAlign w:val="center"/>
          </w:tcPr>
          <w:p>
            <w:pPr>
              <w:pStyle w:val="TableContents"/>
              <w:spacing w:before="0" w:after="0"/>
              <w:ind w:left="0" w:right="0" w:hanging="0"/>
              <w:rPr/>
            </w:pPr>
            <w:r>
              <w:rPr/>
              <w:t>    </w:t>
            </w:r>
          </w:p>
        </w:tc>
        <w:tc>
          <w:tcPr>
            <w:tcW w:w="63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w:t>
            </w:r>
          </w:p>
        </w:tc>
      </w:tr>
      <w:tr>
        <w:trPr/>
        <w:tc>
          <w:tcPr>
            <w:tcW w:w="24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operating expense, net </w:t>
            </w:r>
          </w:p>
        </w:tc>
        <w:tc>
          <w:tcPr>
            <w:tcW w:w="326"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9"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26"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437"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net, decreased $0.6 million, or (66.5)%, to $0.3 million of expense for the three months ended March 31, 2023 compared to $0.8 million of expense for the same period in 2022. The three months ended March 31, 2023 included $0.1 million foreign currency transaction losses incurred and $0.2 million associated with an increase in the contingent consideration liability for the Tellutax, Inc. acquisition (“Tellutax” and the “Tellutax Contingent Consideration”). The three months ended March 31, 2022 was primarily comprised of a $0.7 million increase in the Tellutax Contingent Consideration liability. As a percentage of total revenues, other operating expense, net decreased to 0.2% in the three months ended March 31, 2023 compared to 0.7% for the same period in 2022.</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Income Tax Expense</w:t>
      </w:r>
    </w:p>
    <w:tbl>
      <w:tblPr>
        <w:tblW w:w="6343" w:type="dxa"/>
        <w:jc w:val="left"/>
        <w:tblInd w:w="0" w:type="dxa"/>
        <w:tblCellMar>
          <w:top w:w="0" w:type="dxa"/>
          <w:left w:w="0" w:type="dxa"/>
          <w:bottom w:w="0" w:type="dxa"/>
          <w:right w:w="0" w:type="dxa"/>
        </w:tblCellMar>
      </w:tblPr>
      <w:tblGrid>
        <w:gridCol w:w="1726"/>
        <w:gridCol w:w="326"/>
        <w:gridCol w:w="211"/>
        <w:gridCol w:w="571"/>
        <w:gridCol w:w="326"/>
        <w:gridCol w:w="211"/>
        <w:gridCol w:w="421"/>
        <w:gridCol w:w="326"/>
        <w:gridCol w:w="331"/>
        <w:gridCol w:w="896"/>
        <w:gridCol w:w="511"/>
        <w:gridCol w:w="333"/>
        <w:gridCol w:w="154"/>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096010" cy="175260"/>
                      <wp:effectExtent l="0" t="0" r="0" b="0"/>
                      <wp:wrapNone/>
                      <wp:docPr id="375" name="Frame375"/>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62585" cy="175260"/>
                      <wp:effectExtent l="0" t="0" r="0" b="0"/>
                      <wp:wrapNone/>
                      <wp:docPr id="378" name="Frame37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67335" cy="175260"/>
                      <wp:effectExtent l="0" t="0" r="0" b="0"/>
                      <wp:wrapNone/>
                      <wp:docPr id="381" name="Frame381"/>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0185" cy="175260"/>
                      <wp:effectExtent l="0" t="0" r="0" b="0"/>
                      <wp:wrapNone/>
                      <wp:docPr id="383" name="Frame383"/>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68960" cy="175260"/>
                      <wp:effectExtent l="0" t="0" r="0" b="0"/>
                      <wp:wrapNone/>
                      <wp:docPr id="384" name="Frame384"/>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24485" cy="175260"/>
                      <wp:effectExtent l="0" t="0" r="0" b="0"/>
                      <wp:wrapNone/>
                      <wp:docPr id="385" name="Frame385"/>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1455" cy="175260"/>
                      <wp:effectExtent l="0" t="0" r="0" b="0"/>
                      <wp:wrapNone/>
                      <wp:docPr id="386" name="Frame386"/>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97790" cy="175260"/>
                      <wp:effectExtent l="0" t="0" r="0" b="0"/>
                      <wp:wrapNone/>
                      <wp:docPr id="387" name="Frame38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rPr/>
            </w:pPr>
            <w:r>
              <w:rPr/>
              <w:t>​</w:t>
            </w:r>
          </w:p>
        </w:tc>
        <w:tc>
          <w:tcPr>
            <w:tcW w:w="333"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rPr/>
            </w:pPr>
            <w:r>
              <w:rPr/>
              <w:t>​</w:t>
            </w:r>
          </w:p>
        </w:tc>
        <w:tc>
          <w:tcPr>
            <w:tcW w:w="333"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172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154" w:type="dxa"/>
            <w:tcBorders/>
            <w:shd w:fill="auto" w:val="clear"/>
            <w:vAlign w:val="center"/>
          </w:tcPr>
          <w:p>
            <w:pPr>
              <w:pStyle w:val="TableContents"/>
              <w:spacing w:before="0" w:after="0"/>
              <w:ind w:left="0" w:right="0" w:hanging="0"/>
              <w:jc w:val="center"/>
              <w:rPr/>
            </w:pPr>
            <w:r>
              <w:rPr/>
              <w:t>​</w:t>
            </w:r>
          </w:p>
        </w:tc>
      </w:tr>
      <w:tr>
        <w:trPr/>
        <w:tc>
          <w:tcPr>
            <w:tcW w:w="17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spacing w:before="0" w:after="0"/>
              <w:ind w:left="0" w:right="0" w:hanging="0"/>
              <w:rPr/>
            </w:pPr>
            <w:r>
              <w:rPr/>
              <w:t>    </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8,745</w:t>
            </w:r>
          </w:p>
        </w:tc>
        <w:tc>
          <w:tcPr>
            <w:tcW w:w="511" w:type="dxa"/>
            <w:tcBorders/>
            <w:shd w:fill="CCEEFF" w:val="clear"/>
            <w:vAlign w:val="center"/>
          </w:tcPr>
          <w:p>
            <w:pPr>
              <w:pStyle w:val="TableContents"/>
              <w:spacing w:before="0" w:after="0"/>
              <w:ind w:left="0" w:right="0" w:hanging="0"/>
              <w:rPr/>
            </w:pPr>
            <w:r>
              <w:rPr/>
              <w:t>    </w:t>
            </w:r>
          </w:p>
        </w:tc>
        <w:tc>
          <w:tcPr>
            <w:tcW w:w="3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 Percentage change not meaningful.</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increased by $8.7 million, to $9.6 million for the three months ended March 31, 2023 compared to $0.8 million for the same period in 2022. The increase in tax expense was primarily driven by an increase in state income taxes, differences in tax rates on foreign jurisdiction income or loss, limitations on deductions of certain employees’ compensation under Internal Revenue Code Section 162(m), and a valuation allowance on net deferred tax assets established for certain foreign jurisdictions.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spacing w:lineRule="auto" w:line="307" w:before="0" w:after="0"/>
        <w:ind w:left="60" w:right="79" w:firstLine="324"/>
        <w:jc w:val="both"/>
        <w:rPr>
          <w:rFonts w:ascii="Times New Roman;Times;serif" w:hAnsi="Times New Roman;Times;serif"/>
          <w:sz w:val="20"/>
        </w:rPr>
      </w:pPr>
      <w:r>
        <w:rPr>
          <w:rFonts w:ascii="Times New Roman;Times;serif" w:hAnsi="Times New Roman;Times;serif"/>
          <w:sz w:val="20"/>
        </w:rPr>
        <w:t>As of March 31, 2023, we had unrestricted cash and cash equivalents of $68.6 million and an accumulated deficit of $5.6 million. In addition, we had $11.5 million in investment securities with a maturity date exceeding three months as of March 31, 2023, not included in unrestricted cash and cash equivalents. Our primary sources of capital to date have been from sales of our solutions, proceeds from bank lending facilities and the initial public offering of our Class A common stock in July 2020 (the “Offering”). On March 8, 2022, we entered into a second amendment to our credit agreement with a banking syndicate (the “Second Amendment to the Credit Agreement”), which provided a $250.0 million facility consisting of a $50.0 million term loan (the “Term Loan”) and a $200.0 million line of credit (the “Line of Credit”). The proceeds from the Term Loan will be used for working capital, capital expenditures, permitted acquisitions and general corporate purposes.</w:t>
      </w:r>
    </w:p>
    <w:p>
      <w:pPr>
        <w:pStyle w:val="TextBody"/>
        <w:spacing w:lineRule="auto" w:line="307" w:before="0" w:after="0"/>
        <w:ind w:left="60" w:right="79" w:firstLine="324"/>
        <w:jc w:val="both"/>
        <w:rPr/>
      </w:pPr>
      <w:r>
        <w:rPr/>
        <w:t>​</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We believe that our existing cash resources and our bank Line of Credit will be sufficient to meet our capital requirements and fund our operations.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032"/>
        <w:gridCol w:w="326"/>
        <w:gridCol w:w="211"/>
        <w:gridCol w:w="788"/>
        <w:gridCol w:w="326"/>
        <w:gridCol w:w="211"/>
        <w:gridCol w:w="788"/>
        <w:gridCol w:w="326"/>
        <w:gridCol w:w="234"/>
        <w:gridCol w:w="880"/>
        <w:gridCol w:w="763"/>
        <w:gridCol w:w="320"/>
      </w:tblGrid>
      <w:tr>
        <w:trPr/>
        <w:tc>
          <w:tcPr>
            <w:tcW w:w="50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195320" cy="175260"/>
                      <wp:effectExtent l="0" t="0" r="0" b="0"/>
                      <wp:wrapNone/>
                      <wp:docPr id="388" name="Frame388"/>
                      <a:graphic xmlns:a="http://schemas.openxmlformats.org/drawingml/2006/main">
                        <a:graphicData uri="http://schemas.microsoft.com/office/word/2010/wordprocessingShape">
                          <wps:wsp>
                            <wps:cNvSpPr txBox="1"/>
                            <wps:spPr>
                              <a:xfrm>
                                <a:off x="0" y="0"/>
                                <a:ext cx="3195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00380" cy="175260"/>
                      <wp:effectExtent l="0" t="0" r="0" b="0"/>
                      <wp:wrapNone/>
                      <wp:docPr id="391" name="Frame391"/>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00380" cy="175260"/>
                      <wp:effectExtent l="0" t="0" r="0" b="0"/>
                      <wp:wrapNone/>
                      <wp:docPr id="394" name="Frame394"/>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48590" cy="175260"/>
                      <wp:effectExtent l="0" t="0" r="0" b="0"/>
                      <wp:wrapNone/>
                      <wp:docPr id="396" name="Frame396"/>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58800" cy="175260"/>
                      <wp:effectExtent l="0" t="0" r="0" b="0"/>
                      <wp:wrapNone/>
                      <wp:docPr id="397" name="Frame397"/>
                      <a:graphic xmlns:a="http://schemas.openxmlformats.org/drawingml/2006/main">
                        <a:graphicData uri="http://schemas.microsoft.com/office/word/2010/wordprocessingShape">
                          <wps:wsp>
                            <wps:cNvSpPr txBox="1"/>
                            <wps:spPr>
                              <a:xfrm>
                                <a:off x="0" y="0"/>
                                <a:ext cx="558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84505" cy="175260"/>
                      <wp:effectExtent l="0" t="0" r="0" b="0"/>
                      <wp:wrapNone/>
                      <wp:docPr id="398" name="Frame398"/>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3200" cy="175260"/>
                      <wp:effectExtent l="0" t="0" r="0" b="0"/>
                      <wp:wrapNone/>
                      <wp:docPr id="399" name="Frame399"/>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3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2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shd w:fill="auto" w:val="clear"/>
            <w:vAlign w:val="center"/>
          </w:tcPr>
          <w:p>
            <w:pPr>
              <w:pStyle w:val="TableContents"/>
              <w:spacing w:before="0" w:after="0"/>
              <w:ind w:left="0" w:right="0" w:hanging="0"/>
              <w:jc w:val="center"/>
              <w:rPr/>
            </w:pPr>
            <w:r>
              <w:rPr/>
              <w:t>​</w:t>
            </w:r>
          </w:p>
        </w:tc>
        <w:tc>
          <w:tcPr>
            <w:tcW w:w="234" w:type="dxa"/>
            <w:tcBorders/>
            <w:shd w:fill="auto" w:val="clear"/>
            <w:vAlign w:val="center"/>
          </w:tcPr>
          <w:p>
            <w:pPr>
              <w:pStyle w:val="TableContents"/>
              <w:spacing w:before="0" w:after="0"/>
              <w:ind w:left="0" w:right="0" w:hanging="0"/>
              <w:jc w:val="center"/>
              <w:rPr/>
            </w:pPr>
            <w:r>
              <w:rPr/>
              <w:t>​</w:t>
            </w:r>
          </w:p>
        </w:tc>
        <w:tc>
          <w:tcPr>
            <w:tcW w:w="880" w:type="dxa"/>
            <w:tcBorders/>
            <w:shd w:fill="auto" w:val="clear"/>
            <w:vAlign w:val="center"/>
          </w:tcPr>
          <w:p>
            <w:pPr>
              <w:pStyle w:val="TableContents"/>
              <w:spacing w:before="0" w:after="0"/>
              <w:ind w:left="0" w:right="0" w:hanging="0"/>
              <w:jc w:val="center"/>
              <w:rPr/>
            </w:pPr>
            <w:r>
              <w:rPr/>
              <w:t>​</w:t>
            </w:r>
          </w:p>
        </w:tc>
        <w:tc>
          <w:tcPr>
            <w:tcW w:w="763" w:type="dxa"/>
            <w:tcBorders/>
            <w:shd w:fill="auto" w:val="cle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jc w:val="center"/>
              <w:rPr/>
            </w:pPr>
            <w:r>
              <w:rPr/>
              <w:t>​</w:t>
            </w:r>
          </w:p>
        </w:tc>
      </w:tr>
      <w:tr>
        <w:trPr/>
        <w:tc>
          <w:tcPr>
            <w:tcW w:w="503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2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w:t>
            </w:r>
          </w:p>
        </w:tc>
        <w:tc>
          <w:tcPr>
            <w:tcW w:w="234" w:type="dxa"/>
            <w:tcBorders/>
            <w:shd w:fill="auto" w:val="clear"/>
            <w:vAlign w:val="center"/>
          </w:tcPr>
          <w:p>
            <w:pPr>
              <w:pStyle w:val="TableContents"/>
              <w:spacing w:before="0" w:after="0"/>
              <w:ind w:left="0" w:right="0" w:hanging="0"/>
              <w:jc w:val="center"/>
              <w:rPr/>
            </w:pPr>
            <w:r>
              <w:rPr/>
              <w:t>​</w:t>
            </w:r>
          </w:p>
        </w:tc>
        <w:tc>
          <w:tcPr>
            <w:tcW w:w="880" w:type="dxa"/>
            <w:tcBorders/>
            <w:shd w:fill="auto" w:val="clear"/>
            <w:vAlign w:val="center"/>
          </w:tcPr>
          <w:p>
            <w:pPr>
              <w:pStyle w:val="TableContents"/>
              <w:spacing w:before="0" w:after="0"/>
              <w:ind w:left="0" w:right="0" w:hanging="0"/>
              <w:jc w:val="center"/>
              <w:rPr/>
            </w:pPr>
            <w:r>
              <w:rPr/>
              <w:t>​</w:t>
            </w:r>
          </w:p>
        </w:tc>
        <w:tc>
          <w:tcPr>
            <w:tcW w:w="763" w:type="dxa"/>
            <w:tcBorders/>
            <w:shd w:fill="auto" w:val="cle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jc w:val="center"/>
              <w:rPr/>
            </w:pPr>
            <w:r>
              <w:rPr/>
              <w:t>​</w:t>
            </w:r>
          </w:p>
        </w:tc>
      </w:tr>
      <w:tr>
        <w:trPr/>
        <w:tc>
          <w:tcPr>
            <w:tcW w:w="5032"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jc w:val="center"/>
              <w:rPr/>
            </w:pPr>
            <w:r>
              <w:rPr/>
              <w:t>​</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877"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2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50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26" w:type="dxa"/>
            <w:tcBorders/>
            <w:shd w:fill="CCEEFF" w:val="clear"/>
            <w:vAlign w:val="center"/>
          </w:tcPr>
          <w:p>
            <w:pPr>
              <w:pStyle w:val="TableContents"/>
              <w:spacing w:before="0" w:after="0"/>
              <w:ind w:left="0" w:right="0" w:hanging="0"/>
              <w:rPr/>
            </w:pPr>
            <w:r>
              <w:rPr/>
              <w:t>    </w:t>
            </w:r>
          </w:p>
        </w:tc>
        <w:tc>
          <w:tcPr>
            <w:tcW w:w="2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4,160</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(17,561)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(17,259)</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w:t>
            </w:r>
          </w:p>
        </w:tc>
        <w:tc>
          <w:tcPr>
            <w:tcW w:w="88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7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39,780</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88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(41,311)</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foreign exchange rate changes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7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0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25,033</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(37,166)</w:t>
            </w:r>
          </w:p>
        </w:tc>
        <w:tc>
          <w:tcPr>
            <w:tcW w:w="7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Operating Activities. </w:t>
      </w:r>
      <w:r>
        <w:rPr>
          <w:rFonts w:ascii="Times New Roman;Times;serif" w:hAnsi="Times New Roman;Times;serif"/>
          <w:sz w:val="20"/>
        </w:rPr>
        <w:t xml:space="preserve">Net cash provided by operating activities was $6.8 million for the three months ended March 31, 2023 compared to net cash provided by operating activities of $2.6 million for the same period in 2022, an increase of $4.2 million. The increase in cash provided by operating activities in the three months ended March 31, 2023 over the same period in 2022 of $4.2 million included: (i) a $24.7 million improvement in net cash from operating assets and liabilities, offset by (ii) a $20.5 million net decrease in cash comprised of adjustments to net loss for noncash operating activity which included increases in (a) depreciation and amortization of $4.0 million associated with investments in commercial software, infrastructure and acquisitions, (b) stock-based compensation of $6.5 million, and (c) deferred income taxes of $13.0 million.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Investing Activities.</w:t>
      </w:r>
      <w:r>
        <w:rPr>
          <w:rFonts w:ascii="Times New Roman;Times;serif" w:hAnsi="Times New Roman;Times;serif"/>
          <w:sz w:val="20"/>
        </w:rPr>
        <w:t xml:space="preserve"> Net cash used in investing activities was $17.6 million for the three months ended March 31, 2023 compared to $17.3 million for the same period in 2022, a slight increase in use of funds for investing activities of $0.3 million. This increase included purchases of investment securities of $3.5 million, offset by $3.3 million in proceeds from maturities of these investments.  In addition, investments in commercial software and internal tools increased $0.5 million in support of our commercial cloud-based customer solutions and internal infrastructure systems and tools. This was offset by a $0.5 million reduction in cash paid for acquisitions.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used in financing activities was $1.5 million for the three months ended March 31, 2023 compared to $39.8 million net cash provided by financing activities for the same period in 2022, a decrease in cash of $41.3 million. The decrease in cash provided by financing activities was primarily driven by cash received in 2022 in connection with borrowings under the Term Loan of $50.0 million associated with the Second Amendment to the Credit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Agreement, partially offset by an increase in customer funds obligations of $9.9 million in 2023 due primarily to timing differences between receipt of funds from customers and taxing jurisdiction withdrawals of these funds.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As of March 31, 2023, we had a $200.0 million Line of Credit with no outstanding borrowings and a $50.0 million Term Loan in connection with the Second Amendment to the Credit Agreement. Interest on outstanding borrowings accrue at a base rate plus an applicable margin (8.00% as of March 31, 2023) or the Secured Overnight Financing Rate (“SOFR”) plus an applicable margin (5.72% as of March 31, 2023). We have $48.6 million in bank debt outstanding at March 31, 2023 associated with the Term Loan.</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Funds Held for Customers and Customer Funds Obligations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the borrowings under the Second Amendment to the Credit Agreement entered into in March 2022, there have been no material updates or changes to our contractual obligations and commitments compared to contractual obligations and commitments described in our 2022 Annual Report.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Business Metrics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Annual Recurring Revenue (“ARR”) and Average Annual Revenue Per Customer (“AARPC”).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AARPC represents average annual revenue per customer and is calculated by dividing ARR by the number of software subscription customers at the end of the respective period.</w:t>
      </w:r>
    </w:p>
    <w:tbl>
      <w:tblPr>
        <w:tblW w:w="7162" w:type="dxa"/>
        <w:jc w:val="left"/>
        <w:tblInd w:w="0" w:type="dxa"/>
        <w:tblCellMar>
          <w:top w:w="0" w:type="dxa"/>
          <w:left w:w="0" w:type="dxa"/>
          <w:bottom w:w="0" w:type="dxa"/>
          <w:right w:w="0" w:type="dxa"/>
        </w:tblCellMar>
      </w:tblPr>
      <w:tblGrid>
        <w:gridCol w:w="2341"/>
        <w:gridCol w:w="326"/>
        <w:gridCol w:w="211"/>
        <w:gridCol w:w="571"/>
        <w:gridCol w:w="326"/>
        <w:gridCol w:w="211"/>
        <w:gridCol w:w="571"/>
        <w:gridCol w:w="326"/>
        <w:gridCol w:w="321"/>
        <w:gridCol w:w="709"/>
        <w:gridCol w:w="221"/>
        <w:gridCol w:w="712"/>
        <w:gridCol w:w="316"/>
      </w:tblGrid>
      <w:tr>
        <w:trPr/>
        <w:tc>
          <w:tcPr>
            <w:tcW w:w="2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86535" cy="175260"/>
                      <wp:effectExtent l="0" t="0" r="0" b="0"/>
                      <wp:wrapNone/>
                      <wp:docPr id="400" name="Frame400"/>
                      <a:graphic xmlns:a="http://schemas.openxmlformats.org/drawingml/2006/main">
                        <a:graphicData uri="http://schemas.microsoft.com/office/word/2010/wordprocessingShape">
                          <wps:wsp>
                            <wps:cNvSpPr txBox="1"/>
                            <wps:spPr>
                              <a:xfrm>
                                <a:off x="0" y="0"/>
                                <a:ext cx="148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4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62585" cy="175260"/>
                      <wp:effectExtent l="0" t="0" r="0" b="0"/>
                      <wp:wrapNone/>
                      <wp:docPr id="403" name="Frame40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62585" cy="175260"/>
                      <wp:effectExtent l="0" t="0" r="0" b="0"/>
                      <wp:wrapNone/>
                      <wp:docPr id="406" name="Frame40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3835" cy="175260"/>
                      <wp:effectExtent l="0" t="0" r="0" b="0"/>
                      <wp:wrapNone/>
                      <wp:docPr id="408" name="Frame408"/>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50215" cy="175260"/>
                      <wp:effectExtent l="0" t="0" r="0" b="0"/>
                      <wp:wrapNone/>
                      <wp:docPr id="409" name="Frame409"/>
                      <a:graphic xmlns:a="http://schemas.openxmlformats.org/drawingml/2006/main">
                        <a:graphicData uri="http://schemas.microsoft.com/office/word/2010/wordprocessingShape">
                          <wps:wsp>
                            <wps:cNvSpPr txBox="1"/>
                            <wps:spPr>
                              <a:xfrm>
                                <a:off x="0" y="0"/>
                                <a:ext cx="450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40335" cy="175260"/>
                      <wp:effectExtent l="0" t="0" r="0" b="0"/>
                      <wp:wrapNone/>
                      <wp:docPr id="410" name="Frame410"/>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52120" cy="175260"/>
                      <wp:effectExtent l="0" t="0" r="0" b="0"/>
                      <wp:wrapNone/>
                      <wp:docPr id="411" name="Frame411"/>
                      <a:graphic xmlns:a="http://schemas.openxmlformats.org/drawingml/2006/main">
                        <a:graphicData uri="http://schemas.microsoft.com/office/word/2010/wordprocessingShape">
                          <wps:wsp>
                            <wps:cNvSpPr txBox="1"/>
                            <wps:spPr>
                              <a:xfrm>
                                <a:off x="0" y="0"/>
                                <a:ext cx="452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0660" cy="175260"/>
                      <wp:effectExtent l="0" t="0" r="0" b="0"/>
                      <wp:wrapNone/>
                      <wp:docPr id="412" name="Frame41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w:t>
            </w:r>
          </w:p>
        </w:tc>
        <w:tc>
          <w:tcPr>
            <w:tcW w:w="709" w:type="dxa"/>
            <w:tcBorders/>
            <w:shd w:fill="auto" w:val="clear"/>
            <w:vAlign w:val="center"/>
          </w:tcPr>
          <w:p>
            <w:pPr>
              <w:pStyle w:val="TableContents"/>
              <w:spacing w:before="0" w:after="0"/>
              <w:ind w:left="0" w:right="0" w:hanging="0"/>
              <w:rPr/>
            </w:pPr>
            <w:r>
              <w:rPr/>
              <w:t>​</w:t>
            </w:r>
          </w:p>
        </w:tc>
        <w:tc>
          <w:tcPr>
            <w:tcW w:w="221" w:type="dxa"/>
            <w:tcBorders/>
            <w:shd w:fill="auto" w:val="clear"/>
            <w:vAlign w:val="center"/>
          </w:tcPr>
          <w:p>
            <w:pPr>
              <w:pStyle w:val="TableContents"/>
              <w:spacing w:before="0" w:after="0"/>
              <w:ind w:left="0" w:right="0" w:hanging="0"/>
              <w:rPr/>
            </w:pPr>
            <w:r>
              <w:rPr/>
              <w:t>​</w:t>
            </w:r>
          </w:p>
        </w:tc>
        <w:tc>
          <w:tcPr>
            <w:tcW w:w="712"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23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26" w:type="dxa"/>
            <w:tcBorders/>
            <w:shd w:fill="auto" w:val="clear"/>
            <w:vAlign w:val="center"/>
          </w:tcPr>
          <w:p>
            <w:pPr>
              <w:pStyle w:val="TableContents"/>
              <w:spacing w:before="0" w:after="0"/>
              <w:ind w:left="0" w:right="0" w:hanging="0"/>
              <w:rPr/>
            </w:pPr>
            <w:r>
              <w:rPr/>
              <w:t>​</w:t>
            </w:r>
          </w:p>
        </w:tc>
        <w:tc>
          <w:tcPr>
            <w:tcW w:w="1963" w:type="dxa"/>
            <w:gridSpan w:val="4"/>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3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96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Year-Over-Year Change </w:t>
            </w:r>
          </w:p>
        </w:tc>
        <w:tc>
          <w:tcPr>
            <w:tcW w:w="316" w:type="dxa"/>
            <w:tcBorders/>
            <w:shd w:fill="auto" w:val="clear"/>
            <w:vAlign w:val="center"/>
          </w:tcPr>
          <w:p>
            <w:pPr>
              <w:pStyle w:val="TableContents"/>
              <w:spacing w:before="0" w:after="0"/>
              <w:ind w:left="0" w:right="0" w:hanging="0"/>
              <w:jc w:val="center"/>
              <w:rPr/>
            </w:pPr>
            <w:r>
              <w:rPr/>
              <w:t>​</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Annual Recurring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380.6</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221" w:type="dxa"/>
            <w:tcBorders/>
            <w:shd w:fill="CCEEFF" w:val="clear"/>
            <w:vAlign w:val="center"/>
          </w:tcPr>
          <w:p>
            <w:pPr>
              <w:pStyle w:val="TableContents"/>
              <w:spacing w:before="0" w:after="0"/>
              <w:ind w:left="0" w:right="0" w:hanging="0"/>
              <w:rPr/>
            </w:pPr>
            <w:r>
              <w:rPr/>
              <w:t> </w:t>
            </w:r>
          </w:p>
        </w:tc>
        <w:tc>
          <w:tcPr>
            <w:tcW w:w="7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ARR increased by $65.9 million, or 17.3%, at March 31, 2023, as compared to March 31, 2022. The increase was primarily driven by $40.0 million of growth in revenues from existing customers through their expanded use of our solutions as well as price increases, and $25.9 million in growth of subscriptions of our tax solutions to new customers.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had 4,278 customers and AARPC was approximately $104,370 at March 31, 2023. At March 31, 2022, we had 4,242 customers and approximately $89,700 of AARPC. The increase in AARPC was primarily due to expansion of usage by existing customers and adding new customers through organic growth.</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 Retention Rate (“NRR”)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tbl>
      <w:tblPr>
        <w:tblW w:w="4498" w:type="dxa"/>
        <w:jc w:val="left"/>
        <w:tblInd w:w="0" w:type="dxa"/>
        <w:tblCellMar>
          <w:top w:w="0" w:type="dxa"/>
          <w:left w:w="0" w:type="dxa"/>
          <w:bottom w:w="0" w:type="dxa"/>
          <w:right w:w="0" w:type="dxa"/>
        </w:tblCellMar>
      </w:tblPr>
      <w:tblGrid>
        <w:gridCol w:w="2446"/>
        <w:gridCol w:w="326"/>
        <w:gridCol w:w="476"/>
        <w:gridCol w:w="368"/>
        <w:gridCol w:w="476"/>
        <w:gridCol w:w="406"/>
      </w:tblGrid>
      <w:tr>
        <w:trPr/>
        <w:tc>
          <w:tcPr>
            <w:tcW w:w="2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553210" cy="175260"/>
                      <wp:effectExtent l="0" t="0" r="0" b="0"/>
                      <wp:wrapNone/>
                      <wp:docPr id="413" name="Frame413"/>
                      <a:graphic xmlns:a="http://schemas.openxmlformats.org/drawingml/2006/main">
                        <a:graphicData uri="http://schemas.microsoft.com/office/word/2010/wordprocessingShape">
                          <wps:wsp>
                            <wps:cNvSpPr txBox="1"/>
                            <wps:spPr>
                              <a:xfrm>
                                <a:off x="0" y="0"/>
                                <a:ext cx="1553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02260" cy="175260"/>
                      <wp:effectExtent l="0" t="0" r="0" b="0"/>
                      <wp:wrapNone/>
                      <wp:docPr id="415" name="Frame415"/>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33680" cy="175260"/>
                      <wp:effectExtent l="0" t="0" r="0" b="0"/>
                      <wp:wrapNone/>
                      <wp:docPr id="416" name="Frame416"/>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02260" cy="175260"/>
                      <wp:effectExtent l="0" t="0" r="0" b="0"/>
                      <wp:wrapNone/>
                      <wp:docPr id="417" name="Frame417"/>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57810" cy="175260"/>
                      <wp:effectExtent l="0" t="0" r="0" b="0"/>
                      <wp:wrapNone/>
                      <wp:docPr id="418" name="Frame418"/>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0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8" w:type="dxa"/>
            <w:tcBorders/>
            <w:shd w:fill="auto" w:val="clear"/>
            <w:vAlign w:val="center"/>
          </w:tcPr>
          <w:p>
            <w:pPr>
              <w:pStyle w:val="TableContents"/>
              <w:spacing w:before="0" w:after="0"/>
              <w:ind w:left="0" w:right="0" w:hanging="0"/>
              <w:rPr/>
            </w:pPr>
            <w:r>
              <w:rPr/>
              <w:t>    </w:t>
            </w:r>
          </w:p>
        </w:tc>
        <w:tc>
          <w:tcPr>
            <w:tcW w:w="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0"/>
              <w:ind w:left="0" w:right="0" w:hanging="0"/>
              <w:jc w:val="center"/>
              <w:rPr/>
            </w:pPr>
            <w:r>
              <w:rPr/>
              <w:t>​</w:t>
            </w:r>
          </w:p>
        </w:tc>
      </w:tr>
      <w:tr>
        <w:trPr/>
        <w:tc>
          <w:tcPr>
            <w:tcW w:w="24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 Retention Rate</w:t>
            </w:r>
          </w:p>
        </w:tc>
        <w:tc>
          <w:tcPr>
            <w:tcW w:w="326" w:type="dxa"/>
            <w:tcBorders/>
            <w:shd w:fill="CCEEFF" w:val="clear"/>
            <w:vAlign w:val="center"/>
          </w:tcPr>
          <w:p>
            <w:pPr>
              <w:pStyle w:val="TableContents"/>
              <w:spacing w:before="0" w:after="0"/>
              <w:ind w:left="0" w:right="0" w:hanging="0"/>
              <w:rPr/>
            </w:pPr>
            <w:r>
              <w:rPr/>
              <w:t> </w:t>
            </w:r>
          </w:p>
        </w:tc>
        <w:tc>
          <w:tcPr>
            <w:tcW w:w="4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Gross Revenue Retention Rate (“GRR”)</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  </w:t>
      </w:r>
    </w:p>
    <w:tbl>
      <w:tblPr>
        <w:tblW w:w="4663" w:type="dxa"/>
        <w:jc w:val="left"/>
        <w:tblInd w:w="0" w:type="dxa"/>
        <w:tblCellMar>
          <w:top w:w="0" w:type="dxa"/>
          <w:left w:w="0" w:type="dxa"/>
          <w:bottom w:w="0" w:type="dxa"/>
          <w:right w:w="0" w:type="dxa"/>
        </w:tblCellMar>
      </w:tblPr>
      <w:tblGrid>
        <w:gridCol w:w="2611"/>
        <w:gridCol w:w="326"/>
        <w:gridCol w:w="476"/>
        <w:gridCol w:w="368"/>
        <w:gridCol w:w="476"/>
        <w:gridCol w:w="406"/>
      </w:tblGrid>
      <w:tr>
        <w:trPr/>
        <w:tc>
          <w:tcPr>
            <w:tcW w:w="2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657985" cy="175260"/>
                      <wp:effectExtent l="0" t="0" r="0" b="0"/>
                      <wp:wrapNone/>
                      <wp:docPr id="419" name="Frame419"/>
                      <a:graphic xmlns:a="http://schemas.openxmlformats.org/drawingml/2006/main">
                        <a:graphicData uri="http://schemas.microsoft.com/office/word/2010/wordprocessingShape">
                          <wps:wsp>
                            <wps:cNvSpPr txBox="1"/>
                            <wps:spPr>
                              <a:xfrm>
                                <a:off x="0" y="0"/>
                                <a:ext cx="1657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02260" cy="175260"/>
                      <wp:effectExtent l="0" t="0" r="0" b="0"/>
                      <wp:wrapNone/>
                      <wp:docPr id="421" name="Frame421"/>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33680" cy="175260"/>
                      <wp:effectExtent l="0" t="0" r="0" b="0"/>
                      <wp:wrapNone/>
                      <wp:docPr id="422" name="Frame422"/>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02260" cy="175260"/>
                      <wp:effectExtent l="0" t="0" r="0" b="0"/>
                      <wp:wrapNone/>
                      <wp:docPr id="423" name="Frame423"/>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57810" cy="175260"/>
                      <wp:effectExtent l="0" t="0" r="0" b="0"/>
                      <wp:wrapNone/>
                      <wp:docPr id="424" name="Frame424"/>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0" w:type="dxa"/>
            <w:gridSpan w:val="3"/>
            <w:tcBorders/>
            <w:shd w:fill="auto" w:val="clear"/>
            <w:vAlign w:val="center"/>
          </w:tcPr>
          <w:p>
            <w:pPr>
              <w:pStyle w:val="TableContents"/>
              <w:spacing w:before="0" w:after="0"/>
              <w:ind w:left="0" w:right="0" w:hanging="0"/>
              <w:jc w:val="center"/>
              <w:rPr/>
            </w:pPr>
            <w:r>
              <w:rPr/>
              <w:t>​</w:t>
            </w:r>
          </w:p>
        </w:tc>
        <w:tc>
          <w:tcPr>
            <w:tcW w:w="406" w:type="dxa"/>
            <w:tcBorders/>
            <w:shd w:fill="auto" w:val="clear"/>
            <w:vAlign w:val="center"/>
          </w:tcPr>
          <w:p>
            <w:pPr>
              <w:pStyle w:val="TableContents"/>
              <w:spacing w:before="0" w:after="0"/>
              <w:ind w:left="0" w:right="0" w:hanging="0"/>
              <w:rPr/>
            </w:pPr>
            <w:r>
              <w:rPr/>
              <w:t>​</w:t>
            </w:r>
          </w:p>
        </w:tc>
      </w:tr>
      <w:tr>
        <w:trPr/>
        <w:tc>
          <w:tcPr>
            <w:tcW w:w="2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06" w:type="dxa"/>
            <w:tcBorders/>
            <w:shd w:fill="auto" w:val="clear"/>
            <w:vAlign w:val="center"/>
          </w:tcPr>
          <w:p>
            <w:pPr>
              <w:pStyle w:val="TableContents"/>
              <w:spacing w:before="0" w:after="0"/>
              <w:ind w:left="0" w:right="0" w:hanging="0"/>
              <w:jc w:val="center"/>
              <w:rPr/>
            </w:pPr>
            <w:r>
              <w:rPr/>
              <w:t>​</w:t>
            </w:r>
          </w:p>
        </w:tc>
      </w:tr>
      <w:tr>
        <w:trPr/>
        <w:tc>
          <w:tcPr>
            <w:tcW w:w="26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8" w:type="dxa"/>
            <w:tcBorders/>
            <w:shd w:fill="auto" w:val="clear"/>
            <w:vAlign w:val="center"/>
          </w:tcPr>
          <w:p>
            <w:pPr>
              <w:pStyle w:val="TableContents"/>
              <w:spacing w:before="0" w:after="0"/>
              <w:ind w:left="0" w:right="0" w:hanging="0"/>
              <w:rPr/>
            </w:pPr>
            <w:r>
              <w:rPr/>
              <w:t>    </w:t>
            </w:r>
          </w:p>
        </w:tc>
        <w:tc>
          <w:tcPr>
            <w:tcW w:w="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0"/>
              <w:ind w:left="0" w:right="0" w:hanging="0"/>
              <w:jc w:val="center"/>
              <w:rPr/>
            </w:pPr>
            <w:r>
              <w:rPr/>
              <w:t>​</w:t>
            </w:r>
          </w:p>
        </w:tc>
      </w:tr>
      <w:tr>
        <w:trPr/>
        <w:tc>
          <w:tcPr>
            <w:tcW w:w="26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Revenue Retention Rate</w:t>
            </w:r>
          </w:p>
        </w:tc>
        <w:tc>
          <w:tcPr>
            <w:tcW w:w="326" w:type="dxa"/>
            <w:tcBorders/>
            <w:shd w:fill="CCEEFF" w:val="clear"/>
            <w:vAlign w:val="center"/>
          </w:tcPr>
          <w:p>
            <w:pPr>
              <w:pStyle w:val="TableContents"/>
              <w:spacing w:before="0" w:after="0"/>
              <w:ind w:left="0" w:right="0" w:hanging="0"/>
              <w:rPr/>
            </w:pPr>
            <w:r>
              <w:rPr/>
              <w:t> </w:t>
            </w:r>
          </w:p>
        </w:tc>
        <w:tc>
          <w:tcPr>
            <w:tcW w:w="4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4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asset impairments, stock-based compensation expense, severance expense, acquisition contingent consideration, litigation settlements, and transaction costs (which includes offering costs related to the sale of shares of certain of our Class B shareholders which are not representative of normal business operations). Adjusted EBITDA margin represents Adjusted EBITDA divided by total revenues for the same period. For purposes of comparison, our net loss was $(18.1) million and $(0.3) million for the three months ended March 31, 2023 and 2022, respectively, while our net loss margin was (13.7)% and (0.3)% over the same periods, respectively.</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117"/>
        <w:gridCol w:w="326"/>
        <w:gridCol w:w="211"/>
        <w:gridCol w:w="791"/>
        <w:gridCol w:w="361"/>
        <w:gridCol w:w="211"/>
        <w:gridCol w:w="781"/>
        <w:gridCol w:w="407"/>
      </w:tblGrid>
      <w:tr>
        <w:trPr/>
        <w:tc>
          <w:tcPr>
            <w:tcW w:w="71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519295" cy="175260"/>
                      <wp:effectExtent l="0" t="0" r="0" b="0"/>
                      <wp:wrapNone/>
                      <wp:docPr id="425" name="Frame425"/>
                      <a:graphic xmlns:a="http://schemas.openxmlformats.org/drawingml/2006/main">
                        <a:graphicData uri="http://schemas.microsoft.com/office/word/2010/wordprocessingShape">
                          <wps:wsp>
                            <wps:cNvSpPr txBox="1"/>
                            <wps:spPr>
                              <a:xfrm>
                                <a:off x="0" y="0"/>
                                <a:ext cx="4519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02285" cy="175260"/>
                      <wp:effectExtent l="0" t="0" r="0" b="0"/>
                      <wp:wrapNone/>
                      <wp:docPr id="428" name="Frame428"/>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29235" cy="175260"/>
                      <wp:effectExtent l="0" t="0" r="0" b="0"/>
                      <wp:wrapNone/>
                      <wp:docPr id="429" name="Frame42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95935" cy="175260"/>
                      <wp:effectExtent l="0" t="0" r="0" b="0"/>
                      <wp:wrapNone/>
                      <wp:docPr id="431" name="Frame43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58445" cy="175260"/>
                      <wp:effectExtent l="0" t="0" r="0" b="0"/>
                      <wp:wrapNone/>
                      <wp:docPr id="432" name="Frame432"/>
                      <a:graphic xmlns:a="http://schemas.openxmlformats.org/drawingml/2006/main">
                        <a:graphicData uri="http://schemas.microsoft.com/office/word/2010/wordprocessingShape">
                          <wps:wsp>
                            <wps:cNvSpPr txBox="1"/>
                            <wps:spPr>
                              <a:xfrm>
                                <a:off x="0" y="0"/>
                                <a:ext cx="258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5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407" w:type="dxa"/>
            <w:tcBorders/>
            <w:shd w:fill="auto" w:val="clear"/>
            <w:vAlign w:val="center"/>
          </w:tcPr>
          <w:p>
            <w:pPr>
              <w:pStyle w:val="TableContents"/>
              <w:spacing w:before="0" w:after="0"/>
              <w:ind w:left="0" w:right="0" w:hanging="0"/>
              <w:jc w:val="center"/>
              <w:rPr/>
            </w:pPr>
            <w:r>
              <w:rPr/>
              <w:t>​</w:t>
            </w:r>
          </w:p>
        </w:tc>
      </w:tr>
      <w:tr>
        <w:trPr/>
        <w:tc>
          <w:tcPr>
            <w:tcW w:w="71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7" w:type="dxa"/>
            <w:tcBorders/>
            <w:shd w:fill="auto" w:val="clear"/>
            <w:vAlign w:val="center"/>
          </w:tcPr>
          <w:p>
            <w:pPr>
              <w:pStyle w:val="TableContents"/>
              <w:spacing w:before="0" w:after="0"/>
              <w:ind w:left="0" w:right="0" w:hanging="0"/>
              <w:jc w:val="center"/>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    </w:t>
            </w:r>
          </w:p>
        </w:tc>
        <w:tc>
          <w:tcPr>
            <w:tcW w:w="10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7" w:type="dxa"/>
            <w:tcBorders/>
            <w:shd w:fill="auto" w:val="clear"/>
            <w:vAlign w:val="center"/>
          </w:tcPr>
          <w:p>
            <w:pPr>
              <w:pStyle w:val="TableContents"/>
              <w:spacing w:before="0" w:after="0"/>
              <w:ind w:left="0" w:right="0" w:hanging="0"/>
              <w:jc w:val="center"/>
              <w:rPr/>
            </w:pPr>
            <w:r>
              <w:rPr/>
              <w:t>​</w:t>
            </w:r>
          </w:p>
        </w:tc>
      </w:tr>
      <w:tr>
        <w:trPr/>
        <w:tc>
          <w:tcPr>
            <w:tcW w:w="10205"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71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214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7" w:type="dxa"/>
            <w:tcBorders/>
            <w:shd w:fill="auto" w:val="clear"/>
            <w:vAlign w:val="center"/>
          </w:tcPr>
          <w:p>
            <w:pPr>
              <w:pStyle w:val="TableContents"/>
              <w:spacing w:before="0" w:after="0"/>
              <w:ind w:left="0" w:right="0" w:hanging="0"/>
              <w:jc w:val="center"/>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1" w:type="dxa"/>
            <w:tcBorders/>
            <w:shd w:fill="auto" w:val="clear"/>
            <w:vAlign w:val="center"/>
          </w:tcPr>
          <w:p>
            <w:pPr>
              <w:pStyle w:val="TableContents"/>
              <w:spacing w:before="0" w:after="0"/>
              <w:ind w:left="0" w:right="0" w:hanging="0"/>
              <w:rPr>
                <w:color w:val="FF0000"/>
              </w:rPr>
            </w:pPr>
            <w:r>
              <w:rPr>
                <w:color w:val="FF0000"/>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407" w:type="dxa"/>
            <w:tcBorders/>
            <w:shd w:fill="auto" w:val="clear"/>
            <w:vAlign w:val="center"/>
          </w:tcPr>
          <w:p>
            <w:pPr>
              <w:pStyle w:val="TableContents"/>
              <w:spacing w:before="0" w:after="0"/>
              <w:ind w:left="0" w:right="0" w:hanging="0"/>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(18,132)</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407" w:type="dxa"/>
            <w:tcBorders/>
            <w:shd w:fill="CCEEFF" w:val="clear"/>
            <w:vAlign w:val="center"/>
          </w:tcPr>
          <w:p>
            <w:pPr>
              <w:pStyle w:val="TableContents"/>
              <w:spacing w:before="0" w:after="0"/>
              <w:ind w:left="0" w:right="0" w:hanging="0"/>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7" w:type="dxa"/>
            <w:tcBorders/>
            <w:shd w:fill="auto" w:val="clear"/>
            <w:vAlign w:val="center"/>
          </w:tcPr>
          <w:p>
            <w:pPr>
              <w:pStyle w:val="TableContents"/>
              <w:spacing w:before="0" w:after="0"/>
              <w:ind w:left="0" w:right="0" w:hanging="0"/>
              <w:jc w:val="right"/>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9,553</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407" w:type="dxa"/>
            <w:tcBorders/>
            <w:shd w:fill="CCEEFF" w:val="clear"/>
            <w:vAlign w:val="center"/>
          </w:tcPr>
          <w:p>
            <w:pPr>
              <w:pStyle w:val="TableContents"/>
              <w:spacing w:before="0" w:after="0"/>
              <w:ind w:left="0" w:right="0" w:hanging="0"/>
              <w:jc w:val="right"/>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3,741</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407" w:type="dxa"/>
            <w:tcBorders/>
            <w:shd w:fill="auto" w:val="clear"/>
            <w:vAlign w:val="center"/>
          </w:tcPr>
          <w:p>
            <w:pPr>
              <w:pStyle w:val="TableContents"/>
              <w:spacing w:before="0" w:after="0"/>
              <w:ind w:left="0" w:right="0" w:hanging="0"/>
              <w:jc w:val="right"/>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12,435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9,697</w:t>
            </w:r>
          </w:p>
        </w:tc>
        <w:tc>
          <w:tcPr>
            <w:tcW w:w="407" w:type="dxa"/>
            <w:tcBorders/>
            <w:shd w:fill="CCEEFF" w:val="clear"/>
            <w:vAlign w:val="center"/>
          </w:tcPr>
          <w:p>
            <w:pPr>
              <w:pStyle w:val="TableContents"/>
              <w:spacing w:before="0" w:after="0"/>
              <w:ind w:left="0" w:right="0" w:hanging="0"/>
              <w:jc w:val="right"/>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407" w:type="dxa"/>
            <w:tcBorders/>
            <w:shd w:fill="auto" w:val="clear"/>
            <w:vAlign w:val="center"/>
          </w:tcPr>
          <w:p>
            <w:pPr>
              <w:pStyle w:val="TableContents"/>
              <w:spacing w:before="0" w:after="0"/>
              <w:ind w:left="0" w:right="0" w:hanging="0"/>
              <w:jc w:val="right"/>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11,434</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4,933</w:t>
            </w:r>
          </w:p>
        </w:tc>
        <w:tc>
          <w:tcPr>
            <w:tcW w:w="407" w:type="dxa"/>
            <w:tcBorders/>
            <w:shd w:fill="CCEEFF" w:val="clear"/>
            <w:vAlign w:val="center"/>
          </w:tcPr>
          <w:p>
            <w:pPr>
              <w:pStyle w:val="TableContents"/>
              <w:spacing w:before="0" w:after="0"/>
              <w:ind w:left="0" w:right="0" w:hanging="0"/>
              <w:jc w:val="right"/>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Severance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07" w:type="dxa"/>
            <w:tcBorders/>
            <w:shd w:fill="auto" w:val="clear"/>
            <w:vAlign w:val="center"/>
          </w:tcPr>
          <w:p>
            <w:pPr>
              <w:pStyle w:val="TableContents"/>
              <w:spacing w:before="0" w:after="0"/>
              <w:ind w:left="0" w:right="0" w:hanging="0"/>
              <w:jc w:val="right"/>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contingent consideration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407" w:type="dxa"/>
            <w:tcBorders/>
            <w:shd w:fill="CCEEFF" w:val="clear"/>
            <w:vAlign w:val="center"/>
          </w:tcPr>
          <w:p>
            <w:pPr>
              <w:pStyle w:val="TableContents"/>
              <w:spacing w:before="0" w:after="0"/>
              <w:ind w:left="0" w:right="0" w:hanging="0"/>
              <w:jc w:val="right"/>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Transaction costs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7" w:type="dxa"/>
            <w:tcBorders/>
            <w:shd w:fill="auto" w:val="clear"/>
            <w:vAlign w:val="center"/>
          </w:tcPr>
          <w:p>
            <w:pPr>
              <w:pStyle w:val="TableContents"/>
              <w:spacing w:before="0" w:after="0"/>
              <w:ind w:left="0" w:right="0" w:hanging="0"/>
              <w:jc w:val="right"/>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20,202</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19,136</w:t>
            </w:r>
          </w:p>
        </w:tc>
        <w:tc>
          <w:tcPr>
            <w:tcW w:w="407" w:type="dxa"/>
            <w:tcBorders/>
            <w:shd w:fill="CCEEFF" w:val="clear"/>
            <w:vAlign w:val="center"/>
          </w:tcPr>
          <w:p>
            <w:pPr>
              <w:pStyle w:val="TableContents"/>
              <w:spacing w:before="0" w:after="0"/>
              <w:ind w:left="0" w:right="0" w:hanging="0"/>
              <w:jc w:val="right"/>
              <w:rPr/>
            </w:pPr>
            <w:r>
              <w:rPr/>
              <w:t>​</w:t>
            </w:r>
          </w:p>
        </w:tc>
      </w:tr>
      <w:tr>
        <w:trPr/>
        <w:tc>
          <w:tcPr>
            <w:tcW w:w="71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407" w:type="dxa"/>
            <w:tcBorders/>
            <w:shd w:fill="auto" w:val="clear"/>
            <w:vAlign w:val="center"/>
          </w:tcPr>
          <w:p>
            <w:pPr>
              <w:pStyle w:val="TableContents"/>
              <w:spacing w:before="0" w:after="0"/>
              <w:ind w:left="0" w:right="0" w:hanging="0"/>
              <w:jc w:val="right"/>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Margin: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407" w:type="dxa"/>
            <w:tcBorders/>
            <w:shd w:fill="CCEEFF" w:val="clear"/>
            <w:vAlign w:val="center"/>
          </w:tcPr>
          <w:p>
            <w:pPr>
              <w:pStyle w:val="TableContents"/>
              <w:spacing w:before="0" w:after="0"/>
              <w:ind w:left="0" w:right="0" w:hanging="0"/>
              <w:jc w:val="right"/>
              <w:rPr/>
            </w:pPr>
            <w:r>
              <w:rPr/>
              <w:t>​</w:t>
            </w:r>
          </w:p>
        </w:tc>
      </w:tr>
      <w:tr>
        <w:trPr/>
        <w:tc>
          <w:tcPr>
            <w:tcW w:w="71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132,751</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114,984</w:t>
            </w:r>
          </w:p>
        </w:tc>
        <w:tc>
          <w:tcPr>
            <w:tcW w:w="407" w:type="dxa"/>
            <w:tcBorders/>
            <w:shd w:fill="auto" w:val="clear"/>
            <w:vAlign w:val="center"/>
          </w:tcPr>
          <w:p>
            <w:pPr>
              <w:pStyle w:val="TableContents"/>
              <w:spacing w:before="0" w:after="0"/>
              <w:ind w:left="0" w:right="0" w:hanging="0"/>
              <w:jc w:val="right"/>
              <w:rPr/>
            </w:pPr>
            <w:r>
              <w:rPr/>
              <w:t>​</w:t>
            </w:r>
          </w:p>
        </w:tc>
      </w:tr>
      <w:tr>
        <w:trPr/>
        <w:tc>
          <w:tcPr>
            <w:tcW w:w="7117"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margin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40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increase in Adjusted EBITDA for the three months ended March 31, 2023 of $1.1 million over the comparable period in 2022 was primarily driven by an increase of $14.6 million in non-GAAP gross profit, offset by increases in various non-GAAP operating expense categories including $6.4 million in non-GAAP selling and marketing expense, $4.1 million in non-GAAP research and development expense and $3.1 million in non-GAAP general and administrative expense. Increased investment in selling and marketing expense was driven by increased expenses associated with the growth in period over period subscription sales and services revenue and expansion of our partner and channel management programs. In addition, there was increased advertising and promotional spending and brand awareness efforts. Increased research and development expense was due primarily to an increase in personnel costs related to development work associated with innovation and new solutions to address end-to-end data analysis and compliance needs of our customers.  Increased general and administrative expense was driven by planned strategic investments in information technology infrastructure, business process reengineering and other initiatives to drive future operating leverage, as well as investments in employees, systems and resources in support of our growth. Adjusted EBITDA margin decreased to 15.2% for the three months ended March 31, 2023 compared to 16.6% for the comparable period in 2022 primarily due to operating expenses increasing at a higher rate than our increases in revenues, driven by our previously noted investments to enable future growth.</w:t>
      </w:r>
    </w:p>
    <w:p>
      <w:pPr>
        <w:pStyle w:val="TextBody"/>
        <w:spacing w:before="0" w:after="0"/>
        <w:ind w:left="0" w:right="0" w:hanging="0"/>
        <w:jc w:val="both"/>
        <w:rPr>
          <w:rFonts w:ascii="Times New Roman;Times;serif" w:hAnsi="Times New Roman;Times;serif"/>
          <w:b/>
          <w:i/>
          <w:sz w:val="20"/>
        </w:rPr>
      </w:pPr>
      <w:r>
        <w:rPr>
          <w:rFonts w:ascii="Times New Roman;Times;serif" w:hAnsi="Times New Roman;Times;serif"/>
          <w:b/>
          <w:i/>
          <w:sz w:val="20"/>
        </w:rPr>
        <w:t>Free Cash Flow and Free Cash Flow Margin.</w:t>
      </w:r>
    </w:p>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define free cash flow margin as free cash flow divided by total revenues for the same period. Our net cash provided by operating activities was $6.8 million and $2.6 million for the three months ended March 31, 2023 and 2022, respectively, while our operating cash flow margin was 5.1% and 2.3% over the same periods, respectively.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6393" w:type="dxa"/>
        <w:jc w:val="left"/>
        <w:tblInd w:w="0" w:type="dxa"/>
        <w:tblCellMar>
          <w:top w:w="0" w:type="dxa"/>
          <w:left w:w="0" w:type="dxa"/>
          <w:bottom w:w="0" w:type="dxa"/>
          <w:right w:w="0" w:type="dxa"/>
        </w:tblCellMar>
      </w:tblPr>
      <w:tblGrid>
        <w:gridCol w:w="3286"/>
        <w:gridCol w:w="326"/>
        <w:gridCol w:w="211"/>
        <w:gridCol w:w="796"/>
        <w:gridCol w:w="361"/>
        <w:gridCol w:w="211"/>
        <w:gridCol w:w="796"/>
        <w:gridCol w:w="406"/>
      </w:tblGrid>
      <w:tr>
        <w:trPr/>
        <w:tc>
          <w:tcPr>
            <w:tcW w:w="3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86610" cy="175260"/>
                      <wp:effectExtent l="0" t="0" r="0" b="0"/>
                      <wp:wrapNone/>
                      <wp:docPr id="433" name="Frame433"/>
                      <a:graphic xmlns:a="http://schemas.openxmlformats.org/drawingml/2006/main">
                        <a:graphicData uri="http://schemas.microsoft.com/office/word/2010/wordprocessingShape">
                          <wps:wsp>
                            <wps:cNvSpPr txBox="1"/>
                            <wps:spPr>
                              <a:xfrm>
                                <a:off x="0" y="0"/>
                                <a:ext cx="2086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05460" cy="175260"/>
                      <wp:effectExtent l="0" t="0" r="0" b="0"/>
                      <wp:wrapNone/>
                      <wp:docPr id="436" name="Frame43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29235" cy="175260"/>
                      <wp:effectExtent l="0" t="0" r="0" b="0"/>
                      <wp:wrapNone/>
                      <wp:docPr id="437" name="Frame43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05460" cy="175260"/>
                      <wp:effectExtent l="0" t="0" r="0" b="0"/>
                      <wp:wrapNone/>
                      <wp:docPr id="439" name="Frame43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57810" cy="175260"/>
                      <wp:effectExtent l="0" t="0" r="0" b="0"/>
                      <wp:wrapNone/>
                      <wp:docPr id="440" name="Frame44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406" w:type="dxa"/>
            <w:tcBorders/>
            <w:shd w:fill="auto" w:val="clear"/>
            <w:vAlign w:val="center"/>
          </w:tcPr>
          <w:p>
            <w:pPr>
              <w:pStyle w:val="TableContents"/>
              <w:spacing w:before="0" w:after="0"/>
              <w:ind w:left="0" w:right="0" w:hanging="0"/>
              <w:jc w:val="center"/>
              <w:rPr/>
            </w:pPr>
            <w:r>
              <w:rPr/>
              <w:t>​</w: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6" w:type="dxa"/>
            <w:tcBorders/>
            <w:shd w:fill="auto" w:val="clear"/>
            <w:vAlign w:val="center"/>
          </w:tcPr>
          <w:p>
            <w:pPr>
              <w:pStyle w:val="TableContents"/>
              <w:spacing w:before="0" w:after="0"/>
              <w:ind w:left="0" w:right="0" w:hanging="0"/>
              <w:jc w:val="center"/>
              <w:rPr/>
            </w:pPr>
            <w:r>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6" w:type="dxa"/>
            <w:tcBorders/>
            <w:shd w:fill="auto" w:val="clear"/>
            <w:vAlign w:val="center"/>
          </w:tcPr>
          <w:p>
            <w:pPr>
              <w:pStyle w:val="TableContents"/>
              <w:spacing w:before="0" w:after="0"/>
              <w:ind w:left="0" w:right="0" w:hanging="0"/>
              <w:jc w:val="center"/>
              <w:rPr/>
            </w:pPr>
            <w:r>
              <w:rPr/>
              <w:t>​</w:t>
            </w:r>
          </w:p>
        </w:tc>
      </w:tr>
      <w:tr>
        <w:trPr/>
        <w:tc>
          <w:tcPr>
            <w:tcW w:w="639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2164"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6" w:type="dxa"/>
            <w:tcBorders/>
            <w:shd w:fill="auto" w:val="clear"/>
            <w:vAlign w:val="center"/>
          </w:tcPr>
          <w:p>
            <w:pPr>
              <w:pStyle w:val="TableContents"/>
              <w:spacing w:before="0" w:after="0"/>
              <w:ind w:left="0" w:right="0" w:hanging="0"/>
              <w:jc w:val="center"/>
              <w:rPr/>
            </w:pPr>
            <w:r>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406" w:type="dxa"/>
            <w:tcBorders/>
            <w:shd w:fill="auto" w:val="clear"/>
            <w:vAlign w:val="center"/>
          </w:tcPr>
          <w:p>
            <w:pPr>
              <w:pStyle w:val="TableContents"/>
              <w:spacing w:before="0" w:after="0"/>
              <w:ind w:left="0" w:right="0" w:hanging="0"/>
              <w:jc w:val="center"/>
              <w:rPr/>
            </w:pPr>
            <w:r>
              <w:rPr/>
              <w:t>​</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Cash provided by operating activities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406" w:type="dxa"/>
            <w:tcBorders/>
            <w:shd w:fill="CCEEFF" w:val="clear"/>
            <w:vAlign w:val="center"/>
          </w:tcPr>
          <w:p>
            <w:pPr>
              <w:pStyle w:val="TableContents"/>
              <w:spacing w:before="0" w:after="0"/>
              <w:ind w:left="0" w:right="0" w:hanging="0"/>
              <w:jc w:val="right"/>
              <w:rPr/>
            </w:pPr>
            <w:r>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additions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(13,313)</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(13,873)</w:t>
            </w:r>
          </w:p>
        </w:tc>
        <w:tc>
          <w:tcPr>
            <w:tcW w:w="406" w:type="dxa"/>
            <w:tcBorders/>
            <w:shd w:fill="auto" w:val="clear"/>
            <w:vAlign w:val="center"/>
          </w:tcPr>
          <w:p>
            <w:pPr>
              <w:pStyle w:val="TableContents"/>
              <w:spacing w:before="0" w:after="0"/>
              <w:ind w:left="0" w:right="0" w:hanging="0"/>
              <w:jc w:val="right"/>
              <w:rPr/>
            </w:pPr>
            <w:r>
              <w:rPr/>
              <w:t>​</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Capitalized software additions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(4,007)</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(2,912)</w:t>
            </w:r>
          </w:p>
        </w:tc>
        <w:tc>
          <w:tcPr>
            <w:tcW w:w="406" w:type="dxa"/>
            <w:tcBorders/>
            <w:shd w:fill="CCEEFF" w:val="clear"/>
            <w:vAlign w:val="center"/>
          </w:tcPr>
          <w:p>
            <w:pPr>
              <w:pStyle w:val="TableContents"/>
              <w:spacing w:before="0" w:after="0"/>
              <w:ind w:left="0" w:right="0" w:hanging="0"/>
              <w:jc w:val="right"/>
              <w:rPr/>
            </w:pPr>
            <w:r>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(10,565)</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(14,190)</w:t>
            </w:r>
          </w:p>
        </w:tc>
        <w:tc>
          <w:tcPr>
            <w:tcW w:w="406" w:type="dxa"/>
            <w:tcBorders/>
            <w:shd w:fill="auto" w:val="clear"/>
            <w:vAlign w:val="center"/>
          </w:tcPr>
          <w:p>
            <w:pPr>
              <w:pStyle w:val="TableContents"/>
              <w:spacing w:before="0" w:after="0"/>
              <w:ind w:left="0" w:right="0" w:hanging="0"/>
              <w:jc w:val="right"/>
              <w:rPr/>
            </w:pPr>
            <w:r>
              <w:rPr/>
              <w:t>​</w:t>
            </w:r>
          </w:p>
        </w:tc>
      </w:tr>
      <w:tr>
        <w:trPr/>
        <w:tc>
          <w:tcPr>
            <w:tcW w:w="32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406" w:type="dxa"/>
            <w:tcBorders/>
            <w:shd w:fill="CCEEFF" w:val="clear"/>
            <w:vAlign w:val="center"/>
          </w:tcPr>
          <w:p>
            <w:pPr>
              <w:pStyle w:val="TableContents"/>
              <w:spacing w:before="0" w:after="0"/>
              <w:ind w:left="0" w:right="0" w:hanging="0"/>
              <w:jc w:val="right"/>
              <w:rPr/>
            </w:pPr>
            <w:r>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406" w:type="dxa"/>
            <w:tcBorders/>
            <w:shd w:fill="auto" w:val="clear"/>
            <w:vAlign w:val="center"/>
          </w:tcPr>
          <w:p>
            <w:pPr>
              <w:pStyle w:val="TableContents"/>
              <w:spacing w:before="0" w:after="0"/>
              <w:ind w:left="0" w:right="0" w:hanging="0"/>
              <w:jc w:val="right"/>
              <w:rPr/>
            </w:pPr>
            <w:r>
              <w:rPr/>
              <w:t>​</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132,751</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114,984</w:t>
            </w:r>
          </w:p>
        </w:tc>
        <w:tc>
          <w:tcPr>
            <w:tcW w:w="406" w:type="dxa"/>
            <w:tcBorders/>
            <w:shd w:fill="CCEEFF" w:val="clear"/>
            <w:vAlign w:val="center"/>
          </w:tcPr>
          <w:p>
            <w:pPr>
              <w:pStyle w:val="TableContents"/>
              <w:spacing w:before="0" w:after="0"/>
              <w:ind w:left="0" w:right="0" w:hanging="0"/>
              <w:jc w:val="right"/>
              <w:rPr/>
            </w:pPr>
            <w:r>
              <w:rPr/>
              <w:t>​</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increased by $3.6 million for the three months ended March 31, 2023, as compared to the same period in 2022. This increase was primarily driven by an increase in net cash provided by operating activities of $4.2 million. Free cash flow margin improved to (8.0)% for the three months ended March 31, 2023, compared to (12.3)% for the same period in 2022.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Additional Non-GAAP Financial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r>
    </w:tbl>
    <w:tbl>
      <w:tblPr>
        <w:tblW w:w="10131" w:type="dxa"/>
        <w:jc w:val="left"/>
        <w:tblInd w:w="0" w:type="dxa"/>
        <w:tblCellMar>
          <w:top w:w="28" w:type="dxa"/>
          <w:left w:w="28" w:type="dxa"/>
          <w:bottom w:w="28" w:type="dxa"/>
          <w:right w:w="28" w:type="dxa"/>
        </w:tblCellMar>
      </w:tblPr>
      <w:tblGrid>
        <w:gridCol w:w="124"/>
        <w:gridCol w:w="256"/>
        <w:gridCol w:w="9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included in research and development expense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general and administrative expense is determined by adding back to GAAP general and administrative expense the stock-based compensation expense and severance expense included in general and administrative expense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litigation settlements, and transaction costs (which includes offering costs related to the sale of shares of certain of our Class B shareholders which are not representative of normal business operations), included in GAAP loss or income from operations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is determined by adding back to GAAP net loss or income the income tax benefit or expense,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litigation settlements, and transaction costs (which includes offering costs related to the sale of shares of certain of our Class B shareholders which are not representative of normal business operations), included in GAAP net loss or income for the respective periods to determine non-GAAP loss or income before income taxes. Non-GAAP loss or income before income taxes is then adjusted for income taxes calculated using the respective statutory tax rates for applicable jurisdictions, which for purposes of this determination were assumed to be 25.5%. </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schedules reflect our additional non-GAAP financial measures and reconciles our additional non-GAAP financial measures to the related GAAP financial measures.</w:t>
      </w:r>
    </w:p>
    <w:p>
      <w:pPr>
        <w:pStyle w:val="TextBody"/>
        <w:spacing w:before="0" w:after="0"/>
        <w:ind w:left="0" w:right="0" w:hanging="0"/>
        <w:jc w:val="both"/>
        <w:rPr/>
      </w:pPr>
      <w:r>
        <w:rPr/>
        <w:t>​</w:t>
      </w:r>
    </w:p>
    <w:tbl>
      <w:tblPr>
        <w:tblW w:w="7053" w:type="dxa"/>
        <w:jc w:val="left"/>
        <w:tblInd w:w="0" w:type="dxa"/>
        <w:tblCellMar>
          <w:top w:w="0" w:type="dxa"/>
          <w:left w:w="0" w:type="dxa"/>
          <w:bottom w:w="0" w:type="dxa"/>
          <w:right w:w="0" w:type="dxa"/>
        </w:tblCellMar>
      </w:tblPr>
      <w:tblGrid>
        <w:gridCol w:w="4276"/>
        <w:gridCol w:w="326"/>
        <w:gridCol w:w="211"/>
        <w:gridCol w:w="676"/>
        <w:gridCol w:w="361"/>
        <w:gridCol w:w="211"/>
        <w:gridCol w:w="676"/>
        <w:gridCol w:w="316"/>
      </w:tblGrid>
      <w:tr>
        <w:trPr/>
        <w:tc>
          <w:tcPr>
            <w:tcW w:w="4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715260" cy="175260"/>
                      <wp:effectExtent l="0" t="0" r="0" b="0"/>
                      <wp:wrapNone/>
                      <wp:docPr id="441" name="Frame441"/>
                      <a:graphic xmlns:a="http://schemas.openxmlformats.org/drawingml/2006/main">
                        <a:graphicData uri="http://schemas.microsoft.com/office/word/2010/wordprocessingShape">
                          <wps:wsp>
                            <wps:cNvSpPr txBox="1"/>
                            <wps:spPr>
                              <a:xfrm>
                                <a:off x="0" y="0"/>
                                <a:ext cx="271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29260" cy="175260"/>
                      <wp:effectExtent l="0" t="0" r="0" b="0"/>
                      <wp:wrapNone/>
                      <wp:docPr id="444" name="Frame44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29235" cy="175260"/>
                      <wp:effectExtent l="0" t="0" r="0" b="0"/>
                      <wp:wrapNone/>
                      <wp:docPr id="445" name="Frame44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29260" cy="175260"/>
                      <wp:effectExtent l="0" t="0" r="0" b="0"/>
                      <wp:wrapNone/>
                      <wp:docPr id="447" name="Frame44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0660" cy="175260"/>
                      <wp:effectExtent l="0" t="0" r="0" b="0"/>
                      <wp:wrapNone/>
                      <wp:docPr id="448" name="Frame44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16" w:type="dxa"/>
            <w:tcBorders/>
            <w:shd w:fill="auto" w:val="clear"/>
            <w:vAlign w:val="center"/>
          </w:tcPr>
          <w:p>
            <w:pPr>
              <w:pStyle w:val="TableContents"/>
              <w:spacing w:before="0" w:after="0"/>
              <w:ind w:left="0" w:right="0" w:hanging="0"/>
              <w:jc w:val="center"/>
              <w:rPr/>
            </w:pPr>
            <w:r>
              <w:rPr/>
              <w:t>​</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6" w:type="dxa"/>
            <w:tcBorders/>
            <w:shd w:fill="auto" w:val="clear"/>
            <w:vAlign w:val="center"/>
          </w:tcPr>
          <w:p>
            <w:pPr>
              <w:pStyle w:val="TableContents"/>
              <w:spacing w:before="0" w:after="0"/>
              <w:ind w:left="0" w:right="0" w:hanging="0"/>
              <w:jc w:val="center"/>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0"/>
              <w:ind w:left="0" w:right="0" w:hanging="0"/>
              <w:jc w:val="center"/>
              <w:rPr/>
            </w:pPr>
            <w:r>
              <w:rPr/>
              <w:t>​</w:t>
            </w:r>
          </w:p>
        </w:tc>
      </w:tr>
      <w:tr>
        <w:trPr/>
        <w:tc>
          <w:tcPr>
            <w:tcW w:w="705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shd w:fill="auto" w:val="clear"/>
            <w:vAlign w:val="center"/>
          </w:tcPr>
          <w:p>
            <w:pPr>
              <w:pStyle w:val="TableContents"/>
              <w:spacing w:before="0" w:after="0"/>
              <w:ind w:left="0" w:right="0" w:hanging="0"/>
              <w:jc w:val="center"/>
              <w:rPr/>
            </w:pPr>
            <w:r>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cost of revenues, software subscriptions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23,972</w:t>
            </w:r>
          </w:p>
        </w:tc>
        <w:tc>
          <w:tcPr>
            <w:tcW w:w="361"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22,770</w:t>
            </w:r>
          </w:p>
        </w:tc>
        <w:tc>
          <w:tcPr>
            <w:tcW w:w="316" w:type="dxa"/>
            <w:tcBorders/>
            <w:shd w:fill="CCEEFF" w:val="clear"/>
            <w:vAlign w:val="center"/>
          </w:tcPr>
          <w:p>
            <w:pPr>
              <w:pStyle w:val="TableContents"/>
              <w:spacing w:before="0" w:after="0"/>
              <w:ind w:left="0" w:right="0" w:hanging="0"/>
              <w:jc w:val="right"/>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cost of revenues, services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13,508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11,547</w:t>
            </w:r>
          </w:p>
        </w:tc>
        <w:tc>
          <w:tcPr>
            <w:tcW w:w="316" w:type="dxa"/>
            <w:tcBorders/>
            <w:shd w:fill="auto" w:val="clear"/>
            <w:vAlign w:val="center"/>
          </w:tcPr>
          <w:p>
            <w:pPr>
              <w:pStyle w:val="TableContents"/>
              <w:spacing w:before="0" w:after="0"/>
              <w:ind w:left="0" w:right="0" w:hanging="0"/>
              <w:jc w:val="right"/>
              <w:rPr/>
            </w:pPr>
            <w:r>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95,271</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80,667</w:t>
            </w:r>
          </w:p>
        </w:tc>
        <w:tc>
          <w:tcPr>
            <w:tcW w:w="316" w:type="dxa"/>
            <w:tcBorders/>
            <w:shd w:fill="CCEEFF" w:val="clear"/>
            <w:vAlign w:val="center"/>
          </w:tcPr>
          <w:p>
            <w:pPr>
              <w:pStyle w:val="TableContents"/>
              <w:spacing w:before="0" w:after="0"/>
              <w:ind w:left="0" w:right="0" w:hanging="0"/>
              <w:jc w:val="right"/>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research and development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13,628</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9,519</w:t>
            </w:r>
          </w:p>
        </w:tc>
        <w:tc>
          <w:tcPr>
            <w:tcW w:w="316" w:type="dxa"/>
            <w:tcBorders/>
            <w:shd w:fill="CCEEFF" w:val="clear"/>
            <w:vAlign w:val="center"/>
          </w:tcPr>
          <w:p>
            <w:pPr>
              <w:pStyle w:val="TableContents"/>
              <w:spacing w:before="0" w:after="0"/>
              <w:ind w:left="0" w:right="0" w:hanging="0"/>
              <w:jc w:val="right"/>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selling and marketing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32,072</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25,631</w:t>
            </w:r>
          </w:p>
        </w:tc>
        <w:tc>
          <w:tcPr>
            <w:tcW w:w="316" w:type="dxa"/>
            <w:tcBorders/>
            <w:shd w:fill="auto" w:val="clear"/>
            <w:vAlign w:val="center"/>
          </w:tcPr>
          <w:p>
            <w:pPr>
              <w:pStyle w:val="TableContents"/>
              <w:spacing w:before="0" w:after="0"/>
              <w:ind w:left="0" w:right="0" w:hanging="0"/>
              <w:jc w:val="right"/>
              <w:rPr/>
            </w:pPr>
            <w:r>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general and administrative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29,285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26,233</w:t>
            </w:r>
          </w:p>
        </w:tc>
        <w:tc>
          <w:tcPr>
            <w:tcW w:w="316" w:type="dxa"/>
            <w:tcBorders/>
            <w:shd w:fill="CCEEFF" w:val="clear"/>
            <w:vAlign w:val="center"/>
          </w:tcPr>
          <w:p>
            <w:pPr>
              <w:pStyle w:val="TableContents"/>
              <w:spacing w:before="0" w:after="0"/>
              <w:ind w:left="0" w:right="0" w:hanging="0"/>
              <w:jc w:val="right"/>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operating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16,461</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16,176</w:t>
            </w:r>
          </w:p>
        </w:tc>
        <w:tc>
          <w:tcPr>
            <w:tcW w:w="316" w:type="dxa"/>
            <w:tcBorders/>
            <w:shd w:fill="auto" w:val="clear"/>
            <w:vAlign w:val="center"/>
          </w:tcPr>
          <w:p>
            <w:pPr>
              <w:pStyle w:val="TableContents"/>
              <w:spacing w:before="0" w:after="0"/>
              <w:ind w:left="0" w:right="0" w:hanging="0"/>
              <w:jc w:val="right"/>
              <w:rPr/>
            </w:pPr>
            <w:r>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net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12,524</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12,056</w:t>
            </w:r>
          </w:p>
        </w:tc>
        <w:tc>
          <w:tcPr>
            <w:tcW w:w="316" w:type="dxa"/>
            <w:tcBorders/>
            <w:shd w:fill="CCEEFF" w:val="clear"/>
            <w:vAlign w:val="center"/>
          </w:tcPr>
          <w:p>
            <w:pPr>
              <w:pStyle w:val="TableContents"/>
              <w:spacing w:before="0" w:after="0"/>
              <w:ind w:left="0" w:right="0" w:hanging="0"/>
              <w:jc w:val="right"/>
              <w:rPr/>
            </w:pPr>
            <w:r>
              <w:rPr/>
              <w:t>​</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431"/>
        <w:gridCol w:w="326"/>
        <w:gridCol w:w="181"/>
        <w:gridCol w:w="717"/>
        <w:gridCol w:w="361"/>
        <w:gridCol w:w="181"/>
        <w:gridCol w:w="691"/>
        <w:gridCol w:w="317"/>
      </w:tblGrid>
      <w:tr>
        <w:trPr/>
        <w:tc>
          <w:tcPr>
            <w:tcW w:w="7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718685" cy="175260"/>
                      <wp:effectExtent l="0" t="0" r="0" b="0"/>
                      <wp:wrapNone/>
                      <wp:docPr id="449" name="Frame449"/>
                      <a:graphic xmlns:a="http://schemas.openxmlformats.org/drawingml/2006/main">
                        <a:graphicData uri="http://schemas.microsoft.com/office/word/2010/wordprocessingShape">
                          <wps:wsp>
                            <wps:cNvSpPr txBox="1"/>
                            <wps:spPr>
                              <a:xfrm>
                                <a:off x="0" y="0"/>
                                <a:ext cx="4718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14935" cy="175260"/>
                      <wp:effectExtent l="0" t="0" r="0" b="0"/>
                      <wp:wrapNone/>
                      <wp:docPr id="451" name="Frame451"/>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55295" cy="175260"/>
                      <wp:effectExtent l="0" t="0" r="0" b="0"/>
                      <wp:wrapNone/>
                      <wp:docPr id="452" name="Frame452"/>
                      <a:graphic xmlns:a="http://schemas.openxmlformats.org/drawingml/2006/main">
                        <a:graphicData uri="http://schemas.microsoft.com/office/word/2010/wordprocessingShape">
                          <wps:wsp>
                            <wps:cNvSpPr txBox="1"/>
                            <wps:spPr>
                              <a:xfrm>
                                <a:off x="0" y="0"/>
                                <a:ext cx="455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29235" cy="175260"/>
                      <wp:effectExtent l="0" t="0" r="0" b="0"/>
                      <wp:wrapNone/>
                      <wp:docPr id="453" name="Frame45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14935" cy="175260"/>
                      <wp:effectExtent l="0" t="0" r="0" b="0"/>
                      <wp:wrapNone/>
                      <wp:docPr id="454" name="Frame454"/>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38785" cy="175260"/>
                      <wp:effectExtent l="0" t="0" r="0" b="0"/>
                      <wp:wrapNone/>
                      <wp:docPr id="455" name="Frame45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1295" cy="175260"/>
                      <wp:effectExtent l="0" t="0" r="0" b="0"/>
                      <wp:wrapNone/>
                      <wp:docPr id="456" name="Frame456"/>
                      <a:graphic xmlns:a="http://schemas.openxmlformats.org/drawingml/2006/main">
                        <a:graphicData uri="http://schemas.microsoft.com/office/word/2010/wordprocessingShape">
                          <wps:wsp>
                            <wps:cNvSpPr txBox="1"/>
                            <wps:spPr>
                              <a:xfrm>
                                <a:off x="0" y="0"/>
                                <a:ext cx="201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17" w:type="dxa"/>
            <w:tcBorders/>
            <w:shd w:fill="auto" w:val="clear"/>
            <w:vAlign w:val="center"/>
          </w:tcPr>
          <w:p>
            <w:pPr>
              <w:pStyle w:val="TableContents"/>
              <w:spacing w:before="0" w:after="0"/>
              <w:ind w:left="0" w:right="0" w:hanging="0"/>
              <w:jc w:val="center"/>
              <w:rPr/>
            </w:pPr>
            <w:r>
              <w:rPr/>
              <w:t> </w: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7" w:type="dxa"/>
            <w:tcBorders/>
            <w:shd w:fill="auto" w:val="clear"/>
            <w:vAlign w:val="center"/>
          </w:tcPr>
          <w:p>
            <w:pPr>
              <w:pStyle w:val="TableContents"/>
              <w:spacing w:before="0" w:after="0"/>
              <w:ind w:left="0" w:right="0" w:hanging="0"/>
              <w:jc w:val="center"/>
              <w:rPr/>
            </w:pPr>
            <w:r>
              <w:rPr/>
              <w:t> </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w:t>
            </w:r>
          </w:p>
        </w:tc>
        <w:tc>
          <w:tcPr>
            <w:tcW w:w="8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61" w:type="dxa"/>
            <w:tcBorders/>
            <w:shd w:fill="auto" w:val="clear"/>
            <w:vAlign w:val="center"/>
          </w:tcPr>
          <w:p>
            <w:pPr>
              <w:pStyle w:val="TableContents"/>
              <w:spacing w:before="0" w:after="0"/>
              <w:ind w:left="0" w:right="0" w:hanging="0"/>
              <w:rPr/>
            </w:pPr>
            <w:r>
              <w:rPr/>
              <w:t>​</w:t>
            </w:r>
          </w:p>
        </w:tc>
        <w:tc>
          <w:tcPr>
            <w:tcW w:w="8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317" w:type="dxa"/>
            <w:tcBorders/>
            <w:shd w:fill="auto" w:val="clear"/>
            <w:vAlign w:val="center"/>
          </w:tcPr>
          <w:p>
            <w:pPr>
              <w:pStyle w:val="TableContents"/>
              <w:spacing w:before="0" w:after="0"/>
              <w:ind w:left="0" w:right="0" w:hanging="0"/>
              <w:jc w:val="center"/>
              <w:rPr/>
            </w:pPr>
            <w:r>
              <w:rPr/>
              <w:t> </w:t>
            </w:r>
          </w:p>
        </w:tc>
      </w:tr>
      <w:tr>
        <w:trPr/>
        <w:tc>
          <w:tcPr>
            <w:tcW w:w="10205"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(unaudited)</w:t>
            </w:r>
          </w:p>
        </w:tc>
        <w:tc>
          <w:tcPr>
            <w:tcW w:w="317" w:type="dxa"/>
            <w:tcBorders/>
            <w:shd w:fill="auto" w:val="clear"/>
            <w:vAlign w:val="center"/>
          </w:tcPr>
          <w:p>
            <w:pPr>
              <w:pStyle w:val="TableContents"/>
              <w:spacing w:before="0" w:after="0"/>
              <w:ind w:left="0" w:right="0" w:hanging="0"/>
              <w:jc w:val="center"/>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326"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w:t>
            </w:r>
          </w:p>
        </w:tc>
        <w:tc>
          <w:tcPr>
            <w:tcW w:w="717"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Cost of revenues, software subscriptions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37,403</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32,913</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(996)</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(446)</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(12,435)</w:t>
            </w:r>
          </w:p>
        </w:tc>
        <w:tc>
          <w:tcPr>
            <w:tcW w:w="361"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(9,697)</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23,972</w:t>
            </w:r>
          </w:p>
        </w:tc>
        <w:tc>
          <w:tcPr>
            <w:tcW w:w="361"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22,770</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Cost of Revenues, Services:</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17"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Cost of revenues, services</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14,344</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11,953</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c>
          <w:tcPr>
            <w:tcW w:w="361"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cost of revenues, services</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13,508</w:t>
            </w:r>
          </w:p>
        </w:tc>
        <w:tc>
          <w:tcPr>
            <w:tcW w:w="361"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11,547</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17"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Gross Profit: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Gross profit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81,004</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70,118</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1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1,832</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12,435</w:t>
            </w:r>
          </w:p>
        </w:tc>
        <w:tc>
          <w:tcPr>
            <w:tcW w:w="361"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9,697</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gross profit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95,271</w:t>
            </w:r>
          </w:p>
        </w:tc>
        <w:tc>
          <w:tcPr>
            <w:tcW w:w="361"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80,667</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17"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Gross Margin:</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revenues</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132,751</w:t>
            </w:r>
          </w:p>
        </w:tc>
        <w:tc>
          <w:tcPr>
            <w:tcW w:w="361"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114,984</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gross margin</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3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74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17"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rPr/>
            </w:pPr>
            <w:r>
              <w:rPr/>
              <w:t>​</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Research and Development Expense:</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Research and development expense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15,862</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9,633</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(2,234)</w:t>
            </w:r>
          </w:p>
        </w:tc>
        <w:tc>
          <w:tcPr>
            <w:tcW w:w="361"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research and development expense</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13,628</w:t>
            </w:r>
          </w:p>
        </w:tc>
        <w:tc>
          <w:tcPr>
            <w:tcW w:w="361"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9,519</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Selling and Marketing Expense: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17"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Selling and marketing expense</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35,736</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27,452</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(2,898)</w:t>
            </w:r>
          </w:p>
        </w:tc>
        <w:tc>
          <w:tcPr>
            <w:tcW w:w="361"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(1,572)</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(766)</w:t>
            </w:r>
          </w:p>
        </w:tc>
        <w:tc>
          <w:tcPr>
            <w:tcW w:w="361"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selling and marketing expense</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32,072</w:t>
            </w:r>
          </w:p>
        </w:tc>
        <w:tc>
          <w:tcPr>
            <w:tcW w:w="361"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25,631</w:t>
            </w:r>
          </w:p>
        </w:tc>
        <w:tc>
          <w:tcPr>
            <w:tcW w:w="317" w:type="dxa"/>
            <w:tcBorders/>
            <w:shd w:fill="CCEEFF"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r>
        <w:trPr/>
        <w:tc>
          <w:tcPr>
            <w:tcW w:w="74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17"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120"/>
        <w:gridCol w:w="109"/>
        <w:gridCol w:w="181"/>
        <w:gridCol w:w="720"/>
        <w:gridCol w:w="109"/>
        <w:gridCol w:w="181"/>
        <w:gridCol w:w="630"/>
        <w:gridCol w:w="155"/>
      </w:tblGrid>
      <w:tr>
        <w:trPr/>
        <w:tc>
          <w:tcPr>
            <w:tcW w:w="812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21"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2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109" w:type="dxa"/>
            <w:tcBorders/>
            <w:shd w:fill="auto" w:val="clear"/>
            <w:vAlign w:val="center"/>
          </w:tcPr>
          <w:p>
            <w:pPr>
              <w:pStyle w:val="TableContents"/>
              <w:spacing w:before="0" w:after="0"/>
              <w:ind w:left="0" w:right="0" w:hanging="0"/>
              <w:rPr/>
            </w:pPr>
            <w:r>
              <w:rPr/>
              <w:t>​</w:t>
            </w:r>
          </w:p>
        </w:tc>
        <w:tc>
          <w:tcPr>
            <w:tcW w:w="8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General and Administrative Expense:</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30"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General and administrative expense</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34,310</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28,757</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(4,470)</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(2,395)</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Severance expense</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Transaction costs </w:t>
            </w:r>
          </w:p>
        </w:tc>
        <w:tc>
          <w:tcPr>
            <w:tcW w:w="109"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3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general and administrative expense</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29,285</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3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26,233</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30" w:type="dxa"/>
            <w:tcBorders/>
            <w:shd w:fill="CCEEFF" w:val="clear"/>
            <w:vAlign w:val="center"/>
          </w:tcPr>
          <w:p>
            <w:pPr>
              <w:pStyle w:val="TableContents"/>
              <w:spacing w:before="0" w:after="0"/>
              <w:ind w:left="0" w:right="0" w:hanging="0"/>
              <w:jc w:val="right"/>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Operating Income:</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30" w:type="dxa"/>
            <w:tcBorders/>
            <w:shd w:fill="auto" w:val="clear"/>
            <w:vAlign w:val="center"/>
          </w:tcPr>
          <w:p>
            <w:pPr>
              <w:pStyle w:val="TableContents"/>
              <w:spacing w:before="0" w:after="0"/>
              <w:ind w:left="0" w:right="0" w:hanging="0"/>
              <w:jc w:val="right"/>
              <w:rPr/>
            </w:pPr>
            <w:r>
              <w:rPr/>
              <w:t>  </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Loss (income) from operations</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(8,929)</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468</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11,434</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4,933</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12,435</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9,697</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766</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Severance expense</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Acquisition contingent consideration</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700</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Transaction costs </w:t>
            </w:r>
          </w:p>
        </w:tc>
        <w:tc>
          <w:tcPr>
            <w:tcW w:w="109"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operating income</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16,461</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3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16,176</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30"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Net Income:</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pPr>
            <w:r>
              <w:rPr/>
              <w:t>  </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30" w:type="dxa"/>
            <w:tcBorders/>
            <w:shd w:fill="auto" w:val="clear"/>
            <w:vAlign w:val="center"/>
          </w:tcPr>
          <w:p>
            <w:pPr>
              <w:pStyle w:val="TableContents"/>
              <w:spacing w:before="0" w:after="0"/>
              <w:ind w:left="0" w:right="0" w:hanging="0"/>
              <w:jc w:val="right"/>
              <w:rPr/>
            </w:pPr>
            <w:r>
              <w:rPr/>
              <w:t>​</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Net Loss</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(18,132)</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Income tax expense </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9,553</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11,434</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4,933</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12,435</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9,697</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766</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Severance expense</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63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Acquisition contingent consideration</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700</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Transaction costs </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income before income taxes</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16,811</w:t>
            </w:r>
          </w:p>
        </w:tc>
        <w:tc>
          <w:tcPr>
            <w:tcW w:w="109"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63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16,182</w:t>
            </w:r>
          </w:p>
        </w:tc>
        <w:tc>
          <w:tcPr>
            <w:tcW w:w="155" w:type="dxa"/>
            <w:tcBorders/>
            <w:shd w:fill="CCEEFF" w:val="clear"/>
            <w:vAlign w:val="center"/>
          </w:tcPr>
          <w:p>
            <w:pPr>
              <w:pStyle w:val="TableContents"/>
              <w:spacing w:before="0" w:after="0"/>
              <w:ind w:left="0" w:right="0" w:hanging="0"/>
              <w:rPr/>
            </w:pPr>
            <w:r>
              <w:rPr/>
              <w:t>​</w:t>
            </w:r>
          </w:p>
        </w:tc>
      </w:tr>
      <w:tr>
        <w:trPr/>
        <w:tc>
          <w:tcPr>
            <w:tcW w:w="812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 adjustment at statutory rate</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(4,287)</w:t>
            </w:r>
          </w:p>
        </w:tc>
        <w:tc>
          <w:tcPr>
            <w:tcW w:w="109"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(4,126)</w:t>
            </w:r>
          </w:p>
        </w:tc>
        <w:tc>
          <w:tcPr>
            <w:tcW w:w="155" w:type="dxa"/>
            <w:tcBorders/>
            <w:shd w:fill="auto" w:val="clear"/>
            <w:vAlign w:val="center"/>
          </w:tcPr>
          <w:p>
            <w:pPr>
              <w:pStyle w:val="TableContents"/>
              <w:spacing w:before="0" w:after="0"/>
              <w:ind w:left="0" w:right="0" w:hanging="0"/>
              <w:rPr/>
            </w:pPr>
            <w:r>
              <w:rPr/>
              <w:t>​</w:t>
            </w:r>
          </w:p>
        </w:tc>
      </w:tr>
      <w:tr>
        <w:trPr/>
        <w:tc>
          <w:tcPr>
            <w:tcW w:w="812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net income</w:t>
            </w:r>
          </w:p>
        </w:tc>
        <w:tc>
          <w:tcPr>
            <w:tcW w:w="109"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72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12,524</w:t>
            </w:r>
          </w:p>
        </w:tc>
        <w:tc>
          <w:tcPr>
            <w:tcW w:w="109"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w:t>
            </w:r>
          </w:p>
        </w:tc>
        <w:tc>
          <w:tcPr>
            <w:tcW w:w="6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12,056</w:t>
            </w:r>
          </w:p>
        </w:tc>
        <w:tc>
          <w:tcPr>
            <w:tcW w:w="155"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Critical Accounting Estimates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critical accounting policies that reflect our more significant judgments and estimates used in the preparation of our condensed consolidated financial statements include software development costs, business combinations, goodwill, accounting for stock-based compensation, revenue recognition, and income taxes, which are described in our 2022 Annual Report.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There have been no material updates or changes to our critical accounting estimates compared to the critical accounting estimates described in our 2022 Annual Report. </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recent accounting pronouncements, refer to Note 1, “Summary of Significant Accounting Policies” to the condensed consolidated financial statements included in this Quarterly Report on Form 10-Q.</w:t>
      </w:r>
    </w:p>
    <w:p>
      <w:pPr>
        <w:pStyle w:val="Normal"/>
        <w:spacing w:before="0" w:after="0"/>
        <w:rPr>
          <w:sz w:val="4"/>
          <w:szCs w:val="4"/>
        </w:rPr>
      </w:pPr>
      <w:r>
        <w:rPr>
          <w:sz w:val="4"/>
          <w:szCs w:val="4"/>
        </w:rPr>
      </w:r>
      <w:bookmarkStart w:id="1339" w:name="Item3QUANTITATIVEANDQUALITATIVE_86752"/>
      <w:bookmarkStart w:id="1340" w:name="_11c4be11_9584_4bf9_8178_75397480323a"/>
      <w:bookmarkStart w:id="1341" w:name="Item3QUANTITATIVEANDQUALITATIVE_86752"/>
      <w:bookmarkStart w:id="1342" w:name="_11c4be11_9584_4bf9_8178_75397480323a"/>
      <w:bookmarkEnd w:id="1341"/>
      <w:bookmarkEnd w:id="1342"/>
    </w:p>
    <w:tbl>
      <w:tblPr>
        <w:tblW w:w="7802" w:type="dxa"/>
        <w:jc w:val="left"/>
        <w:tblInd w:w="0" w:type="dxa"/>
        <w:tblCellMar>
          <w:top w:w="0" w:type="dxa"/>
          <w:left w:w="0" w:type="dxa"/>
          <w:bottom w:w="0" w:type="dxa"/>
          <w:right w:w="0" w:type="dxa"/>
        </w:tblCellMar>
      </w:tblPr>
      <w:tblGrid>
        <w:gridCol w:w="706"/>
        <w:gridCol w:w="7096"/>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3.</w:t>
            </w:r>
          </w:p>
        </w:tc>
        <w:tc>
          <w:tcPr>
            <w:tcW w:w="709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Interest Rate Risk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unrestricted cash and cash equivalents of $68.6 million and $91.8 million as of March 31, 2023 and December 31, 2022, respectively, and investments of $11.5 million and $11.2 million as of March 31, 2023 and December 31, 2022, respectively.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risk related to changes in interest rates on our outstanding borrowings. Borrowings under the Second Amendment to the Credit Agreement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be expected to result in a projected increase in interest expense of $0.5 million annually.</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three months ended March 31, 2023 and 2022, approximately 3% and 4%, respectively, of our revenues were denominated in currencies other than U.S. dollars.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 liabilities associated with this acquisition are expected to increase our exposure to fluctuations of the Brazilian Real over time. At March 31, 2023, outstanding foreign currency forward contracts hedge approximately 34% of our exposure to adverse fluctuations in the Brazilian Real associated with these future purchase commitment liabilities.</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firstLine="360"/>
        <w:jc w:val="both"/>
        <w:rPr/>
      </w:pPr>
      <w:r>
        <w:rPr/>
        <w:t>​</w:t>
      </w:r>
    </w:p>
    <w:p>
      <w:pPr>
        <w:pStyle w:val="Normal"/>
        <w:spacing w:before="0" w:after="0"/>
        <w:rPr>
          <w:sz w:val="4"/>
          <w:szCs w:val="4"/>
        </w:rPr>
      </w:pPr>
      <w:r>
        <w:rPr>
          <w:sz w:val="4"/>
          <w:szCs w:val="4"/>
        </w:rPr>
      </w:r>
      <w:bookmarkStart w:id="1343" w:name="Item4CONTROLSANDPROCEDURES_722053"/>
      <w:bookmarkStart w:id="1344" w:name="_9b107ad7_939a_42a2_b7ce_4c2d305e05cf"/>
      <w:bookmarkStart w:id="1345" w:name="Item4CONTROLSANDPROCEDURES_722053"/>
      <w:bookmarkStart w:id="1346" w:name="_9b107ad7_939a_42a2_b7ce_4c2d305e05cf"/>
      <w:bookmarkEnd w:id="1345"/>
      <w:bookmarkEnd w:id="1346"/>
    </w:p>
    <w:tbl>
      <w:tblPr>
        <w:tblW w:w="3797" w:type="dxa"/>
        <w:jc w:val="left"/>
        <w:tblInd w:w="0" w:type="dxa"/>
        <w:tblCellMar>
          <w:top w:w="0" w:type="dxa"/>
          <w:left w:w="0" w:type="dxa"/>
          <w:bottom w:w="0" w:type="dxa"/>
          <w:right w:w="0" w:type="dxa"/>
        </w:tblCellMar>
      </w:tblPr>
      <w:tblGrid>
        <w:gridCol w:w="706"/>
        <w:gridCol w:w="3091"/>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4.</w:t>
            </w:r>
          </w:p>
        </w:tc>
        <w:tc>
          <w:tcPr>
            <w:tcW w:w="309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b/>
                <w:sz w:val="20"/>
              </w:rPr>
              <w:t>CONTROLS AND PROCEDURES</w:t>
            </w:r>
            <w:r>
              <w:rPr>
                <w:rFonts w:ascii="Times New Roman;Times;serif" w:hAnsi="Times New Roman;Times;serif"/>
                <w:sz w:val="20"/>
              </w:rPr>
              <w:t xml:space="preserve"> </w:t>
            </w:r>
          </w:p>
        </w:tc>
      </w:tr>
    </w:tbl>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the effectiveness of our disclosure controls and procedures as defined in Rule 13a-15(b) of the Securities Exchange Act of 1934, as amended (the “Exchange Act”).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Based on the evaluation of our disclosure controls and procedures, our principal executive officer and principal financial officer concluded that, as of March 31, 2023, our disclosure controls and procedures were effective at a reasonable assurance level.</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bookmarkStart w:id="1347" w:name="PARTIIOTHERINFORMATION_466846"/>
      <w:bookmarkEnd w:id="1347"/>
      <w:r>
        <w:rPr>
          <w:rFonts w:ascii="Times New Roman;Times;serif" w:hAnsi="Times New Roman;Times;serif"/>
          <w:b/>
          <w:sz w:val="20"/>
        </w:rPr>
        <w:t>PART II---OTHER INFORMATION</w:t>
      </w:r>
      <w:r>
        <w:rPr>
          <w:rFonts w:ascii="Times New Roman;Times;serif" w:hAnsi="Times New Roman;Times;serif"/>
          <w:color w:val="FF0000"/>
          <w:sz w:val="20"/>
          <w:highlight w:val="yellow"/>
        </w:rPr>
        <w:t xml:space="preserve"> </w:t>
      </w:r>
    </w:p>
    <w:p>
      <w:pPr>
        <w:pStyle w:val="TextBody"/>
        <w:spacing w:before="0" w:after="240"/>
        <w:ind w:left="0" w:right="0" w:hanging="0"/>
        <w:jc w:val="both"/>
        <w:rPr>
          <w:rFonts w:ascii="Times New Roman;Times;serif" w:hAnsi="Times New Roman;Times;serif"/>
          <w:b/>
          <w:sz w:val="20"/>
        </w:rPr>
      </w:pPr>
      <w:bookmarkStart w:id="1348" w:name="ITEM1LEGALPROCEEDINGS_169419"/>
      <w:bookmarkStart w:id="1349" w:name="_41b7f0ef_4283_4375_863a_ff5184866288"/>
      <w:bookmarkEnd w:id="1348"/>
      <w:bookmarkEnd w:id="1349"/>
      <w:r>
        <w:rPr>
          <w:rFonts w:ascii="Times New Roman;Times;serif" w:hAnsi="Times New Roman;Times;serif"/>
          <w:b/>
          <w:sz w:val="20"/>
        </w:rPr>
        <w:t>ITEM 1. LEGAL PROCEEDINGS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also seek monetary damages, including punitive damages and attorney’s fees. Avalara has filed a motion to dismiss for lack of personal jurisdiction. As of March 31, 2023, the matter remains before the Court as the parties pursue jurisdictional discovery, after which, further briefs will be filed.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spacing w:before="0" w:after="240"/>
        <w:ind w:left="0" w:right="0" w:hanging="0"/>
        <w:jc w:val="both"/>
        <w:rPr>
          <w:rFonts w:ascii="Times New Roman;Times;serif" w:hAnsi="Times New Roman;Times;serif"/>
          <w:sz w:val="20"/>
        </w:rPr>
      </w:pPr>
      <w:bookmarkStart w:id="1350" w:name="ITEM1ARISKFACTORS_159906"/>
      <w:bookmarkStart w:id="1351" w:name="_2f7384e0_1ca9_40ff_8605_d45d2b7294ae"/>
      <w:bookmarkEnd w:id="1350"/>
      <w:bookmarkEnd w:id="1351"/>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spacing w:before="0" w:after="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This document incorporates by reference various risk factors discussed in the Company’s 2022 Annual Report,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352" w:name="ITEM2UNREGISTEREDSALESOFEQUITYSECURITIES"/>
      <w:bookmarkStart w:id="1353" w:name="_4737eedf_76c1_47ad_8580_10304226bbbb"/>
      <w:bookmarkStart w:id="1354" w:name="ITEM2UNREGISTEREDSALESOFEQUITYSECURITIES"/>
      <w:bookmarkStart w:id="1355" w:name="_4737eedf_76c1_47ad_8580_10304226bbbb"/>
      <w:bookmarkEnd w:id="1354"/>
      <w:bookmarkEnd w:id="1355"/>
    </w:p>
    <w:tbl>
      <w:tblPr>
        <w:tblW w:w="7817" w:type="dxa"/>
        <w:jc w:val="left"/>
        <w:tblInd w:w="0" w:type="dxa"/>
        <w:tblCellMar>
          <w:top w:w="0" w:type="dxa"/>
          <w:left w:w="0" w:type="dxa"/>
          <w:bottom w:w="0" w:type="dxa"/>
          <w:right w:w="0" w:type="dxa"/>
        </w:tblCellMar>
      </w:tblPr>
      <w:tblGrid>
        <w:gridCol w:w="841"/>
        <w:gridCol w:w="6976"/>
      </w:tblGrid>
      <w:tr>
        <w:trPr/>
        <w:tc>
          <w:tcPr>
            <w:tcW w:w="84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2.</w:t>
            </w:r>
          </w:p>
        </w:tc>
        <w:tc>
          <w:tcPr>
            <w:tcW w:w="69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None. </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1356" w:name="ITEM3DEFAULTSUPONSENIORSECURITIES_573487"/>
      <w:bookmarkStart w:id="1357" w:name="_a5726d59_8a76_4165_8a8c_757621ac0774"/>
      <w:bookmarkStart w:id="1358" w:name="ITEM3DEFAULTSUPONSENIORSECURITIES_573487"/>
      <w:bookmarkStart w:id="1359" w:name="_a5726d59_8a76_4165_8a8c_757621ac0774"/>
      <w:bookmarkEnd w:id="1358"/>
      <w:bookmarkEnd w:id="1359"/>
    </w:p>
    <w:tbl>
      <w:tblPr>
        <w:tblW w:w="4607" w:type="dxa"/>
        <w:jc w:val="left"/>
        <w:tblInd w:w="0" w:type="dxa"/>
        <w:tblCellMar>
          <w:top w:w="0" w:type="dxa"/>
          <w:left w:w="0" w:type="dxa"/>
          <w:bottom w:w="0" w:type="dxa"/>
          <w:right w:w="0" w:type="dxa"/>
        </w:tblCellMar>
      </w:tblPr>
      <w:tblGrid>
        <w:gridCol w:w="841"/>
        <w:gridCol w:w="3766"/>
      </w:tblGrid>
      <w:tr>
        <w:trPr/>
        <w:tc>
          <w:tcPr>
            <w:tcW w:w="84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3.</w:t>
            </w:r>
          </w:p>
        </w:tc>
        <w:tc>
          <w:tcPr>
            <w:tcW w:w="376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sz w:val="20"/>
        </w:rPr>
      </w:pPr>
      <w:bookmarkStart w:id="1360" w:name="ITEM4MINESAFETYDISCLOSURES_7256"/>
      <w:bookmarkStart w:id="1361" w:name="_4233eafb_8bef_4791_a4d0_80b2094dedf6"/>
      <w:bookmarkEnd w:id="1360"/>
      <w:bookmarkEnd w:id="1361"/>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bookmarkStart w:id="1362" w:name="ITEM5OTHERINFORMATION_591263"/>
      <w:bookmarkStart w:id="1363" w:name="_ea8a9a3a_cd94_4c8c_84a3_f27c1d890a13"/>
      <w:bookmarkEnd w:id="1362"/>
      <w:bookmarkEnd w:id="1363"/>
      <w:r>
        <w:rPr>
          <w:rFonts w:ascii="Times New Roman;Times;serif" w:hAnsi="Times New Roman;Times;serif"/>
          <w:b/>
          <w:sz w:val="20"/>
        </w:rPr>
        <w:t>ITEM 5. OTHER INFORMATION</w:t>
      </w:r>
      <w:r>
        <w:rPr>
          <w:rFonts w:ascii="Times New Roman;Times;serif" w:hAnsi="Times New Roman;Times;serif"/>
          <w:sz w:val="20"/>
        </w:rPr>
        <w:t xml:space="preserve">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bookmarkStart w:id="1364" w:name="ITEM6EXHIBITS_780342"/>
      <w:bookmarkStart w:id="1365" w:name="_08418214_23ed_4876_87bd_d6ba26c49ac0"/>
      <w:bookmarkEnd w:id="1364"/>
      <w:bookmarkEnd w:id="1365"/>
      <w:r>
        <w:rPr>
          <w:rFonts w:ascii="Times New Roman;Times;serif" w:hAnsi="Times New Roman;Times;serif"/>
          <w:b/>
          <w:sz w:val="20"/>
        </w:rPr>
        <w:t>ITEM 6. EXHIBITS</w:t>
      </w:r>
      <w:r>
        <w:rPr>
          <w:rFonts w:ascii="Times New Roman;Times;serif" w:hAnsi="Times New Roman;Times;serif"/>
          <w:sz w:val="20"/>
        </w:rPr>
        <w:t xml:space="preserve">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74"/>
        <w:gridCol w:w="386"/>
        <w:gridCol w:w="3176"/>
        <w:gridCol w:w="326"/>
        <w:gridCol w:w="511"/>
        <w:gridCol w:w="326"/>
        <w:gridCol w:w="411"/>
        <w:gridCol w:w="326"/>
        <w:gridCol w:w="631"/>
        <w:gridCol w:w="326"/>
        <w:gridCol w:w="572"/>
        <w:gridCol w:w="326"/>
        <w:gridCol w:w="829"/>
        <w:gridCol w:w="326"/>
        <w:gridCol w:w="959"/>
      </w:tblGrid>
      <w:tr>
        <w:trPr/>
        <w:tc>
          <w:tcPr>
            <w:tcW w:w="774"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91490" cy="29210"/>
                      <wp:effectExtent l="0" t="0" r="0" b="0"/>
                      <wp:wrapNone/>
                      <wp:docPr id="457" name="Frame457"/>
                      <a:graphic xmlns:a="http://schemas.openxmlformats.org/drawingml/2006/main">
                        <a:graphicData uri="http://schemas.microsoft.com/office/word/2010/wordprocessingShape">
                          <wps:wsp>
                            <wps:cNvSpPr txBox="1"/>
                            <wps:spPr>
                              <a:xfrm>
                                <a:off x="0" y="0"/>
                                <a:ext cx="4914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2.3pt;mso-wrap-distance-left:0pt;mso-wrap-distance-right:0pt;mso-wrap-distance-top:0pt;mso-wrap-distance-bottom:0pt;margin-top:0pt;mso-position-vertical:top;mso-position-vertical-relative:text;margin-left:-19.3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8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45110" cy="29210"/>
                      <wp:effectExtent l="0" t="0" r="0" b="0"/>
                      <wp:wrapNone/>
                      <wp:docPr id="458" name="Frame458"/>
                      <a:graphic xmlns:a="http://schemas.openxmlformats.org/drawingml/2006/main">
                        <a:graphicData uri="http://schemas.microsoft.com/office/word/2010/wordprocessingShape">
                          <wps:wsp>
                            <wps:cNvSpPr txBox="1"/>
                            <wps:spPr>
                              <a:xfrm>
                                <a:off x="0" y="0"/>
                                <a:ext cx="2451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2.3pt;mso-wrap-distance-left:0pt;mso-wrap-distance-right:0pt;mso-wrap-distance-top:0pt;mso-wrap-distance-bottom:0pt;margin-top:0pt;mso-position-vertical:top;mso-position-vertical-relative:text;margin-left:-9.6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17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16760" cy="29210"/>
                      <wp:effectExtent l="0" t="0" r="0" b="0"/>
                      <wp:wrapNone/>
                      <wp:docPr id="459" name="Frame459"/>
                      <a:graphic xmlns:a="http://schemas.openxmlformats.org/drawingml/2006/main">
                        <a:graphicData uri="http://schemas.microsoft.com/office/word/2010/wordprocessingShape">
                          <wps:wsp>
                            <wps:cNvSpPr txBox="1"/>
                            <wps:spPr>
                              <a:xfrm>
                                <a:off x="0" y="0"/>
                                <a:ext cx="20167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8pt;height:2.3pt;mso-wrap-distance-left:0pt;mso-wrap-distance-right:0pt;mso-wrap-distance-top:0pt;mso-wrap-distance-bottom:0pt;margin-top:0pt;mso-position-vertical:top;mso-position-vertical-relative:text;margin-left:-79.4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29210"/>
                      <wp:effectExtent l="0" t="0" r="0" b="0"/>
                      <wp:wrapNone/>
                      <wp:docPr id="460" name="Frame460"/>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1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324485" cy="29210"/>
                      <wp:effectExtent l="0" t="0" r="0" b="0"/>
                      <wp:wrapNone/>
                      <wp:docPr id="461" name="Frame461"/>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12.8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29210"/>
                      <wp:effectExtent l="0" t="0" r="0" b="0"/>
                      <wp:wrapNone/>
                      <wp:docPr id="462" name="Frame46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1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60985" cy="29210"/>
                      <wp:effectExtent l="0" t="0" r="0" b="0"/>
                      <wp:wrapNone/>
                      <wp:docPr id="463" name="Frame463"/>
                      <a:graphic xmlns:a="http://schemas.openxmlformats.org/drawingml/2006/main">
                        <a:graphicData uri="http://schemas.microsoft.com/office/word/2010/wordprocessingShape">
                          <wps:wsp>
                            <wps:cNvSpPr txBox="1"/>
                            <wps:spPr>
                              <a:xfrm>
                                <a:off x="0" y="0"/>
                                <a:ext cx="2609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2.3pt;mso-wrap-distance-left:0pt;mso-wrap-distance-right:0pt;mso-wrap-distance-top:0pt;mso-wrap-distance-bottom:0pt;margin-top:0pt;mso-position-vertical:top;mso-position-vertical-relative:text;margin-left:-10.3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29210"/>
                      <wp:effectExtent l="0" t="0" r="0" b="0"/>
                      <wp:wrapNone/>
                      <wp:docPr id="464" name="Frame464"/>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63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00685" cy="29210"/>
                      <wp:effectExtent l="0" t="0" r="0" b="0"/>
                      <wp:wrapNone/>
                      <wp:docPr id="465" name="Frame465"/>
                      <a:graphic xmlns:a="http://schemas.openxmlformats.org/drawingml/2006/main">
                        <a:graphicData uri="http://schemas.microsoft.com/office/word/2010/wordprocessingShape">
                          <wps:wsp>
                            <wps:cNvSpPr txBox="1"/>
                            <wps:spPr>
                              <a:xfrm>
                                <a:off x="0" y="0"/>
                                <a:ext cx="4006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15.8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29210"/>
                      <wp:effectExtent l="0" t="0" r="0" b="0"/>
                      <wp:wrapNone/>
                      <wp:docPr id="466" name="Frame46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72"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63220" cy="29210"/>
                      <wp:effectExtent l="0" t="0" r="0" b="0"/>
                      <wp:wrapNone/>
                      <wp:docPr id="467" name="Frame467"/>
                      <a:graphic xmlns:a="http://schemas.openxmlformats.org/drawingml/2006/main">
                        <a:graphicData uri="http://schemas.microsoft.com/office/word/2010/wordprocessingShape">
                          <wps:wsp>
                            <wps:cNvSpPr txBox="1"/>
                            <wps:spPr>
                              <a:xfrm>
                                <a:off x="0" y="0"/>
                                <a:ext cx="3632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2.3pt;mso-wrap-distance-left:0pt;mso-wrap-distance-right:0pt;mso-wrap-distance-top:0pt;mso-wrap-distance-bottom:0pt;margin-top:0pt;mso-position-vertical:top;mso-position-vertical-relative:text;margin-left:-14.3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29210"/>
                      <wp:effectExtent l="0" t="0" r="0" b="0"/>
                      <wp:wrapNone/>
                      <wp:docPr id="468" name="Frame46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829"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526415" cy="29210"/>
                      <wp:effectExtent l="0" t="0" r="0" b="0"/>
                      <wp:wrapNone/>
                      <wp:docPr id="469" name="Frame469"/>
                      <a:graphic xmlns:a="http://schemas.openxmlformats.org/drawingml/2006/main">
                        <a:graphicData uri="http://schemas.microsoft.com/office/word/2010/wordprocessingShape">
                          <wps:wsp>
                            <wps:cNvSpPr txBox="1"/>
                            <wps:spPr>
                              <a:xfrm>
                                <a:off x="0" y="0"/>
                                <a:ext cx="52641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2.3pt;mso-wrap-distance-left:0pt;mso-wrap-distance-right:0pt;mso-wrap-distance-top:0pt;mso-wrap-distance-bottom:0pt;margin-top:0pt;mso-position-vertical:top;mso-position-vertical-relative:text;margin-left:-20.7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29210"/>
                      <wp:effectExtent l="0" t="0" r="0" b="0"/>
                      <wp:wrapNone/>
                      <wp:docPr id="470" name="Frame470"/>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59"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08965" cy="29210"/>
                      <wp:effectExtent l="0" t="0" r="0" b="0"/>
                      <wp:wrapNone/>
                      <wp:docPr id="471" name="Frame471"/>
                      <a:graphic xmlns:a="http://schemas.openxmlformats.org/drawingml/2006/main">
                        <a:graphicData uri="http://schemas.microsoft.com/office/word/2010/wordprocessingShape">
                          <wps:wsp>
                            <wps:cNvSpPr txBox="1"/>
                            <wps:spPr>
                              <a:xfrm>
                                <a:off x="0" y="0"/>
                                <a:ext cx="60896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2.3pt;mso-wrap-distance-left:0pt;mso-wrap-distance-right:0pt;mso-wrap-distance-top:0pt;mso-wrap-distance-bottom:0pt;margin-top:0pt;mso-position-vertical:top;mso-position-vertical-relative:text;margin-left:-24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74" w:type="dxa"/>
            <w:tcBorders>
              <w:bottom w:val="single" w:sz="8"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8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3176"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Description </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511"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411"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631"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572"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829"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959"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 Herewith</w:t>
            </w:r>
          </w:p>
        </w:tc>
      </w:tr>
      <w:tr>
        <w:trPr/>
        <w:tc>
          <w:tcPr>
            <w:tcW w:w="774" w:type="dxa"/>
            <w:tcBorders/>
            <w:shd w:fill="auto" w:val="clear"/>
            <w:vAlign w:val="center"/>
          </w:tcPr>
          <w:p>
            <w:pPr>
              <w:pStyle w:val="TableContents"/>
              <w:spacing w:before="0" w:after="0"/>
              <w:ind w:left="0" w:right="0" w:hanging="0"/>
              <w:rPr/>
            </w:pPr>
            <w:hyperlink w:anchor="verx-20230331xex31d1.htm">
              <w:r>
                <w:rPr>
                  <w:rStyle w:val="InternetLink"/>
                  <w:rFonts w:ascii="Times New Roman;Times;serif" w:hAnsi="Times New Roman;Times;serif"/>
                  <w:b w:val="false"/>
                  <w:i w:val="false"/>
                  <w:caps w:val="false"/>
                  <w:smallCaps w:val="false"/>
                  <w:sz w:val="20"/>
                </w:rPr>
                <w:t>31.1</w:t>
              </w:r>
            </w:hyperlink>
          </w:p>
        </w:tc>
        <w:tc>
          <w:tcPr>
            <w:tcW w:w="386" w:type="dxa"/>
            <w:tcBorders/>
            <w:shd w:fill="auto" w:val="clear"/>
            <w:vAlign w:val="center"/>
          </w:tcPr>
          <w:p>
            <w:pPr>
              <w:pStyle w:val="TableContents"/>
              <w:spacing w:before="0" w:after="0"/>
              <w:ind w:left="0" w:right="0" w:hanging="0"/>
              <w:jc w:val="both"/>
              <w:rPr/>
            </w:pPr>
            <w:r>
              <w:rPr/>
              <w:t>​</w:t>
            </w:r>
          </w:p>
        </w:tc>
        <w:tc>
          <w:tcPr>
            <w:tcW w:w="3176" w:type="dxa"/>
            <w:tcBorders/>
            <w:shd w:fill="auto" w:val="clear"/>
            <w:vAlign w:val="center"/>
          </w:tcPr>
          <w:p>
            <w:pPr>
              <w:pStyle w:val="TableContents"/>
              <w:spacing w:before="0" w:after="0"/>
              <w:ind w:left="0" w:right="0" w:hanging="0"/>
              <w:rPr/>
            </w:pPr>
            <w:hyperlink w:anchor="verx-2023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r>
        <w:trPr/>
        <w:tc>
          <w:tcPr>
            <w:tcW w:w="774" w:type="dxa"/>
            <w:tcBorders/>
            <w:shd w:fill="auto" w:val="clear"/>
            <w:vAlign w:val="center"/>
          </w:tcPr>
          <w:p>
            <w:pPr>
              <w:pStyle w:val="TableContents"/>
              <w:spacing w:before="0" w:after="0"/>
              <w:ind w:left="0" w:right="0" w:hanging="0"/>
              <w:rPr/>
            </w:pPr>
            <w:hyperlink w:anchor="verx-20230331xex31d2.htm">
              <w:r>
                <w:rPr>
                  <w:rStyle w:val="InternetLink"/>
                  <w:rFonts w:ascii="Times New Roman;Times;serif" w:hAnsi="Times New Roman;Times;serif"/>
                  <w:b w:val="false"/>
                  <w:i w:val="false"/>
                  <w:caps w:val="false"/>
                  <w:smallCaps w:val="false"/>
                  <w:sz w:val="20"/>
                </w:rPr>
                <w:t>31.2</w:t>
              </w:r>
            </w:hyperlink>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pPr>
            <w:hyperlink w:anchor="verx-2023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r>
        <w:trPr/>
        <w:tc>
          <w:tcPr>
            <w:tcW w:w="774" w:type="dxa"/>
            <w:tcBorders/>
            <w:shd w:fill="auto" w:val="clear"/>
            <w:vAlign w:val="center"/>
          </w:tcPr>
          <w:p>
            <w:pPr>
              <w:pStyle w:val="TableContents"/>
              <w:spacing w:before="0" w:after="0"/>
              <w:ind w:left="0" w:right="0" w:hanging="0"/>
              <w:rPr/>
            </w:pPr>
            <w:hyperlink w:anchor="verx-20230331xex32d1.htm">
              <w:r>
                <w:rPr>
                  <w:rStyle w:val="InternetLink"/>
                  <w:rFonts w:ascii="Times New Roman;Times;serif" w:hAnsi="Times New Roman;Times;serif"/>
                  <w:b w:val="false"/>
                  <w:i w:val="false"/>
                  <w:caps w:val="false"/>
                  <w:smallCaps w:val="false"/>
                  <w:sz w:val="20"/>
                </w:rPr>
                <w:t>32.1</w:t>
              </w:r>
            </w:hyperlink>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pPr>
            <w:hyperlink w:anchor="verx-2023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74" w:type="dxa"/>
            <w:tcBorders/>
            <w:shd w:fill="auto" w:val="clear"/>
            <w:vAlign w:val="center"/>
          </w:tcPr>
          <w:p>
            <w:pPr>
              <w:pStyle w:val="TableContents"/>
              <w:spacing w:before="0" w:after="0"/>
              <w:ind w:left="0" w:right="0" w:hanging="0"/>
              <w:rPr/>
            </w:pPr>
            <w:hyperlink w:anchor="verx-20230331xex32d2.htm">
              <w:r>
                <w:rPr>
                  <w:rStyle w:val="InternetLink"/>
                  <w:rFonts w:ascii="Times New Roman;Times;serif" w:hAnsi="Times New Roman;Times;serif"/>
                  <w:b w:val="false"/>
                  <w:i w:val="false"/>
                  <w:caps w:val="false"/>
                  <w:smallCaps w:val="false"/>
                  <w:sz w:val="20"/>
                </w:rPr>
                <w:t>32.2</w:t>
              </w:r>
            </w:hyperlink>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pPr>
            <w:hyperlink w:anchor="verx-2023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7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101.INS</w:t>
            </w:r>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Instance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283"/>
              <w:ind w:left="0" w:right="0" w:hanging="0"/>
              <w:rPr>
                <w:sz w:val="4"/>
                <w:szCs w:val="4"/>
              </w:rPr>
            </w:pPr>
            <w:r>
              <w:rPr>
                <w:sz w:val="4"/>
                <w:szCs w:val="4"/>
              </w:rPr>
            </w:r>
          </w:p>
        </w:tc>
      </w:tr>
      <w:tr>
        <w:trPr/>
        <w:tc>
          <w:tcPr>
            <w:tcW w:w="77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101.SCH</w:t>
            </w:r>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r>
        <w:trPr/>
        <w:tc>
          <w:tcPr>
            <w:tcW w:w="77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101.CAL</w:t>
            </w:r>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r>
        <w:trPr/>
        <w:tc>
          <w:tcPr>
            <w:tcW w:w="77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101.DEF</w:t>
            </w:r>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r>
        <w:trPr/>
        <w:tc>
          <w:tcPr>
            <w:tcW w:w="77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101.LAB</w:t>
            </w:r>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r>
        <w:trPr/>
        <w:tc>
          <w:tcPr>
            <w:tcW w:w="77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101.PRE</w:t>
            </w:r>
          </w:p>
        </w:tc>
        <w:tc>
          <w:tcPr>
            <w:tcW w:w="386" w:type="dxa"/>
            <w:tcBorders/>
            <w:shd w:fill="auto" w:val="clear"/>
            <w:vAlign w:val="center"/>
          </w:tcPr>
          <w:p>
            <w:pPr>
              <w:pStyle w:val="TableContents"/>
              <w:spacing w:before="0" w:after="0"/>
              <w:ind w:left="0" w:right="0" w:hanging="0"/>
              <w:jc w:val="both"/>
              <w:rPr/>
            </w:pPr>
            <w:r>
              <w:rPr/>
              <w:t> </w:t>
            </w:r>
          </w:p>
        </w:tc>
        <w:tc>
          <w:tcPr>
            <w:tcW w:w="3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r>
        <w:trPr/>
        <w:tc>
          <w:tcPr>
            <w:tcW w:w="774"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w:t>
            </w:r>
          </w:p>
        </w:tc>
        <w:tc>
          <w:tcPr>
            <w:tcW w:w="386" w:type="dxa"/>
            <w:tcBorders/>
            <w:shd w:fill="auto" w:val="clear"/>
            <w:vAlign w:val="center"/>
          </w:tcPr>
          <w:p>
            <w:pPr>
              <w:pStyle w:val="TableContents"/>
              <w:spacing w:before="0" w:after="0"/>
              <w:ind w:left="0" w:right="0" w:hanging="0"/>
              <w:jc w:val="both"/>
              <w:rPr/>
            </w:pPr>
            <w:r>
              <w:rPr/>
              <w:t>​</w:t>
            </w:r>
          </w:p>
        </w:tc>
        <w:tc>
          <w:tcPr>
            <w:tcW w:w="317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59"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1366" w:name="SIGNATURES_99336"/>
      <w:bookmarkStart w:id="1367" w:name="_7d7bdf8b_00df_496e_b51b_dac04def30ae"/>
      <w:bookmarkEnd w:id="1366"/>
      <w:bookmarkEnd w:id="1367"/>
      <w:r>
        <w:rPr>
          <w:rFonts w:ascii="Times New Roman;Times;serif" w:hAnsi="Times New Roman;Times;serif"/>
          <w:b/>
          <w:sz w:val="20"/>
        </w:rPr>
        <w:t>SIGNATURES</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9104" w:type="dxa"/>
        <w:jc w:val="left"/>
        <w:tblInd w:w="0" w:type="dxa"/>
        <w:tblCellMar>
          <w:top w:w="0" w:type="dxa"/>
          <w:left w:w="0" w:type="dxa"/>
          <w:bottom w:w="0" w:type="dxa"/>
          <w:right w:w="0" w:type="dxa"/>
        </w:tblCellMar>
      </w:tblPr>
      <w:tblGrid>
        <w:gridCol w:w="1741"/>
        <w:gridCol w:w="266"/>
        <w:gridCol w:w="406"/>
        <w:gridCol w:w="669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6691" w:type="dxa"/>
            <w:tcBorders/>
            <w:shd w:fill="auto" w:val="cle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   </w:t>
            </w:r>
          </w:p>
        </w:tc>
        <w:tc>
          <w:tcPr>
            <w:tcW w:w="7097"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Vertex, Inc.</w:t>
            </w:r>
          </w:p>
        </w:tc>
      </w:tr>
      <w:tr>
        <w:trPr/>
        <w:tc>
          <w:tcPr>
            <w:tcW w:w="174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7097" w:type="dxa"/>
            <w:gridSpan w:val="2"/>
            <w:tcBorders/>
            <w:shd w:fill="auto" w:val="clear"/>
            <w:vAlign w:val="center"/>
          </w:tcPr>
          <w:p>
            <w:pPr>
              <w:pStyle w:val="TableContents"/>
              <w:spacing w:before="0" w:after="0"/>
              <w:ind w:left="0" w:right="0" w:hanging="0"/>
              <w:rPr/>
            </w:pPr>
            <w:r>
              <w:rPr/>
              <w:t> </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DeStefano</w:t>
            </w:r>
          </w:p>
        </w:tc>
      </w:tr>
      <w:tr>
        <w:trPr/>
        <w:tc>
          <w:tcPr>
            <w:tcW w:w="174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DeStefano</w:t>
            </w:r>
          </w:p>
        </w:tc>
      </w:tr>
      <w:tr>
        <w:trPr/>
        <w:tc>
          <w:tcPr>
            <w:tcW w:w="174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President, Chief Executive Officer and Chairperson (principal executive officer)</w:t>
            </w:r>
          </w:p>
        </w:tc>
      </w:tr>
      <w:tr>
        <w:trPr/>
        <w:tc>
          <w:tcPr>
            <w:tcW w:w="174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7097" w:type="dxa"/>
            <w:gridSpan w:val="2"/>
            <w:tcBorders/>
            <w:shd w:fill="auto" w:val="clear"/>
            <w:vAlign w:val="center"/>
          </w:tcPr>
          <w:p>
            <w:pPr>
              <w:pStyle w:val="TableContents"/>
              <w:spacing w:before="0" w:after="0"/>
              <w:ind w:left="0" w:right="0" w:hanging="0"/>
              <w:rPr/>
            </w:pPr>
            <w:r>
              <w:rPr/>
              <w:t> </w: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Schwab</w:t>
            </w:r>
          </w:p>
        </w:tc>
      </w:tr>
      <w:tr>
        <w:trPr/>
        <w:tc>
          <w:tcPr>
            <w:tcW w:w="174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Schwab</w:t>
            </w:r>
          </w:p>
        </w:tc>
      </w:tr>
      <w:tr>
        <w:trPr/>
        <w:tc>
          <w:tcPr>
            <w:tcW w:w="174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48</w:t>
      </w:r>
      <w:r>
        <w:br w:type="page"/>
      </w:r>
    </w:p>
    <w:p>
      <w:pPr>
        <w:pStyle w:val="TextBody"/>
        <w:spacing w:before="0" w:after="0"/>
        <w:ind w:left="0" w:right="0" w:hanging="0"/>
        <w:jc w:val="right"/>
        <w:rPr>
          <w:rFonts w:ascii="Times New Roman;Times;serif" w:hAnsi="Times New Roman;Times;serif"/>
          <w:b/>
          <w:sz w:val="20"/>
        </w:rPr>
      </w:pPr>
      <w:bookmarkStart w:id="1368" w:name="verx-20230331xex31d1.htm"/>
      <w:bookmarkStart w:id="1369" w:name="ksverx20230331xex31d1"/>
      <w:bookmarkEnd w:id="1368"/>
      <w:bookmarkEnd w:id="1369"/>
      <w:r>
        <w:rPr>
          <w:rFonts w:ascii="Times New Roman;Times;serif" w:hAnsi="Times New Roman;Times;serif"/>
          <w:b/>
          <w:sz w:val="20"/>
        </w:rPr>
        <w:t>Exhibit 31.1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David DeStefano, certify that:</w:t>
      </w:r>
    </w:p>
    <w:p>
      <w:pPr>
        <w:pStyle w:val="TextBody"/>
        <w:spacing w:before="0" w:after="0"/>
        <w:ind w:left="0" w:right="0" w:hanging="0"/>
        <w:rPr/>
      </w:pPr>
      <w:r>
        <w:rPr/>
        <w:t>​</w:t>
      </w:r>
    </w:p>
    <w:tbl>
      <w:tblPr>
        <w:tblW w:w="5658" w:type="dxa"/>
        <w:jc w:val="left"/>
        <w:tblInd w:w="0" w:type="dxa"/>
        <w:tblCellMar>
          <w:top w:w="0" w:type="dxa"/>
          <w:left w:w="0" w:type="dxa"/>
          <w:bottom w:w="0" w:type="dxa"/>
          <w:right w:w="0" w:type="dxa"/>
        </w:tblCellMar>
      </w:tblPr>
      <w:tblGrid>
        <w:gridCol w:w="23"/>
        <w:gridCol w:w="170"/>
        <w:gridCol w:w="54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1"/>
        <w:gridCol w:w="10041"/>
      </w:tblGrid>
      <w:tr>
        <w:trPr/>
        <w:tc>
          <w:tcPr>
            <w:tcW w:w="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8"/>
        <w:gridCol w:w="9994"/>
      </w:tblGrid>
      <w:tr>
        <w:trPr/>
        <w:tc>
          <w:tcPr>
            <w:tcW w:w="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9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tc>
      </w:tr>
    </w:tbl>
    <w:p>
      <w:pPr>
        <w:pStyle w:val="TextBody"/>
        <w:pBdr/>
        <w:spacing w:before="0" w:after="0"/>
        <w:ind w:left="1080" w:right="0" w:hanging="360"/>
        <w:jc w:val="both"/>
        <w:rPr/>
      </w:pPr>
      <w:r>
        <w:rPr/>
        <w:t>​</w:t>
      </w:r>
    </w:p>
    <w:p>
      <w:pPr>
        <w:pStyle w:val="TextBody"/>
        <w:pBdr/>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171" w:type="dxa"/>
        <w:jc w:val="left"/>
        <w:tblInd w:w="0" w:type="dxa"/>
        <w:tblCellMar>
          <w:top w:w="0" w:type="dxa"/>
          <w:left w:w="0" w:type="dxa"/>
          <w:bottom w:w="0" w:type="dxa"/>
          <w:right w:w="0" w:type="dxa"/>
        </w:tblCellMar>
      </w:tblPr>
      <w:tblGrid>
        <w:gridCol w:w="1741"/>
        <w:gridCol w:w="453"/>
        <w:gridCol w:w="1977"/>
      </w:tblGrid>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4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977"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DeStefano</w:t>
            </w:r>
          </w:p>
        </w:tc>
      </w:tr>
      <w:tr>
        <w:trPr/>
        <w:tc>
          <w:tcPr>
            <w:tcW w:w="174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DeStefano</w:t>
            </w:r>
          </w:p>
        </w:tc>
      </w:tr>
      <w:tr>
        <w:trPr/>
        <w:tc>
          <w:tcPr>
            <w:tcW w:w="174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370" w:name="verx-20230331xex31d2.htm"/>
      <w:bookmarkStart w:id="1371" w:name="ksverx20230331xex31d2"/>
      <w:bookmarkEnd w:id="1370"/>
      <w:bookmarkEnd w:id="1371"/>
      <w:r>
        <w:rPr>
          <w:rFonts w:ascii="Times New Roman;Times;serif" w:hAnsi="Times New Roman;Times;serif"/>
          <w:b/>
          <w:sz w:val="20"/>
        </w:rPr>
        <w:t>Exhibit 31.2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John Schwab, certify that:</w:t>
      </w:r>
    </w:p>
    <w:p>
      <w:pPr>
        <w:pStyle w:val="TextBody"/>
        <w:spacing w:before="0" w:after="0"/>
        <w:ind w:left="0" w:right="0" w:hanging="0"/>
        <w:rPr/>
      </w:pPr>
      <w:r>
        <w:rPr/>
        <w:t>​</w:t>
      </w:r>
    </w:p>
    <w:tbl>
      <w:tblPr>
        <w:tblW w:w="5658" w:type="dxa"/>
        <w:jc w:val="left"/>
        <w:tblInd w:w="0" w:type="dxa"/>
        <w:tblCellMar>
          <w:top w:w="0" w:type="dxa"/>
          <w:left w:w="0" w:type="dxa"/>
          <w:bottom w:w="0" w:type="dxa"/>
          <w:right w:w="0" w:type="dxa"/>
        </w:tblCellMar>
      </w:tblPr>
      <w:tblGrid>
        <w:gridCol w:w="23"/>
        <w:gridCol w:w="170"/>
        <w:gridCol w:w="54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1"/>
        <w:gridCol w:w="10041"/>
      </w:tblGrid>
      <w:tr>
        <w:trPr/>
        <w:tc>
          <w:tcPr>
            <w:tcW w:w="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8"/>
        <w:gridCol w:w="9994"/>
      </w:tblGrid>
      <w:tr>
        <w:trPr/>
        <w:tc>
          <w:tcPr>
            <w:tcW w:w="2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 </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156" w:type="dxa"/>
        <w:jc w:val="center"/>
        <w:tblInd w:w="0" w:type="dxa"/>
        <w:tblCellMar>
          <w:top w:w="0" w:type="dxa"/>
          <w:left w:w="0" w:type="dxa"/>
          <w:bottom w:w="0" w:type="dxa"/>
          <w:right w:w="0" w:type="dxa"/>
        </w:tblCellMar>
      </w:tblPr>
      <w:tblGrid>
        <w:gridCol w:w="1741"/>
        <w:gridCol w:w="526"/>
        <w:gridCol w:w="1889"/>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105535" cy="29210"/>
                      <wp:effectExtent l="0" t="0" r="0" b="0"/>
                      <wp:wrapNone/>
                      <wp:docPr id="472" name="Frame472"/>
                      <a:graphic xmlns:a="http://schemas.openxmlformats.org/drawingml/2006/main">
                        <a:graphicData uri="http://schemas.microsoft.com/office/word/2010/wordprocessingShape">
                          <wps:wsp>
                            <wps:cNvSpPr txBox="1"/>
                            <wps:spPr>
                              <a:xfrm>
                                <a:off x="0" y="0"/>
                                <a:ext cx="11055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34010" cy="29210"/>
                      <wp:effectExtent l="0" t="0" r="0" b="0"/>
                      <wp:wrapNone/>
                      <wp:docPr id="473" name="Frame473"/>
                      <a:graphic xmlns:a="http://schemas.openxmlformats.org/drawingml/2006/main">
                        <a:graphicData uri="http://schemas.microsoft.com/office/word/2010/wordprocessingShape">
                          <wps:wsp>
                            <wps:cNvSpPr txBox="1"/>
                            <wps:spPr>
                              <a:xfrm>
                                <a:off x="0" y="0"/>
                                <a:ext cx="334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200150" cy="29210"/>
                      <wp:effectExtent l="0" t="0" r="0" b="0"/>
                      <wp:wrapNone/>
                      <wp:docPr id="474" name="Frame474"/>
                      <a:graphic xmlns:a="http://schemas.openxmlformats.org/drawingml/2006/main">
                        <a:graphicData uri="http://schemas.microsoft.com/office/word/2010/wordprocessingShape">
                          <wps:wsp>
                            <wps:cNvSpPr txBox="1"/>
                            <wps:spPr>
                              <a:xfrm>
                                <a:off x="0" y="0"/>
                                <a:ext cx="120015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Schwab</w:t>
            </w:r>
          </w:p>
        </w:tc>
      </w:tr>
      <w:tr>
        <w:trPr/>
        <w:tc>
          <w:tcPr>
            <w:tcW w:w="174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Schwab</w:t>
            </w:r>
          </w:p>
        </w:tc>
      </w:tr>
      <w:tr>
        <w:trPr/>
        <w:tc>
          <w:tcPr>
            <w:tcW w:w="174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372" w:name="verx-20230331xex32d1.htm"/>
      <w:bookmarkStart w:id="1373" w:name="ksverx20230331xex32d1"/>
      <w:bookmarkEnd w:id="1372"/>
      <w:bookmarkEnd w:id="1373"/>
      <w:r>
        <w:rPr>
          <w:rFonts w:ascii="Times New Roman;Times;serif" w:hAnsi="Times New Roman;Times;serif"/>
          <w:b/>
          <w:sz w:val="20"/>
        </w:rPr>
        <w:t>Exhibit 32.1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March 31, 2023 as filed with the Securities and Exchange Commission on the date hereof (the “Report”), I certify, pursuant to 18 U.S.C. § 1350, as adopted pursuant to § 906 of the Sarbanes-Oxley Act of 2002, that:</w:t>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9942"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171" w:type="dxa"/>
        <w:jc w:val="center"/>
        <w:tblInd w:w="0" w:type="dxa"/>
        <w:tblCellMar>
          <w:top w:w="0" w:type="dxa"/>
          <w:left w:w="0" w:type="dxa"/>
          <w:bottom w:w="0" w:type="dxa"/>
          <w:right w:w="0" w:type="dxa"/>
        </w:tblCellMar>
      </w:tblPr>
      <w:tblGrid>
        <w:gridCol w:w="1741"/>
        <w:gridCol w:w="531"/>
        <w:gridCol w:w="1899"/>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105535" cy="29210"/>
                      <wp:effectExtent l="0" t="0" r="0" b="0"/>
                      <wp:wrapNone/>
                      <wp:docPr id="475" name="Frame475"/>
                      <a:graphic xmlns:a="http://schemas.openxmlformats.org/drawingml/2006/main">
                        <a:graphicData uri="http://schemas.microsoft.com/office/word/2010/wordprocessingShape">
                          <wps:wsp>
                            <wps:cNvSpPr txBox="1"/>
                            <wps:spPr>
                              <a:xfrm>
                                <a:off x="0" y="0"/>
                                <a:ext cx="11055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37185" cy="29210"/>
                      <wp:effectExtent l="0" t="0" r="0" b="0"/>
                      <wp:wrapNone/>
                      <wp:docPr id="476" name="Frame476"/>
                      <a:graphic xmlns:a="http://schemas.openxmlformats.org/drawingml/2006/main">
                        <a:graphicData uri="http://schemas.microsoft.com/office/word/2010/wordprocessingShape">
                          <wps:wsp>
                            <wps:cNvSpPr txBox="1"/>
                            <wps:spPr>
                              <a:xfrm>
                                <a:off x="0" y="0"/>
                                <a:ext cx="3371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205865" cy="29210"/>
                      <wp:effectExtent l="0" t="0" r="0" b="0"/>
                      <wp:wrapNone/>
                      <wp:docPr id="477" name="Frame477"/>
                      <a:graphic xmlns:a="http://schemas.openxmlformats.org/drawingml/2006/main">
                        <a:graphicData uri="http://schemas.microsoft.com/office/word/2010/wordprocessingShape">
                          <wps:wsp>
                            <wps:cNvSpPr txBox="1"/>
                            <wps:spPr>
                              <a:xfrm>
                                <a:off x="0" y="0"/>
                                <a:ext cx="120586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  </w:t>
            </w:r>
          </w:p>
        </w:tc>
        <w:tc>
          <w:tcPr>
            <w:tcW w:w="1899"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DeStefano</w:t>
            </w:r>
          </w:p>
        </w:tc>
      </w:tr>
      <w:tr>
        <w:trPr/>
        <w:tc>
          <w:tcPr>
            <w:tcW w:w="174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DeStefano</w:t>
            </w:r>
          </w:p>
        </w:tc>
      </w:tr>
      <w:tr>
        <w:trPr/>
        <w:tc>
          <w:tcPr>
            <w:tcW w:w="174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374" w:name="verx-20230331xex32d2.htm"/>
      <w:bookmarkStart w:id="1375" w:name="ksverx20230331xex32d2"/>
      <w:bookmarkEnd w:id="1374"/>
      <w:bookmarkEnd w:id="1375"/>
      <w:r>
        <w:rPr>
          <w:rFonts w:ascii="Times New Roman;Times;serif" w:hAnsi="Times New Roman;Times;serif"/>
          <w:b/>
          <w:sz w:val="20"/>
        </w:rPr>
        <w:t>Exhibit 32.2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March 31, 2023 as filed with the Securities and Exchange Commission on the date hereof (the “Report”), I certify, pursuant to 18 U.S.C. § 1350, as adopted pursuant to § 906 of the Sarbanes-Oxley Act of 2002, that:</w:t>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jc w:val="both"/>
        <w:rPr/>
      </w:pPr>
      <w:r>
        <w:rPr/>
        <w:t>​</w:t>
      </w:r>
    </w:p>
    <w:tbl>
      <w:tblPr>
        <w:tblW w:w="4156" w:type="dxa"/>
        <w:jc w:val="left"/>
        <w:tblInd w:w="0" w:type="dxa"/>
        <w:tblCellMar>
          <w:top w:w="0" w:type="dxa"/>
          <w:left w:w="0" w:type="dxa"/>
          <w:bottom w:w="0" w:type="dxa"/>
          <w:right w:w="0" w:type="dxa"/>
        </w:tblCellMar>
      </w:tblPr>
      <w:tblGrid>
        <w:gridCol w:w="1741"/>
        <w:gridCol w:w="526"/>
        <w:gridCol w:w="1889"/>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105535" cy="160655"/>
                      <wp:effectExtent l="0" t="0" r="0" b="0"/>
                      <wp:wrapNone/>
                      <wp:docPr id="478" name="Frame478"/>
                      <a:graphic xmlns:a="http://schemas.openxmlformats.org/drawingml/2006/main">
                        <a:graphicData uri="http://schemas.microsoft.com/office/word/2010/wordprocessingShape">
                          <wps:wsp>
                            <wps:cNvSpPr txBox="1"/>
                            <wps:spPr>
                              <a:xfrm>
                                <a:off x="0" y="0"/>
                                <a:ext cx="1105535" cy="160655"/>
                              </a:xfrm>
                              <a:prstGeom prst="rect"/>
                            </wps:spPr>
                            <wps:txb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ov</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34010" cy="29210"/>
                      <wp:effectExtent l="0" t="0" r="0" b="0"/>
                      <wp:wrapNone/>
                      <wp:docPr id="479" name="Frame479"/>
                      <a:graphic xmlns:a="http://schemas.openxmlformats.org/drawingml/2006/main">
                        <a:graphicData uri="http://schemas.microsoft.com/office/word/2010/wordprocessingShape">
                          <wps:wsp>
                            <wps:cNvSpPr txBox="1"/>
                            <wps:spPr>
                              <a:xfrm>
                                <a:off x="0" y="0"/>
                                <a:ext cx="334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199515" cy="29210"/>
                      <wp:effectExtent l="0" t="0" r="0" b="0"/>
                      <wp:wrapNone/>
                      <wp:docPr id="480" name="Frame480"/>
                      <a:graphic xmlns:a="http://schemas.openxmlformats.org/drawingml/2006/main">
                        <a:graphicData uri="http://schemas.microsoft.com/office/word/2010/wordprocessingShape">
                          <wps:wsp>
                            <wps:cNvSpPr txBox="1"/>
                            <wps:spPr>
                              <a:xfrm>
                                <a:off x="0" y="0"/>
                                <a:ext cx="119951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Schwab</w:t>
            </w:r>
          </w:p>
        </w:tc>
      </w:tr>
      <w:tr>
        <w:trPr/>
        <w:tc>
          <w:tcPr>
            <w:tcW w:w="174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Schwab</w:t>
            </w:r>
          </w:p>
        </w:tc>
      </w:tr>
      <w:tr>
        <w:trPr/>
        <w:tc>
          <w:tcPr>
            <w:tcW w:w="174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21406</Words>
  <CharactersWithSpaces>145809</CharactersWithSpaces>
  <Paragraphs>7451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