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8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546" w:hanging="546"/>
        <w:spacing w:after="0" w:line="273" w:lineRule="auto"/>
        <w:tabs>
          <w:tab w:leader="none" w:pos="546"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0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506" w:right="20" w:hanging="486"/>
        <w:spacing w:after="0" w:line="273" w:lineRule="auto"/>
        <w:tabs>
          <w:tab w:leader="none" w:pos="506"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8" w:lineRule="exact"/>
        <w:rPr>
          <w:sz w:val="24"/>
          <w:szCs w:val="24"/>
          <w:color w:val="auto"/>
        </w:rPr>
      </w:pPr>
    </w:p>
    <w:tbl>
      <w:tblPr>
        <w:tblLayout w:type="fixed"/>
        <w:tblInd w:w="6"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Commission File Number: 001-39413</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0"/>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3"/>
          </w:tcPr>
          <w:p>
            <w:pPr>
              <w:jc w:val="center"/>
              <w:ind w:right="460"/>
              <w:spacing w:after="0"/>
              <w:rPr>
                <w:sz w:val="20"/>
                <w:szCs w:val="20"/>
                <w:color w:val="auto"/>
              </w:rPr>
            </w:pPr>
            <w:r>
              <w:rPr>
                <w:rFonts w:ascii="Times New Roman" w:cs="Times New Roman" w:eastAsia="Times New Roman" w:hAnsi="Times New Roman"/>
                <w:sz w:val="41"/>
                <w:szCs w:val="41"/>
                <w:b w:val="1"/>
                <w:bCs w:val="1"/>
                <w:color w:val="auto"/>
              </w:rPr>
              <w:t>VERTEX, INC.</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29"/>
              <w:spacing w:after="0"/>
              <w:rPr>
                <w:sz w:val="20"/>
                <w:szCs w:val="20"/>
                <w:color w:val="auto"/>
              </w:rPr>
            </w:pPr>
            <w:r>
              <w:rPr>
                <w:rFonts w:ascii="Times New Roman" w:cs="Times New Roman" w:eastAsia="Times New Roman" w:hAnsi="Times New Roman"/>
                <w:sz w:val="16"/>
                <w:szCs w:val="16"/>
                <w:b w:val="1"/>
                <w:bCs w:val="1"/>
                <w:color w:val="auto"/>
              </w:rPr>
              <w:t>23-2081753</w:t>
            </w:r>
          </w:p>
        </w:tc>
        <w:tc>
          <w:tcPr>
            <w:tcW w:w="0" w:type="dxa"/>
            <w:vAlign w:val="bottom"/>
          </w:tcPr>
          <w:p>
            <w:pPr>
              <w:spacing w:after="0"/>
              <w:rPr>
                <w:sz w:val="1"/>
                <w:szCs w:val="1"/>
                <w:color w:val="auto"/>
              </w:rPr>
            </w:pPr>
          </w:p>
        </w:tc>
      </w:tr>
      <w:tr>
        <w:trPr>
          <w:trHeight w:val="135"/>
        </w:trPr>
        <w:tc>
          <w:tcPr>
            <w:tcW w:w="3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tcPr>
          <w:p>
            <w:pPr>
              <w:jc w:val="center"/>
              <w:ind w:right="2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378"/>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2301 Renaissance Blvd</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19406</w:t>
            </w:r>
          </w:p>
        </w:tc>
        <w:tc>
          <w:tcPr>
            <w:tcW w:w="0" w:type="dxa"/>
            <w:vAlign w:val="bottom"/>
          </w:tcPr>
          <w:p>
            <w:pPr>
              <w:spacing w:after="0"/>
              <w:rPr>
                <w:sz w:val="1"/>
                <w:szCs w:val="1"/>
                <w:color w:val="auto"/>
              </w:rPr>
            </w:pPr>
          </w:p>
        </w:tc>
      </w:tr>
      <w:tr>
        <w:trPr>
          <w:trHeight w:val="198"/>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King of Prussia, Pennsylvania</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334"/>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(800) 355-3500</w:t>
            </w:r>
          </w:p>
        </w:tc>
        <w:tc>
          <w:tcPr>
            <w:tcW w:w="0" w:type="dxa"/>
            <w:vAlign w:val="bottom"/>
          </w:tcPr>
          <w:p>
            <w:pPr>
              <w:spacing w:after="0"/>
              <w:rPr>
                <w:sz w:val="1"/>
                <w:szCs w:val="1"/>
                <w:color w:val="auto"/>
              </w:rPr>
            </w:pPr>
          </w:p>
        </w:tc>
      </w:tr>
      <w:tr>
        <w:trPr>
          <w:trHeight w:val="270"/>
        </w:trPr>
        <w:tc>
          <w:tcPr>
            <w:tcW w:w="7260" w:type="dxa"/>
            <w:vAlign w:val="bottom"/>
            <w:gridSpan w:val="5"/>
          </w:tcPr>
          <w:p>
            <w:pPr>
              <w:jc w:val="center"/>
              <w:ind w:left="2866"/>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00" w:type="dxa"/>
            <w:vAlign w:val="bottom"/>
          </w:tcPr>
          <w:p>
            <w:pPr>
              <w:spacing w:after="0"/>
              <w:rPr>
                <w:sz w:val="21"/>
                <w:szCs w:val="21"/>
                <w:color w:val="auto"/>
              </w:rPr>
            </w:pPr>
          </w:p>
        </w:tc>
        <w:tc>
          <w:tcPr>
            <w:tcW w:w="38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960" w:type="dxa"/>
            <w:vAlign w:val="bottom"/>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56"/>
        </w:trPr>
        <w:tc>
          <w:tcPr>
            <w:tcW w:w="322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Class A Common Stock, Par Value $0.001 Per</w:t>
            </w:r>
          </w:p>
        </w:tc>
        <w:tc>
          <w:tcPr>
            <w:tcW w:w="200" w:type="dxa"/>
            <w:vAlign w:val="bottom"/>
            <w:vMerge w:val="continue"/>
          </w:tcPr>
          <w:p>
            <w:pPr>
              <w:spacing w:after="0"/>
              <w:rPr>
                <w:sz w:val="15"/>
                <w:szCs w:val="15"/>
                <w:color w:val="auto"/>
              </w:rPr>
            </w:pPr>
          </w:p>
        </w:tc>
        <w:tc>
          <w:tcPr>
            <w:tcW w:w="3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VERX</w:t>
            </w:r>
          </w:p>
        </w:tc>
        <w:tc>
          <w:tcPr>
            <w:tcW w:w="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tcPr>
          <w:p>
            <w:pPr>
              <w:jc w:val="center"/>
              <w:ind w:right="249"/>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left="6" w:firstLine="47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ind w:left="6" w:firstLine="47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6" w:firstLine="46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6" w:type="dxa"/>
        <w:tblCellMar>
          <w:top w:w="0" w:type="dxa"/>
          <w:left w:w="0" w:type="dxa"/>
          <w:bottom w:w="0" w:type="dxa"/>
          <w:right w:w="0" w:type="dxa"/>
        </w:tblCellMar>
      </w:tblP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0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left="6" w:right="20" w:firstLine="46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466"/>
        <w:spacing w:after="0" w:line="184" w:lineRule="exact"/>
        <w:tabs>
          <w:tab w:leader="none" w:pos="8545"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3" w:lineRule="exact"/>
        <w:rPr>
          <w:sz w:val="24"/>
          <w:szCs w:val="24"/>
          <w:color w:val="auto"/>
        </w:rPr>
      </w:pPr>
    </w:p>
    <w:p>
      <w:pPr>
        <w:ind w:left="6" w:firstLine="466"/>
        <w:spacing w:after="0" w:line="298" w:lineRule="auto"/>
        <w:rPr>
          <w:sz w:val="20"/>
          <w:szCs w:val="20"/>
          <w:color w:val="auto"/>
        </w:rPr>
      </w:pPr>
      <w:r>
        <w:rPr>
          <w:rFonts w:ascii="Times New Roman" w:cs="Times New Roman" w:eastAsia="Times New Roman" w:hAnsi="Times New Roman"/>
          <w:sz w:val="16"/>
          <w:szCs w:val="16"/>
          <w:color w:val="auto"/>
        </w:rPr>
        <w:t>As of October 30, 2025, the registrant had 77,372,323 shares of Class A common stock, $0.001 par value per share, and 82,155,641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86995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0" w:type="dxa"/>
            <w:vAlign w:val="bottom"/>
            <w:gridSpan w:val="11"/>
            <w:vMerge w:val="restart"/>
          </w:tcPr>
          <w:p>
            <w:pPr>
              <w:jc w:val="center"/>
              <w:ind w:right="2360"/>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0" w:type="dxa"/>
            <w:vAlign w:val="bottom"/>
            <w:gridSpan w:val="11"/>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25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2160" w:type="dxa"/>
            <w:vAlign w:val="bottom"/>
            <w:tcBorders>
              <w:top w:val="single" w:sz="8" w:color="0000EE"/>
            </w:tcBorders>
            <w:gridSpan w:val="6"/>
          </w:tcPr>
          <w:p>
            <w:pPr>
              <w:spacing w:after="0"/>
              <w:rPr>
                <w:sz w:val="18"/>
                <w:szCs w:val="18"/>
                <w:color w:val="auto"/>
              </w:rPr>
            </w:pPr>
          </w:p>
        </w:tc>
        <w:tc>
          <w:tcPr>
            <w:tcW w:w="258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(unaudited) and December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Nine Months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September 30, 2025 and 2024 (unaudited)</w:t>
            </w:r>
          </w:p>
        </w:tc>
        <w:tc>
          <w:tcPr>
            <w:tcW w:w="37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and Nine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2025 and 2024 (unaudited)</w:t>
            </w: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2024 (unaudited)</w:t>
            </w:r>
          </w:p>
        </w:tc>
        <w:tc>
          <w:tcPr>
            <w:tcW w:w="576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40" w:type="dxa"/>
            <w:vAlign w:val="bottom"/>
            <w:gridSpan w:val="10"/>
          </w:tcPr>
          <w:p>
            <w:pPr>
              <w:jc w:val="center"/>
              <w:ind w:right="2580"/>
              <w:spacing w:after="0" w:line="196" w:lineRule="exact"/>
              <w:rPr>
                <w:sz w:val="20"/>
                <w:szCs w:val="20"/>
                <w:color w:val="auto"/>
              </w:rPr>
            </w:pPr>
            <w:r>
              <w:rPr>
                <w:rFonts w:ascii="Times New Roman" w:cs="Times New Roman" w:eastAsia="Times New Roman" w:hAnsi="Times New Roman"/>
                <w:sz w:val="18"/>
                <w:szCs w:val="18"/>
                <w:color w:val="0000EE"/>
                <w:w w:val="99"/>
              </w:rPr>
              <w:t>Part II - Other Information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27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920" w:type="dxa"/>
            <w:vAlign w:val="bottom"/>
            <w:tcBorders>
              <w:top w:val="single" w:sz="8" w:color="0000EE"/>
            </w:tcBorders>
            <w:gridSpan w:val="4"/>
          </w:tcPr>
          <w:p>
            <w:pPr>
              <w:spacing w:after="0"/>
              <w:rPr>
                <w:sz w:val="17"/>
                <w:szCs w:val="17"/>
                <w:color w:val="auto"/>
              </w:rPr>
            </w:pPr>
          </w:p>
        </w:tc>
        <w:tc>
          <w:tcPr>
            <w:tcW w:w="270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56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6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560" w:type="dxa"/>
            <w:vAlign w:val="bottom"/>
            <w:gridSpan w:val="1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13"/>
          </w:tcPr>
          <w:p>
            <w:pPr>
              <w:ind w:left="36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the plans and objectives of management, and our stock repurchase program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95" w:lineRule="exact"/>
        <w:rPr>
          <w:sz w:val="20"/>
          <w:szCs w:val="20"/>
          <w:color w:val="auto"/>
        </w:rPr>
      </w:pPr>
    </w:p>
    <w:p>
      <w:pPr>
        <w:ind w:left="1040" w:right="7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revenue from existing customers and new customers, and expand their usage of our solutions;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strategic relationships with third parties;</w:t>
      </w:r>
    </w:p>
    <w:p>
      <w:pPr>
        <w:spacing w:after="0" w:line="90" w:lineRule="exact"/>
        <w:rPr>
          <w:rFonts w:ascii="Times New Roman" w:cs="Times New Roman" w:eastAsia="Times New Roman" w:hAnsi="Times New Roman"/>
          <w:sz w:val="18"/>
          <w:szCs w:val="18"/>
          <w:color w:val="auto"/>
        </w:rPr>
      </w:pPr>
    </w:p>
    <w:p>
      <w:pPr>
        <w:ind w:left="1040" w:right="29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technological change and successfully introduce new solutions or provide updates to existing solutions;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failures in information technology or infrastructure;</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using and managing use of Artificial Intelligence (“AI”) in our business;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improper implementation, integration or use of our solutions;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qualified technical and tax-content personnel;</w:t>
      </w:r>
    </w:p>
    <w:p>
      <w:pPr>
        <w:spacing w:after="0" w:line="103" w:lineRule="exact"/>
        <w:rPr>
          <w:rFonts w:ascii="Times New Roman" w:cs="Times New Roman" w:eastAsia="Times New Roman" w:hAnsi="Times New Roman"/>
          <w:sz w:val="18"/>
          <w:szCs w:val="18"/>
          <w:color w:val="auto"/>
        </w:rPr>
      </w:pPr>
    </w:p>
    <w:p>
      <w:pPr>
        <w:ind w:left="1040" w:right="13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from other tax software and service providers and challenges of convincing businesses using native enterprise resource planning functions to switch to our software;</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our revenue and other future results of operations based on recent success;</w:t>
      </w:r>
    </w:p>
    <w:p>
      <w:pPr>
        <w:spacing w:after="0" w:line="90" w:lineRule="exact"/>
        <w:rPr>
          <w:rFonts w:ascii="Times New Roman" w:cs="Times New Roman" w:eastAsia="Times New Roman" w:hAnsi="Times New Roman"/>
          <w:sz w:val="18"/>
          <w:szCs w:val="18"/>
          <w:color w:val="auto"/>
        </w:rPr>
      </w:pPr>
    </w:p>
    <w:p>
      <w:pPr>
        <w:ind w:left="1040" w:right="51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specific software deployment methods based on changes to customers’ and partners’ software systems;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making significant investments in software development and equipment;</w:t>
      </w:r>
    </w:p>
    <w:p>
      <w:pPr>
        <w:spacing w:after="0" w:line="90" w:lineRule="exact"/>
        <w:rPr>
          <w:rFonts w:ascii="Times New Roman" w:cs="Times New Roman" w:eastAsia="Times New Roman" w:hAnsi="Times New Roman"/>
          <w:sz w:val="18"/>
          <w:szCs w:val="18"/>
          <w:color w:val="auto"/>
        </w:rPr>
      </w:pPr>
    </w:p>
    <w:p>
      <w:pPr>
        <w:ind w:left="1040" w:right="2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expand revenues, maintain profitability, and to effectively manage our anticipated growth;</w:t>
      </w:r>
    </w:p>
    <w:p>
      <w:pPr>
        <w:spacing w:after="0" w:line="14" w:lineRule="exact"/>
        <w:rPr>
          <w:rFonts w:ascii="Times New Roman" w:cs="Times New Roman" w:eastAsia="Times New Roman" w:hAnsi="Times New Roman"/>
          <w:sz w:val="18"/>
          <w:szCs w:val="18"/>
          <w:color w:val="auto"/>
        </w:rPr>
      </w:pPr>
    </w:p>
    <w:p>
      <w:pPr>
        <w:ind w:left="1040" w:right="3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diversify our solutions by developing or introducing new solutions or acquiring and integrating additional businesses, products, services, or content;</w:t>
      </w:r>
    </w:p>
    <w:p>
      <w:pPr>
        <w:spacing w:after="0" w:line="27"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to realize the anticipated benefits of such acquisitions;</w:t>
      </w:r>
    </w:p>
    <w:p>
      <w:pPr>
        <w:spacing w:after="0" w:line="26"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fluctuations in our results of operations;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expanding international operations;</w:t>
      </w:r>
    </w:p>
    <w:p>
      <w:pPr>
        <w:spacing w:after="0" w:line="103" w:lineRule="exact"/>
        <w:rPr>
          <w:rFonts w:ascii="Times New Roman" w:cs="Times New Roman" w:eastAsia="Times New Roman" w:hAnsi="Times New Roman"/>
          <w:sz w:val="18"/>
          <w:szCs w:val="18"/>
          <w:color w:val="auto"/>
        </w:rPr>
      </w:pPr>
    </w:p>
    <w:p>
      <w:pPr>
        <w:ind w:left="1040" w:right="83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liability from errors, delays, fraud or system failures, which may not be covered by insurance;</w:t>
      </w:r>
    </w:p>
    <w:p>
      <w:pPr>
        <w:spacing w:after="0" w:line="4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organizational changes and effectively implement strategic initiatives;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determinations of customers’ transaction tax and tax payments;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and regulations or their interpretation or enforcement;</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cybersecurity and data privacy risks;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material legal proceedings and audits;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undetected errors, bugs or defects in our software;</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utilization of open-source software, business processes and information systems;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failures in information technology, infrastructure, and third-party service providers;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protect, maintain, and enhance our brand;</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application, scope, interpretation or enforcement of laws and regulations;</w:t>
      </w:r>
    </w:p>
    <w:p>
      <w:pPr>
        <w:spacing w:after="0" w:line="90" w:lineRule="exact"/>
        <w:rPr>
          <w:rFonts w:ascii="Times New Roman" w:cs="Times New Roman" w:eastAsia="Times New Roman" w:hAnsi="Times New Roman"/>
          <w:sz w:val="18"/>
          <w:szCs w:val="18"/>
          <w:color w:val="auto"/>
        </w:rPr>
      </w:pPr>
    </w:p>
    <w:p>
      <w:pPr>
        <w:ind w:left="1040" w:right="199" w:hanging="315"/>
        <w:spacing w:after="0" w:line="329" w:lineRule="auto"/>
        <w:tabs>
          <w:tab w:leader="none" w:pos="10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weakness and uncertainties, including the economic uncertainty created by the changing legal, regulatory, or taxation landscape in the United States, and disruption in the capital and credit markets;</w:t>
      </w:r>
    </w:p>
    <w:p>
      <w:pPr>
        <w:spacing w:after="0" w:line="4" w:lineRule="exact"/>
        <w:rPr>
          <w:rFonts w:ascii="Times New Roman" w:cs="Times New Roman" w:eastAsia="Times New Roman" w:hAnsi="Times New Roman"/>
          <w:sz w:val="17"/>
          <w:szCs w:val="17"/>
          <w:color w:val="auto"/>
        </w:rPr>
      </w:pPr>
    </w:p>
    <w:p>
      <w:pPr>
        <w:ind w:left="1040" w:right="85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related to natural disasters, epidemic outbreaks, including a global endemic or pandemic, terrorist acts, political events, or other events outside of our control;</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anti-corruption, anti-bribery, and similar laws;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03" w:lineRule="exact"/>
        <w:rPr>
          <w:rFonts w:ascii="Times New Roman" w:cs="Times New Roman" w:eastAsia="Times New Roman" w:hAnsi="Times New Roman"/>
          <w:sz w:val="18"/>
          <w:szCs w:val="18"/>
          <w:color w:val="auto"/>
        </w:rPr>
      </w:pPr>
    </w:p>
    <w:p>
      <w:pPr>
        <w:ind w:left="1040" w:right="21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security ratings and market perceptions of the industry in which we operate, or our ability to obtain capital on commercially reasonable terms or at all;</w:t>
      </w:r>
    </w:p>
    <w:p>
      <w:pPr>
        <w:spacing w:after="0" w:line="14" w:lineRule="exact"/>
        <w:rPr>
          <w:rFonts w:ascii="Times New Roman" w:cs="Times New Roman" w:eastAsia="Times New Roman" w:hAnsi="Times New Roman"/>
          <w:sz w:val="18"/>
          <w:szCs w:val="18"/>
          <w:color w:val="auto"/>
        </w:rPr>
      </w:pPr>
    </w:p>
    <w:p>
      <w:pPr>
        <w:ind w:left="1040" w:right="9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or ability to remediate any material weakness in our internal controls;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Class A common stock and controlled company status;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adherence to the covenants under our debt instruments;</w:t>
      </w:r>
    </w:p>
    <w:p>
      <w:pPr>
        <w:spacing w:after="0" w:line="90" w:lineRule="exact"/>
        <w:rPr>
          <w:rFonts w:ascii="Times New Roman" w:cs="Times New Roman" w:eastAsia="Times New Roman" w:hAnsi="Times New Roman"/>
          <w:sz w:val="18"/>
          <w:szCs w:val="18"/>
          <w:color w:val="auto"/>
        </w:rPr>
      </w:pPr>
    </w:p>
    <w:p>
      <w:pPr>
        <w:ind w:left="1040" w:right="599" w:hanging="315"/>
        <w:spacing w:after="0" w:line="28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Capped Call Transactions (as defined in the notes to the financial statements) and the actions of the Option Counterparties (as defined in the notes to the financial statements) and/or their respective affiliates;</w:t>
      </w:r>
    </w:p>
    <w:p>
      <w:pPr>
        <w:spacing w:after="0" w:line="1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statements of belief and any statements of assumptions underlying any of the foregoing; and</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w:t>
      </w:r>
    </w:p>
    <w:p>
      <w:pPr>
        <w:spacing w:after="0" w:line="23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risks included here are not exhaustive, and additional factors could adversely affect our business and financial performance, including factors and risks included in our Annual Report on Form 10-K for the year ended December 31, 2024, filed with the Securities and Exchange Commission (the “SEC”) on February 27, 2025 (the “2024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PART I - FINANCIAL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660" w:type="dxa"/>
            <w:vAlign w:val="bottom"/>
          </w:tcPr>
          <w:p>
            <w:pPr>
              <w:jc w:val="center"/>
              <w:ind w:left="3508"/>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60" w:type="dxa"/>
            <w:vAlign w:val="bottom"/>
            <w:gridSpan w:val="3"/>
          </w:tcPr>
          <w:p>
            <w:pPr>
              <w:jc w:val="center"/>
              <w:ind w:left="3108"/>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gridSpan w:val="4"/>
          </w:tcPr>
          <w:p>
            <w:pPr>
              <w:jc w:val="center"/>
              <w:ind w:left="1828"/>
              <w:spacing w:after="0" w:line="149" w:lineRule="exact"/>
              <w:rPr>
                <w:sz w:val="20"/>
                <w:szCs w:val="20"/>
                <w:color w:val="auto"/>
              </w:rPr>
            </w:pPr>
            <w:r>
              <w:rPr>
                <w:rFonts w:ascii="Times New Roman" w:cs="Times New Roman" w:eastAsia="Times New Roman" w:hAnsi="Times New Roman"/>
                <w:sz w:val="14"/>
                <w:szCs w:val="14"/>
                <w:b w:val="1"/>
                <w:bCs w:val="1"/>
                <w:color w:val="auto"/>
              </w:rPr>
              <w:t>As of September 30, 2025 and December 31, 2024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60" w:type="dxa"/>
            <w:vAlign w:val="bottom"/>
            <w:gridSpan w:val="3"/>
          </w:tcPr>
          <w:p>
            <w:pPr>
              <w:jc w:val="center"/>
              <w:ind w:left="3128"/>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gridSpan w:val="2"/>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313,506</w:t>
            </w:r>
          </w:p>
        </w:tc>
        <w:tc>
          <w:tcPr>
            <w:tcW w:w="46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296,051</w:t>
            </w:r>
          </w:p>
        </w:tc>
        <w:tc>
          <w:tcPr>
            <w:tcW w:w="0" w:type="dxa"/>
            <w:vAlign w:val="bottom"/>
          </w:tcPr>
          <w:p>
            <w:pPr>
              <w:spacing w:after="0"/>
              <w:rPr>
                <w:sz w:val="1"/>
                <w:szCs w:val="1"/>
                <w:color w:val="auto"/>
              </w:rPr>
            </w:pPr>
          </w:p>
        </w:tc>
      </w:tr>
      <w:tr>
        <w:trPr>
          <w:trHeight w:val="148"/>
        </w:trPr>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Funds held for customers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25,287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30,015</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$15,069 and $16,838, respectively</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131,502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164,432</w:t>
            </w:r>
          </w:p>
        </w:tc>
        <w:tc>
          <w:tcPr>
            <w:tcW w:w="0" w:type="dxa"/>
            <w:vAlign w:val="bottom"/>
          </w:tcPr>
          <w:p>
            <w:pPr>
              <w:spacing w:after="0"/>
              <w:rPr>
                <w:sz w:val="1"/>
                <w:szCs w:val="1"/>
                <w:color w:val="auto"/>
              </w:rPr>
            </w:pPr>
          </w:p>
        </w:tc>
      </w:tr>
      <w:tr>
        <w:trPr>
          <w:trHeight w:val="148"/>
        </w:trPr>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48,532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36,678</w:t>
            </w:r>
          </w:p>
        </w:tc>
        <w:tc>
          <w:tcPr>
            <w:tcW w:w="0" w:type="dxa"/>
            <w:vAlign w:val="bottom"/>
          </w:tcPr>
          <w:p>
            <w:pPr>
              <w:spacing w:after="0"/>
              <w:rPr>
                <w:sz w:val="1"/>
                <w:szCs w:val="1"/>
                <w:color w:val="auto"/>
              </w:rPr>
            </w:pPr>
          </w:p>
        </w:tc>
      </w:tr>
      <w:tr>
        <w:trPr>
          <w:trHeight w:val="126"/>
        </w:trPr>
        <w:tc>
          <w:tcPr>
            <w:tcW w:w="56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Investment securities available-for-sale, at fair value (amortized cost of $0 and $9,147,</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0" w:type="dxa"/>
            <w:vAlign w:val="bottom"/>
          </w:tcPr>
          <w:p>
            <w:pPr>
              <w:spacing w:after="0"/>
              <w:rPr>
                <w:sz w:val="1"/>
                <w:szCs w:val="1"/>
                <w:color w:val="auto"/>
              </w:rPr>
            </w:pPr>
          </w:p>
        </w:tc>
      </w:tr>
      <w:tr>
        <w:trPr>
          <w:trHeight w:val="171"/>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518,827</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536,333</w:t>
            </w:r>
          </w:p>
        </w:tc>
        <w:tc>
          <w:tcPr>
            <w:tcW w:w="0" w:type="dxa"/>
            <w:vAlign w:val="bottom"/>
          </w:tcPr>
          <w:p>
            <w:pPr>
              <w:spacing w:after="0"/>
              <w:rPr>
                <w:sz w:val="1"/>
                <w:szCs w:val="1"/>
                <w:color w:val="auto"/>
              </w:rPr>
            </w:pPr>
          </w:p>
        </w:tc>
      </w:tr>
      <w:tr>
        <w:trPr>
          <w:trHeight w:val="142"/>
        </w:trPr>
        <w:tc>
          <w:tcPr>
            <w:tcW w:w="5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202,655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177,559</w:t>
            </w:r>
          </w:p>
        </w:tc>
        <w:tc>
          <w:tcPr>
            <w:tcW w:w="0" w:type="dxa"/>
            <w:vAlign w:val="bottom"/>
          </w:tcPr>
          <w:p>
            <w:pPr>
              <w:spacing w:after="0"/>
              <w:rPr>
                <w:sz w:val="1"/>
                <w:szCs w:val="1"/>
                <w:color w:val="auto"/>
              </w:rPr>
            </w:pPr>
          </w:p>
        </w:tc>
      </w:tr>
      <w:tr>
        <w:trPr>
          <w:trHeight w:val="148"/>
        </w:trPr>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software, net of accumulated amortization</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35,917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36,350</w:t>
            </w: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 and other intangible assets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396,997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363,021</w:t>
            </w:r>
          </w:p>
        </w:tc>
        <w:tc>
          <w:tcPr>
            <w:tcW w:w="0" w:type="dxa"/>
            <w:vAlign w:val="bottom"/>
          </w:tcPr>
          <w:p>
            <w:pPr>
              <w:spacing w:after="0"/>
              <w:rPr>
                <w:sz w:val="1"/>
                <w:szCs w:val="1"/>
                <w:color w:val="auto"/>
              </w:rPr>
            </w:pPr>
          </w:p>
        </w:tc>
      </w:tr>
      <w:tr>
        <w:trPr>
          <w:trHeight w:val="149"/>
        </w:trPr>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27,480</w:t>
            </w: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 asset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11,956</w:t>
            </w: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14,073</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1,221,858</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1,166,791</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gridSpan w:val="2"/>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35,374</w:t>
            </w:r>
          </w:p>
        </w:tc>
        <w:tc>
          <w:tcPr>
            <w:tcW w:w="46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36,215</w:t>
            </w: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39,788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35,169</w:t>
            </w:r>
          </w:p>
        </w:tc>
        <w:tc>
          <w:tcPr>
            <w:tcW w:w="0" w:type="dxa"/>
            <w:vAlign w:val="bottom"/>
          </w:tcPr>
          <w:p>
            <w:pPr>
              <w:spacing w:after="0"/>
              <w:rPr>
                <w:sz w:val="1"/>
                <w:szCs w:val="1"/>
                <w:color w:val="auto"/>
              </w:rPr>
            </w:pPr>
          </w:p>
        </w:tc>
      </w:tr>
      <w:tr>
        <w:trPr>
          <w:trHeight w:val="148"/>
        </w:trPr>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Customer funds obligations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27,406</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salaries and benefits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23,729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14,581</w:t>
            </w:r>
          </w:p>
        </w:tc>
        <w:tc>
          <w:tcPr>
            <w:tcW w:w="0" w:type="dxa"/>
            <w:vAlign w:val="bottom"/>
          </w:tcPr>
          <w:p>
            <w:pPr>
              <w:spacing w:after="0"/>
              <w:rPr>
                <w:sz w:val="1"/>
                <w:szCs w:val="1"/>
                <w:color w:val="auto"/>
              </w:rPr>
            </w:pPr>
          </w:p>
        </w:tc>
      </w:tr>
      <w:tr>
        <w:trPr>
          <w:trHeight w:val="148"/>
        </w:trPr>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variable compensation</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29,101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45,507</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333,636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339,326</w:t>
            </w:r>
          </w:p>
        </w:tc>
        <w:tc>
          <w:tcPr>
            <w:tcW w:w="0" w:type="dxa"/>
            <w:vAlign w:val="bottom"/>
          </w:tcPr>
          <w:p>
            <w:pPr>
              <w:spacing w:after="0"/>
              <w:rPr>
                <w:sz w:val="1"/>
                <w:szCs w:val="1"/>
                <w:color w:val="auto"/>
              </w:rPr>
            </w:pPr>
          </w:p>
        </w:tc>
      </w:tr>
      <w:tr>
        <w:trPr>
          <w:trHeight w:val="148"/>
        </w:trPr>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9"/>
        </w:trPr>
        <w:tc>
          <w:tcPr>
            <w:tcW w:w="56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current</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27,100</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35,100</w:t>
            </w:r>
          </w:p>
        </w:tc>
        <w:tc>
          <w:tcPr>
            <w:tcW w:w="0" w:type="dxa"/>
            <w:vAlign w:val="bottom"/>
          </w:tcPr>
          <w:p>
            <w:pPr>
              <w:spacing w:after="0"/>
              <w:rPr>
                <w:sz w:val="1"/>
                <w:szCs w:val="1"/>
                <w:color w:val="auto"/>
              </w:rPr>
            </w:pPr>
          </w:p>
        </w:tc>
      </w:tr>
      <w:tr>
        <w:trPr>
          <w:trHeight w:val="142"/>
        </w:trPr>
        <w:tc>
          <w:tcPr>
            <w:tcW w:w="56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515,939</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537,376</w:t>
            </w:r>
          </w:p>
        </w:tc>
        <w:tc>
          <w:tcPr>
            <w:tcW w:w="0" w:type="dxa"/>
            <w:vAlign w:val="bottom"/>
          </w:tcPr>
          <w:p>
            <w:pPr>
              <w:spacing w:after="0"/>
              <w:rPr>
                <w:sz w:val="1"/>
                <w:szCs w:val="1"/>
                <w:color w:val="auto"/>
              </w:rPr>
            </w:pPr>
          </w:p>
        </w:tc>
      </w:tr>
      <w:tr>
        <w:trPr>
          <w:trHeight w:val="142"/>
        </w:trPr>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5,407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4,840</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Debt, net of current portion</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336,913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335,220</w:t>
            </w:r>
          </w:p>
        </w:tc>
        <w:tc>
          <w:tcPr>
            <w:tcW w:w="0" w:type="dxa"/>
            <w:vAlign w:val="bottom"/>
          </w:tcPr>
          <w:p>
            <w:pPr>
              <w:spacing w:after="0"/>
              <w:rPr>
                <w:sz w:val="1"/>
                <w:szCs w:val="1"/>
                <w:color w:val="auto"/>
              </w:rPr>
            </w:pPr>
          </w:p>
        </w:tc>
      </w:tr>
      <w:tr>
        <w:trPr>
          <w:trHeight w:val="148"/>
        </w:trPr>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12,585</w:t>
            </w: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net of current portion</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79,000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87,400</w:t>
            </w: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 liabilities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9,918</w:t>
            </w:r>
          </w:p>
        </w:tc>
        <w:tc>
          <w:tcPr>
            <w:tcW w:w="0" w:type="dxa"/>
            <w:vAlign w:val="bottom"/>
          </w:tcPr>
          <w:p>
            <w:pPr>
              <w:spacing w:after="0"/>
              <w:rPr>
                <w:sz w:val="1"/>
                <w:szCs w:val="1"/>
                <w:color w:val="auto"/>
              </w:rPr>
            </w:pPr>
          </w:p>
        </w:tc>
      </w:tr>
      <w:tr>
        <w:trPr>
          <w:trHeight w:val="148"/>
        </w:trPr>
        <w:tc>
          <w:tcPr>
            <w:tcW w:w="5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Deferred other liabilities</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2"/>
        </w:trPr>
        <w:tc>
          <w:tcPr>
            <w:tcW w:w="56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957,386</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987,439</w:t>
            </w:r>
          </w:p>
        </w:tc>
        <w:tc>
          <w:tcPr>
            <w:tcW w:w="0" w:type="dxa"/>
            <w:vAlign w:val="bottom"/>
          </w:tcPr>
          <w:p>
            <w:pPr>
              <w:spacing w:after="0"/>
              <w:rPr>
                <w:sz w:val="1"/>
                <w:szCs w:val="1"/>
                <w:color w:val="auto"/>
              </w:rPr>
            </w:pPr>
          </w:p>
        </w:tc>
      </w:tr>
      <w:tr>
        <w:trPr>
          <w:trHeight w:val="142"/>
        </w:trPr>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Preferred shares, $0.001 par value, 30,000 shares authorized; no shares issued and outstanding</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6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A voting common stock, $0.001 par value, 300,000 shares authorized; 77,315 and 70,670</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1"/>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issued and outstanding, respectively</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B voting common stock, $0.001 par value, 150,000 shares authorized; 82,156 and 86,481</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71"/>
        </w:trPr>
        <w:tc>
          <w:tcPr>
            <w:tcW w:w="5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 issued and outstanding, respectively</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 in capital</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304,177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278,389</w:t>
            </w:r>
          </w:p>
        </w:tc>
        <w:tc>
          <w:tcPr>
            <w:tcW w:w="0" w:type="dxa"/>
            <w:vAlign w:val="bottom"/>
          </w:tcPr>
          <w:p>
            <w:pPr>
              <w:spacing w:after="0"/>
              <w:rPr>
                <w:sz w:val="1"/>
                <w:szCs w:val="1"/>
                <w:color w:val="auto"/>
              </w:rPr>
            </w:pPr>
          </w:p>
        </w:tc>
      </w:tr>
      <w:tr>
        <w:trPr>
          <w:trHeight w:val="148"/>
        </w:trPr>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(39,101)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(53,315)</w:t>
            </w: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(45,879)</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264,472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179,352</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1,221,858</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1,166,791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60"/>
          </w:cols>
          <w:pgMar w:left="1320" w:top="513" w:right="131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Vertex,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2025 and 2024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276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164,824</w:t>
            </w:r>
          </w:p>
        </w:tc>
        <w:tc>
          <w:tcPr>
            <w:tcW w:w="180" w:type="dxa"/>
            <w:vAlign w:val="bottom"/>
          </w:tcPr>
          <w:p>
            <w:pPr>
              <w:spacing w:after="0"/>
              <w:rPr>
                <w:sz w:val="17"/>
                <w:szCs w:val="17"/>
                <w:color w:val="auto"/>
              </w:rPr>
            </w:pP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146,254</w:t>
            </w:r>
          </w:p>
        </w:tc>
        <w:tc>
          <w:tcPr>
            <w:tcW w:w="1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473,429</w:t>
            </w:r>
          </w:p>
        </w:tc>
        <w:tc>
          <w:tcPr>
            <w:tcW w:w="18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414,527</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27,288</w:t>
            </w:r>
          </w:p>
        </w:tc>
        <w:tc>
          <w:tcPr>
            <w:tcW w:w="1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24,181</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80,304</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73,793</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192,112</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170,435</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553,733</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488,320</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138,738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131,030</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20,762</w:t>
            </w:r>
          </w:p>
        </w:tc>
        <w:tc>
          <w:tcPr>
            <w:tcW w:w="1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59,485</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48,286</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70,796</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198,223</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179,316</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121,316</w:t>
            </w:r>
          </w:p>
        </w:tc>
        <w:tc>
          <w:tcPr>
            <w:tcW w:w="1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110,524</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355,510</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309,004</w:t>
            </w:r>
          </w:p>
        </w:tc>
        <w:tc>
          <w:tcPr>
            <w:tcW w:w="0" w:type="dxa"/>
            <w:vAlign w:val="bottom"/>
          </w:tcPr>
          <w:p>
            <w:pPr>
              <w:spacing w:after="0"/>
              <w:rPr>
                <w:sz w:val="1"/>
                <w:szCs w:val="1"/>
                <w:color w:val="auto"/>
              </w:rPr>
            </w:pPr>
          </w:p>
        </w:tc>
      </w:tr>
      <w:tr>
        <w:trPr>
          <w:trHeight w:val="19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47,080</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143,994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123,143</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44,609</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133,029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112,915</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15,432</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acquisition contingent earn-</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(4,000)</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(16,400)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operating expense (income), net</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10,109</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116,996</w:t>
            </w:r>
          </w:p>
        </w:tc>
        <w:tc>
          <w:tcPr>
            <w:tcW w:w="1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105,628</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350,568</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298,128</w:t>
            </w:r>
          </w:p>
        </w:tc>
        <w:tc>
          <w:tcPr>
            <w:tcW w:w="0" w:type="dxa"/>
            <w:vAlign w:val="bottom"/>
          </w:tcPr>
          <w:p>
            <w:pPr>
              <w:spacing w:after="0"/>
              <w:rPr>
                <w:sz w:val="1"/>
                <w:szCs w:val="1"/>
                <w:color w:val="auto"/>
              </w:rPr>
            </w:pPr>
          </w:p>
        </w:tc>
      </w:tr>
      <w:tr>
        <w:trPr>
          <w:trHeight w:val="196"/>
        </w:trPr>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(1,245)</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(2,938)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(4,012)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0" w:type="dxa"/>
            <w:vAlign w:val="bottom"/>
          </w:tcPr>
          <w:p>
            <w:pPr>
              <w:spacing w:after="0"/>
              <w:rPr>
                <w:sz w:val="1"/>
                <w:szCs w:val="1"/>
                <w:color w:val="auto"/>
              </w:rPr>
            </w:pPr>
          </w:p>
        </w:tc>
      </w:tr>
      <w:tr>
        <w:trPr>
          <w:trHeight w:val="196"/>
        </w:trPr>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(5,260)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7,221</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(286)</w:t>
            </w:r>
          </w:p>
        </w:tc>
        <w:tc>
          <w:tcPr>
            <w:tcW w:w="3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(8,955)</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(45,125)</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loss (gain) on investments, net of tax</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(8,979)</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(45,116)</w:t>
            </w:r>
          </w:p>
        </w:tc>
        <w:tc>
          <w:tcPr>
            <w:tcW w:w="1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16,200</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59,330</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and Class B, basic</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and Class B, dilutive</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80" w:type="dxa"/>
            <w:vAlign w:val="bottom"/>
          </w:tcPr>
          <w:p>
            <w:pPr>
              <w:spacing w:after="0"/>
              <w:rPr>
                <w:sz w:val="15"/>
                <w:szCs w:val="15"/>
                <w:color w:val="auto"/>
              </w:rPr>
            </w:pP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80" w:type="dxa"/>
            <w:vAlign w:val="bottom"/>
          </w:tcPr>
          <w:p>
            <w:pPr>
              <w:spacing w:after="0"/>
              <w:rPr>
                <w:sz w:val="15"/>
                <w:szCs w:val="15"/>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4808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06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3"/>
                <w:szCs w:val="13"/>
                <w:color w:val="auto"/>
              </w:rPr>
            </w:pPr>
          </w:p>
        </w:tc>
        <w:tc>
          <w:tcPr>
            <w:tcW w:w="6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9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2025</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70,670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86,481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278,389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(53,315)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(45,879)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179,352</w:t>
            </w: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net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(25,034)</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 net</w:t>
            </w: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18,780</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impact on capped call transactions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adjustments and</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revaluations, net of tax</w:t>
            </w: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from available-for-sale</w:t>
            </w: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net of tax</w:t>
            </w: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11,130</w:t>
            </w:r>
          </w:p>
        </w:tc>
        <w:tc>
          <w:tcPr>
            <w:tcW w:w="0" w:type="dxa"/>
            <w:vAlign w:val="bottom"/>
          </w:tcPr>
          <w:p>
            <w:pPr>
              <w:spacing w:after="0"/>
              <w:rPr>
                <w:sz w:val="1"/>
                <w:szCs w:val="1"/>
                <w:color w:val="auto"/>
              </w:rPr>
            </w:pPr>
          </w:p>
        </w:tc>
      </w:tr>
      <w:tr>
        <w:trPr>
          <w:trHeight w:val="142"/>
        </w:trPr>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71,907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86,481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273,300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(42,185)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(30,783)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200,490</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Exercise of stock options, net</w:t>
            </w:r>
          </w:p>
        </w:tc>
        <w:tc>
          <w:tcPr>
            <w:tcW w:w="18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6,371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6,372</w:t>
            </w: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 net</w:t>
            </w: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Awards, net</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11,545</w:t>
            </w: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ESPP</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shares exchanged for Class A shares</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impact on capped call transactions</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adjustments and</w:t>
            </w: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29,734</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revaluations, net of tax</w:t>
            </w: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142"/>
        </w:trPr>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77,242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82,156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292,078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(43,146)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248,042</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Exercise of stock options, net</w:t>
            </w:r>
          </w:p>
        </w:tc>
        <w:tc>
          <w:tcPr>
            <w:tcW w:w="18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 net</w:t>
            </w: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13,152</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impact on capped calls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adjustments and</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revaluations, net of tax</w:t>
            </w: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4,045</w:t>
            </w:r>
          </w:p>
        </w:tc>
        <w:tc>
          <w:tcPr>
            <w:tcW w:w="0" w:type="dxa"/>
            <w:vAlign w:val="bottom"/>
          </w:tcPr>
          <w:p>
            <w:pPr>
              <w:spacing w:after="0"/>
              <w:rPr>
                <w:sz w:val="1"/>
                <w:szCs w:val="1"/>
                <w:color w:val="auto"/>
              </w:rPr>
            </w:pPr>
          </w:p>
        </w:tc>
      </w:tr>
      <w:tr>
        <w:trPr>
          <w:trHeight w:val="142"/>
        </w:trPr>
        <w:tc>
          <w:tcPr>
            <w:tcW w:w="2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2025</w:t>
            </w: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77,315</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82,156</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304,177</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(39,101)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264,472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 (unaudited)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480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06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3"/>
                <w:szCs w:val="13"/>
                <w:color w:val="auto"/>
              </w:rPr>
            </w:pPr>
          </w:p>
        </w:tc>
        <w:tc>
          <w:tcPr>
            <w:tcW w:w="6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9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2024</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60,989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92,661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275,155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(586)</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(21,742)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252,981</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net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(5,454)</w:t>
            </w: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(10,898)</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 net</w:t>
            </w: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14,845</w:t>
            </w: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adjustments and</w:t>
            </w: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revaluations, net of tax</w:t>
            </w: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 from available-for-sale</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net of tax</w:t>
            </w: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2,684</w:t>
            </w:r>
          </w:p>
        </w:tc>
        <w:tc>
          <w:tcPr>
            <w:tcW w:w="0" w:type="dxa"/>
            <w:vAlign w:val="bottom"/>
          </w:tcPr>
          <w:p>
            <w:pPr>
              <w:spacing w:after="0"/>
              <w:rPr>
                <w:sz w:val="1"/>
                <w:szCs w:val="1"/>
                <w:color w:val="auto"/>
              </w:rPr>
            </w:pPr>
          </w:p>
        </w:tc>
      </w:tr>
      <w:tr>
        <w:trPr>
          <w:trHeight w:val="182"/>
        </w:trPr>
        <w:tc>
          <w:tcPr>
            <w:tcW w:w="28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2024</w:t>
            </w:r>
          </w:p>
        </w:tc>
        <w:tc>
          <w:tcPr>
            <w:tcW w:w="18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62,316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92,661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273,647</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2,098</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(25,770)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250,130</w:t>
            </w:r>
          </w:p>
        </w:tc>
        <w:tc>
          <w:tcPr>
            <w:tcW w:w="0" w:type="dxa"/>
            <w:vAlign w:val="bottom"/>
          </w:tcPr>
          <w:p>
            <w:pPr>
              <w:spacing w:after="0"/>
              <w:rPr>
                <w:sz w:val="1"/>
                <w:szCs w:val="1"/>
                <w:color w:val="auto"/>
              </w:rPr>
            </w:pPr>
          </w:p>
        </w:tc>
      </w:tr>
      <w:tr>
        <w:trPr>
          <w:trHeight w:val="129"/>
        </w:trPr>
        <w:tc>
          <w:tcPr>
            <w:tcW w:w="2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Exercise of stock options, net</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1,734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Units, net</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Awards, net</w:t>
            </w: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9,924</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in connection with ESPP</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B shares exchanged for Class A shares</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capped calls, net of tax</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(31,517)</w:t>
            </w: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adjustments and</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revaluations, net of tax</w:t>
            </w: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from available-for-sale</w:t>
            </w: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net of tax</w:t>
            </w: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5,164</w:t>
            </w:r>
          </w:p>
        </w:tc>
        <w:tc>
          <w:tcPr>
            <w:tcW w:w="0" w:type="dxa"/>
            <w:vAlign w:val="bottom"/>
          </w:tcPr>
          <w:p>
            <w:pPr>
              <w:spacing w:after="0"/>
              <w:rPr>
                <w:sz w:val="1"/>
                <w:szCs w:val="1"/>
                <w:color w:val="auto"/>
              </w:rPr>
            </w:pPr>
          </w:p>
        </w:tc>
      </w:tr>
      <w:tr>
        <w:trPr>
          <w:trHeight w:val="142"/>
        </w:trPr>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65,165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90,161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254,799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7,262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(29,086)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233,130</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Exercise of stock options, net</w:t>
            </w:r>
          </w:p>
        </w:tc>
        <w:tc>
          <w:tcPr>
            <w:tcW w:w="18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1,387</w:t>
            </w: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 net</w:t>
            </w: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 Restricted Stock</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Awards, net</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9,946</w:t>
            </w: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impact on capped calls</w:t>
            </w: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adjustments and</w:t>
            </w: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revaluations, net of tax</w:t>
            </w: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from available-for-sale</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net of tax</w:t>
            </w: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7,221</w:t>
            </w:r>
          </w:p>
        </w:tc>
        <w:tc>
          <w:tcPr>
            <w:tcW w:w="0" w:type="dxa"/>
            <w:vAlign w:val="bottom"/>
          </w:tcPr>
          <w:p>
            <w:pPr>
              <w:spacing w:after="0"/>
              <w:rPr>
                <w:sz w:val="1"/>
                <w:szCs w:val="1"/>
                <w:color w:val="auto"/>
              </w:rPr>
            </w:pPr>
          </w:p>
        </w:tc>
      </w:tr>
      <w:tr>
        <w:trPr>
          <w:trHeight w:val="142"/>
        </w:trPr>
        <w:tc>
          <w:tcPr>
            <w:tcW w:w="2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2024</w:t>
            </w: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65,722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90,161</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264,494</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14,483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(20,107)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259,026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p>
      <w:pPr>
        <w:ind w:left="60"/>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ind w:left="60"/>
        <w:spacing w:after="0" w:line="221" w:lineRule="auto"/>
        <w:rPr>
          <w:sz w:val="20"/>
          <w:szCs w:val="20"/>
          <w:color w:val="auto"/>
        </w:rPr>
      </w:pPr>
      <w:r>
        <w:rPr>
          <w:rFonts w:ascii="Times New Roman" w:cs="Times New Roman" w:eastAsia="Times New Roman" w:hAnsi="Times New Roman"/>
          <w:sz w:val="14"/>
          <w:szCs w:val="14"/>
          <w:b w:val="1"/>
          <w:bCs w:val="1"/>
          <w:color w:val="auto"/>
        </w:rPr>
        <w:t>For the nine months ended September 30, 2025 and 2024 (unaudited)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6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14,214</w:t>
            </w:r>
          </w:p>
        </w:tc>
        <w:tc>
          <w:tcPr>
            <w:tcW w:w="16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70,797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61,448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cloud computing implementation costs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2,994</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subscription cancellations and non-renewals</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(16,200)</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settlement value of deferred purchase commitment liability</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Write-off of deferred financing costs</w:t>
            </w: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46,249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36,459</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(3,029)</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operating lease costs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2,038</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35,819</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(14,489)</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(1,332)</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4,535</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and deferred compensation</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(10,910)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3,032</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(6,784)</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(3,191)</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Payments for purchase commitment and contingent consideration liabilities in excess of initial fair value</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123,275</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123,688</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businesses and assets, net of cash acquired</w:t>
            </w: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(71,755)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investment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additions</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(69,342)</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Capitalized software additions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(16,444)</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investment securities, available-for-sale</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(2,398)</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sales and maturities of investment securities, available-for-sale</w:t>
            </w: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11,607</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14,610</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(91,577)</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(133,268)</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increase (decrease) in customer funds obligations</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(4,502)</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convertible senior notes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345,000</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on long-term debt</w:t>
            </w: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third-party debt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for purchase of capped calls</w:t>
            </w: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(42,366)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deferred financing costs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(11,374)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purchases of stock under ESPP</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taxes related to net share settlement of stock-based awards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(27,178)</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7,706</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purchase commitment and contingent consideration liabilities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of finance lease liabilities</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(22,242)</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225,005</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3,271</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810</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12,727</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216,235</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326,066</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89,151</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338,793</w:t>
            </w: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305,386</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Reconciliation of cash, cash equivalents and restricted cash to the Condensed Consolidated Balance Sheets,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6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313,506</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278,979</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cash—funds held for customers</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25,287</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26,407</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338,793</w:t>
            </w: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305,386</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142875</wp:posOffset>
            </wp:positionV>
            <wp:extent cx="5648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80" w:right="3599" w:firstLine="21"/>
        <w:spacing w:after="0" w:line="503" w:lineRule="auto"/>
        <w:tabs>
          <w:tab w:leader="none" w:pos="73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 Inc. (“Vertex”) and its consolidated subsidiaries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accounting principles generally accepted in the U.S. (“GAAP”) and include the accounts of the Company. All intercompany transactions have been eliminated in consolidation.</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August 30, 2024, the Company completed its acquisition of ecosio GmbH (“ecosio”). Upon its acquisition, ecosio became a wholly owned subsidiary of the Company, and its operations have been included in the Company’s condensed consolidated financial statements commencing on the acquisition date.</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Prior to June 5, 2024, the Company owned an 80% controlling equity interest in Systax Sistemas Fiscais LTDA (“Systax”), a provider of Brazilian transaction tax content and software. Systax was determined to be a variable interest entity and the accounts were included in the condensed consolidated financial statements. Vertex did not have full decision-making authority over Systax; however, Vertex was the entity that most significantly participated in the variability of the fair value of Systax’s net assets and was considered the entity most closely associated to Systax. As such, Vertex was deemed the primary beneficiary of Systax and consolidated Systax into its condensed consolidated financial statements. On June 5, 2024, Vertex acquired the remaining 20% equity interest in Systax, resulting in Systax becoming a wholly owned subsidiary of the Company, and is consolidated into the condensed consolidated financial statements.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GAAP have been condensed or omitted. Accordingly, these interim condensed consolidated financial statements should be read in conjunction with the audited consolidated financial statements and the related notes for the year ended December 31, 2024 included in the Company’s Annual Report on Form 10-K for the year ended December 31, 2024 (the “2024 Annual Report”) filed with the SEC on February 27, 2025. The condensed consolidated balance sheet as of December 31, 2024 has been derived from audited financial statements included in the 2024 Annual Report. The accompanying interim condensed consolidated balance sheet as of September 30, 2025, the interim condensed consolidated statements of comprehensive income and changes in stockholders’ equity for the three and nine months ended September 30, 2025 and 2024, and the interim condensed consolidated statements of cash flows for the nine months ended September 30, 2025 and 2024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nine months ended September 30, 2025 are not necessarily indicative of the results expected for the full year ending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w:t>
      </w:r>
    </w:p>
    <w:p>
      <w:pPr>
        <w:spacing w:after="0" w:line="3" w:lineRule="exact"/>
        <w:rPr>
          <w:sz w:val="20"/>
          <w:szCs w:val="20"/>
          <w:color w:val="auto"/>
        </w:rPr>
      </w:pPr>
    </w:p>
    <w:p>
      <w:pPr>
        <w:jc w:val="both"/>
        <w:ind w:left="60" w:right="59" w:hanging="10"/>
        <w:spacing w:after="0" w:line="251" w:lineRule="auto"/>
        <w:tabs>
          <w:tab w:leader="none" w:pos="3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cloud computing arrangement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fair value of contingent consideration liabilities related to cash and stock earn-out payments, contingent consideration and deferred purchase consideration liabilities associated with acquisitions; (xiii) measurements of long-term investment and warrant rights; and (xiv) the potential outcome of future tax consequences of events that have been recognized in the condensed consolidated financial statements or tax returns. Actual results may differ from these estimates.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disclosures are as follows for the respective periods: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licenses and support</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48,532</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36,678</w:t>
            </w:r>
          </w:p>
        </w:tc>
        <w:tc>
          <w:tcPr>
            <w:tcW w:w="0" w:type="dxa"/>
            <w:vAlign w:val="bottom"/>
          </w:tcPr>
          <w:p>
            <w:pPr>
              <w:spacing w:after="0"/>
              <w:rPr>
                <w:sz w:val="1"/>
                <w:szCs w:val="1"/>
                <w:color w:val="auto"/>
              </w:rPr>
            </w:pPr>
          </w:p>
        </w:tc>
      </w:tr>
      <w:tr>
        <w:trPr>
          <w:trHeight w:val="197"/>
        </w:trPr>
        <w:tc>
          <w:tcPr>
            <w:tcW w:w="5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contract labor and professional fees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09"/>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Cloud computing software implementation costs incurred in hosting arrangements are capitalized and included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two to five years. Amortization expense for capitalized cloud computing implementation costs for the three and nine months ended September 30, 2025 were $871 and $2,895, respectively, and for the three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nine months ended September 30, 2024 were $1,005 and $2,994, respectively, and are included in general and administrative expense in the condensed consolidated statements of comprehensive income.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September 18, 2025, the Financial Accounting Standards Board (the “FASB”) issued Accounting Standards Update (“ASU”) 2025-06, Intangibles-Goodwill and Other-Internal-Use Software (Subtopic 350-40): Targeted Improvements to the Accounting for Internal-Use Software. ASU 2025-06 replaces the existing stage-based capitalization model with a principles-based approach. Under the new guidance, software development costs are capitalized only when (i) management has authorized and committed to funding the software project, and (ii) it is probable that the project will be completed and the software will be used to perform its intended function. The standard also consolidates guidance for website development costs from Subtopic 350-50 into Subtopic 350-40 and introduces enhanced disclosure requirements related to capitalized software costs. The standard is effective for annual reporting periods beginning after December 15, 2027, including interim reporting periods within those fiscal years. The standard can be adopted retrospectively, prospectively or on a modified prospective basis, and early adoption is permitted as of the beginning of an annual reporting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provided that the financial statements for that period have not yet been issued or made available for issuance. The Company is currently evaluating the impact of the standard on its consolidated financial statements and related disclosures and will determine the appropriate transition method prior to adoption.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227" w:lineRule="exact"/>
        <w:rPr>
          <w:sz w:val="20"/>
          <w:szCs w:val="20"/>
          <w:color w:val="auto"/>
        </w:rPr>
      </w:pPr>
    </w:p>
    <w:p>
      <w:pPr>
        <w:jc w:val="both"/>
        <w:ind w:left="60" w:right="59" w:firstLine="383"/>
        <w:spacing w:after="0" w:line="253"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Improvements to Income Tax Disclosures.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is effective for annual reporting periods beginning after December 15, 2024. The guidance will be applied on a prospective basis with the option to apply the standard retrospectively, and early adoption is permitted. The Company is continuing to assess the potential impacts of the standard, but does not expect this pronouncement to have a material effect on its condensed consolidated financial statements, other than the required changes to the income tax disclosures.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4, 2024, the FASB issued ASU 2024-03, Income Statement - Reporting Comprehensive Income - Expense Disaggregation Disclosures (Subtopic 220-40): Disaggregation of Income Statement Expenses. Entities will be required to provide disaggregation of certain expense captions into specified categories in disclosures within the footnotes to the financial statements for both interim and annual reporting periods. The standard does not change the expense captions that an entity presents on the face of the income statement. The standard will be effective for annual reporting periods beginning after December 15, 2026, and for interim reporting periods for annual reporting periods beginning after December 15, 2027, with early adoption permitted. Entities are required to adopt the standard prospectively; however, entities are permitted to apply the amendments retrospectively to any or all prior periods presented in the financial statements. The Company is continuing to assess the potential impacts of the standard, but does not expect this pronouncement to have a material effect on its financial statements, other than the required changes to the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87" w:lineRule="exact"/>
        <w:rPr>
          <w:sz w:val="20"/>
          <w:szCs w:val="20"/>
          <w:color w:val="auto"/>
        </w:rPr>
      </w:pPr>
    </w:p>
    <w:p>
      <w:pPr>
        <w:ind w:left="420" w:hanging="370"/>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reflects revenue by major source for the following periods: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9"/>
        </w:trPr>
        <w:tc>
          <w:tcPr>
            <w:tcW w:w="3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1"/>
                <w:szCs w:val="1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 licenses</w:t>
            </w:r>
          </w:p>
        </w:tc>
        <w:tc>
          <w:tcPr>
            <w:tcW w:w="16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72,837</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75,273</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215,080</w:t>
            </w:r>
          </w:p>
        </w:tc>
        <w:tc>
          <w:tcPr>
            <w:tcW w:w="160" w:type="dxa"/>
            <w:vAlign w:val="bottom"/>
          </w:tcPr>
          <w:p>
            <w:pPr>
              <w:spacing w:after="0"/>
              <w:rPr>
                <w:sz w:val="18"/>
                <w:szCs w:val="18"/>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215,365</w:t>
            </w:r>
          </w:p>
        </w:tc>
      </w:tr>
      <w:tr>
        <w:trPr>
          <w:trHeight w:val="216"/>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Cloud subscriptions</w:t>
            </w:r>
          </w:p>
        </w:tc>
        <w:tc>
          <w:tcPr>
            <w:tcW w:w="1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199,162</w:t>
            </w: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414,527</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73,793</w:t>
            </w:r>
          </w:p>
        </w:tc>
      </w:tr>
      <w:tr>
        <w:trPr>
          <w:trHeight w:val="209"/>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Pr>
          <w:p>
            <w:pPr>
              <w:spacing w:after="0"/>
              <w:rPr>
                <w:sz w:val="18"/>
                <w:szCs w:val="18"/>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170,435</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553,733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488,320</w:t>
            </w:r>
          </w:p>
        </w:tc>
      </w:tr>
      <w:tr>
        <w:trPr>
          <w:trHeight w:val="20"/>
        </w:trPr>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$15,069 and $16,838 at September 30, 2025 and December 31, 2024, respectively. The allowance for potentially uncollectible accounts represents future expected credit losses over the life of the receivables based on past experience, current information and forward-looking economic considerations.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accounts receivable, net of allowance,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40" w:type="dxa"/>
            <w:vAlign w:val="bottom"/>
          </w:tcPr>
          <w:p>
            <w:pPr>
              <w:spacing w:after="0"/>
              <w:rPr>
                <w:sz w:val="13"/>
                <w:szCs w:val="13"/>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164,432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Deferred revenue is included net of a related deferred allowance for subscription cancellations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“deferred allowance”) of $10,682 and $12,028 at September 30, 2025 and December 31, 2024, respectively. The deferred allowance represents the portion of the allowance for subscription cancellations associated with deferred revenue.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and changes to the allowance and the deferred allowance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3980" w:type="dxa"/>
            <w:vAlign w:val="bottom"/>
            <w:gridSpan w:val="1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142"/>
        </w:trPr>
        <w:tc>
          <w:tcPr>
            <w:tcW w:w="4940" w:type="dxa"/>
            <w:vAlign w:val="bottom"/>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760" w:type="dxa"/>
            <w:vAlign w:val="bottom"/>
            <w:tcBorders>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Net Change</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2"/>
                <w:szCs w:val="12"/>
                <w:color w:val="auto"/>
              </w:rPr>
            </w:pPr>
          </w:p>
        </w:tc>
      </w:tr>
      <w:tr>
        <w:trPr>
          <w:trHeight w:val="128"/>
        </w:trPr>
        <w:tc>
          <w:tcPr>
            <w:tcW w:w="4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July 1</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 (16,389)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(17,704)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September 30,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(1,320)</w:t>
            </w: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July 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September 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0" w:type="dxa"/>
            <w:vAlign w:val="bottom"/>
          </w:tcPr>
          <w:p>
            <w:pPr>
              <w:spacing w:after="0"/>
              <w:rPr>
                <w:sz w:val="18"/>
                <w:szCs w:val="18"/>
                <w:color w:val="auto"/>
              </w:rPr>
            </w:pPr>
          </w:p>
        </w:tc>
      </w:tr>
      <w:tr>
        <w:trPr>
          <w:trHeight w:val="210"/>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9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940" w:type="dxa"/>
            <w:vAlign w:val="bottom"/>
          </w:tcPr>
          <w:p>
            <w:pPr>
              <w:spacing w:after="0"/>
              <w:rPr>
                <w:sz w:val="24"/>
                <w:szCs w:val="24"/>
                <w:color w:val="auto"/>
              </w:rPr>
            </w:pPr>
          </w:p>
        </w:tc>
        <w:tc>
          <w:tcPr>
            <w:tcW w:w="3980" w:type="dxa"/>
            <w:vAlign w:val="bottom"/>
            <w:gridSpan w:val="1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940" w:type="dxa"/>
            <w:vAlign w:val="bottom"/>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760" w:type="dxa"/>
            <w:vAlign w:val="bottom"/>
            <w:tcBorders>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Net Change</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2"/>
                <w:szCs w:val="12"/>
                <w:color w:val="auto"/>
              </w:rPr>
            </w:pPr>
          </w:p>
        </w:tc>
      </w:tr>
      <w:tr>
        <w:trPr>
          <w:trHeight w:val="129"/>
        </w:trPr>
        <w:tc>
          <w:tcPr>
            <w:tcW w:w="4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January 1,</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 (16,838)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(16,272)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September 30,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(1,769)</w:t>
            </w: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January 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September 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 w:type="dxa"/>
            <w:vAlign w:val="bottom"/>
          </w:tcPr>
          <w:p>
            <w:pPr>
              <w:spacing w:after="0"/>
              <w:rPr>
                <w:sz w:val="18"/>
                <w:szCs w:val="18"/>
                <w:color w:val="auto"/>
              </w:rPr>
            </w:pPr>
          </w:p>
        </w:tc>
      </w:tr>
      <w:tr>
        <w:trPr>
          <w:trHeight w:val="210"/>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2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34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28"/>
        </w:trPr>
        <w:tc>
          <w:tcPr>
            <w:tcW w:w="3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3"/>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to deferred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347,250</w:t>
            </w: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299,741</w:t>
            </w:r>
          </w:p>
        </w:tc>
        <w:tc>
          <w:tcPr>
            <w:tcW w:w="18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344,166</w:t>
            </w: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292,720</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548,610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500,012</w:t>
            </w:r>
          </w:p>
        </w:tc>
        <w:tc>
          <w:tcPr>
            <w:tcW w:w="2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recognized</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(192,112)</w:t>
            </w:r>
          </w:p>
        </w:tc>
        <w:tc>
          <w:tcPr>
            <w:tcW w:w="4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(170,435)</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(553,733)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(488,320)</w:t>
            </w:r>
          </w:p>
        </w:tc>
        <w:tc>
          <w:tcPr>
            <w:tcW w:w="20" w:type="dxa"/>
            <w:vAlign w:val="bottom"/>
          </w:tcPr>
          <w:p>
            <w:pPr>
              <w:spacing w:after="0"/>
              <w:rPr>
                <w:sz w:val="18"/>
                <w:szCs w:val="18"/>
                <w:color w:val="auto"/>
              </w:rPr>
            </w:pPr>
          </w:p>
        </w:tc>
      </w:tr>
      <w:tr>
        <w:trPr>
          <w:trHeight w:val="210"/>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304,412</w:t>
            </w:r>
          </w:p>
        </w:tc>
        <w:tc>
          <w:tcPr>
            <w:tcW w:w="2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included as deferred commissions in the condensed consolidated balance sheets. These contract costs are amortized on a straight-line basis over a period consistent with the transfer of the associated product and services to the customer, which is generally one to three years. Amortization of these costs are included in selling and marketing expense in the condensed consolidated statements of comprehensive income.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contract cost balances as of and for the following periods are: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3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3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3"/>
          </w:tcPr>
          <w:p>
            <w:pPr>
              <w:jc w:val="right"/>
              <w:ind w:right="30"/>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1"/>
                <w:szCs w:val="1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27,737</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21,862</w:t>
            </w:r>
          </w:p>
        </w:tc>
        <w:tc>
          <w:tcPr>
            <w:tcW w:w="2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20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r>
      <w:tr>
        <w:trPr>
          <w:trHeight w:val="216"/>
        </w:trPr>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r>
      <w:tr>
        <w:trPr>
          <w:trHeight w:val="216"/>
        </w:trPr>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(4,346)</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(16,852)</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w:t>
            </w:r>
          </w:p>
        </w:tc>
      </w:tr>
      <w:tr>
        <w:trPr>
          <w:trHeight w:val="210"/>
        </w:trPr>
        <w:tc>
          <w:tcPr>
            <w:tcW w:w="33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60" w:hanging="410"/>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a Preferred Stock Purchase Agreement (the “Purchase Agreement”) with Kintsugi AI, Inc. (“Kintsugi”), a San Francisco-based, AI startup focused on automating sales tax compliance for small and mid-size businesses (the “Kintsugi Investment”). The Company completed the Kintsugi Investment with the goal of expanding use of AI in its tax software solutions to deliver new innovations to customers.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Company purchased 1,568 preferred shares (the “Preferred Stock”) for aggregate consideration of approximately $15,000 (the “Purchase Price”), representing approximately 10% of the fully diluted shares outstanding of Kintsugi on an “as converted” basis, and received a warrant to purchase 320 shares of Kintsugi’s Class A common stock at a price of $0.01 per share (the “Warrant”). The Warrant will vest subject to Kintsugi failing to achieve a certain annualized recurring monthly revenue threshold as of January 15, 2026.</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and Kintsugi also entered into a license and intellectual property sharing arrangement (the “License Agreement”) providing for, among other things, the Company’s use of and collaboration with respect to certain of Kintsugi’s intellectual property. Additionally, the Company has designated one member to Kintsugi’s board of directors.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Codification (“ASC”) 805-50-30-3, the Company allocated the full Purchase Price to the value of the Preferred Stock as the fair value of both the Warrant and the License Agreement were determined to be nil.</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classified the Preferred Stock as an equity security under ASC 321, Investments – Equity Securities. As Kintsugi is a privately held company without a readily determinable fair value, the Preferred Stock qualifies for the measurement alternative under ASC 321 and is measured at cost, less impairment, subject to upward and downward adjustments resulting from observable price changes for identical or similar investments of the same issuer. These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9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adjustments require quantitative assessments of the fair value, which may require the use of unobservable inputs, which management considers to be Level 3 measurements under the fair value hierarchy. The Company performs a qualitative assessment each reporting period to identify indicators of impairment. No observable price change or impairment adjustments have been recorded for the three or nine months ended September 30, 2025. The $15,000 carrying value of the Kintsugi Investment is presented in the long-term investment line in the condensed consolidated balance sheets.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Warrant was determined by third-party valuation specialists using a Monte Carlo simulation in a risk-neutral framework calibrated to management’s revenue forecasts. The following assumptions were used: expected revenue volatility of 24.5%, equity volatility of 75.0%, a revenue discount rate of 7.2%, and expected term of 0.8 years.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Total transaction costs associated with the Kintsugi Investment are recorded in other operating expense (income), net in the consolidated statements of comprehensive income and amounts are not material.</w:t>
      </w:r>
    </w:p>
    <w:p>
      <w:pPr>
        <w:spacing w:after="0" w:line="158" w:lineRule="exact"/>
        <w:rPr>
          <w:sz w:val="20"/>
          <w:szCs w:val="20"/>
          <w:color w:val="auto"/>
        </w:rPr>
      </w:pPr>
    </w:p>
    <w:p>
      <w:pPr>
        <w:ind w:left="460" w:hanging="410"/>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 MEASUREMENTS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fair value for its financial assets and liabilities measured at fair value on a recurring basis:</w:t>
      </w:r>
    </w:p>
    <w:tbl>
      <w:tblPr>
        <w:tblLayout w:type="fixed"/>
        <w:tblInd w:w="4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Prices in active</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0"/>
                <w:szCs w:val="10"/>
                <w:color w:val="auto"/>
              </w:rPr>
            </w:pPr>
          </w:p>
        </w:tc>
        <w:tc>
          <w:tcPr>
            <w:tcW w:w="11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 (unaudited)</w:t>
            </w:r>
          </w:p>
        </w:tc>
        <w:tc>
          <w:tcPr>
            <w:tcW w:w="200" w:type="dxa"/>
            <w:vAlign w:val="bottom"/>
          </w:tcPr>
          <w:p>
            <w:pPr>
              <w:spacing w:after="0"/>
              <w:rPr>
                <w:sz w:val="12"/>
                <w:szCs w:val="12"/>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269,664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269,664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ecosio Cash Earn-outs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Stock Earn-outs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0" w:type="dxa"/>
            <w:vAlign w:val="bottom"/>
          </w:tcPr>
          <w:p>
            <w:pPr>
              <w:spacing w:after="0"/>
              <w:rPr>
                <w:sz w:val="1"/>
                <w:szCs w:val="1"/>
                <w:color w:val="auto"/>
              </w:rPr>
            </w:pPr>
          </w:p>
        </w:tc>
      </w:t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 (See Note 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46"/>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Prices in active</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0"/>
                <w:szCs w:val="10"/>
                <w:color w:val="auto"/>
              </w:rPr>
            </w:pPr>
          </w:p>
        </w:tc>
        <w:tc>
          <w:tcPr>
            <w:tcW w:w="11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2"/>
                <w:szCs w:val="12"/>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Cash Earn-outs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0" w:type="dxa"/>
            <w:vAlign w:val="bottom"/>
          </w:tcPr>
          <w:p>
            <w:pPr>
              <w:spacing w:after="0"/>
              <w:rPr>
                <w:sz w:val="1"/>
                <w:szCs w:val="1"/>
                <w:color w:val="auto"/>
              </w:rPr>
            </w:pPr>
          </w:p>
        </w:tc>
      </w:t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ecosio Stock Earn-outs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investments in high quality, short-term money market instruments, which are issued and payable in U.S. dollars (“Money Market Funds”) and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additional investments in bank and corporate issued commercial paper (“Commercial Paper”), corporate bonds (“Corporate Bonds”), and U.S. treasury securities (“U.S. Treasury Securities”). The Company believes that Level 2 designation was appropriate for these securities under ASC 820-10, Fair Value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9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Measurements and Disclosures, as these securities were fixed income securities, none were exchange-traded, and all were priced by correlation to observed market data. For these securities, the Company obtained fair value measurements from an independent pricing service. The fair value measurements considered observable data that may have included dealer quotes, market spreads, cash flows, U.S. government and agency yield curves, live trading levels, trade execution data, market consensus prepayment speeds, credit information, and the security’s terms and conditions, among other factors. These securities qualified as debt securities per ASC 320, Investments– Debt Securities, and were classified as available-for-sale as they could be liquidated and used for general corporate purposes. These securities were carried at fair value in the investment securities available-for-sale line in the condensed consolidated balance sheets, with the unrealized holding gains and (losses), net of tax, included in other comprehensive (income) loss until realized. During the first quarter of 2025, the Company fully liquidated these securities, which resulted in a realized gain of $19, which is included in the interest expense (income), net line of the condensed consolidated statements of comprehensive income for the nine months ended September 30, 2025.</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Tellutax Contingent Consideration</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January 2021 Tellutax LLC (“Tellutax”) acquisition, the sellers were entitled to contingent consideration if sales targets were met during a period of time following the acquisition (the “Tellutax Contingent Consideration”).</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Tellutax Contingent Consideration was based on three potential earn-out payments determined by periodic revenue achievements over a thirty-month period. The final payment of $200 was made during the second quarter of 2025 and is included in other operating expense, net for the three and nine months ended September 30, 2025. Fair value adjustments of $100 and $(2,275) were included in other operating expense (income), net for the three and nine months ended September 30, 2024, respectively. At both September 30, 2025 and December 31, 2024, the Tellutax Contingent Consideration balance was $0.</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Systax Purchase Commitment Liability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had a contractual commitment to acquire the remaining equity interest from the original Systax quotaholders incrementally through 2024. Purchase commitment payments for these incremental acquisition amounts were based on a multiple of Systax revenue and earnings before interest, depreciation, amortization, and income taxes (“EBITDA”) performance at the end of 2023 and 2022. Management determined these future purchase commitments to be a forward contract, resulting in the Company being required to estimate and record an estimated future purchase commitment amount (the “Purchase Commitment Liability”) in connection with recording the initial purchase. Adjustments to the settlement date value that arose as a result of remeasurement at future balance sheet dates were reflected as interest expense related to financing costs in the condensed consolidated statements of comprehensive income (loss) in the period the change is identified. A final adjustment for $423 to interest expense was recorded in the second quarter of 2024.</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paid $9,622 to acquire the remaining 20% equity interest of Systax, which increased the Company’s ownership percentage of Systax to 100%, and settled the outstanding Purchase Commitment Liability.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ecosio Earn-outs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August 2024 ecosio acquisition, the sellers are entitled to three annual earn-outs in the form of cash, with an aggregate of up to $94,355 (the “Cash Earn-outs”), and stock, with an aggregate value of up to $35,000 (the “Stock Earn-outs,” and together with the Cash Earn-outs, the “Earn-outs”), assuming maximum payouts. The Earn-outs are based on ecosio’s achievement of certain monthly software revenue targets over a three-year period, measured over an aggregate of 12 months and paid within 90 days after the relevant measurement period. At the acquisition date, the fair value of the Cash Earn-outs and Stock Earn-outs were $71,000 and $34,000, respectively. The fair value of the Cash Earn-out and the Stock Earn-out were measured on the acquisition date using a Monte Carlo simulation in a risk-neutral framework, calibrated to management’s revenue forecasts. Additional information on the Cash Earn-outs and the Stock Earn-outs is presented in the following table:</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9"/>
        </w:trPr>
        <w:tc>
          <w:tcPr>
            <w:tcW w:w="38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Cash Earn-outs/ Period (unaudited)</w:t>
            </w:r>
          </w:p>
        </w:tc>
        <w:tc>
          <w:tcPr>
            <w:tcW w:w="340" w:type="dxa"/>
            <w:vAlign w:val="bottom"/>
          </w:tcPr>
          <w:p>
            <w:pPr>
              <w:spacing w:after="0"/>
              <w:rPr>
                <w:sz w:val="17"/>
                <w:szCs w:val="17"/>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160" w:type="dxa"/>
            <w:vAlign w:val="bottom"/>
          </w:tcPr>
          <w:p>
            <w:pPr>
              <w:spacing w:after="0"/>
              <w:rPr>
                <w:sz w:val="17"/>
                <w:szCs w:val="17"/>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7"/>
                <w:szCs w:val="17"/>
                <w:color w:val="auto"/>
              </w:rPr>
            </w:pPr>
          </w:p>
        </w:tc>
        <w:tc>
          <w:tcPr>
            <w:tcW w:w="13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1 - December 1, 2024 - December 1, 2025</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r>
      <w:tr>
        <w:trPr>
          <w:trHeight w:val="21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2 - December 1, 2025 - December 1, 2026</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w:t>
            </w:r>
          </w:p>
        </w:tc>
      </w:tr>
      <w:tr>
        <w:trPr>
          <w:trHeight w:val="21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3 - December 1, 2026 - December 1, 2027</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r>
      <w:tr>
        <w:trPr>
          <w:trHeight w:val="21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Earn-outs</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74,400</w:t>
            </w:r>
          </w:p>
        </w:tc>
      </w:tr>
      <w:tr>
        <w:trPr>
          <w:trHeight w:val="20"/>
        </w:trPr>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7"/>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9"/>
        </w:trPr>
        <w:tc>
          <w:tcPr>
            <w:tcW w:w="386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Stock Earn-outs/ Period (unaudited)</w:t>
            </w:r>
          </w:p>
        </w:tc>
        <w:tc>
          <w:tcPr>
            <w:tcW w:w="340" w:type="dxa"/>
            <w:vAlign w:val="bottom"/>
          </w:tcPr>
          <w:p>
            <w:pPr>
              <w:spacing w:after="0"/>
              <w:rPr>
                <w:sz w:val="17"/>
                <w:szCs w:val="17"/>
                <w:color w:val="auto"/>
              </w:rPr>
            </w:pPr>
          </w:p>
        </w:tc>
        <w:tc>
          <w:tcPr>
            <w:tcW w:w="1500" w:type="dxa"/>
            <w:vAlign w:val="bottom"/>
            <w:gridSpan w:val="2"/>
          </w:tcPr>
          <w:p>
            <w:pPr>
              <w:jc w:val="center"/>
              <w:ind w:right="480"/>
              <w:spacing w:after="0" w:line="199" w:lineRule="exact"/>
              <w:rPr>
                <w:sz w:val="20"/>
                <w:szCs w:val="20"/>
                <w:color w:val="auto"/>
              </w:rPr>
            </w:pPr>
            <w:r>
              <w:rPr>
                <w:rFonts w:ascii="Times New Roman" w:cs="Times New Roman" w:eastAsia="Times New Roman" w:hAnsi="Times New Roman"/>
                <w:sz w:val="14"/>
                <w:szCs w:val="14"/>
                <w:b w:val="1"/>
                <w:bCs w:val="1"/>
                <w:color w:val="auto"/>
                <w:w w:val="93"/>
              </w:rPr>
              <w:t xml:space="preserve">Payout </w:t>
            </w:r>
            <w:r>
              <w:rPr>
                <w:rFonts w:ascii="Times New Roman" w:cs="Times New Roman" w:eastAsia="Times New Roman" w:hAnsi="Times New Roman"/>
                <w:sz w:val="21"/>
                <w:szCs w:val="21"/>
                <w:b w:val="1"/>
                <w:bCs w:val="1"/>
                <w:color w:val="auto"/>
                <w:w w:val="93"/>
                <w:vertAlign w:val="superscript"/>
              </w:rPr>
              <w:t>(1)</w:t>
            </w:r>
          </w:p>
        </w:tc>
        <w:tc>
          <w:tcPr>
            <w:tcW w:w="160" w:type="dxa"/>
            <w:vAlign w:val="bottom"/>
          </w:tcPr>
          <w:p>
            <w:pPr>
              <w:spacing w:after="0"/>
              <w:rPr>
                <w:sz w:val="17"/>
                <w:szCs w:val="17"/>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7"/>
                <w:szCs w:val="17"/>
                <w:color w:val="auto"/>
              </w:rPr>
            </w:pPr>
          </w:p>
        </w:tc>
        <w:tc>
          <w:tcPr>
            <w:tcW w:w="13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1 - December 1, 2024 - December 1, 2025</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1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2 - December 1, 2025 - December 1, 2026</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r>
      <w:tr>
        <w:trPr>
          <w:trHeight w:val="21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3 - December 1, 2026 - December 1, 2027</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r>
      <w:tr>
        <w:trPr>
          <w:trHeight w:val="20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 Earn-outs</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w:t>
            </w:r>
          </w:p>
        </w:tc>
      </w:tr>
    </w:tbl>
    <w:p>
      <w:pPr>
        <w:ind w:left="240" w:hanging="190"/>
        <w:spacing w:after="0" w:line="182" w:lineRule="auto"/>
        <w:tabs>
          <w:tab w:leader="none" w:pos="24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Maximum payout based on Vertex's August 6, 2024 opening share price of $37.02, as referenced in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-132080</wp:posOffset>
            </wp:positionV>
            <wp:extent cx="32061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25400"/>
                    </a:xfrm>
                    <a:prstGeom prst="rect">
                      <a:avLst/>
                    </a:prstGeom>
                    <a:noFill/>
                  </pic:spPr>
                </pic:pic>
              </a:graphicData>
            </a:graphic>
          </wp:anchor>
        </w:drawing>
      </w:r>
    </w:p>
    <w:p>
      <w:pPr>
        <w:spacing w:after="0" w:line="3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Actual payouts are further adjusted depending on ecosio’s software revenue attainment for each of the measurement periods. In the event that actual software revenues exceed 100% of the target, additional payments may be made up to a maximum of 122.5% of the annual target. If actual software revenues are below 85% of the target, no payouts are made for that measurement period. The Stock Earn-outs are paid in shares of the Company’s Class A common stock.</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Cash Earn-outs and Stock Earn-outs are recorded at fair value in the condensed consolidated balance sheets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4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Current </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15"/>
                <w:szCs w:val="15"/>
                <w:color w:val="auto"/>
              </w:rPr>
            </w:pPr>
          </w:p>
        </w:tc>
        <w:tc>
          <w:tcPr>
            <w:tcW w:w="12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xml:space="preserve">Non-Current </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Current </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5"/>
                <w:szCs w:val="15"/>
                <w:color w:val="auto"/>
              </w:rPr>
            </w:pPr>
          </w:p>
        </w:tc>
        <w:tc>
          <w:tcPr>
            <w:tcW w:w="17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Non-Current </w:t>
            </w:r>
            <w:r>
              <w:rPr>
                <w:rFonts w:ascii="Times New Roman" w:cs="Times New Roman" w:eastAsia="Times New Roman" w:hAnsi="Times New Roman"/>
                <w:sz w:val="20"/>
                <w:szCs w:val="20"/>
                <w:b w:val="1"/>
                <w:bCs w:val="1"/>
                <w:color w:val="auto"/>
                <w:vertAlign w:val="superscript"/>
              </w:rPr>
              <w:t>(2)</w:t>
            </w:r>
          </w:p>
        </w:tc>
        <w:tc>
          <w:tcPr>
            <w:tcW w:w="2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Earn-outs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63,900</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Earn-outs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220" w:hanging="170"/>
        <w:spacing w:after="0"/>
        <w:tabs>
          <w:tab w:leader="none" w:pos="2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Included in purchase commitment and contingent consideration liabilities, current.</w:t>
      </w:r>
    </w:p>
    <w:p>
      <w:pPr>
        <w:spacing w:after="0" w:line="10" w:lineRule="exact"/>
        <w:rPr>
          <w:rFonts w:ascii="Times New Roman" w:cs="Times New Roman" w:eastAsia="Times New Roman" w:hAnsi="Times New Roman"/>
          <w:sz w:val="21"/>
          <w:szCs w:val="21"/>
          <w:color w:val="auto"/>
          <w:vertAlign w:val="superscript"/>
        </w:rPr>
      </w:pPr>
    </w:p>
    <w:p>
      <w:pPr>
        <w:ind w:left="240" w:hanging="190"/>
        <w:spacing w:after="0" w:line="182" w:lineRule="auto"/>
        <w:tabs>
          <w:tab w:leader="none" w:pos="24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Included in purchase commitment and contingent consideration liabilities, net of current portion.</w:t>
      </w:r>
    </w:p>
    <w:p>
      <w:pPr>
        <w:spacing w:after="0" w:line="20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These Earn-outs represent recurring fair value measurements with significant unobservable inputs, which management considers to be Level 3 measurements under the fair value hierarchy. The final payments may be adjusted depending on the actual amount, above or below the target. The Earn-outs will be revalued and adjusted quarterly until the end of the Earn-out period, and any fair value adjustments will be recorded in the other operating expense (income), net line of the condensed consolidated statement of income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306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91" w:lineRule="exact"/>
        <w:rPr>
          <w:sz w:val="20"/>
          <w:szCs w:val="20"/>
          <w:color w:val="auto"/>
        </w:rPr>
      </w:pPr>
    </w:p>
    <w:p>
      <w:pPr>
        <w:jc w:val="both"/>
        <w:ind w:left="60" w:right="140" w:firstLine="324"/>
        <w:spacing w:after="0" w:line="289" w:lineRule="auto"/>
        <w:rPr>
          <w:sz w:val="20"/>
          <w:szCs w:val="20"/>
          <w:color w:val="auto"/>
        </w:rPr>
      </w:pPr>
      <w:r>
        <w:rPr>
          <w:rFonts w:ascii="Times New Roman" w:cs="Times New Roman" w:eastAsia="Times New Roman" w:hAnsi="Times New Roman"/>
          <w:sz w:val="17"/>
          <w:szCs w:val="17"/>
          <w:color w:val="auto"/>
        </w:rPr>
        <w:t>During the three months ended September 30, 2025, the Company recorded fair value adjustments of $5,100 and $(9,100) to the Cash Earn-outs and Stock Earn-outs, respectively. During the nine months ended September 30, 2025, the Company recorded fair value adjustments of $8,600 and $(25,000) to the Cash Earn-outs and Stock Earn-outs, respectively.</w:t>
      </w:r>
    </w:p>
    <w:p>
      <w:pPr>
        <w:spacing w:after="0" w:line="158" w:lineRule="exact"/>
        <w:rPr>
          <w:sz w:val="20"/>
          <w:szCs w:val="20"/>
          <w:color w:val="auto"/>
        </w:rPr>
      </w:pPr>
    </w:p>
    <w:p>
      <w:pPr>
        <w:jc w:val="both"/>
        <w:ind w:left="60" w:right="140" w:firstLine="324"/>
        <w:spacing w:after="0" w:line="261" w:lineRule="auto"/>
        <w:rPr>
          <w:sz w:val="20"/>
          <w:szCs w:val="20"/>
          <w:color w:val="auto"/>
        </w:rPr>
      </w:pPr>
      <w:r>
        <w:rPr>
          <w:rFonts w:ascii="Times New Roman" w:cs="Times New Roman" w:eastAsia="Times New Roman" w:hAnsi="Times New Roman"/>
          <w:sz w:val="18"/>
          <w:szCs w:val="18"/>
          <w:color w:val="auto"/>
        </w:rPr>
        <w:t>The fair values of the Cash Earn-outs and the Stock Earn-outs and unobservable inputs used for the Monte Carlo Simulation valuation are shown in the table below.</w:t>
      </w:r>
    </w:p>
    <w:tbl>
      <w:tblPr>
        <w:tblLayout w:type="fixed"/>
        <w:tblInd w:w="40" w:type="dxa"/>
        <w:tblCellMar>
          <w:top w:w="0" w:type="dxa"/>
          <w:left w:w="0" w:type="dxa"/>
          <w:bottom w:w="0" w:type="dxa"/>
          <w:right w:w="0" w:type="dxa"/>
        </w:tblCellMar>
      </w:tblPr>
      <w:tr>
        <w:trPr>
          <w:trHeight w:val="162"/>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2025 (unaudited)</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2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Cash Earn-outs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6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Monte Carlo Simulation </w:t>
            </w:r>
            <w:r>
              <w:rPr>
                <w:rFonts w:ascii="Times New Roman" w:cs="Times New Roman" w:eastAsia="Times New Roman" w:hAnsi="Times New Roman"/>
                <w:sz w:val="17"/>
                <w:szCs w:val="17"/>
                <w:color w:val="auto"/>
              </w:rPr>
              <w:t>Revenue volatility</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discount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(in years)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Stock Earn-outs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6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Monte Carlo Simulation </w:t>
            </w:r>
            <w:r>
              <w:rPr>
                <w:rFonts w:ascii="Times New Roman" w:cs="Times New Roman" w:eastAsia="Times New Roman" w:hAnsi="Times New Roman"/>
                <w:sz w:val="17"/>
                <w:szCs w:val="17"/>
                <w:color w:val="auto"/>
              </w:rPr>
              <w:t>Revenue volatility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discount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(in years)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2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Cash Earn-outs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16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Monte Carlo Simulation </w:t>
            </w:r>
            <w:r>
              <w:rPr>
                <w:rFonts w:ascii="Times New Roman" w:cs="Times New Roman" w:eastAsia="Times New Roman" w:hAnsi="Times New Roman"/>
                <w:sz w:val="17"/>
                <w:szCs w:val="17"/>
                <w:color w:val="auto"/>
              </w:rPr>
              <w:t>Revenue volatility</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discount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(in years)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Stock Earn-outs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16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Monte Carlo Simulation </w:t>
            </w:r>
            <w:r>
              <w:rPr>
                <w:rFonts w:ascii="Times New Roman" w:cs="Times New Roman" w:eastAsia="Times New Roman" w:hAnsi="Times New Roman"/>
                <w:sz w:val="17"/>
                <w:szCs w:val="17"/>
                <w:color w:val="auto"/>
              </w:rPr>
              <w:t>Revenue volatility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discount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(in years)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40" w:firstLine="324"/>
        <w:spacing w:after="0" w:line="261" w:lineRule="auto"/>
        <w:rPr>
          <w:sz w:val="20"/>
          <w:szCs w:val="20"/>
          <w:color w:val="auto"/>
        </w:rPr>
      </w:pPr>
      <w:r>
        <w:rPr>
          <w:rFonts w:ascii="Times New Roman" w:cs="Times New Roman" w:eastAsia="Times New Roman" w:hAnsi="Times New Roman"/>
          <w:sz w:val="18"/>
          <w:szCs w:val="18"/>
          <w:color w:val="auto"/>
        </w:rPr>
        <w:t>Changes in the fair value of the Company’s Level 3 liabilities during the nine months ended September 30, 2025 were as follows:</w:t>
      </w:r>
    </w:p>
    <w:tbl>
      <w:tblPr>
        <w:tblLayout w:type="fixed"/>
        <w:tblInd w:w="4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ecosio</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8"/>
        </w:trPr>
        <w:tc>
          <w:tcPr>
            <w:tcW w:w="3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Kintsugi</w:t>
            </w:r>
          </w:p>
        </w:tc>
      </w:tr>
      <w:tr>
        <w:trPr>
          <w:trHeight w:val="210"/>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Cash Earn-outs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Stock Earn-outs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 Investment</w:t>
            </w:r>
          </w:p>
        </w:tc>
      </w:tr>
      <w:tr>
        <w:trPr>
          <w:trHeight w:val="196"/>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measurement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1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and the carrying amount of funds held for customers were the same as their respective fair values and are considered Level 1 measurements.</w:t>
      </w:r>
    </w:p>
    <w:p>
      <w:pPr>
        <w:spacing w:after="0" w:line="162" w:lineRule="exact"/>
        <w:rPr>
          <w:sz w:val="20"/>
          <w:szCs w:val="20"/>
          <w:color w:val="auto"/>
        </w:rPr>
      </w:pPr>
    </w:p>
    <w:p>
      <w:pPr>
        <w:jc w:val="both"/>
        <w:ind w:left="60" w:right="16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bank debt approximates fair value as the variable rates on the debt approximate those commercially available in the market and is considered a Level 3 measurement.</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ecosio acquisition on August 30, 2024,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may periodically enter into derivative contracts to reduce its exposure to foreign currency exchange rates. Historically, the Company has not designated derivative contracts as hedges. Such derivative contracts are typically designed to manage specific risks according to the Company’s strategies, which may change from time to time.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fair value of the Notes (as defined in Note 8, “Debt”) was $350,003 and $539,494, respectively. The fair value was determined based on the quoted price of the Notes in an over-the-counter market on the last trading day of the reporting period and has been classified as Level 2 in the fair value hierarchy. For further information on the Notes, refer to Note 8, “Debt”.</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major components of property and equipment are as follows: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1"/>
        </w:trPr>
        <w:tc>
          <w:tcPr>
            <w:tcW w:w="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2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237,232</w:t>
            </w:r>
          </w:p>
        </w:tc>
      </w:tr>
      <w:tr>
        <w:trPr>
          <w:trHeight w:val="216"/>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72,406</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r>
      <w:tr>
        <w:trPr>
          <w:trHeight w:val="216"/>
        </w:trPr>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w:t>
            </w:r>
          </w:p>
        </w:tc>
      </w:tr>
      <w:tr>
        <w:trPr>
          <w:trHeight w:val="210"/>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381,672</w:t>
            </w:r>
          </w:p>
        </w:tc>
      </w:tr>
      <w:tr>
        <w:trPr>
          <w:trHeight w:val="216"/>
        </w:trPr>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(262,048)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(204,113)</w:t>
            </w:r>
          </w:p>
        </w:tc>
      </w:tr>
      <w:tr>
        <w:trPr>
          <w:trHeight w:val="210"/>
        </w:trPr>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177,559</w:t>
            </w:r>
          </w:p>
        </w:tc>
      </w:tr>
      <w:tr>
        <w:trPr>
          <w:trHeight w:val="20"/>
        </w:trPr>
        <w:tc>
          <w:tcPr>
            <w:tcW w:w="2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excluding all internal-use software developed and finance leases, was $1,089 and $1,004 for the three months ended September 30, 2025 and 2024, respectively, and $3,213 and $3,369 for the nine months ended September 30, 2025 and 2024, respectively, and is included in depreciation and amortization in the condensed consolidated statements of comprehensive income.</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Finance lease amortization was $18 and $19 for the three months ended September 30, 2025 and 2024, respectively, and $56 and $61 for the nine months ended September 30, 2025 and 2024, respectively, and is included in depreciation and amortization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Assets under finance leases of $265 and $172, net of accumulated amortization of $153 and $97, respectively, at September 30, 2025 and December 31, 2024, respectively, are included in property and equipment, net in the condensed consolidated balance sheets.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internal-use software developed are as follows:</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9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398,863</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309,638</w:t>
            </w: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(225,652)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(171,181)</w:t>
            </w:r>
          </w:p>
        </w:tc>
      </w:tr>
      <w:tr>
        <w:trPr>
          <w:trHeight w:val="21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 of accumulated depreciation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138,457</w:t>
            </w: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w:t>
            </w:r>
          </w:p>
        </w:tc>
      </w:tr>
      <w:tr>
        <w:trPr>
          <w:trHeight w:val="209"/>
        </w:trPr>
        <w:tc>
          <w:tcPr>
            <w:tcW w:w="5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w:t>
            </w: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191,454</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167,373</w:t>
            </w:r>
          </w:p>
        </w:tc>
      </w:tr>
      <w:tr>
        <w:trPr>
          <w:trHeight w:val="20"/>
        </w:trPr>
        <w:tc>
          <w:tcPr>
            <w:tcW w:w="5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Amounts included in property and equipment additions related to capitalized internal-use software on the condensed consolidated statements of cash flows are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22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49,177</w:t>
            </w:r>
          </w:p>
        </w:tc>
        <w:tc>
          <w:tcPr>
            <w:tcW w:w="6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32,078</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w:t>
            </w: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65,178</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w:t>
            </w:r>
          </w:p>
        </w:tc>
      </w:tr>
      <w:tr>
        <w:trPr>
          <w:trHeight w:val="20"/>
        </w:trPr>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In-process internal-use software developed is not depreciated until it is available for its intended use. Depreciation expense for internal-use software developed for cloud-based customer solutions for the three months ended September 30, 2025 and 2024 was $12,522 and $7,909, respectively, and $33,791 and $25,685 for the nine months ended September 30, 2025 and 2024, respectively, and is included in cost of revenues, software subscriptions in the condensed consolidated statements of comprehensive income.</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internal-use software developed for internal systems and tools for the three months ended September 30, 2025 and 2024 was $5,264 and $4,191, respectively, and $15,170 and $12,002 for the nine months ended September 30, 2025 and 2024, respectively, and is included in depreciation and amortization in the condensed consolidated statements of comprehensive income.</w:t>
      </w:r>
    </w:p>
    <w:p>
      <w:pPr>
        <w:spacing w:after="0" w:line="189" w:lineRule="exact"/>
        <w:rPr>
          <w:sz w:val="20"/>
          <w:szCs w:val="20"/>
          <w:color w:val="auto"/>
        </w:rPr>
      </w:pPr>
    </w:p>
    <w:p>
      <w:pPr>
        <w:ind w:left="360" w:hanging="310"/>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Capitalized software includes acquired software and direct labor and related expenses for software developed for sale for new products and enhancements to existing products.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capitalized software are as follows:</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4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4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156,755</w:t>
            </w:r>
          </w:p>
        </w:tc>
        <w:tc>
          <w:tcPr>
            <w:tcW w:w="4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140,562</w:t>
            </w: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(121,600)</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(105,175)</w:t>
            </w:r>
          </w:p>
        </w:tc>
      </w:tr>
      <w:tr>
        <w:trPr>
          <w:trHeight w:val="209"/>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 of accumulated depreciation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35,387</w:t>
            </w: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capitalized software</w:t>
            </w:r>
          </w:p>
        </w:tc>
        <w:tc>
          <w:tcPr>
            <w:tcW w:w="1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0"/>
        </w:trPr>
        <w:tc>
          <w:tcPr>
            <w:tcW w:w="5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w:t>
            </w:r>
          </w:p>
        </w:tc>
      </w:tr>
      <w:tr>
        <w:trPr>
          <w:trHeight w:val="20"/>
        </w:trPr>
        <w:tc>
          <w:tcPr>
            <w:tcW w:w="5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Software development costs capitalized for the three months ended September 30, 2025 and 2024 were $5,879 and $5,260, respectively, and $16,444 and $16,357 for the nine months ended September 30, 2025 and 2024, respectively.</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Capitalized software amortization expense, including amortization of acquired technology, was $5,621 and $6,236 for the three months ended September 30, 2025 and 2024, respectively, and $16,877 and $18,264 for the nine months ended September 30, 2025 and 2024, respectively, and is included in cost of revenues, software subscriptions in the condensed consolidated statements of comprehensive income.</w:t>
      </w:r>
    </w:p>
    <w:p>
      <w:pPr>
        <w:spacing w:after="0" w:line="176" w:lineRule="exact"/>
        <w:rPr>
          <w:sz w:val="20"/>
          <w:szCs w:val="20"/>
          <w:color w:val="auto"/>
        </w:rPr>
      </w:pPr>
    </w:p>
    <w:p>
      <w:pPr>
        <w:ind w:left="360" w:hanging="310"/>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other intangible assets are as follows for the periods presented: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9"/>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357,823</w:t>
            </w:r>
          </w:p>
        </w:tc>
      </w:tr>
      <w:tr>
        <w:trPr>
          <w:trHeight w:val="21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10"/>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396,997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363,021</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60" w:type="dxa"/>
            <w:vAlign w:val="bottom"/>
          </w:tcPr>
          <w:p>
            <w:pPr>
              <w:spacing w:after="0"/>
              <w:rPr>
                <w:sz w:val="13"/>
                <w:szCs w:val="13"/>
                <w:color w:val="auto"/>
              </w:rPr>
            </w:pPr>
          </w:p>
        </w:tc>
        <w:tc>
          <w:tcPr>
            <w:tcW w:w="15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amortization period (years)</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0"/>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(13,003)</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r>
      <w:tr>
        <w:trPr>
          <w:trHeight w:val="209"/>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amortization of other intangible assets: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220" w:type="dxa"/>
            <w:vAlign w:val="bottom"/>
          </w:tcPr>
          <w:p>
            <w:pPr>
              <w:spacing w:after="0"/>
              <w:rPr>
                <w:sz w:val="13"/>
                <w:szCs w:val="13"/>
                <w:color w:val="auto"/>
              </w:rPr>
            </w:pPr>
          </w:p>
        </w:tc>
        <w:tc>
          <w:tcPr>
            <w:tcW w:w="11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537"/>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220" w:type="dxa"/>
            <w:vAlign w:val="bottom"/>
          </w:tcPr>
          <w:p>
            <w:pPr>
              <w:spacing w:after="0"/>
              <w:rPr>
                <w:sz w:val="24"/>
                <w:szCs w:val="24"/>
                <w:color w:val="auto"/>
              </w:rPr>
            </w:pPr>
          </w:p>
        </w:tc>
        <w:tc>
          <w:tcPr>
            <w:tcW w:w="11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2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a credit agreement (“Credit Agreement”) with a banking syndicate, which initially provided (i) a term loan in the aggregate amount of $50,000 (the “Term Loan”); and (ii) a $200,000 revolving facility (the “Line of Credit”). On May 10, 2024, the Company repaid the outstanding Term Loan balance in full.</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November 4, 2024, the Company entered into a Fifth Amendment to the Credit Agreement (the “Fifth Amendment”), which provided for, among other modifications, an increase in the Line of Credit commitment from $200,000 to $300,000 and an extension of the maturity date to November 4, 2029.</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outstanding borrowings under the Credit Agreement at September 30, 2025 or December 31, 2024.</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Indenture and Notes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April 26, 2024, the Company issued $345,000 aggregate principal amount of 0.750% Convertible Senior Notes due 2029 (the “Notes”) to qualified institutional buyers in accordance with Rule 144A under the Securities Act of 1933, as amended. The Notes bear interest at a rate of 0.750% per annum on the principal amount thereof, payable semi-annually in arrears on May 1 and November 1 of each year, beginning on November 1, 2024. The Notes will mature on May 1, 2029, unless earlier repurchased, redeemed or converted in accordance with their terms.</w:t>
      </w:r>
    </w:p>
    <w:p>
      <w:pPr>
        <w:spacing w:after="0" w:line="183" w:lineRule="exact"/>
        <w:rPr>
          <w:sz w:val="20"/>
          <w:szCs w:val="20"/>
          <w:color w:val="auto"/>
        </w:rPr>
      </w:pPr>
    </w:p>
    <w:p>
      <w:pPr>
        <w:jc w:val="both"/>
        <w:ind w:left="60" w:right="79" w:firstLine="324"/>
        <w:spacing w:after="0" w:line="274" w:lineRule="auto"/>
        <w:rPr>
          <w:sz w:val="20"/>
          <w:szCs w:val="20"/>
          <w:color w:val="auto"/>
        </w:rPr>
      </w:pPr>
      <w:r>
        <w:rPr>
          <w:rFonts w:ascii="Times New Roman" w:cs="Times New Roman" w:eastAsia="Times New Roman" w:hAnsi="Times New Roman"/>
          <w:sz w:val="18"/>
          <w:szCs w:val="18"/>
          <w:color w:val="auto"/>
        </w:rPr>
        <w:t>There have been no changes to the initial conversion price of the Notes since issuance. The Notes are convertible into the Company’s Class A common stock at the option of the holders. As of September 30, 2025, none of the Notes were converted.</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pricing of the Notes on April 23, 2024, the Company entered into privately negotiated capped call transactions (the “Base Capped Call Transactions”) with certain financial institutions (together, the “Option Counterparties”). In connection with the exercise of the option to purchase the additional Notes in full,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entered into additional capped call transactions with the Option Counterparties (together with the Base Capped Call Transactions, the “Capped Call Transactions”).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indebtedness at September 30, 2025 and December 31, 2024 was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22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As of September 30, 2025 (unaudited)</w:t>
            </w:r>
          </w:p>
        </w:tc>
        <w:tc>
          <w:tcPr>
            <w:tcW w:w="200" w:type="dxa"/>
            <w:vAlign w:val="bottom"/>
          </w:tcPr>
          <w:p>
            <w:pPr>
              <w:spacing w:after="0"/>
              <w:rPr>
                <w:sz w:val="15"/>
                <w:szCs w:val="15"/>
                <w:color w:val="auto"/>
              </w:rPr>
            </w:pPr>
          </w:p>
        </w:tc>
        <w:tc>
          <w:tcPr>
            <w:tcW w:w="3000" w:type="dxa"/>
            <w:vAlign w:val="bottom"/>
            <w:gridSpan w:val="7"/>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Discounts and</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Discounts and</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 non-current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336,913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335,220</w:t>
            </w:r>
          </w:p>
        </w:tc>
        <w:tc>
          <w:tcPr>
            <w:tcW w:w="0" w:type="dxa"/>
            <w:vAlign w:val="bottom"/>
          </w:tcPr>
          <w:p>
            <w:pPr>
              <w:spacing w:after="0"/>
              <w:rPr>
                <w:sz w:val="1"/>
                <w:szCs w:val="1"/>
                <w:color w:val="auto"/>
              </w:rPr>
            </w:pPr>
          </w:p>
        </w:tc>
      </w:tr>
      <w:tr>
        <w:trPr>
          <w:trHeight w:val="209"/>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345,000</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336,913</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335,220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interest expense related to the Notes is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10"/>
        </w:trPr>
        <w:tc>
          <w:tcPr>
            <w:tcW w:w="3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7"/>
                <w:szCs w:val="17"/>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 convertible senior notes</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80" w:right="6319" w:hanging="330"/>
        <w:spacing w:after="0" w:line="503" w:lineRule="auto"/>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issued (i) 7 shares of Class A common stock related to the exercise of options, and (ii) 66 shares of Class A common stock in connection with the vesting of Restricted Stock Units (“RSUs”), net of 34 shares returned to the Company in lieu of payment of taxes due on the vesting of these RSUs. During the nine months ended September 30, 2025, the Company issued (i) 1,252 shares of Class A common stock related to the exercise of options, net of 18 shares returned to the Company in lieu of payment of the exercise price and taxes due on these exercises, (ii) 981 shares of Class A common stock in connection with the vesting of RSUs, net of 604 shares returned to the Company in lieu of payment of taxes due on the vesting of these RSUs, (iii) 34 shares of Class A common stock in connection with the vesting of Restricted Stock Awards (“RSAs”), (iv) 53 shares of Class A common stock in connection with the ESPP, and (v) 4,325 shares of Class A common stock related to a stockholder’s election to convert an equivalent number of shares of Class B common stock.</w:t>
      </w:r>
    </w:p>
    <w:p>
      <w:pPr>
        <w:spacing w:after="0" w:line="19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issued (i) 461 shares of Class A common stock related to the exercise of options, net of 2 shares returned to the Company in lieu of payment of the exercise price and taxes due on these exercises, (ii) 74 shares of Class A common stock in connection with the vesting of RSUs, net of 36 shares returned to the Company in lieu of payment of taxes due on the vesting of these RSUs, and (iii) 22 shares of Class A common stock in connection with the vesting of RSAs, net of 7 shares returned to the Company in lieu of payment of taxes due on the vesting of these RSAs. During the nine months ended September 30, 2024, the Company issued (i) 1,308 shares of Class A common stock related to the exercise of options, net of 268 shares returned to the Company in lieu of payment of the exercise price and taxes due on these exercises, (ii) 780 shares of Class A common stock in connection with the vesting of RSUs, net of 467 shares returned to the Company in lieu of payment of taxes due on the vesting of these RSUs,</w:t>
      </w:r>
    </w:p>
    <w:p>
      <w:pPr>
        <w:spacing w:after="0" w:line="6" w:lineRule="exact"/>
        <w:rPr>
          <w:sz w:val="20"/>
          <w:szCs w:val="20"/>
          <w:color w:val="auto"/>
        </w:rPr>
      </w:pPr>
    </w:p>
    <w:p>
      <w:pPr>
        <w:ind w:left="60" w:right="59" w:hanging="10"/>
        <w:spacing w:after="0" w:line="260" w:lineRule="auto"/>
        <w:tabs>
          <w:tab w:leader="none" w:pos="3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shares of Class A common stock in connection with the vesting of RSAs, net of 7 shares returned to the Company in lieu of payment of taxes due on the vesting of these RSAs, (iv) 61 shares of Class A common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stock in connection with the ESPP, and (v) 2,500 shares of Class A common stock related to a stockholder’s election to convert an equivalent number of shares of Class B common stock.</w:t>
      </w:r>
    </w:p>
    <w:p>
      <w:pPr>
        <w:spacing w:after="0" w:line="158" w:lineRule="exact"/>
        <w:rPr>
          <w:sz w:val="20"/>
          <w:szCs w:val="20"/>
          <w:color w:val="auto"/>
        </w:rPr>
      </w:pPr>
    </w:p>
    <w:p>
      <w:pPr>
        <w:ind w:left="460" w:hanging="410"/>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two classes of common stock outstanding and thus calculates earnings per share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w:t>
      </w:r>
    </w:p>
    <w:p>
      <w:pPr>
        <w:spacing w:after="0" w:line="18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is calculated using the treasury stock and if-converted methods. The basic net income (loss) per share attributable to Class A common stockholders includes RSAs, RSUs, Performance Stock Units (“PSUs”),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and nonvested RSAs and RSUs are considered common stock equivalents. PSUs are included in the computation of diluted net income (loss) per share only to the extent that the underlying performance conditions are satisfied prior to the end of the reporting period or would be satisfied if the end of the reporting period were the end of the related performance period, and if the effect would be dilutive. The portion of ESPP shares for which the Company has received payments but for which the related shares are not yet issuable are also considered potential common stock equivalents. Additionally, the dilutive effect of shares issuable upon conversion of the Notes is included in the calculation of diluted EPS by application of the if-converted method. In connection with the issuance of the Notes, the Company entered into the Capped Call Transactions, which are not included for purposes of calculating the number of diluted weighted-average shares outstanding, as their effect would be anti-dilutive. The Company has excluded the effect of its Class A common stock to be issued in connection with the Stock Earn-outs as the underlying performance conditions were not satisfied prior to the end of the reporting period, nor would they be satisfied if the end of the reporting period were the end of the related performance period. In periods of net loss available to common stockholders, diluted calculations are equal to basic calculations because the inclusion of potential common stock equivalents would be anti-dilutive.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312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ind w:left="60" w:right="200" w:firstLine="324"/>
        <w:spacing w:after="0" w:line="282" w:lineRule="auto"/>
        <w:rPr>
          <w:sz w:val="20"/>
          <w:szCs w:val="20"/>
          <w:color w:val="auto"/>
        </w:rPr>
      </w:pPr>
      <w:r>
        <w:rPr>
          <w:rFonts w:ascii="Times New Roman" w:cs="Times New Roman" w:eastAsia="Times New Roman" w:hAnsi="Times New Roman"/>
          <w:sz w:val="18"/>
          <w:szCs w:val="18"/>
          <w:color w:val="auto"/>
        </w:rPr>
        <w:t>The tables below illustrate the calculation of basic and diluted net income per common share for the Class A common stock and Class B common stock for the periods reflected below.</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5"/>
                <w:szCs w:val="15"/>
                <w:b w:val="1"/>
                <w:bCs w:val="1"/>
                <w:color w:val="auto"/>
              </w:rPr>
              <w:t>For the three months ended September 30, For the nine months ended September 30,</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auto"/>
            </w:tcBorders>
            <w:gridSpan w:val="4"/>
          </w:tcPr>
          <w:p>
            <w:pPr>
              <w:jc w:val="right"/>
              <w:ind w:right="4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bottom w:val="single" w:sz="8" w:color="auto"/>
            </w:tcBorders>
            <w:gridSpan w:val="4"/>
          </w:tcPr>
          <w:p>
            <w:pPr>
              <w:jc w:val="right"/>
              <w:ind w:right="38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3"/>
                <w:szCs w:val="13"/>
                <w:color w:val="auto"/>
              </w:rPr>
            </w:pPr>
          </w:p>
        </w:tc>
        <w:tc>
          <w:tcPr>
            <w:tcW w:w="1240" w:type="dxa"/>
            <w:vAlign w:val="bottom"/>
            <w:tcBorders>
              <w:bottom w:val="single" w:sz="8" w:color="auto"/>
            </w:tcBorders>
            <w:gridSpan w:val="4"/>
          </w:tcPr>
          <w:p>
            <w:pPr>
              <w:jc w:val="right"/>
              <w:ind w:right="38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bottom w:val="single" w:sz="8" w:color="auto"/>
            </w:tcBorders>
            <w:gridSpan w:val="4"/>
          </w:tcPr>
          <w:p>
            <w:pPr>
              <w:jc w:val="right"/>
              <w:ind w:right="40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6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2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5"/>
              </w:rPr>
              <w:t>Class B</w:t>
            </w:r>
          </w:p>
        </w:tc>
        <w:tc>
          <w:tcPr>
            <w:tcW w:w="120" w:type="dxa"/>
            <w:vAlign w:val="bottom"/>
          </w:tcPr>
          <w:p>
            <w:pPr>
              <w:spacing w:after="0"/>
              <w:rPr>
                <w:sz w:val="13"/>
                <w:szCs w:val="13"/>
                <w:color w:val="auto"/>
              </w:rPr>
            </w:pPr>
          </w:p>
        </w:tc>
        <w:tc>
          <w:tcPr>
            <w:tcW w:w="6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2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2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w w:val="98"/>
              </w:rPr>
              <w:t>(unaudited)</w:t>
            </w:r>
          </w:p>
        </w:tc>
        <w:tc>
          <w:tcPr>
            <w:tcW w:w="5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right"/>
              <w:ind w:right="224"/>
              <w:spacing w:after="0" w:line="142"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Basic net income per share:</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Numerator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3"/>
                <w:szCs w:val="13"/>
                <w:color w:val="auto"/>
              </w:rPr>
              <w:t xml:space="preserve">Allocation of net income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1,961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2,084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3,038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4,183</w:t>
            </w: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6,197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8,872</w:t>
            </w:r>
          </w:p>
        </w:tc>
        <w:tc>
          <w:tcPr>
            <w:tcW w:w="0" w:type="dxa"/>
            <w:vAlign w:val="bottom"/>
          </w:tcPr>
          <w:p>
            <w:pPr>
              <w:spacing w:after="0"/>
              <w:rPr>
                <w:sz w:val="1"/>
                <w:szCs w:val="1"/>
                <w:color w:val="auto"/>
              </w:rPr>
            </w:pPr>
          </w:p>
        </w:tc>
      </w:tr>
      <w:tr>
        <w:trPr>
          <w:trHeight w:val="162"/>
        </w:trPr>
        <w:tc>
          <w:tcPr>
            <w:tcW w:w="34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Denominator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Total shares used in per share computation</w:t>
            </w: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77,290</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82,156</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65,468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90,161</w:t>
            </w: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74,102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84,610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63,742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91,251</w:t>
            </w:r>
          </w:p>
        </w:tc>
        <w:tc>
          <w:tcPr>
            <w:tcW w:w="0" w:type="dxa"/>
            <w:vAlign w:val="bottom"/>
          </w:tcPr>
          <w:p>
            <w:pPr>
              <w:spacing w:after="0"/>
              <w:rPr>
                <w:sz w:val="1"/>
                <w:szCs w:val="1"/>
                <w:color w:val="auto"/>
              </w:rPr>
            </w:pPr>
          </w:p>
        </w:tc>
      </w:tr>
      <w:tr>
        <w:trPr>
          <w:trHeight w:val="155"/>
        </w:trPr>
        <w:tc>
          <w:tcPr>
            <w:tcW w:w="34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Basic net income per share:</w:t>
            </w: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0.03</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0.03</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0.05</w:t>
            </w: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0.05</w:t>
            </w: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0.09</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0.09</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0.10</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Diluted net income per share:</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Numerator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3"/>
                <w:szCs w:val="13"/>
                <w:color w:val="auto"/>
              </w:rPr>
              <w:t xml:space="preserve">Allocation of net income </w:t>
            </w:r>
            <w:r>
              <w:rPr>
                <w:rFonts w:ascii="Times New Roman" w:cs="Times New Roman" w:eastAsia="Times New Roman" w:hAnsi="Times New Roman"/>
                <w:sz w:val="18"/>
                <w:szCs w:val="18"/>
                <w:color w:val="auto"/>
                <w:vertAlign w:val="superscript"/>
              </w:rPr>
              <w:t>(1)</w:t>
            </w:r>
          </w:p>
        </w:tc>
        <w:tc>
          <w:tcPr>
            <w:tcW w:w="1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1,996</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2,049</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3,206</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4,015</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6,813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7,401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6,549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8,520</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net income used in per diluted computation</w:t>
            </w: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1,996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2,049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3,206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4,015</w:t>
            </w: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6,813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7,401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6,549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8,520</w:t>
            </w:r>
          </w:p>
        </w:tc>
        <w:tc>
          <w:tcPr>
            <w:tcW w:w="0" w:type="dxa"/>
            <w:vAlign w:val="bottom"/>
          </w:tcPr>
          <w:p>
            <w:pPr>
              <w:spacing w:after="0"/>
              <w:rPr>
                <w:sz w:val="1"/>
                <w:szCs w:val="1"/>
                <w:color w:val="auto"/>
              </w:rPr>
            </w:pPr>
          </w:p>
        </w:tc>
      </w:tr>
      <w:tr>
        <w:trPr>
          <w:trHeight w:val="143"/>
        </w:trPr>
        <w:tc>
          <w:tcPr>
            <w:tcW w:w="340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5"/>
                <w:szCs w:val="15"/>
                <w:color w:val="auto"/>
              </w:rPr>
              <w:t>Denominator</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Number shares used in basic per share computation</w:t>
            </w: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77,290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82,156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65,468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90,161</w:t>
            </w: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74,102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84,610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63,742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91,251</w:t>
            </w: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Dilutive effect of common stock equivalents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2,725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6,394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3400" w:type="dxa"/>
            <w:vAlign w:val="bottom"/>
          </w:tcPr>
          <w:p>
            <w:pPr>
              <w:ind w:left="280"/>
              <w:spacing w:after="0" w:line="156" w:lineRule="exact"/>
              <w:rPr>
                <w:sz w:val="20"/>
                <w:szCs w:val="20"/>
                <w:color w:val="auto"/>
              </w:rPr>
            </w:pPr>
            <w:r>
              <w:rPr>
                <w:rFonts w:ascii="Times New Roman" w:cs="Times New Roman" w:eastAsia="Times New Roman" w:hAnsi="Times New Roman"/>
                <w:sz w:val="13"/>
                <w:szCs w:val="13"/>
                <w:color w:val="auto"/>
              </w:rPr>
              <w:t xml:space="preserve">Total shares used in per share computation </w:t>
            </w:r>
            <w:r>
              <w:rPr>
                <w:rFonts w:ascii="Times New Roman" w:cs="Times New Roman" w:eastAsia="Times New Roman" w:hAnsi="Times New Roman"/>
                <w:sz w:val="18"/>
                <w:szCs w:val="18"/>
                <w:color w:val="auto"/>
                <w:vertAlign w:val="superscript"/>
              </w:rPr>
              <w:t>(2)</w:t>
            </w: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80,015</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82,156</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71,977</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90,161</w:t>
            </w: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77,884</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84,610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70,136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91,251</w:t>
            </w:r>
          </w:p>
        </w:tc>
        <w:tc>
          <w:tcPr>
            <w:tcW w:w="0" w:type="dxa"/>
            <w:vAlign w:val="bottom"/>
          </w:tcPr>
          <w:p>
            <w:pPr>
              <w:spacing w:after="0"/>
              <w:rPr>
                <w:sz w:val="1"/>
                <w:szCs w:val="1"/>
                <w:color w:val="auto"/>
              </w:rPr>
            </w:pPr>
          </w:p>
        </w:tc>
      </w:tr>
      <w:tr>
        <w:trPr>
          <w:trHeight w:val="154"/>
        </w:trPr>
        <w:tc>
          <w:tcPr>
            <w:tcW w:w="34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Dilutive net income per share:</w:t>
            </w:r>
          </w:p>
        </w:tc>
        <w:tc>
          <w:tcPr>
            <w:tcW w:w="1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0.02</w:t>
            </w:r>
          </w:p>
        </w:tc>
        <w:tc>
          <w:tcPr>
            <w:tcW w:w="120" w:type="dxa"/>
            <w:vAlign w:val="bottom"/>
          </w:tcPr>
          <w:p>
            <w:pPr>
              <w:spacing w:after="0"/>
              <w:rPr>
                <w:sz w:val="13"/>
                <w:szCs w:val="13"/>
                <w:color w:val="auto"/>
              </w:rPr>
            </w:pP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0.02</w:t>
            </w:r>
          </w:p>
        </w:tc>
        <w:tc>
          <w:tcPr>
            <w:tcW w:w="14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0.04</w:t>
            </w:r>
          </w:p>
        </w:tc>
        <w:tc>
          <w:tcPr>
            <w:tcW w:w="12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0.04</w:t>
            </w:r>
          </w:p>
        </w:tc>
        <w:tc>
          <w:tcPr>
            <w:tcW w:w="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0.09</w:t>
            </w:r>
          </w:p>
        </w:tc>
        <w:tc>
          <w:tcPr>
            <w:tcW w:w="10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0.09</w:t>
            </w:r>
          </w:p>
        </w:tc>
        <w:tc>
          <w:tcPr>
            <w:tcW w:w="10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0.09</w:t>
            </w:r>
          </w:p>
        </w:tc>
        <w:tc>
          <w:tcPr>
            <w:tcW w:w="10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-109855</wp:posOffset>
            </wp:positionV>
            <wp:extent cx="578612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86120" cy="120015"/>
                    </a:xfrm>
                    <a:prstGeom prst="rect">
                      <a:avLst/>
                    </a:prstGeom>
                    <a:noFill/>
                  </pic:spPr>
                </pic:pic>
              </a:graphicData>
            </a:graphic>
          </wp:anchor>
        </w:drawing>
      </w:r>
    </w:p>
    <w:p>
      <w:pPr>
        <w:ind w:left="220" w:hanging="170"/>
        <w:spacing w:after="0" w:line="182" w:lineRule="auto"/>
        <w:tabs>
          <w:tab w:leader="none" w:pos="22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Allocation of net income is based on the percentage of shares outstanding.</w:t>
      </w:r>
    </w:p>
    <w:p>
      <w:pPr>
        <w:ind w:left="60" w:right="40" w:hanging="10"/>
        <w:spacing w:after="0" w:line="201" w:lineRule="auto"/>
        <w:tabs>
          <w:tab w:leader="none" w:pos="222"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resulted in anti-dilutive impact to EPS and therefore were excluded from the calculation: (i) for both the three and nine months ended September 30, 2025, a total of 9,498 shares assumed to be converted from the Notes, (ii) for the three months ended September 30, 2025, a total of 51 out-of-the-money options, (iii) for the nine months ended September 30, 2025 and 2024, a total of 21 and 135 out-of-the-money options, respectively, and (iv) for the three and nine months ended September 30, 2025, a total of 212 and 201 PSUs,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-472440</wp:posOffset>
            </wp:positionV>
            <wp:extent cx="3634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40" w:hanging="390"/>
        <w:spacing w:after="0"/>
        <w:tabs>
          <w:tab w:leader="none" w:pos="4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 PLANS</w:t>
      </w:r>
    </w:p>
    <w:p>
      <w:pPr>
        <w:spacing w:after="0" w:line="256" w:lineRule="exact"/>
        <w:rPr>
          <w:sz w:val="20"/>
          <w:szCs w:val="20"/>
          <w:color w:val="auto"/>
        </w:rPr>
      </w:pPr>
    </w:p>
    <w:p>
      <w:pPr>
        <w:jc w:val="both"/>
        <w:ind w:left="60" w:right="200" w:firstLine="324"/>
        <w:spacing w:after="0" w:line="261" w:lineRule="auto"/>
        <w:rPr>
          <w:sz w:val="20"/>
          <w:szCs w:val="20"/>
          <w:color w:val="auto"/>
        </w:rPr>
      </w:pPr>
      <w:r>
        <w:rPr>
          <w:rFonts w:ascii="Times New Roman" w:cs="Times New Roman" w:eastAsia="Times New Roman" w:hAnsi="Times New Roman"/>
          <w:sz w:val="18"/>
          <w:szCs w:val="18"/>
          <w:color w:val="auto"/>
        </w:rPr>
        <w:t>The 2020 Incentive Award Plan (the “2020 Plan”) provides the ability to grant cash and equity-based incentive awards to eligible employees, directors and service providers in order to attract, retain and motivate those that make important contributions to the Company. The Company issued stock options, RSAs, RSUs, and PSUs under the 2020 Plan. As of September 30, 2025, 20,108 shares of Class A common stock were available for issuance under the 2020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60"/>
          </w:cols>
          <w:pgMar w:left="1440" w:top="513" w:right="1299"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activity for options outstanding under the 2020 Plan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2020 Plan Option Activity</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532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Plan options outstanding at September 30,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30,314</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2020 Plan options exercisable at September 30, 2025</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0" w:type="dxa"/>
            <w:vAlign w:val="bottom"/>
          </w:tcPr>
          <w:p>
            <w:pPr>
              <w:spacing w:after="0" w:line="20" w:lineRule="exact"/>
              <w:rPr>
                <w:sz w:val="1"/>
                <w:szCs w:val="1"/>
                <w:color w:val="auto"/>
              </w:rPr>
            </w:pPr>
          </w:p>
        </w:tc>
      </w:tr>
      <w:tr>
        <w:trPr>
          <w:trHeight w:val="197"/>
        </w:trPr>
        <w:tc>
          <w:tcPr>
            <w:tcW w:w="5320" w:type="dxa"/>
            <w:vAlign w:val="bottom"/>
            <w:gridSpan w:val="3"/>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1,646</w:t>
            </w: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details of options outstanding, vested, and exercisable under the 2020 Plan as of September 30, 2025 are as follows: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60" w:type="dxa"/>
            <w:vAlign w:val="bottom"/>
            <w:vMerge w:val="restart"/>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$0.15 to $0.71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$18.96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*These options have indefinite contractual lives.</w:t>
      </w:r>
    </w:p>
    <w:p>
      <w:pPr>
        <w:spacing w:after="0" w:line="20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income (loss) over the period during which the participant is required to perform the requisite services. The vesting period is generally one to four years. The grant date fair value of options is estimated using the Black-Scholes model.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options issued under the 2020 Plan during the three months ended September 30, 2025 or 2024.</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2025, $63 of unrecognized compensation expense associated with options is expected to be recognized over a weighted average period of approximately 0.3 years.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RSU activity for the nine months ended September 30, 2025:</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16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(1,585)</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Stock-based compensation cost for RSUs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one to four years. Vested RSUs are settled by issuing Class A common stock or the equivalent value in cash at the Board’s discretion. At September 30, 2025, $68,680 of unrecognized compensation expense for RSUs is expected to be recognized over a weighted average period of approximately 2.5 years.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RSA activity for the nine months ended September 30, 2025:</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cost for RSAs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one year. At September 30, 2025, $972 of unrecognized compensation expense for RSAs is expected to be recognized over a weighted average period of approximately 0.8 years.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Stock Units</w:t>
      </w:r>
    </w:p>
    <w:p>
      <w:pPr>
        <w:spacing w:after="0" w:line="227" w:lineRule="exact"/>
        <w:rPr>
          <w:sz w:val="20"/>
          <w:szCs w:val="20"/>
          <w:color w:val="auto"/>
        </w:rPr>
      </w:pPr>
    </w:p>
    <w:p>
      <w:pPr>
        <w:jc w:val="both"/>
        <w:ind w:left="60" w:right="59" w:firstLine="383"/>
        <w:spacing w:after="0" w:line="258" w:lineRule="auto"/>
        <w:rPr>
          <w:sz w:val="20"/>
          <w:szCs w:val="20"/>
          <w:color w:val="auto"/>
        </w:rPr>
      </w:pPr>
      <w:r>
        <w:rPr>
          <w:rFonts w:ascii="Times New Roman" w:cs="Times New Roman" w:eastAsia="Times New Roman" w:hAnsi="Times New Roman"/>
          <w:sz w:val="18"/>
          <w:szCs w:val="18"/>
          <w:color w:val="auto"/>
        </w:rPr>
        <w:t>In connection with the 2024 ecosio acquisition, current and newly hired employees of ecosio have or may receive RSUs that vest upon continuing service and performance conditions (“Performance Stock Units” or “PSUs”). These performance conditions are based upon ecosio’s monthly software revenues meeting specified annual targets over a three-year period. The annual targets are based on a range of performance targets in which grantees may earn a prorated portion of the base number of awards granted up to 100%.</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stock-compensation expense associated with the awards will be accounted for as compensation expense over the vesting periods based on the Company’s assessment of the probability of achieving the targets. If the required conditions are not met, no compensation expense is recognized and any previously recognized compensation expense is reversed. As of September 30, 2025, the Company determined that it is probable that the performance targets for the annual measurement periods would be achieved at varying levels across the measurement periods and has recorded $2,301 and $4,009 in stock-based compensation expense for the three and nine months ended September 30, 2025, respectively.</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16"/>
        </w:trPr>
        <w:tc>
          <w:tcPr>
            <w:tcW w:w="5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99"/>
        </w:trPr>
        <w:tc>
          <w:tcPr>
            <w:tcW w:w="55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0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216"/>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7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0"/>
        </w:trPr>
        <w:tc>
          <w:tcPr>
            <w:tcW w:w="5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2025, a maximum of $6,562 of unrecognized compensation expense for PSUs, pending achievement of targets, may be recognized over a weighted average period of approximately 2.2 years.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included in accrued salaries and benefits in the condensed consolidated balance sheets until such shares are purchased. Amounts withheld from participants for the offering period ending November 30, 2025 aggregated $2,161 as of September 30, 2025. As of September 30, 2025, 6,282 shares of Class A common stock were available for issuance under the ESPP.</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approximately $280 of unrecognized ESPP stock-based compensation expense expected to be recognized on a straight-line basis over the remaining term of the six-month offering period ending November 30, 2025.</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2025 and 2024, there were two ESPP offering periods open that end November 30, 2025 and 2024, respectively. The fair value of ESPP purchase rights for the offering periods is comprised of the value of the 15% ESPP discount and the value associated with the call or put over the respective ESPP offering period. ESPP offering periods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8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reported in the September 30, 2025 and 2024 financial statements include the periods noted below in the table. The value of the call or put was estimated using the Black-Scholes model with the following assumptions:</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Offering Period Ending</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11/30/2025</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11/30/2024</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jc w:val="both"/>
        <w:ind w:left="60" w:right="60" w:firstLine="324"/>
        <w:spacing w:after="0" w:line="258" w:lineRule="auto"/>
        <w:rPr>
          <w:sz w:val="20"/>
          <w:szCs w:val="20"/>
          <w:color w:val="auto"/>
        </w:rPr>
      </w:pPr>
      <w:r>
        <w:rPr>
          <w:rFonts w:ascii="Times New Roman" w:cs="Times New Roman" w:eastAsia="Times New Roman" w:hAnsi="Times New Roman"/>
          <w:sz w:val="18"/>
          <w:szCs w:val="18"/>
          <w:color w:val="auto"/>
        </w:rPr>
        <w:t>Volatility is representative of expected stock price volatility over the offering period. The Company’s volatility is applied to current and future offering periods.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related to incentive awards, net of forfeitures,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3"/>
        </w:trPr>
        <w:tc>
          <w:tcPr>
            <w:tcW w:w="34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7"/>
                <w:szCs w:val="17"/>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16"/>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w:t>
            </w: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RSAs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PSUs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0"/>
        </w:trPr>
        <w:tc>
          <w:tcPr>
            <w:tcW w:w="3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46,249</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statements of comprehensive income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8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3"/>
        </w:trPr>
        <w:tc>
          <w:tcPr>
            <w:tcW w:w="34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196"/>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 services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0" w:type="dxa"/>
            <w:vAlign w:val="bottom"/>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0" w:type="dxa"/>
            <w:vAlign w:val="bottom"/>
          </w:tcPr>
          <w:p>
            <w:pPr>
              <w:spacing w:after="0"/>
              <w:rPr>
                <w:sz w:val="18"/>
                <w:szCs w:val="18"/>
                <w:color w:val="auto"/>
              </w:rPr>
            </w:pPr>
          </w:p>
        </w:tc>
      </w:tr>
      <w:tr>
        <w:trPr>
          <w:trHeight w:val="216"/>
        </w:trPr>
        <w:tc>
          <w:tcPr>
            <w:tcW w:w="3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20" w:type="dxa"/>
            <w:vAlign w:val="bottom"/>
          </w:tcPr>
          <w:p>
            <w:pPr>
              <w:spacing w:after="0"/>
              <w:rPr>
                <w:sz w:val="18"/>
                <w:szCs w:val="18"/>
                <w:color w:val="auto"/>
              </w:rPr>
            </w:pPr>
          </w:p>
        </w:tc>
      </w:tr>
      <w:tr>
        <w:trPr>
          <w:trHeight w:val="210"/>
        </w:trPr>
        <w:tc>
          <w:tcPr>
            <w:tcW w:w="3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46,249</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2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20"/>
          </w:cols>
          <w:pgMar w:left="1440" w:top="513" w:right="143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 related to the outcome of the case. During the three and nine months ended September 30, 2025, the Company recognized $2,785 and $8,093, respectively, for legal expenses associated with the case within the other operating expense, net line of the condensed consolidated statements of income.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DISCLOSURES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operates its business as one operating segment. Operating segments are defined as components of an enterprise in which separate financial information is evaluated regularly by the chief operating decision maker (“CODM”) in deciding how to allocate resources and assess performance. The Company’s CODM, the Chief Executive Officer, reviews financial information regularly at the consolidated level. Net income (loss) and adjusted earnings before interest, taxes, depreciation, and amortization (“Adjusted EBITDA”), a non-GAAP measure, are both used as metrics to evaluate performance of the business in deciding whether to reinvest profits into software development, acquisitions or into other areas of the Company. The Company believes that Adjusted EBITDA is a useful supplemental measure to evaluate overall operating performance as it measures business performance by focusing on cash related results and it is an important metric to lenders under the Company’s Credit Agreement. The most directly comparable GAAP measure to Adjusted EBITDA is net income (loss).</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CODM monitors consolidated forecasted versus actual net income (loss) and Adjusted EBITDA results for the purpose of determining the general health of the Company and assessing the performance of the Company as compared to management’s expectations.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388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significant expense categories and measures of segment income (loss) are regularly reported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CODM for the Company’s single segment:</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76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96"/>
        </w:trPr>
        <w:tc>
          <w:tcPr>
            <w:tcW w:w="39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488,320</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 – software subscriptions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131,030</w:t>
            </w: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 services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48,286</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&amp; development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47,080</w:t>
            </w: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&amp; marketing</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123,143</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112,915</w:t>
            </w: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15,432</w:t>
            </w: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fair value of acquisition contingent earn-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(16,400)</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(1,245)</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(2,938)</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(1,245)</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(2,938)</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 property and</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capitalized</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and acquired intangible assets – cost of</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 revenues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44,123</w:t>
            </w: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 selling</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marketing expense</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implementation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 general and administrative expense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contingent consideration</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fair value of acquisition contingent earn-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4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(16,400)</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Transaction costs </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0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43,493</w:t>
            </w:r>
          </w:p>
        </w:tc>
        <w:tc>
          <w:tcPr>
            <w:tcW w:w="16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38,623</w:t>
            </w:r>
          </w:p>
        </w:tc>
        <w:tc>
          <w:tcPr>
            <w:tcW w:w="18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119,081</w:t>
            </w:r>
          </w:p>
        </w:tc>
        <w:tc>
          <w:tcPr>
            <w:tcW w:w="1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113,881</w:t>
            </w:r>
          </w:p>
        </w:tc>
      </w:tr>
    </w:tbl>
    <w:p>
      <w:pPr>
        <w:ind w:left="220" w:hanging="170"/>
        <w:spacing w:after="0" w:line="182" w:lineRule="auto"/>
        <w:tabs>
          <w:tab w:leader="none" w:pos="22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Other segment items include professional fees, contracted labor, transaction costs, acquisition related earn-out adjustments and foreign currency exchange gains (losses).</w:t>
      </w:r>
    </w:p>
    <w:p>
      <w:pPr>
        <w:ind w:left="60" w:right="740" w:hanging="10"/>
        <w:spacing w:after="0" w:line="196" w:lineRule="auto"/>
        <w:tabs>
          <w:tab w:leader="none" w:pos="213"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current year periods include legal expenses associated with pending litigation related to claims the Company has made against a competitor. For further information, refer to Note 12, “Commitments and Contingencies”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-300990</wp:posOffset>
            </wp:positionV>
            <wp:extent cx="3703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03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920"/>
          </w:cols>
          <w:pgMar w:left="1440" w:top="513" w:right="539"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Additionally, the Company considers stock-based compensation expense a significant expense category. For further information, refer to Note 11, “Stock Based Award Plans.”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the Company operates solely within one segment, total assets, property and equipment, net, and capitalized software, net are reported at the consolidated level on the condensed consolidated balance sheets. The Company’s assets include both current and long-lived assets, and corporate assets. As of September 30, 2025 and December 31, 2024, $1,378 and $687, respectively, of the Company’s property and equipment assets were held outside of the U.S.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property and equipment additions, and capital software additions are reported at the consolidated level on the condensed consolidated statements of cash flows.</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based on geographical regions, timing of revenue recognition, and the major product and service types. For both the three and nine months ended September 30, 2025 approximately 9% of the Company’s revenues were generated from customers located outside of the U.S. For the three and nine months ended September 30, 2024, approximately 8% and 7%, respectively, of the Company’s revenues were generated from customers located outside the U.S. None of the Company’s customers represented more than 10% of total revenues for the three or nine months ended September 30, 2025 or 2024. For further information including disaggregation of revenues, refer to Note 2, “Revenue Recognition.”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reported income tax expense (benefit) of $1,520 and $613 for the three months ended September 30, 2025 and 2024, respectively, and $(5,260) and $(1,722) for the nine months ended September 30, 2025 and 2024, respectively. The effective income tax rate was 27.3% for the three months ended September 30, 2025, compared to 7.8% for the three months ended September 30, 2024, and (58.7)% for the nine months ended September 30, 2025, compared to (12.9)% for the nine months ended September 30, 2024.</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determining interim provisions for income taxes, the Company uses the annual estimated effective tax rate applied to the actual year-to-date income (loss) adjusted for discrete items arising year-to-date. The Company’s effective tax rate differs from the U.S. federal statutory rate of 21% primarily due to state taxes, foreign taxes, tax benefits on the exercises and vesting of stock awards, tax credits, limitations on deductions of certain employees’ compensation under Internal Revenue Code Section 162(m), fluctuations in valuation allowances on net deferred tax assets established for U.S. and certain foreign jurisdictions, and fluctuations in nondeductible contingent consideration liabilities.</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income tax expense for the three months ended September 30, 2025 was primarily attributable to taxes in profitable jurisdictions and fluctuations in valuation allowance on net deferred tax assets established for U.S. and certain foreign jurisdictions. This income tax expense was partially offset by fluctuations in tax credits and nondeductible contingent consideration liabilities. The income tax benefit for the nine months ended September 30, 2025 was primarily attributable to tax benefits from stock-based awards exercised or vested, tax credits, and fluctuations in nondeductible contingent consideration liabilities. These were partially offset by limitations on deductions of certain employees’ compensation, fluctuations in valuation allowances on net deferred tax assets established for U.S. and certain foreign jurisdictions, and taxes in profitable jurisdictions. The income tax expense for the three months ended September 30, 2024 was primarily attributable to income tax expense from profitable jurisdictions and on income allocated to state jurisdictions. This income tax expense was partially offset by tax benefits from stock-based awards exercised or vested during the quarter, net of the impact from limitations on deductions of certain employees’ compensation, and benefits from tax credits. The income tax benefit for the nine months ended September 30, 2024 was primarily attributable to tax benefits from stock-based awards exercised or vested, as well as tax credits. This income tax benefit was partially offset by limitations on deductions of certain employees’ compensation, which were greater than the income tax expense recognized during the three months ended September 30, 2024, as well as taxes in profitable jurisdictions.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into law in the U.S. Among other things, the OBBBA amends U.S. tax law, including provisions related to research and development, bonus depreciation, interest expense limitation, charitable contributions, and foreign derived intangible income. The Company has accounted for the impact of the OBBBA on its condensed consolidated financial statements in the three months ended September 30, 2025. The OBBBA did not have a material impact on the Company’s U.S. income taxes.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October 21, 2025, the Company announced that David DeStefano, the Company’s Chief Executive Officer, President and Chairperson of the Board, will retire as an executive officer of the Company effective as of November 10, 2025. In connection with Mr. DeStefano’s retirement, the Board appointed Christopher Young as Chief Executive Officer, President and a Class III director of the Company effective as of November 10, 2025.</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October 30, 2025, the Board authorized a stock repurchase program for up to $150,000 of the Company's outstanding shares of Class A common stock (the “Repurchase Program”). Under the Repurchase Program, share repurchases may be made from time to time in one or more open market or privately negotiated transactions, and/or through other legally permissible means in accordance with applicable rules and regulations promulgated under the Exchange Act. The timing and amount of any shares repurchased will be determined by the Company's management based on its evaluation of market conditions and other factors. Repurchases may also be made under a Rule 10b5-1 plan, which would permit shares to be repurchased when the Company might otherwise be precluded from doing so under insider trading laws. Any repurchased shares will be available for use in connection with the Company’s stock plans and for other corporate purposes. The Repurchase Program has no termination date and may be modified,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239"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February 27, 2025 (the “2024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2024 Annual Report and as may be subsequently updated by our other SEC filings.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 is a leading global provider of indirect tax solutions. Our mission is to deliver the most trusted tax technology enabling global businesses to transact, comply and grow with confidence. Vertex provides solutions that can be tailored to specific industries for major lines of indirect tax, including sales and consumer use, value added and payroll. Headquartered in North America, and with offices in South America and Europe, Vertex empowers the world’s leading brands to simplify the complexity of continuous compliance. Vertex employs over 1,900 professionals and serves companies across the globe.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89" w:lineRule="exact"/>
        <w:rPr>
          <w:sz w:val="20"/>
          <w:szCs w:val="20"/>
          <w:color w:val="auto"/>
        </w:rPr>
      </w:pPr>
    </w:p>
    <w:p>
      <w:pPr>
        <w:jc w:val="both"/>
        <w:ind w:left="60" w:right="59" w:firstLine="383"/>
        <w:spacing w:after="0" w:line="253" w:lineRule="auto"/>
        <w:rPr>
          <w:sz w:val="20"/>
          <w:szCs w:val="20"/>
          <w:color w:val="auto"/>
        </w:rPr>
      </w:pPr>
      <w:r>
        <w:rPr>
          <w:rFonts w:ascii="Times New Roman" w:cs="Times New Roman" w:eastAsia="Times New Roman" w:hAnsi="Times New Roman"/>
          <w:sz w:val="18"/>
          <w:szCs w:val="18"/>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56% and 49% of software subscription revenue from cloud-based subscriptions during the three months ended September 30, 2025 and 2024, respectively, and 55% and 48% for the nine months ended September 30, 2025 and 2024, respectively. While our on-premise software subscription revenue comprised 44% and 51% of our software subscription revenue during the three months ended September 30, 2025 and 2024, respectively, and 45% and 52% during the nine months ended September 30, 2025 and 2024, respectively, it continues to decrease as a percentage of total software subscriptions revenues as cloud-based subscriptions grow.</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partner ecosystem is a differentiating, competitive strength in both our software development and our sales and marketing activities. We integrate with key technology partners that span Enterprise Resource Planning (“ERP”),</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Customer Relationship Management, procurement, billing, Point of Sale and e-commerce. These partners include Adobe/Magento, Coupa, Microsoft Dynamics, NetSuite, Oracle, Salesforce, SAP, SAP Ariba, Shopify, Workday and Zuora. We also collaborate with numerous accounting firms who have built implementation practices around our software to serve their customer base.</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believe that global commerce and the compliance environment provides durable and accelerating growth opportunities for our business. We generated revenue of $192.1 million and $170.4 million for the three months ended September 30, 2025 and 2024, respectively, and $553.7 million and $488.3 million for the nine months ended September 30, 2025 and 2024, respectively. We had net income of $4.0 million and $7.2 million for the three months ended September 30, 2025 and 2024, respectively, and $14.2 million and $15.1 million for the nine months ended September 30, 2025 and 2024, respectively. These amounts are presented in accordance with United States (“U.S.”) generally accepted accounting principles (“GAAP”).</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loss or income before interest (including adjustments to the settlement value of deferred purchase commitment liabilities),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changes in the settlement value of deferred purchase commitment liabilities recorded as interest expense, and transaction costs. Adjusted EBITDA was $43.5 million and $38.6 million for the three months ended September 30, 2025 and 2024, respectively, and $119.1 million and $113.9 million for the nine months ended September 30, 2025 and 2024,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spacing w:after="0" w:line="19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October 21, 2025, we announced that David DeStefano, our Chief Executive Officer, President and Chairperson of the board of directors of the Company (the “Board”), will retire as an executive officer effective as of November 10, 2025. In connection with Mr. DeStefano’s retirement, the Board appointed Christopher Young as Chief Executive Officer, President and a Class III director effective as of November 10, 2025.</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October 30, 2025, the Board authorized a stock repurchase program for up to $150.0 million of our outstanding shares of Class A common stock (the “Repurchase Program”). Under the Repurchase Program, share repurchases may be made from time to time in one or more open market or privately negotiated transactions, and/or through other legally permissible means in accordance with applicable rules and regulations promulgated under the Exchange Act. The timing and amount of any shares repurchased will be determined by management based on evaluation of market conditions and other factors. Repurchases may also be made under a Rule 10b5-1 plan, which would permit shares to be repurchased when we might otherwise be precluded from doing so under insider trading laws. Any repurchased shares will be available for use in connection with our stock plans and for other corporate purposes. The Repurchase Program has no termination date and may be modified,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generate revenue from software subscriptions and services.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in our managed service offerings and related increases in our service revenue. We expect growth in our business will result in an increase in the cost of services revenue in absolute dollars.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primarily of personnel and related expenses in support of sales and marketing efforts. These costs include salaries, benefits, bonuses and stock-based compensation. In addition, selling and marketing expenses include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as we continue to expand our operations, hire additional personnel, and integrate current and future acquisitions.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 in Fair Value of Acquisition Contingent Earn-Outs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our acquisition of ecosio GmbH (“ecosio”) in August 2024, the sellers are entitled to three annual earn-outs in the form of cash, with an aggregate value of up to $94.4 million (the “Cash Earn-outs”), and stock, with an aggregate value of up to $35.0 million (the “Stock Earn-outs,” and together with the Cash Earn-outs, the “Earn-outs”), assuming maximum payouts. The Earn-outs are based on ecosio’s achievement of certain monthly software revenue targets over a three-year period, measured over an aggregate of 12 months and paid within 90 days after the relevant measurement period. The change in fair value of acquisition contingent earn-outs consists of fair value adjustments to our Earn-outs, which will be revalued and adjusted quarterly until the end of the Earn-out periods.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(income), net reflects the net amount of our interest expense and interest income within the same period.</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Interest expense consists primarily of interest incurred related to the Notes (as defined below), a term loan in the aggregate amount of $50.0 million (the “Term Loan”), Credit Agreement (as defined below),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as well as changes in the settlement value of the future payment obligation for the Systax Sistemas Fiscais LTDA (“Systax”) acquisition, which was fully settled on June 5, 2024. Interest income reflects earnings on investments of our cash on hand and our investment securities. Interest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will vary as a result of fluctuations in the future level of funds available for investment and the rate of return available in the market on such funds.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 and estimates related to our projections and assumptions are inherently uncertain; therefore, actual results could materially differ from our projections.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2024 Annual Report. The period-to-period comparison of financial results is not necessarily indicative of financial results to be achieved in future periods. The following table sets forth our condensed consolidated statements of comprehensive income for the periods indicated.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7"/>
                <w:szCs w:val="17"/>
                <w:color w:val="auto"/>
              </w:rPr>
            </w:pPr>
          </w:p>
        </w:tc>
        <w:tc>
          <w:tcPr>
            <w:tcW w:w="126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Period-Over-</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0" w:type="dxa"/>
            <w:vAlign w:val="bottom"/>
          </w:tcPr>
          <w:p>
            <w:pPr>
              <w:spacing w:after="0"/>
              <w:rPr>
                <w:sz w:val="1"/>
                <w:szCs w:val="1"/>
                <w:color w:val="auto"/>
              </w:rPr>
            </w:pPr>
          </w:p>
        </w:tc>
      </w:tr>
      <w:tr>
        <w:trPr>
          <w:trHeight w:val="104"/>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9"/>
                <w:szCs w:val="9"/>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5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Period Change</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164,824</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18,570</w:t>
            </w:r>
          </w:p>
        </w:tc>
        <w:tc>
          <w:tcPr>
            <w:tcW w:w="40" w:type="dxa"/>
            <w:vAlign w:val="bottom"/>
          </w:tcPr>
          <w:p>
            <w:pPr>
              <w:spacing w:after="0"/>
              <w:rPr>
                <w:sz w:val="17"/>
                <w:szCs w:val="17"/>
                <w:color w:val="auto"/>
              </w:rPr>
            </w:pPr>
          </w:p>
        </w:tc>
        <w:tc>
          <w:tcPr>
            <w:tcW w:w="80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12.7 %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473,429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58,902</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24,181</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12.8 %</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80,304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73,793</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192,112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170,435</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21,677</w:t>
            </w:r>
          </w:p>
        </w:tc>
        <w:tc>
          <w:tcPr>
            <w:tcW w:w="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12.7 %</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553,733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488,320</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65,413</w:t>
            </w:r>
          </w:p>
        </w:tc>
        <w:tc>
          <w:tcPr>
            <w:tcW w:w="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line="202" w:lineRule="exact"/>
              <w:rPr>
                <w:sz w:val="20"/>
                <w:szCs w:val="20"/>
                <w:color w:val="auto"/>
              </w:rPr>
            </w:pPr>
            <w:r>
              <w:rPr>
                <w:rFonts w:ascii="Times New Roman" w:cs="Times New Roman" w:eastAsia="Times New Roman" w:hAnsi="Times New Roman"/>
                <w:sz w:val="15"/>
                <w:szCs w:val="15"/>
                <w:color w:val="auto"/>
              </w:rPr>
              <w:t xml:space="preserve">Software subscriptions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43,641</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14.6 %</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131,030</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7,708</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5"/>
                <w:szCs w:val="15"/>
                <w:color w:val="auto"/>
              </w:rPr>
              <w:t xml:space="preserve">Services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20,762</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27.6 %</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48,286</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11,199</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70,796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59,911</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10,885</w:t>
            </w:r>
          </w:p>
        </w:tc>
        <w:tc>
          <w:tcPr>
            <w:tcW w:w="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18.2 %</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198,223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179,316</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18,907</w:t>
            </w:r>
          </w:p>
        </w:tc>
        <w:tc>
          <w:tcPr>
            <w:tcW w:w="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121,316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110,524</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10,792</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9.8 %</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355,510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309,004</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46,506</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27.6 %</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14,317</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line="202" w:lineRule="exact"/>
              <w:rPr>
                <w:sz w:val="20"/>
                <w:szCs w:val="20"/>
                <w:color w:val="auto"/>
              </w:rPr>
            </w:pPr>
            <w:r>
              <w:rPr>
                <w:rFonts w:ascii="Times New Roman" w:cs="Times New Roman" w:eastAsia="Times New Roman" w:hAnsi="Times New Roman"/>
                <w:sz w:val="15"/>
                <w:szCs w:val="15"/>
                <w:color w:val="auto"/>
              </w:rPr>
              <w:t xml:space="preserve">Selling and marketing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42,111</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12.5 %</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123,143</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20,851</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5"/>
                <w:szCs w:val="15"/>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7.5 %</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20,114</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22.2 %</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15,432</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acquisition</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earn-outs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(16,400)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expense (income),</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10,551</w:t>
            </w: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105,628</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11,368</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10.8 %</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350,568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298,128</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52,440</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r>
        <w:trPr>
          <w:trHeight w:val="196"/>
        </w:trPr>
        <w:tc>
          <w:tcPr>
            <w:tcW w:w="2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(1,245)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(4,012)</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(29.0)%</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(5,260)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(3,538)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7,221</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net of tax</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8,669</w:t>
            </w:r>
          </w:p>
        </w:tc>
        <w:tc>
          <w:tcPr>
            <w:tcW w:w="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(96.8)%</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(45,125)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(43,516)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2,704.5 %</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loss (gain) on</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investments, net of tax</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120"/>
              <w:spacing w:after="0" w:line="169" w:lineRule="exact"/>
              <w:rPr>
                <w:sz w:val="20"/>
                <w:szCs w:val="20"/>
                <w:color w:val="auto"/>
              </w:rPr>
            </w:pPr>
            <w:r>
              <w:rPr>
                <w:rFonts w:ascii="Times New Roman" w:cs="Times New Roman" w:eastAsia="Times New Roman" w:hAnsi="Times New Roman"/>
                <w:sz w:val="16"/>
                <w:szCs w:val="16"/>
                <w:color w:val="auto"/>
              </w:rPr>
              <w:t>Total other comprehensive</w:t>
            </w: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net of tax</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(45,116)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(43,481)</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w:t>
            </w:r>
          </w:p>
        </w:tc>
        <w:tc>
          <w:tcPr>
            <w:tcW w:w="68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(73.3)%</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00" w:right="4079" w:firstLine="20"/>
        <w:spacing w:after="0" w:line="261" w:lineRule="auto"/>
        <w:tabs>
          <w:tab w:leader="none" w:pos="642" w:val="left"/>
        </w:tabs>
        <w:numPr>
          <w:ilvl w:val="1"/>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stock-based compensation expenses as follows in the table below. * Percentage change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-215900</wp:posOffset>
            </wp:positionV>
            <wp:extent cx="35318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9"/>
        </w:trPr>
        <w:tc>
          <w:tcPr>
            <w:tcW w:w="3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6"/>
        </w:trPr>
        <w:tc>
          <w:tcPr>
            <w:tcW w:w="3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17"/>
                <w:szCs w:val="17"/>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services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r>
      <w:tr>
        <w:trPr>
          <w:trHeight w:val="209"/>
        </w:trPr>
        <w:tc>
          <w:tcPr>
            <w:tcW w:w="3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46,249</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r>
      <w:tr>
        <w:trPr>
          <w:trHeight w:val="20"/>
        </w:trPr>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our total revenues for the periods presented.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2920" w:type="dxa"/>
            <w:vAlign w:val="bottom"/>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20" w:type="dxa"/>
            <w:vAlign w:val="bottom"/>
            <w:gridSpan w:val="5"/>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31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128"/>
        </w:trPr>
        <w:tc>
          <w:tcPr>
            <w:tcW w:w="3160" w:type="dxa"/>
            <w:vAlign w:val="bottom"/>
          </w:tcPr>
          <w:p>
            <w:pPr>
              <w:spacing w:after="0"/>
              <w:rPr>
                <w:sz w:val="11"/>
                <w:szCs w:val="11"/>
                <w:color w:val="auto"/>
              </w:rPr>
            </w:pPr>
          </w:p>
        </w:tc>
        <w:tc>
          <w:tcPr>
            <w:tcW w:w="1820" w:type="dxa"/>
            <w:vAlign w:val="bottom"/>
            <w:gridSpan w:val="3"/>
          </w:tcPr>
          <w:p>
            <w:pPr>
              <w:jc w:val="center"/>
              <w:ind w:left="772"/>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center"/>
              <w:ind w:left="752"/>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85.8 %</w:t>
            </w:r>
          </w:p>
        </w:tc>
        <w:tc>
          <w:tcPr>
            <w:tcW w:w="32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85.8 %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85.5 %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84.9 %</w:t>
            </w: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14.2 %</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10"/>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26.0 %</w:t>
            </w:r>
          </w:p>
        </w:tc>
        <w:tc>
          <w:tcPr>
            <w:tcW w:w="32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25.6 %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25.1 %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10.8 %</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0"/>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10.4 %</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24.7 %</w:t>
            </w:r>
          </w:p>
        </w:tc>
        <w:tc>
          <w:tcPr>
            <w:tcW w:w="32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24.7 %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26.0 %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23.2 %</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3.3 %</w:t>
            </w:r>
          </w:p>
        </w:tc>
        <w:tc>
          <w:tcPr>
            <w:tcW w:w="32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198"/>
        </w:trPr>
        <w:tc>
          <w:tcPr>
            <w:tcW w:w="3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fair value of acquisition</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earn-outs</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0.7 %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3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0"/>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8"/>
        </w:trPr>
        <w:tc>
          <w:tcPr>
            <w:tcW w:w="3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net of tax</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98"/>
        </w:trPr>
        <w:tc>
          <w:tcPr>
            <w:tcW w:w="3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loss (gain) on investments,</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tax</w:t>
            </w:r>
          </w:p>
        </w:tc>
        <w:tc>
          <w:tcPr>
            <w:tcW w:w="18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78"/>
        </w:trPr>
        <w:tc>
          <w:tcPr>
            <w:tcW w:w="31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other comprehensive income, net of</w:t>
            </w:r>
          </w:p>
        </w:tc>
        <w:tc>
          <w:tcPr>
            <w:tcW w:w="12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0"/>
        </w:trPr>
        <w:tc>
          <w:tcPr>
            <w:tcW w:w="3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Borders>
              <w:bottom w:val="single" w:sz="8" w:color="auto"/>
            </w:tcBorders>
            <w:gridSpan w:val="3"/>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center"/>
              <w:ind w:left="460"/>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164,824</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146,254</w:t>
            </w:r>
          </w:p>
        </w:tc>
        <w:tc>
          <w:tcPr>
            <w:tcW w:w="180" w:type="dxa"/>
            <w:vAlign w:val="bottom"/>
          </w:tcPr>
          <w:p>
            <w:pPr>
              <w:spacing w:after="0"/>
              <w:rPr>
                <w:sz w:val="18"/>
                <w:szCs w:val="18"/>
                <w:color w:val="auto"/>
              </w:rPr>
            </w:pPr>
          </w:p>
        </w:tc>
        <w:tc>
          <w:tcPr>
            <w:tcW w:w="2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170,435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$21.7 million, or 12.7%, to $192.1 million for the three months ended September 30, 2025 compared to $170.4 million for the same period in 2024. The increase in software subscriptions revenues of $18.6 million, or 12.7%, was primarily driven by increases from our existing customers through cross-selling new products, and to a lesser extent, increases due to expanded use and price increases. Software subscriptions revenues derived from new customers averaged 5.9% and 6.0% of total software subscriptions revenues in the three months ended September 30, 2025 and 2024, respectively.</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$3.1 million increase in services revenues was primarily driven by a $1.8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Additionally, our managed services offering experienced a $1.3 million increase in service revenues associated with the growth in subscription revenues, which includes new customers implementing our solutions and existing customers upgrading to newer versions of our solutions.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Revenues</w:t>
      </w:r>
    </w:p>
    <w:p>
      <w:pPr>
        <w:spacing w:after="0" w:line="26"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24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3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software subscriptions revenues</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6,393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revenues increased $6.4 million, or 14.6%, to $50.0 million for the three months ended September 30, 2025 compared to $43.6 million for the same period in 2024. The increase was primarily driven by a $3.9 million increase in depreciation and amortization of capitalized software and acquired intangible assets associated with our ongoing investments in internal-use software for cloud-based subscription solutions, software developed for sale for new products and enhancements to existing products, and costs associated with the increased amortization of acquired intangible assets. Additionally, there was a $2.4 million increase in costs of personnel supporting period-over-period growth of sales and customers, ongoing infrastructure investments and support costs to enable the continued expansion of customer transaction volumes for our cloud-based subscription customers.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Services Revenues</w:t>
      </w:r>
    </w:p>
    <w:p>
      <w:pPr>
        <w:spacing w:after="0" w:line="26"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20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4,492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services revenues increased $4.5 million, or 27.6%, to $20.8 million for the three months ended September 30, 2025, compared to $16.3 million for the same period in 2024. The increase was primarily due to an increase in costs of service delivery personnel to support revenue growth in software subscription-related services and our managed services offering.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6"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40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4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60" w:type="dxa"/>
            <w:vAlign w:val="bottom"/>
            <w:gridSpan w:val="4"/>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19,929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4,308</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$4.3 million, or 27.6%, to $19.9 million for the three months ended September 30, 2025 compared to $15.6 million for the same period in 2024.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18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5,274</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increased $5.3 million, or 12.5%, to $47.4 million for the three months ended September 30, 2025 compared to $42.1 million for the same period in 2024. This increase was primarily driven by a $4.2 million increase in payroll and related expenses associated with the growth in period-over-period subscription sales and services revenues and expansion of our partner and channel management programs. Additionally, there was an increase of $1.1 million in advertising and promotional spending related to expanded brand awareness efforts.</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6"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6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4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00" w:type="dxa"/>
            <w:vAlign w:val="bottom"/>
            <w:gridSpan w:val="4"/>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44,609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41,499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3,110</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$3.1 million, or 7.5%, to $44.6 million for the three months ended September 30, 2025 compared to $41.5 million for the same period in 2024, primarily driven by planned strategic investments in information technology infrastructure, business process re-engineering and other initiatives to drive future operating leverage, as well as investments in employees, systems and other resources in support of our growth.</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6"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46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20" w:type="dxa"/>
            <w:vAlign w:val="bottom"/>
            <w:gridSpan w:val="4"/>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1,158</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$1.2 million, or 22.2%, to $6.4 million for the three months ended September 30, 2025 compared to $5.2 million for the same period in 2024. The increase was primarily due to the impact of infrastructure and technology purchases and other capitalized costs to support our growth.</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 in Fair Value of Acquisition Contingent Earn-outs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3"/>
        </w:trPr>
        <w:tc>
          <w:tcPr>
            <w:tcW w:w="4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178"/>
        </w:trPr>
        <w:tc>
          <w:tcPr>
            <w:tcW w:w="40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Change in fair value of acquisition contingent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ind w:left="60"/>
        <w:spacing w:after="0"/>
        <w:rPr>
          <w:sz w:val="20"/>
          <w:szCs w:val="20"/>
          <w:color w:val="auto"/>
        </w:rPr>
      </w:pPr>
      <w:r>
        <w:rPr>
          <w:rFonts w:ascii="Times New Roman" w:cs="Times New Roman" w:eastAsia="Times New Roman" w:hAnsi="Times New Roman"/>
          <w:sz w:val="16"/>
          <w:szCs w:val="16"/>
          <w:color w:val="auto"/>
        </w:rPr>
        <w:t>* Percentage change not meaningful.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Change in fair value of acquisition contingent earn-outs was $(4.0) million for the three months ended September 30, 2025 due entirely to adjustments to the fair values of our ecosio acquisition contingent Cash Earn-outs and Stock Earn-outs of $5.1 million and $(9.1) million, respectively. For further information, refer to Note 4, “Financial Instruments and Fair Value Measurements” to the condensed consolidated financial statements included in this Quarterly Report on Form 10-Q.</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80" w:type="dxa"/>
            <w:vAlign w:val="bottom"/>
            <w:tcBorders>
              <w:bottom w:val="single" w:sz="8" w:color="CCEEFF"/>
            </w:tcBorders>
          </w:tcPr>
          <w:p>
            <w:pPr>
              <w:spacing w:after="0"/>
              <w:rPr>
                <w:sz w:val="15"/>
                <w:szCs w:val="15"/>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1,518</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(128.3)%</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Other operating expense, net was $2.7 million for the three months ended September 30, 2025 compared to $1.2 million for the same period in 2024. This change was primarily driven by $2.8 million related to legal costs associated with a pending legal claim. For further information regarding the referenced pending legal claim, refer to Note 12, “Commitments and Contingencies” to the condensed consolidated financial statements included in this Quarterly Report on Form 10-Q.</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80" w:type="dxa"/>
            <w:vAlign w:val="bottom"/>
            <w:tcBorders>
              <w:bottom w:val="single" w:sz="8" w:color="CCEEFF"/>
            </w:tcBorders>
          </w:tcPr>
          <w:p>
            <w:pPr>
              <w:spacing w:after="0"/>
              <w:rPr>
                <w:sz w:val="15"/>
                <w:szCs w:val="15"/>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1,693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Interest income, net was $1.2 million for the three months ended September 30, 2025 compared to $2.9 million for the same period in 2024. This change was mainly due to a $1.6 million decrease in interest income due to decreased dollars invested and lower interest rates during the period.</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6"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-3175</wp:posOffset>
            </wp:positionV>
            <wp:extent cx="13373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907</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was $1.5 million and $0.6 million for the three months ended September 30, 2025 and 2024, respectively. This change was primarily driven by a decreased tax benefit on exercises and vesting of stock awards recognized during the three months ended September 30, 2025, as well as income tax from fluctuations in valuation allowances on net deferred tax assets established for U.S. and certain foreign jurisdictions. These income tax expense increases were partially offset by fluctuations in nondeductible contingent consideration liabilities and taxes in profitable jurisdictions, as well as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8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Pr>
          <w:p>
            <w:pPr>
              <w:spacing w:after="0"/>
              <w:rPr>
                <w:sz w:val="15"/>
                <w:szCs w:val="15"/>
                <w:color w:val="auto"/>
              </w:rPr>
            </w:pPr>
          </w:p>
        </w:tc>
        <w:tc>
          <w:tcPr>
            <w:tcW w:w="1240" w:type="dxa"/>
            <w:vAlign w:val="bottom"/>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414,527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488,320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65,413</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$65.4 million, or 13.4%, to $553.7 million for the nine months ended September 30, 2025 compared to $488.3 million for the same period in 2024. The increase in software subscriptions revenues of $58.9 million, or 14.2%, was primarily driven by increases from our existing customers through cross-selling new products, and to a lesser extent, increases due to expanded use and price increases. Software subscriptions revenues derived from new customers averaged 7.4% and 5.8% of total software subscriptions revenues in the nine months ended September 30, 2025 and 2024, respectively.</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$6.5 million increase in services revenues was primarily driven by a $6.0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Additionally, there was a $0.5 million increase in software subscription-related services associated with the growth in subscription revenues, which includes new customers implementing our solutions and existing customers upgrading to newer versions of our solutions.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Revenues</w:t>
      </w:r>
    </w:p>
    <w:p>
      <w:pPr>
        <w:spacing w:after="0" w:line="26"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2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subscriptions revenues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138,738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131,030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7,708</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revenues increased $7.7 million, or 5.9%, to $138.7 million for the nine months ended September 30, 2025 compared to $131.0 million for the same period in 2024. The increase was primarily driven by a $6.5 million increase in depreciation and amortization of capitalized software and acquired intangible assets associated with our ongoing investments in internal-use software for cloud-based subscription solutions, software developed for sale for new products and enhancements to existing products, and costs associated with the increased amortization of acquired intangible assets. Additionally, there was a $1.2 million increase in costs of personnel supporting period-over-period growth of sales and customers, ongoing infrastructure investments and support costs to enable the continued expansion of customer transaction volumes for our cloud-based subscription customers.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Services Revenues</w:t>
      </w:r>
    </w:p>
    <w:p>
      <w:pPr>
        <w:spacing w:after="0" w:line="236"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2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11,199</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services revenues increased $11.2 million, or 23.2%, to $59.5 million for the nine months ended September 30, 2025, compared to $48.3 million for the same period in 2024. The increase was primarily due to an increase in costs of service delivery personnel to support revenue growth in software subscription-related services and our managed services offering.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6"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3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40" w:type="dxa"/>
            <w:vAlign w:val="bottom"/>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61,397</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47,080</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   14,317</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$14.3 million, or 30.4%, to $61.4 million for the nine months ended September 30, 2025 compared to $47.1 million for the same period in 2024.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18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3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3"/>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143,994</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123,143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20,851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increased $20.9 million, or 16.9%, to $144.0 million for the nine months ended September 30, 2025 compared to $123.1 million for the same period in 2024. This increase was primarily driven by an $10.9 million increase in payroll and related expenses associated with the growth in period-over-period subscription sales and services revenues and expansion of our partner and channel management programs. Additionally, there was an increase of $10.0 million in advertising and promotional spending related to expanded brand awareness efforts.</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6"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64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980" w:type="dxa"/>
            <w:vAlign w:val="bottom"/>
            <w:gridSpan w:val="3"/>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$ 133,029</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$ 112,915</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  20,114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00" w:lineRule="exact"/>
        <w:rPr>
          <w:sz w:val="20"/>
          <w:szCs w:val="20"/>
          <w:color w:val="auto"/>
        </w:rPr>
      </w:pP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$20.1 million, or 17.8%, to $133.0 million for the nine months ended September 30, 2025 compared to $112.9 million for the same period in 2024, primarily driven by planned strategic investments in information technology infrastructure, business process re-engineering and other initiatives to drive future operating leverage, as well as investments in employees, systems and other resources in support of our growth.</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6"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46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18,439</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3,007</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$3.0 million, or 19.5%, to $18.4 million for the nine months ended September 30, 2025 compared to $15.4 million for the same period in 2024. The increase was primarily due to the impact of infrastructure and technology purchases and other capitalized costs to support our growth.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 in Fair Value of Acquisition Contingent Earn-outs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3"/>
        </w:trPr>
        <w:tc>
          <w:tcPr>
            <w:tcW w:w="4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178"/>
        </w:trPr>
        <w:tc>
          <w:tcPr>
            <w:tcW w:w="40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Change in fair value of acquisition contingent</w:t>
            </w: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(16,400)</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(16,400)</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ind w:left="60"/>
        <w:spacing w:after="0"/>
        <w:rPr>
          <w:sz w:val="20"/>
          <w:szCs w:val="20"/>
          <w:color w:val="auto"/>
        </w:rPr>
      </w:pPr>
      <w:r>
        <w:rPr>
          <w:rFonts w:ascii="Times New Roman" w:cs="Times New Roman" w:eastAsia="Times New Roman" w:hAnsi="Times New Roman"/>
          <w:sz w:val="16"/>
          <w:szCs w:val="16"/>
          <w:color w:val="auto"/>
        </w:rPr>
        <w:t>* Percentage change not meaningful.</w:t>
      </w:r>
    </w:p>
    <w:p>
      <w:pPr>
        <w:spacing w:after="0" w:line="200" w:lineRule="exact"/>
        <w:rPr>
          <w:sz w:val="20"/>
          <w:szCs w:val="20"/>
          <w:color w:val="auto"/>
        </w:rPr>
      </w:pPr>
    </w:p>
    <w:p>
      <w:pPr>
        <w:spacing w:after="0" w:line="24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Change in fair value of acquisition contingent earn-outs was $(16.4) million for the nine months ended September 30, 2025 due entirely to adjustments to the fair values of our ecosio acquisition contingent Cash Earn-outs and Stock Earn-outs of $8.6 million and $(25.0) million, respectively. For further information, refer to Note 4, “Financial Instruments and Fair Value Measurements” to the condensed consolidated financial statements included in this Quarterly Report on Form 10-Q.</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1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10,551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Other operating expense (income), net was $10.1 million of other operating expense, net for the nine months ended September 30, 2025 compared to $0.4 million of other operating income, net for the same period in 2024. This change was primarily driven by $8.1 million related to legal costs associated with a pending legal claim and $1.5 million in foreign currency transaction losses incurred. For further information regarding the referenced pending legal claim, refer to Note 12, “Commitments and Contingencies” to the condensed consolidated financial statements included in this Quarterly Report on Form 10-Q.</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1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(1,541)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Interest income, net was $4.0 million for the nine months ended September 30, 2025, compared to $2.5 million for the same period in 2024. This change was mainly due to several factors: (i) a $1.3 million increase in interest income primarily due to increased dollars invested during the period, (ii) a reduction of $0.4 million of interest expense related to the valuation of our prior year foreign currency forward contracts due to market fluctuations, and (iii) a $0.9 million decrease in interest costs related to the repayment of our Term Loan, which was fully repaid in the second quarter of 2024. These interest income increases were partially offset by $0.7 million in interest expense and a $0.4 million increase in deferred financing costs related to our Notes (as defined below).</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Benefit</w:t>
      </w:r>
    </w:p>
    <w:p>
      <w:pPr>
        <w:spacing w:after="0" w:line="26"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194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3"/>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(3,538)</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Income tax benefit was $5.3 million and $1.7 million for the nine months ended September 30, 2025 and 2024, respectively. The change in tax benefit was primarily driven by higher tax benefits on exercises and vesting of stock awards recognized during the nine months ended September 30, 2025, as well as fluctuations in nondeductible contingent consideration liabilities and lower taxes in profitable jurisdictions. These income tax benefit increases were partially offset by fluctuations in valuation allowances on net deferred tax assets established for U.S. and certain foreign jurisdictions and increased limitations on deductions of certain employees’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we had unrestricted cash and cash equivalents of $313.5 million. Our primary sources of capital include sales of our solutions, proceeds from bank lending facilities, and the offering of existing or future classes of stock.</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we had a credit agreement with a banking syndicate (the “Credit Agreement”) that provides a $300.0 million revolving facility (the “Line of Credit”). There were no outstanding borrowings under the Credit Agreement at September 30, 2025.</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April 26, 2024, we closed a private offering of $345.0 million aggregate principal amount of 0.750% Convertible Senior Notes due in 2029 (the “Notes”). The net proceeds from the offering of the Notes were $333.7 million, after deducting the initial purchasers’ discount and commissions, and other transaction and offering expenses. For further information on the Notes, refer to our 2024 Annual Report.</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resources and our Line of Credit will be sufficient to meet our capital requirements and fund our operations for the next 12 months as well as our longer-term liquidity needs. If an early conversion notice occurs on our Notes, we have the option to pay cash, shares of our Class A common stock, or a combination of both. 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(247,247)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216,235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(203,508)</w:t>
            </w: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of $123.3 million for the nine months ended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2025 consisted of net income of $14.2 million, adjusted for non-cash charges of $104.6 million, and cash inflows of $4.6 million related to changes in operating assets and liabilities, which were partially offset by $0.2 million in payments for purchase commitment and contingent consideration liabilities in excess of their initial fair value. The change in operating assets and liabilities was primarily driven by a decrease in accounts receivable due to the timing of cash collections during the period. This change was partially offset by an increase in prepaid expenses and other current assets, a decrease in accrued and deferred compensation and a decrease in deferred revenue.</w:t>
      </w:r>
    </w:p>
    <w:p>
      <w:pPr>
        <w:spacing w:after="0" w:line="20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of $123.7 million for the nine months ended September 30, 2024 consisted of net income of $15.1 million, adjusted for non-cash charges of $93.5 million, and cash inflows of $19.5 million from changes in operating assets and liabilities, which were partially offset by $4.4 million in payments for purchase commitment and contingent consideration liabilities in excess of their initial fair value. The change in operating assets and liabilities was primarily driven by a decrease in accounts receivable and an increase in deferred revenue, primarily due to cash collections and customer growth during the period. These changes were partially offset by an increase in prepaid expenses and other current assets. These movements were primarily due to the timing of cash payments.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of $91.6 million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consisted of investments in property and equipment, and capitalized software of $69.3 million and $16.4 million, respectively, related to investments in infrastructure, new products, and enhancements to existing products. During the second quarter of 2025, we invested $15.0 million in the Kintsugi Investment. Additionally, we invested $2.4 million in available-for-sale investment securities, which was more than offset by proceeds of $11.6 million received during the period for sales and maturities in our investment securities. For further information on the Kintsugi Investment, refer to Note 3, “Investments” to the condensed consolidated financial statements included in this Quarterly Report on Form 10-Q.</w:t>
      </w:r>
    </w:p>
    <w:p>
      <w:pPr>
        <w:spacing w:after="0" w:line="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of $133.3 million for the nine months ended September 30, 2024 consisted of investments in property and equipment, and capitalized software of $47.5 million and $16.4 million, respectively, related to investments in infrastructure, new products, and enhancements to existing products. Additionally, we paid $71.8 million related to acquisitions completed during the second and third quarters of 2024. Finally, we invested $12.2 million in available-for-sale investment securities, which was more than offset by proceeds of $14.6 million received during the period for sales and maturities in our investment securities.</w:t>
      </w:r>
    </w:p>
    <w:p>
      <w:pPr>
        <w:spacing w:after="0" w:line="186" w:lineRule="exact"/>
        <w:rPr>
          <w:sz w:val="20"/>
          <w:szCs w:val="20"/>
          <w:color w:val="auto"/>
        </w:rPr>
      </w:pPr>
    </w:p>
    <w:p>
      <w:pPr>
        <w:jc w:val="both"/>
        <w:ind w:left="60" w:right="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of $22.2 million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consisted of $27.2 million in payments for taxes related to the net share settlement of stock-based awards as well as a $4.5 million decrease in customer funds obligations, primarily due to timing differences between receipt of funds from customers and taxing jurisdiction withdrawals of these funds, partly offset by $7.7 million in proceeds from the exercise of stock options and $1.8 million in proceeds from the purchase of stock under our employee stock purchase plan (“ESPP”).</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of $225.0 million for the nine months ended September 30, 2024 consisted of $345.0 million in gross proceeds from our Notes, a $6.0 million increase in customer funds obligations, primarily due to timing differences between receipt of funds from customers and taxing jurisdiction withdrawals of these funds, and $1.4 million in proceeds from the purchase of stock under our ESPP. These transactions were partly offset by $46.9 million for the repayment of our Term Loan, $42.4 million for the purchase of the Capped Call Transactions, $3.9 million in payments of third-party debt, $20.0 million in payments for taxes related to the net share settlement of stock-based awards, $11.4 million for payments related to deferred financing costs and $7.6 million for payments on purchase commitment and contingent consideration liabilities.</w:t>
      </w:r>
    </w:p>
    <w:p>
      <w:pPr>
        <w:spacing w:after="0" w:line="188" w:lineRule="exact"/>
        <w:rPr>
          <w:sz w:val="20"/>
          <w:szCs w:val="20"/>
          <w:color w:val="auto"/>
        </w:rPr>
      </w:pPr>
    </w:p>
    <w:p>
      <w:pPr>
        <w:jc w:val="both"/>
        <w:ind w:left="60" w:right="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As of September 30, 2025, we had a $300.0 million Line of Credit with no outstanding borrowings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Credit Agreement. As of September 30, 2025, we had $345.0 million aggregate principal amount of debt outstanding related to our Notes. For further information on our debt obligations, refer to Note 8, “Debt” to the condensed consolidated financial statements included in this Quarterly Report on Form 10-Q.</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Funds Held for Customers and Customer Funds Obligations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maintain trust accounts with financial institutions, which allow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Customer funds obligations represent our contractual obligations to remit collected funds to satisfy customer tax payments. Customer funds obligations are included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we have no outstanding borrowings under our Line of Credit. Our Notes are due in May 2029. We expect to continue to fund debt maturities and interest payments with cash flows generated from operations, existing cash and cash equivalents, or proceeds from additional financing. For further information on our debt obligations, refer to Note 8, “Debt” to the condensed consolidated financial statements included in this Quarterly Report on Form 10-Q.</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updates or changes to our contractual obligations and commitments compared to contractual obligations and commitments described in our 2024 Annual Report.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metrics identified below to evaluate growth trends, measure our performance, formulate financial projections and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 and Average Annual Revenue Per Customer (“AARPC”).</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AARPC represents average annual revenue per customer and is calculated by dividing ARR by the number of software subscription customers at the end of the respective period.</w:t>
      </w:r>
    </w:p>
    <w:p>
      <w:pPr>
        <w:spacing w:after="0" w:line="10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2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Recurring Revenue</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71.4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ARR increased by $71.4 million, or 12.4%, at September 30, 2025, as compared to September 30, 2024. The increase was primarily driven by $37.1 million of growth in revenues from existing customers through their expanded use of our solutions as well as price increases, and $34.3 million in growth of subscriptions of our solutions to new customers.</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had 4,856 direct customers and AARPC was approximately $133,484 at September 30, 2025. At September 30, 2024, we had 4,855 direct customers and approximately $118,800 of AARPC. The increase in AARPC was primarily due to expansion of usage by existing customers and adding new customers through organic growth.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 (“NRR”).</w:t>
      </w:r>
    </w:p>
    <w:p>
      <w:pPr>
        <w:spacing w:after="0" w:line="229" w:lineRule="exact"/>
        <w:rPr>
          <w:sz w:val="20"/>
          <w:szCs w:val="20"/>
          <w:color w:val="auto"/>
        </w:rPr>
      </w:pPr>
    </w:p>
    <w:p>
      <w:pPr>
        <w:jc w:val="both"/>
        <w:ind w:left="60" w:right="59" w:firstLine="369"/>
        <w:spacing w:after="0" w:line="253" w:lineRule="auto"/>
        <w:rPr>
          <w:sz w:val="20"/>
          <w:szCs w:val="20"/>
          <w:color w:val="auto"/>
        </w:rPr>
      </w:pPr>
      <w:r>
        <w:rPr>
          <w:rFonts w:ascii="Times New Roman" w:cs="Times New Roman" w:eastAsia="Times New Roman" w:hAnsi="Times New Roman"/>
          <w:sz w:val="18"/>
          <w:szCs w:val="18"/>
          <w:color w:val="auto"/>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w:t>
      </w:r>
    </w:p>
    <w:p>
      <w:pPr>
        <w:spacing w:after="0" w:line="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4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NRR decreased by 4.0%, at September 30, 2025, as compared to September 30, 2024. The decrease was largely due to lower growth of additional entitlements as our customers’ annual growth has slowed, keeping them within current bands of usage, as well as delayed deal activity seen for some of our large multinational customers due to the macroeconomic environment.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Revenue Retention Rate (“GRR”).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12"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51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 Retention Rate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(including adjustments to the settlement value of deferred purchase commitment liabilities),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changes in the settlement value of deferred purchase commitment liabilities recorded as interest expense, and transaction costs. Adjusted EBITDA margin represents Adjusted EBITDA divided by total revenues for the same period. For purposes of comparison, our net income was $4.0 million and $7.2 million for the three months ended September 30, 2025 and 2024, respectively, while our net income margin was 2.1% and 4.2% over the same periods, respectively. Additionally, our net income was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$14.2 million and $15.1 million for the nine months ended September 30, 2025 and 2024, respectively, while our net income margin was 2.6% and 3.1% over the same periods, respectively.</w:t>
      </w: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0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190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940" w:type="dxa"/>
            <w:vAlign w:val="bottom"/>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900" w:type="dxa"/>
            <w:vAlign w:val="bottom"/>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4"/>
          </w:tcPr>
          <w:p>
            <w:pPr>
              <w:jc w:val="right"/>
              <w:ind w:right="411"/>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4"/>
          </w:tcPr>
          <w:p>
            <w:pPr>
              <w:jc w:val="right"/>
              <w:ind w:right="411"/>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property and equipment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capitalized software and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intangible assets – cost of subscription revenues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 selling and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expense</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implementation costs –</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contingent consideration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acquisition contingent earn-outs</w:t>
            </w:r>
          </w:p>
        </w:tc>
        <w:tc>
          <w:tcPr>
            <w:tcW w:w="14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(16,400)</w:t>
            </w:r>
          </w:p>
        </w:tc>
        <w:tc>
          <w:tcPr>
            <w:tcW w:w="120" w:type="dxa"/>
            <w:vAlign w:val="bottom"/>
          </w:tcPr>
          <w:p>
            <w:pPr>
              <w:spacing w:after="0"/>
              <w:rPr>
                <w:sz w:val="18"/>
                <w:szCs w:val="18"/>
                <w:color w:val="auto"/>
              </w:rPr>
            </w:pP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Transaction costs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43,493</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38,623</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119,081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192,112</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488,320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22.6</w:t>
            </w: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22.7</w:t>
            </w: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21.5</w:t>
            </w: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23.3</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60" w:right="359" w:hanging="10"/>
        <w:spacing w:after="0" w:line="202" w:lineRule="auto"/>
        <w:tabs>
          <w:tab w:leader="none" w:pos="213"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current year periods include legal expenses associated with pending litigation related to claims we have made against a competitor. For further information, refer to Note 12, “Commitments and Contingencies” to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-207010</wp:posOffset>
            </wp:positionV>
            <wp:extent cx="248602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86025" cy="25400"/>
                    </a:xfrm>
                    <a:prstGeom prst="rect">
                      <a:avLst/>
                    </a:prstGeom>
                    <a:noFill/>
                  </pic:spPr>
                </pic:pic>
              </a:graphicData>
            </a:graphic>
          </wp:anchor>
        </w:drawing>
      </w:r>
    </w:p>
    <w:p>
      <w:pPr>
        <w:spacing w:after="0" w:line="16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increase in Adjusted EBITDA for the three months ended September 30, 2025 of $4.9 million over the comparable period in 2024 was primarily driven by a $15.8 million increase in non-GAAP gross profit, which was partially offset by increases of $5.0 million in non-GAAP selling and marketing expense, $3.9 million in non-GAAP research and development expense, and $2.6 million in non-GAAP general and administrative expense. Adjusted EBITDA margin decreased to 22.6% for the three months ended September 30, 2025 compared to 22.7% for the comparable period in 2024, primarily due to strategic investments into information technology infrastructure, business and re-engineering processes and other continuing initiatives related to our 2024 acquisitions.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increase in Adjusted EBITDA for the nine months ended September 30, 2025 of $5.2 million over the comparable period in 2024 was primarily driven by a $56.2 million increase in non-GAAP gross profit, which was partially offset by increases of $19.1 million in non-GAAP general and administrative expense, $18.7 million in non-GAAP selling and marketing expense, and $12.3 million in non-GAAP research and development expense. Adjusted EBITDA margin decreased to 21.5% for the nine months ended September 30, 2025 compared to 23.3% for the comparable period in 2024, primarily due to strategic investments into information technology infrastructure, business and re-engineering processes and other continuing initiatives related to our 2024 acquisitions.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1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80" w:right="160"/>
        <w:spacing w:after="0" w:line="261" w:lineRule="auto"/>
        <w:rPr>
          <w:sz w:val="20"/>
          <w:szCs w:val="20"/>
          <w:color w:val="auto"/>
        </w:rPr>
      </w:pPr>
      <w:r>
        <w:rPr>
          <w:rFonts w:ascii="Times New Roman" w:cs="Times New Roman" w:eastAsia="Times New Roman" w:hAnsi="Times New Roman"/>
          <w:sz w:val="18"/>
          <w:szCs w:val="18"/>
          <w:color w:val="auto"/>
        </w:rPr>
        <w:t>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We define free cash flow margin as free cash flow divided by total revenues for the same period.</w:t>
      </w:r>
    </w:p>
    <w:p>
      <w:pPr>
        <w:spacing w:after="0" w:line="180" w:lineRule="exact"/>
        <w:rPr>
          <w:sz w:val="20"/>
          <w:szCs w:val="20"/>
          <w:color w:val="auto"/>
        </w:rPr>
      </w:pPr>
    </w:p>
    <w:p>
      <w:pPr>
        <w:jc w:val="both"/>
        <w:ind w:left="180" w:right="160" w:firstLine="324"/>
        <w:spacing w:after="0" w:line="258" w:lineRule="auto"/>
        <w:rPr>
          <w:sz w:val="20"/>
          <w:szCs w:val="20"/>
          <w:color w:val="auto"/>
        </w:rPr>
      </w:pPr>
      <w:r>
        <w:rPr>
          <w:rFonts w:ascii="Times New Roman" w:cs="Times New Roman" w:eastAsia="Times New Roman" w:hAnsi="Times New Roman"/>
          <w:sz w:val="18"/>
          <w:szCs w:val="18"/>
          <w:color w:val="auto"/>
        </w:rPr>
        <w:t>Our net cash provided by operating activities was $62.5 million and $41.4 million for the three months ended September 30, 2025 and 2024, respectively, while our operating cash flow margin was 32.5% and 24.3% over the same periods, respectively. Our net cash provided by operating activities was $123.3 million and $123.7 million for the nine months ended September 30, 2025 and 2024, respectively, while our operating cash flow margin was 22.3% and 25.3% over the same periods,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180" w:type="dxa"/>
            <w:vAlign w:val="bottom"/>
            <w:gridSpan w:val="5"/>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2220" w:type="dxa"/>
            <w:vAlign w:val="bottom"/>
            <w:gridSpan w:val="5"/>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180" w:type="dxa"/>
            <w:vAlign w:val="bottom"/>
            <w:gridSpan w:val="5"/>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5"/>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62,467</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41,396</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123,275</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123,688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(26,436)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(17,771)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(69,342)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(47,520)</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software additions</w:t>
            </w:r>
          </w:p>
        </w:tc>
        <w:tc>
          <w:tcPr>
            <w:tcW w:w="140" w:type="dxa"/>
            <w:vAlign w:val="bottom"/>
          </w:tcPr>
          <w:p>
            <w:pPr>
              <w:spacing w:after="0"/>
              <w:rPr>
                <w:sz w:val="18"/>
                <w:szCs w:val="18"/>
                <w:color w:val="auto"/>
              </w:rPr>
            </w:pP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(5,879)</w:t>
            </w:r>
          </w:p>
        </w:tc>
        <w:tc>
          <w:tcPr>
            <w:tcW w:w="140" w:type="dxa"/>
            <w:vAlign w:val="bottom"/>
          </w:tcPr>
          <w:p>
            <w:pPr>
              <w:spacing w:after="0"/>
              <w:rPr>
                <w:sz w:val="18"/>
                <w:szCs w:val="18"/>
                <w:color w:val="auto"/>
              </w:rPr>
            </w:pPr>
          </w:p>
        </w:tc>
        <w:tc>
          <w:tcPr>
            <w:tcW w:w="10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(5,260)</w:t>
            </w:r>
          </w:p>
        </w:tc>
        <w:tc>
          <w:tcPr>
            <w:tcW w:w="16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(16,444)</w:t>
            </w:r>
          </w:p>
        </w:tc>
        <w:tc>
          <w:tcPr>
            <w:tcW w:w="340" w:type="dxa"/>
            <w:vAlign w:val="bottom"/>
          </w:tcPr>
          <w:p>
            <w:pPr>
              <w:spacing w:after="0"/>
              <w:rPr>
                <w:sz w:val="18"/>
                <w:szCs w:val="18"/>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(16,357)</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192,112</w:t>
            </w:r>
          </w:p>
        </w:tc>
        <w:tc>
          <w:tcPr>
            <w:tcW w:w="3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170,435</w:t>
            </w:r>
          </w:p>
        </w:tc>
        <w:tc>
          <w:tcPr>
            <w:tcW w:w="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553,733</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488,320</w:t>
            </w: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Free cash flow margin</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380" w:type="dxa"/>
            <w:vAlign w:val="bottom"/>
            <w:tcBorders>
              <w:bottom w:val="single" w:sz="8" w:color="CCEEFF"/>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40" w:type="dxa"/>
            <w:vAlign w:val="bottom"/>
            <w:tcBorders>
              <w:bottom w:val="single" w:sz="8" w:color="CCEEFF"/>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180" w:right="160" w:firstLine="324"/>
        <w:spacing w:after="0" w:line="256" w:lineRule="auto"/>
        <w:rPr>
          <w:sz w:val="20"/>
          <w:szCs w:val="20"/>
          <w:color w:val="auto"/>
        </w:rPr>
      </w:pPr>
      <w:r>
        <w:rPr>
          <w:rFonts w:ascii="Times New Roman" w:cs="Times New Roman" w:eastAsia="Times New Roman" w:hAnsi="Times New Roman"/>
          <w:sz w:val="18"/>
          <w:szCs w:val="18"/>
          <w:color w:val="auto"/>
        </w:rPr>
        <w:t>Free cash flow increased by $11.8 million for the three months ended September 30, 2025 as compared to the same period in 2024. This increase was primarily driven by an increase in net cash provided by operating activities of $21.1 million, primarily attributable to the timing of cash collections and payments during the period, which was partially offset by $9.3 million in additional investments in property and equipment, and capitalized software related to investments in infrastructure, new products, and enhancements to existing products. Free cash flow margin increased to 15.7% for the three months ended September 30, 2025 compared to 10.8% for the same period in 2024.</w:t>
      </w:r>
    </w:p>
    <w:p>
      <w:pPr>
        <w:spacing w:after="0" w:line="187" w:lineRule="exact"/>
        <w:rPr>
          <w:sz w:val="20"/>
          <w:szCs w:val="20"/>
          <w:color w:val="auto"/>
        </w:rPr>
      </w:pPr>
    </w:p>
    <w:p>
      <w:pPr>
        <w:jc w:val="both"/>
        <w:ind w:left="180" w:right="160" w:firstLine="324"/>
        <w:spacing w:after="0" w:line="258" w:lineRule="auto"/>
        <w:rPr>
          <w:sz w:val="20"/>
          <w:szCs w:val="20"/>
          <w:color w:val="auto"/>
        </w:rPr>
      </w:pPr>
      <w:r>
        <w:rPr>
          <w:rFonts w:ascii="Times New Roman" w:cs="Times New Roman" w:eastAsia="Times New Roman" w:hAnsi="Times New Roman"/>
          <w:sz w:val="18"/>
          <w:szCs w:val="18"/>
          <w:color w:val="auto"/>
        </w:rPr>
        <w:t>Free cash flow decreased by $22.3 million for the nine months ended September 30, 2025 as compared to the same period in 2024. This decrease was primarily driven by $21.9 million in additional investments in property and equipment, and capitalized software related to investments in infrastructure, new products, and enhancements to existing products. Free cash flow margin decreased to 6.8% for the nine months ended September 30, 2025 compared to 12.2% for the same period in 2024.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jc w:val="both"/>
        <w:ind w:left="180" w:right="160"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87" w:lineRule="exact"/>
        <w:rPr>
          <w:sz w:val="20"/>
          <w:szCs w:val="20"/>
          <w:color w:val="auto"/>
        </w:rPr>
      </w:pPr>
    </w:p>
    <w:p>
      <w:pPr>
        <w:jc w:val="both"/>
        <w:ind w:left="180" w:right="160" w:firstLine="324"/>
        <w:spacing w:after="0" w:line="274" w:lineRule="auto"/>
        <w:rPr>
          <w:sz w:val="20"/>
          <w:szCs w:val="20"/>
          <w:color w:val="auto"/>
        </w:rPr>
      </w:pPr>
      <w:r>
        <w:rPr>
          <w:rFonts w:ascii="Times New Roman" w:cs="Times New Roman" w:eastAsia="Times New Roman" w:hAnsi="Times New Roman"/>
          <w:sz w:val="17"/>
          <w:szCs w:val="17"/>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w:t>
      </w:r>
    </w:p>
    <w:p>
      <w:pPr>
        <w:sectPr>
          <w:pgSz w:w="11900" w:h="16838" w:orient="portrait"/>
          <w:cols w:equalWidth="0" w:num="1">
            <w:col w:w="9240"/>
          </w:cols>
          <w:pgMar w:left="1320" w:top="513" w:right="1339" w:bottom="1440"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Non-GAAP Financial Measures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76" w:lineRule="exact"/>
        <w:rPr>
          <w:sz w:val="20"/>
          <w:szCs w:val="20"/>
          <w:color w:val="auto"/>
        </w:rPr>
      </w:pPr>
    </w:p>
    <w:p>
      <w:pPr>
        <w:jc w:val="both"/>
        <w:ind w:left="1040" w:right="7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services is determined by adding back to GAAP cost of revenues, services, the stock-based compensation expense included in cost of revenues, services for the respective periods.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is determined by dividing non-GAAP gross profit by total revenues for the respective periods.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research and development expense is determined by adding back to GAAP research and development expense the stock-based compensation expense and transaction costs related to acquired technology included in research and development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changes in the fair value of acquisition contingent earn-outs, and transaction costs, included in GAAP loss or income from operations for the respective periods.</w:t>
      </w:r>
    </w:p>
    <w:p>
      <w:pPr>
        <w:spacing w:after="0" w:line="188"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determined by adding back to GAAP net income or loss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adjustments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8" w:lineRule="auto"/>
        <w:rPr>
          <w:sz w:val="20"/>
          <w:szCs w:val="20"/>
          <w:color w:val="auto"/>
        </w:rPr>
      </w:pPr>
      <w:r>
        <w:rPr>
          <w:rFonts w:ascii="Times New Roman" w:cs="Times New Roman" w:eastAsia="Times New Roman" w:hAnsi="Times New Roman"/>
          <w:sz w:val="18"/>
          <w:szCs w:val="18"/>
          <w:color w:val="auto"/>
        </w:rPr>
        <w:t>the settlement value of deferred purchase commitment liabilities recorded as interest expense, changes in the fair value of acquisition contingent earn-outs, and transaction costs, included in GAAP net income or loss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w:t>
      </w:r>
    </w:p>
    <w:p>
      <w:pPr>
        <w:spacing w:after="0" w:line="183" w:lineRule="exact"/>
        <w:rPr>
          <w:sz w:val="20"/>
          <w:szCs w:val="20"/>
          <w:color w:val="auto"/>
        </w:rPr>
      </w:pPr>
    </w:p>
    <w:p>
      <w:pPr>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40"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schedules reflect our additional non-GAAP financial measures and reconciles our additional non-GAAP financial measures to the related GAAP financial measures.</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9"/>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 w:type="dxa"/>
            <w:vAlign w:val="bottom"/>
          </w:tcPr>
          <w:p>
            <w:pPr>
              <w:spacing w:after="0"/>
              <w:rPr>
                <w:sz w:val="13"/>
                <w:szCs w:val="13"/>
                <w:color w:val="auto"/>
              </w:rPr>
            </w:pPr>
          </w:p>
        </w:tc>
        <w:tc>
          <w:tcPr>
            <w:tcW w:w="1960" w:type="dxa"/>
            <w:vAlign w:val="bottom"/>
            <w:gridSpan w:val="9"/>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8"/>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8"/>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6"/>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6"/>
          </w:tcPr>
          <w:p>
            <w:pPr>
              <w:jc w:val="center"/>
              <w:ind w:right="99"/>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cost of revenues, software subscriptions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cost of revenues, services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126,174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$ 414,917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74.9 %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expense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selling and marketing expense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$ 129,872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 expense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$ 113,110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$ 100,642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6"/>
        </w:trPr>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9"/>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40" w:type="dxa"/>
            <w:vAlign w:val="bottom"/>
          </w:tcPr>
          <w:p>
            <w:pPr>
              <w:spacing w:after="0"/>
              <w:rPr>
                <w:sz w:val="24"/>
                <w:szCs w:val="24"/>
                <w:color w:val="auto"/>
              </w:rPr>
            </w:pPr>
          </w:p>
        </w:tc>
        <w:tc>
          <w:tcPr>
            <w:tcW w:w="1960" w:type="dxa"/>
            <w:vAlign w:val="bottom"/>
            <w:gridSpan w:val="9"/>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8"/>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8"/>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5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(Dollars in thousands)</w:t>
            </w: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9"/>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9"/>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7"/>
          </w:tcPr>
          <w:p>
            <w:pPr>
              <w:jc w:val="center"/>
              <w:ind w:right="120"/>
              <w:spacing w:after="0" w:line="142"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7"/>
          </w:tcPr>
          <w:p>
            <w:pPr>
              <w:jc w:val="right"/>
              <w:ind w:right="540"/>
              <w:spacing w:after="0" w:line="142"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Non-GAAP Cost of Revenues, Software Subscriptions: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Cost of revenues, software subscriptions</w:t>
            </w:r>
          </w:p>
        </w:tc>
        <w:tc>
          <w:tcPr>
            <w:tcW w:w="1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50,034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43,641</w:t>
            </w:r>
          </w:p>
        </w:tc>
        <w:tc>
          <w:tcPr>
            <w:tcW w:w="100" w:type="dxa"/>
            <w:vAlign w:val="bottom"/>
          </w:tcPr>
          <w:p>
            <w:pPr>
              <w:spacing w:after="0"/>
              <w:rPr>
                <w:sz w:val="14"/>
                <w:szCs w:val="14"/>
                <w:color w:val="auto"/>
              </w:rPr>
            </w:pP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138,738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131,030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(1,218)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(894)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(4,678)</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(3,437)</w:t>
            </w:r>
          </w:p>
        </w:tc>
        <w:tc>
          <w:tcPr>
            <w:tcW w:w="0" w:type="dxa"/>
            <w:vAlign w:val="bottom"/>
          </w:tcPr>
          <w:p>
            <w:pPr>
              <w:spacing w:after="0"/>
              <w:rPr>
                <w:sz w:val="1"/>
                <w:szCs w:val="1"/>
                <w:color w:val="auto"/>
              </w:rPr>
            </w:pPr>
          </w:p>
        </w:tc>
      </w:tr>
      <w:tr>
        <w:trPr>
          <w:trHeight w:val="145"/>
        </w:trPr>
        <w:tc>
          <w:tcPr>
            <w:tcW w:w="4900" w:type="dxa"/>
            <w:vAlign w:val="bottom"/>
          </w:tcPr>
          <w:p>
            <w:pPr>
              <w:ind w:left="120"/>
              <w:spacing w:after="0" w:line="145" w:lineRule="exact"/>
              <w:rPr>
                <w:sz w:val="20"/>
                <w:szCs w:val="20"/>
                <w:color w:val="auto"/>
              </w:rPr>
            </w:pPr>
            <w:r>
              <w:rPr>
                <w:rFonts w:ascii="Times New Roman" w:cs="Times New Roman" w:eastAsia="Times New Roman" w:hAnsi="Times New Roman"/>
                <w:sz w:val="15"/>
                <w:szCs w:val="15"/>
                <w:color w:val="auto"/>
              </w:rPr>
              <w:t>Depreciation and amortization of capitalized software and acquired intangible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assets – cost of subscription revenues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(18,143)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
              <w:spacing w:after="0"/>
              <w:rPr>
                <w:sz w:val="20"/>
                <w:szCs w:val="20"/>
                <w:color w:val="auto"/>
              </w:rPr>
            </w:pPr>
            <w:r>
              <w:rPr>
                <w:rFonts w:ascii="Times New Roman" w:cs="Times New Roman" w:eastAsia="Times New Roman" w:hAnsi="Times New Roman"/>
                <w:sz w:val="15"/>
                <w:szCs w:val="15"/>
                <w:color w:val="auto"/>
              </w:rPr>
              <w:t>(14,198)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(50,668)</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(44,123)</w:t>
            </w:r>
          </w:p>
        </w:tc>
        <w:tc>
          <w:tcPr>
            <w:tcW w:w="0" w:type="dxa"/>
            <w:vAlign w:val="bottom"/>
          </w:tcPr>
          <w:p>
            <w:pPr>
              <w:spacing w:after="0"/>
              <w:rPr>
                <w:sz w:val="1"/>
                <w:szCs w:val="1"/>
                <w:color w:val="auto"/>
              </w:rPr>
            </w:pPr>
          </w:p>
        </w:tc>
      </w:tr>
      <w:tr>
        <w:trPr>
          <w:trHeight w:val="155"/>
        </w:trPr>
        <w:tc>
          <w:tcPr>
            <w:tcW w:w="4900" w:type="dxa"/>
            <w:vAlign w:val="bottom"/>
            <w:tcBorders>
              <w:top w:val="single" w:sz="8" w:color="CCEEFF"/>
              <w:bottom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Non-GAAP cost of revenues, software subscriptions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30,673</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28,549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83,392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83,470</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Non-GAAP Cost of Revenues, Services: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Cost of revenues, services</w:t>
            </w:r>
          </w:p>
        </w:tc>
        <w:tc>
          <w:tcPr>
            <w:tcW w:w="1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20,762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16,270</w:t>
            </w:r>
          </w:p>
        </w:tc>
        <w:tc>
          <w:tcPr>
            <w:tcW w:w="100" w:type="dxa"/>
            <w:vAlign w:val="bottom"/>
          </w:tcPr>
          <w:p>
            <w:pPr>
              <w:spacing w:after="0"/>
              <w:rPr>
                <w:sz w:val="14"/>
                <w:szCs w:val="14"/>
                <w:color w:val="auto"/>
              </w:rPr>
            </w:pP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59,485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48,286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(1,341)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(558)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(4,061)</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(2,129)</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Non-GAAP cost of revenues, services</w:t>
            </w: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19,421</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15,712</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55,424</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46,157</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Non-GAAP Gross Profit: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Gross profit</w:t>
            </w:r>
          </w:p>
        </w:tc>
        <w:tc>
          <w:tcPr>
            <w:tcW w:w="1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121,316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110,524</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355,510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309,004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2,559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1,452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8,739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5,566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90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5"/>
                <w:szCs w:val="15"/>
                <w:color w:val="auto"/>
              </w:rPr>
              <w:t>Depreciation and amortization of capitalized software and acquired intangible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assets – cost of subscription revenues</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18,143</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14,198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50,668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44,123</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Non-GAAP gross profit</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142,018</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126,174</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414,917</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358,693</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Non-GAAP Gross Margin: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Total revenues</w:t>
            </w:r>
          </w:p>
        </w:tc>
        <w:tc>
          <w:tcPr>
            <w:tcW w:w="1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192,112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170,435</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553,733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488,320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Non-GAAP gross margin</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line="20" w:lineRule="exact"/>
              <w:rPr>
                <w:sz w:val="1"/>
                <w:szCs w:val="1"/>
                <w:color w:val="auto"/>
              </w:rPr>
            </w:pPr>
          </w:p>
        </w:tc>
      </w:tr>
      <w:tr>
        <w:trPr>
          <w:trHeight w:val="143"/>
        </w:trPr>
        <w:tc>
          <w:tcPr>
            <w:tcW w:w="4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3" w:lineRule="exact"/>
              <w:rPr>
                <w:sz w:val="20"/>
                <w:szCs w:val="20"/>
                <w:color w:val="auto"/>
              </w:rPr>
            </w:pPr>
            <w:r>
              <w:rPr>
                <w:rFonts w:ascii="Times New Roman" w:cs="Times New Roman" w:eastAsia="Times New Roman" w:hAnsi="Times New Roman"/>
                <w:sz w:val="15"/>
                <w:szCs w:val="15"/>
                <w:color w:val="auto"/>
              </w:rPr>
              <w:t>73.9</w:t>
            </w: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3" w:lineRule="exact"/>
              <w:rPr>
                <w:sz w:val="20"/>
                <w:szCs w:val="20"/>
                <w:color w:val="auto"/>
              </w:rPr>
            </w:pPr>
            <w:r>
              <w:rPr>
                <w:rFonts w:ascii="Times New Roman" w:cs="Times New Roman" w:eastAsia="Times New Roman" w:hAnsi="Times New Roman"/>
                <w:sz w:val="15"/>
                <w:szCs w:val="15"/>
                <w:color w:val="auto"/>
              </w:rPr>
              <w:t>74.0</w:t>
            </w:r>
          </w:p>
        </w:tc>
        <w:tc>
          <w:tcPr>
            <w:tcW w:w="14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74.9</w:t>
            </w:r>
          </w:p>
        </w:tc>
        <w:tc>
          <w:tcPr>
            <w:tcW w:w="220" w:type="dxa"/>
            <w:vAlign w:val="bottom"/>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60"/>
              <w:spacing w:after="0" w:line="143" w:lineRule="exact"/>
              <w:rPr>
                <w:sz w:val="20"/>
                <w:szCs w:val="20"/>
                <w:color w:val="auto"/>
              </w:rPr>
            </w:pPr>
            <w:r>
              <w:rPr>
                <w:rFonts w:ascii="Times New Roman" w:cs="Times New Roman" w:eastAsia="Times New Roman" w:hAnsi="Times New Roman"/>
                <w:sz w:val="15"/>
                <w:szCs w:val="15"/>
                <w:color w:val="auto"/>
              </w:rPr>
              <w:t>73.5</w:t>
            </w: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940" w:type="dxa"/>
            <w:vAlign w:val="bottom"/>
          </w:tcPr>
          <w:p>
            <w:pPr>
              <w:spacing w:after="0"/>
              <w:rPr>
                <w:sz w:val="15"/>
                <w:szCs w:val="15"/>
                <w:color w:val="auto"/>
              </w:rPr>
            </w:pPr>
          </w:p>
        </w:tc>
        <w:tc>
          <w:tcPr>
            <w:tcW w:w="2000" w:type="dxa"/>
            <w:vAlign w:val="bottom"/>
            <w:gridSpan w:val="6"/>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100" w:type="dxa"/>
            <w:vAlign w:val="bottom"/>
          </w:tcPr>
          <w:p>
            <w:pPr>
              <w:spacing w:after="0"/>
              <w:rPr>
                <w:sz w:val="15"/>
                <w:szCs w:val="15"/>
                <w:color w:val="auto"/>
              </w:rPr>
            </w:pPr>
          </w:p>
        </w:tc>
        <w:tc>
          <w:tcPr>
            <w:tcW w:w="186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5"/>
                <w:szCs w:val="15"/>
                <w:color w:val="auto"/>
              </w:rPr>
            </w:pPr>
          </w:p>
        </w:tc>
        <w:tc>
          <w:tcPr>
            <w:tcW w:w="186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56"/>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(Dollars in thousands)</w:t>
            </w: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8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8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4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jc w:val="center"/>
              <w:ind w:right="84"/>
              <w:spacing w:after="0" w:line="142"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right"/>
              <w:ind w:right="464"/>
              <w:spacing w:after="0" w:line="142"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Non-GAAP Research and Development Expense: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Research and development expense</w:t>
            </w:r>
          </w:p>
        </w:tc>
        <w:tc>
          <w:tcPr>
            <w:tcW w:w="1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19,929</w:t>
            </w:r>
          </w:p>
        </w:tc>
        <w:tc>
          <w:tcPr>
            <w:tcW w:w="200" w:type="dxa"/>
            <w:vAlign w:val="bottom"/>
          </w:tcPr>
          <w:p>
            <w:pPr>
              <w:spacing w:after="0"/>
              <w:rPr>
                <w:sz w:val="14"/>
                <w:szCs w:val="14"/>
                <w:color w:val="auto"/>
              </w:rPr>
            </w:pPr>
          </w:p>
        </w:tc>
        <w:tc>
          <w:tcPr>
            <w:tcW w:w="1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15,621</w:t>
            </w:r>
          </w:p>
        </w:tc>
        <w:tc>
          <w:tcPr>
            <w:tcW w:w="1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61,397</w:t>
            </w:r>
          </w:p>
        </w:tc>
        <w:tc>
          <w:tcPr>
            <w:tcW w:w="200" w:type="dxa"/>
            <w:vAlign w:val="bottom"/>
          </w:tcPr>
          <w:p>
            <w:pPr>
              <w:spacing w:after="0"/>
              <w:rPr>
                <w:sz w:val="14"/>
                <w:szCs w:val="14"/>
                <w:color w:val="auto"/>
              </w:rPr>
            </w:pPr>
          </w:p>
        </w:tc>
        <w:tc>
          <w:tcPr>
            <w:tcW w:w="1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47,080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(3,163)</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(2,001)</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(10,027)</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(7,296)</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Transaction costs</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(723)</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(723)</w:t>
            </w:r>
          </w:p>
        </w:tc>
        <w:tc>
          <w:tcPr>
            <w:tcW w:w="0" w:type="dxa"/>
            <w:vAlign w:val="bottom"/>
          </w:tcPr>
          <w:p>
            <w:pPr>
              <w:spacing w:after="0"/>
              <w:rPr>
                <w:sz w:val="1"/>
                <w:szCs w:val="1"/>
                <w:color w:val="auto"/>
              </w:rPr>
            </w:pPr>
          </w:p>
        </w:tc>
      </w:tr>
      <w:tr>
        <w:trPr>
          <w:trHeight w:val="155"/>
        </w:trPr>
        <w:tc>
          <w:tcPr>
            <w:tcW w:w="4940" w:type="dxa"/>
            <w:vAlign w:val="bottom"/>
            <w:tcBorders>
              <w:top w:val="single" w:sz="8" w:color="CCEEFF"/>
              <w:bottom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Non-GAAP research and development expense</w:t>
            </w: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16,766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12,897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51,370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39,061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Non-GAAP Selling and Marketing Expense: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Selling and marketing expense</w:t>
            </w:r>
          </w:p>
        </w:tc>
        <w:tc>
          <w:tcPr>
            <w:tcW w:w="1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47,385</w:t>
            </w:r>
          </w:p>
        </w:tc>
        <w:tc>
          <w:tcPr>
            <w:tcW w:w="200" w:type="dxa"/>
            <w:vAlign w:val="bottom"/>
          </w:tcPr>
          <w:p>
            <w:pPr>
              <w:spacing w:after="0"/>
              <w:rPr>
                <w:sz w:val="14"/>
                <w:szCs w:val="14"/>
                <w:color w:val="auto"/>
              </w:rPr>
            </w:pPr>
          </w:p>
        </w:tc>
        <w:tc>
          <w:tcPr>
            <w:tcW w:w="1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42,111</w:t>
            </w:r>
          </w:p>
        </w:tc>
        <w:tc>
          <w:tcPr>
            <w:tcW w:w="1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143,994</w:t>
            </w:r>
          </w:p>
        </w:tc>
        <w:tc>
          <w:tcPr>
            <w:tcW w:w="200" w:type="dxa"/>
            <w:vAlign w:val="bottom"/>
          </w:tcPr>
          <w:p>
            <w:pPr>
              <w:spacing w:after="0"/>
              <w:rPr>
                <w:sz w:val="14"/>
                <w:szCs w:val="14"/>
                <w:color w:val="auto"/>
              </w:rPr>
            </w:pPr>
          </w:p>
        </w:tc>
        <w:tc>
          <w:tcPr>
            <w:tcW w:w="1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123,143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(3,391)</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(2,951)</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(12,432)</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(10,101)</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Amortization of acquired intangible assets – selling and marketing expense</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(588)</w:t>
            </w:r>
          </w:p>
        </w:tc>
        <w:tc>
          <w:tcPr>
            <w:tcW w:w="18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(706)</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(1,690)</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(1,893)</w:t>
            </w:r>
          </w:p>
        </w:tc>
        <w:tc>
          <w:tcPr>
            <w:tcW w:w="0" w:type="dxa"/>
            <w:vAlign w:val="bottom"/>
          </w:tcPr>
          <w:p>
            <w:pPr>
              <w:spacing w:after="0"/>
              <w:rPr>
                <w:sz w:val="1"/>
                <w:szCs w:val="1"/>
                <w:color w:val="auto"/>
              </w:rPr>
            </w:pPr>
          </w:p>
        </w:tc>
      </w:tr>
      <w:tr>
        <w:trPr>
          <w:trHeight w:val="155"/>
        </w:trPr>
        <w:tc>
          <w:tcPr>
            <w:tcW w:w="4940" w:type="dxa"/>
            <w:vAlign w:val="bottom"/>
            <w:tcBorders>
              <w:top w:val="single" w:sz="8" w:color="CCEEFF"/>
              <w:bottom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Non-GAAP selling and marketing expense</w:t>
            </w: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43,406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38,454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129,872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111,149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Non-GAAP General and Administrative Expense:</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General and administrative expense</w:t>
            </w: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44,609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41,499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133,029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112,915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(4,102)</w:t>
            </w:r>
          </w:p>
        </w:tc>
        <w:tc>
          <w:tcPr>
            <w:tcW w:w="18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(3,730)</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(15,051)</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(13,496)</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Severance expense</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(1,199)</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(927)</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(1,973)</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(2,388)</w:t>
            </w:r>
          </w:p>
        </w:tc>
        <w:tc>
          <w:tcPr>
            <w:tcW w:w="0" w:type="dxa"/>
            <w:vAlign w:val="bottom"/>
          </w:tcPr>
          <w:p>
            <w:pPr>
              <w:spacing w:after="0"/>
              <w:rPr>
                <w:sz w:val="1"/>
                <w:szCs w:val="1"/>
                <w:color w:val="auto"/>
              </w:rPr>
            </w:pPr>
          </w:p>
        </w:tc>
      </w:tr>
      <w:tr>
        <w:trPr>
          <w:trHeight w:val="145"/>
        </w:trPr>
        <w:tc>
          <w:tcPr>
            <w:tcW w:w="4940" w:type="dxa"/>
            <w:vAlign w:val="bottom"/>
          </w:tcPr>
          <w:p>
            <w:pPr>
              <w:ind w:left="120"/>
              <w:spacing w:after="0" w:line="145" w:lineRule="exact"/>
              <w:rPr>
                <w:sz w:val="20"/>
                <w:szCs w:val="20"/>
                <w:color w:val="auto"/>
              </w:rPr>
            </w:pPr>
            <w:r>
              <w:rPr>
                <w:rFonts w:ascii="Times New Roman" w:cs="Times New Roman" w:eastAsia="Times New Roman" w:hAnsi="Times New Roman"/>
                <w:sz w:val="15"/>
                <w:szCs w:val="15"/>
                <w:color w:val="auto"/>
              </w:rPr>
              <w:t>Amortization of cloud computing implementation costs – general and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administrative expense</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(871)</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(1,005)</w:t>
            </w: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(2,895)</w:t>
            </w:r>
          </w:p>
        </w:tc>
        <w:tc>
          <w:tcPr>
            <w:tcW w:w="14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(2,994)</w:t>
            </w:r>
          </w:p>
        </w:tc>
        <w:tc>
          <w:tcPr>
            <w:tcW w:w="0" w:type="dxa"/>
            <w:vAlign w:val="bottom"/>
          </w:tcPr>
          <w:p>
            <w:pPr>
              <w:spacing w:after="0"/>
              <w:rPr>
                <w:sz w:val="1"/>
                <w:szCs w:val="1"/>
                <w:color w:val="auto"/>
              </w:rPr>
            </w:pPr>
          </w:p>
        </w:tc>
      </w:tr>
      <w:tr>
        <w:trPr>
          <w:trHeight w:val="155"/>
        </w:trPr>
        <w:tc>
          <w:tcPr>
            <w:tcW w:w="4940" w:type="dxa"/>
            <w:vAlign w:val="bottom"/>
            <w:tcBorders>
              <w:top w:val="single" w:sz="8" w:color="CCEEFF"/>
              <w:bottom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Non-GAAP general and administrative expense</w:t>
            </w: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38,437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35,837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113,110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94,037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Non-GAAP Operating Income:</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Income from operations</w:t>
            </w: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4,320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4,942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10,876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13,215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46,249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36,459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9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5"/>
                <w:szCs w:val="15"/>
                <w:color w:val="auto"/>
              </w:rPr>
              <w:t>Depreciation and amortization of capitalized software and acquired intangible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assets – cost of subscription revenues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18,143</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50,668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44,123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Amortization of acquired intangible assets – selling and marketing expense</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9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5"/>
                <w:szCs w:val="15"/>
                <w:color w:val="auto"/>
              </w:rPr>
              <w:t>Amortization of cloud computing implementation costs – general and</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administrative expense</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Severance expense</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1,973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Acquisition contingent consideration</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(2,275)</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Change in fair value of acquisition contingent earn-outs</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(16,400)</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Transaction costs </w:t>
            </w:r>
            <w:r>
              <w:rPr>
                <w:rFonts w:ascii="Times New Roman" w:cs="Times New Roman" w:eastAsia="Times New Roman" w:hAnsi="Times New Roman"/>
                <w:sz w:val="18"/>
                <w:szCs w:val="18"/>
                <w:color w:val="auto"/>
                <w:vertAlign w:val="superscript"/>
              </w:rPr>
              <w:t>(1)</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2,785</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1,443</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8,425</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1,991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94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Non-GAAP operating income</w:t>
            </w: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37,121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33,409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100,642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98,449</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Non-GAAP Net Income: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Net income</w:t>
            </w: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4,045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7,221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14,214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15,069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Income tax expense (benefit)</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(5,260)</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(1,722)</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13,215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46,249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36,459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940" w:type="dxa"/>
            <w:vAlign w:val="bottom"/>
          </w:tcPr>
          <w:p>
            <w:pPr>
              <w:ind w:left="120"/>
              <w:spacing w:after="0" w:line="145" w:lineRule="exact"/>
              <w:rPr>
                <w:sz w:val="20"/>
                <w:szCs w:val="20"/>
                <w:color w:val="auto"/>
              </w:rPr>
            </w:pPr>
            <w:r>
              <w:rPr>
                <w:rFonts w:ascii="Times New Roman" w:cs="Times New Roman" w:eastAsia="Times New Roman" w:hAnsi="Times New Roman"/>
                <w:sz w:val="15"/>
                <w:szCs w:val="15"/>
                <w:color w:val="auto"/>
              </w:rPr>
              <w:t>Depreciation and amortization of capitalized software and acquired intangible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assets – cost of subscription revenues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18,143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50,668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Amortization of acquired intangible assets – selling and marketing expense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1,690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940" w:type="dxa"/>
            <w:vAlign w:val="bottom"/>
          </w:tcPr>
          <w:p>
            <w:pPr>
              <w:ind w:left="120"/>
              <w:spacing w:after="0" w:line="145" w:lineRule="exact"/>
              <w:rPr>
                <w:sz w:val="20"/>
                <w:szCs w:val="20"/>
                <w:color w:val="auto"/>
              </w:rPr>
            </w:pPr>
            <w:r>
              <w:rPr>
                <w:rFonts w:ascii="Times New Roman" w:cs="Times New Roman" w:eastAsia="Times New Roman" w:hAnsi="Times New Roman"/>
                <w:sz w:val="15"/>
                <w:szCs w:val="15"/>
                <w:color w:val="auto"/>
              </w:rPr>
              <w:t>Amortization of cloud computing implementation costs – general and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administrative expense</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Severance expense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1,199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927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1,973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2,388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Acquisition contingent consideration</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(2,275)</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Change in fair value of acquisition contingent earn-outs</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(16,400)</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Transaction costs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2,785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8,425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9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5"/>
                <w:szCs w:val="15"/>
                <w:color w:val="auto"/>
              </w:rPr>
              <w:t>Change in settlement value of deferred purchase commitment liability –</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4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Non-GAAP income before income taxes</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38,366</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36,347</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104,654</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101,343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Income tax adjustment at statutory rate </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(9,784)</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(9,268)</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(26,687)</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(25,842)</w:t>
            </w:r>
          </w:p>
        </w:tc>
        <w:tc>
          <w:tcPr>
            <w:tcW w:w="0" w:type="dxa"/>
            <w:vAlign w:val="bottom"/>
          </w:tcPr>
          <w:p>
            <w:pPr>
              <w:spacing w:after="0"/>
              <w:rPr>
                <w:sz w:val="1"/>
                <w:szCs w:val="1"/>
                <w:color w:val="auto"/>
              </w:rPr>
            </w:pPr>
          </w:p>
        </w:tc>
      </w:tr>
      <w:tr>
        <w:trPr>
          <w:trHeight w:val="161"/>
        </w:trPr>
        <w:tc>
          <w:tcPr>
            <w:tcW w:w="494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b w:val="1"/>
                <w:bCs w:val="1"/>
                <w:color w:val="auto"/>
              </w:rPr>
              <w:t>Non-GAAP net income</w:t>
            </w:r>
          </w:p>
        </w:tc>
        <w:tc>
          <w:tcPr>
            <w:tcW w:w="180" w:type="dxa"/>
            <w:vAlign w:val="bottom"/>
            <w:tcBorders>
              <w:top w:val="single" w:sz="8" w:color="auto"/>
            </w:tcBorders>
          </w:tcPr>
          <w:p>
            <w:pPr>
              <w:jc w:val="right"/>
              <w:ind w:right="2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28,582</w:t>
            </w:r>
          </w:p>
        </w:tc>
        <w:tc>
          <w:tcPr>
            <w:tcW w:w="200" w:type="dxa"/>
            <w:vAlign w:val="bottom"/>
          </w:tcPr>
          <w:p>
            <w:pPr>
              <w:spacing w:after="0"/>
              <w:rPr>
                <w:sz w:val="14"/>
                <w:szCs w:val="14"/>
                <w:color w:val="auto"/>
              </w:rPr>
            </w:pPr>
          </w:p>
        </w:tc>
        <w:tc>
          <w:tcPr>
            <w:tcW w:w="180" w:type="dxa"/>
            <w:vAlign w:val="bottom"/>
            <w:tcBorders>
              <w:top w:val="single" w:sz="8" w:color="auto"/>
            </w:tcBorders>
          </w:tcPr>
          <w:p>
            <w:pPr>
              <w:jc w:val="right"/>
              <w:ind w:right="2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27,079</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u w:val="single" w:color="auto"/>
                <w:color w:val="auto"/>
                <w:w w:val="79"/>
              </w:rPr>
              <w:t>$</w:t>
            </w:r>
          </w:p>
        </w:tc>
        <w:tc>
          <w:tcPr>
            <w:tcW w:w="66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u w:val="single" w:color="auto"/>
                <w:color w:val="auto"/>
              </w:rPr>
              <w:t>77,967</w:t>
            </w:r>
          </w:p>
        </w:tc>
        <w:tc>
          <w:tcPr>
            <w:tcW w:w="200" w:type="dxa"/>
            <w:vAlign w:val="bottom"/>
          </w:tcPr>
          <w:p>
            <w:pPr>
              <w:spacing w:after="0"/>
              <w:rPr>
                <w:sz w:val="14"/>
                <w:szCs w:val="14"/>
                <w:color w:val="auto"/>
              </w:rPr>
            </w:pPr>
          </w:p>
        </w:tc>
        <w:tc>
          <w:tcPr>
            <w:tcW w:w="1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75,501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-3175</wp:posOffset>
            </wp:positionV>
            <wp:extent cx="5575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-3175</wp:posOffset>
            </wp:positionV>
            <wp:extent cx="11912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ind w:left="60" w:right="239" w:hanging="10"/>
        <w:spacing w:after="0" w:line="181" w:lineRule="auto"/>
        <w:tabs>
          <w:tab w:leader="none" w:pos="26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current year periods include legal expenses associated with pending litigation related to claims we have made against a competitor. For further information, refer to Note 12, “Commitments and Contingencies” to our condensed consolidated financial statements.</w:t>
      </w:r>
    </w:p>
    <w:p>
      <w:pPr>
        <w:ind w:left="60" w:right="479" w:hanging="10"/>
        <w:spacing w:after="0" w:line="194" w:lineRule="auto"/>
        <w:tabs>
          <w:tab w:leader="none" w:pos="222"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Non-GAAP income before income taxes is adjusted for income taxes using the respective statutory tax rates for applicable jurisdictions, which for purposes of this determination were assumed to be 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-414020</wp:posOffset>
            </wp:positionV>
            <wp:extent cx="5575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-414020</wp:posOffset>
            </wp:positionV>
            <wp:extent cx="11912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critical accounting policies that reflect our more significant judgments and estimates used in the preparation of our condensed consolidated financial statements include revenue recognition and income taxes, which are described in our 2024 Annual Report. There have been no material updates or changes to our critical accounting estimates compared to the critical accounting estimates described in our 2024 Annual Report.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further information on recent accounting pronouncements, refer to Note 1, “Summary of Significant Accounting Policies” to the condensed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had unrestricted cash and cash equivalents of $313.5 million and $296.1 million as of September 30, 2025 and December 31, 2024, respectively, and investments of $9.2 million as of December 31, 2024. We maintain our cash and cash equivalents in deposit accounts and money market funds with various financial institutions.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common stock fluctuates. We carry the Notes at principal value less unamortized issuance costs on our condensed consolidated balance sheets, and we present fair value for required disclosure purposes only.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three and nine months ended September 30, 2025, approximately 6% and 5%, respectively, of our revenues were denominated in currencies other than U.S. Dollars. For the three and nine months ended September 30, 2024, approximately 3% and 4%, respectively, of our revenues were denominated in currencies other than U.S. Dollars.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 13a-15(b) of the Securities Exchange Act of 1934, as amended (the “Exchange Act”).</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principal executive officer and principal financial officer concluded that, as of September 30, 2025, our disclosure controls and procedures were effective at a reasonable assurance level.</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are also seeking monetary damages, including punitive damages and attorney’s fees. As of September 30, 2025, the matter remains before the Court and is proceeding through the discovery process.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This document incorporates by reference various risk factors discussed in the Company’s 2024 Annual Report,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0" w:type="dxa"/>
            <w:vAlign w:val="bottom"/>
            <w:gridSpan w:val="11"/>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0" w:type="dxa"/>
            <w:vAlign w:val="bottom"/>
            <w:gridSpan w:val="11"/>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56"/>
        </w:trPr>
        <w:tc>
          <w:tcPr>
            <w:tcW w:w="760" w:type="dxa"/>
            <w:vAlign w:val="bottom"/>
            <w:tcBorders>
              <w:top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1</w:t>
            </w:r>
          </w:p>
        </w:tc>
        <w:tc>
          <w:tcPr>
            <w:tcW w:w="180" w:type="dxa"/>
            <w:vAlign w:val="bottom"/>
          </w:tcPr>
          <w:p>
            <w:pPr>
              <w:spacing w:after="0"/>
              <w:rPr>
                <w:sz w:val="13"/>
                <w:szCs w:val="13"/>
                <w:color w:val="auto"/>
              </w:rPr>
            </w:pPr>
          </w:p>
        </w:tc>
        <w:tc>
          <w:tcPr>
            <w:tcW w:w="2620" w:type="dxa"/>
            <w:vAlign w:val="bottom"/>
            <w:tcBorders>
              <w:top w:val="single" w:sz="8" w:color="auto"/>
            </w:tcBorders>
            <w:gridSpan w:val="10"/>
          </w:tcPr>
          <w:p>
            <w:pPr>
              <w:spacing w:after="0" w:line="155" w:lineRule="exact"/>
              <w:rPr>
                <w:sz w:val="20"/>
                <w:szCs w:val="20"/>
                <w:color w:val="auto"/>
              </w:rPr>
            </w:pPr>
            <w:r>
              <w:rPr>
                <w:rFonts w:ascii="Times New Roman" w:cs="Times New Roman" w:eastAsia="Times New Roman" w:hAnsi="Times New Roman"/>
                <w:sz w:val="16"/>
                <w:szCs w:val="16"/>
                <w:color w:val="0000EE"/>
              </w:rPr>
              <w:t>Certification of Principal Executive</w:t>
            </w:r>
          </w:p>
        </w:tc>
        <w:tc>
          <w:tcPr>
            <w:tcW w:w="1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Rules 13a-14(a) and</w:t>
            </w: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15d-14(a) under the Securities</w:t>
            </w:r>
          </w:p>
        </w:tc>
        <w:tc>
          <w:tcPr>
            <w:tcW w:w="82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Exchange Act of 1934, as Adopted</w:t>
            </w:r>
          </w:p>
        </w:tc>
        <w:tc>
          <w:tcPr>
            <w:tcW w:w="500" w:type="dxa"/>
            <w:vAlign w:val="bottom"/>
            <w:gridSpan w:val="6"/>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w:t>
            </w:r>
          </w:p>
        </w:tc>
        <w:tc>
          <w:tcPr>
            <w:tcW w:w="840" w:type="dxa"/>
            <w:vAlign w:val="bottom"/>
            <w:gridSpan w:val="9"/>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940" w:type="dxa"/>
            <w:vAlign w:val="bottom"/>
            <w:gridSpan w:val="10"/>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2</w:t>
            </w:r>
          </w:p>
        </w:tc>
        <w:tc>
          <w:tcPr>
            <w:tcW w:w="180" w:type="dxa"/>
            <w:vAlign w:val="bottom"/>
          </w:tcPr>
          <w:p>
            <w:pPr>
              <w:spacing w:after="0"/>
              <w:rPr>
                <w:sz w:val="15"/>
                <w:szCs w:val="15"/>
                <w:color w:val="auto"/>
              </w:rPr>
            </w:pPr>
          </w:p>
        </w:tc>
        <w:tc>
          <w:tcPr>
            <w:tcW w:w="28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Financial</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Rules 13a-14(a) and</w:t>
            </w: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15d-14(a) under the Securities</w:t>
            </w:r>
          </w:p>
        </w:tc>
        <w:tc>
          <w:tcPr>
            <w:tcW w:w="82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Exchange Act of 1934, as Adopted</w:t>
            </w:r>
          </w:p>
        </w:tc>
        <w:tc>
          <w:tcPr>
            <w:tcW w:w="500" w:type="dxa"/>
            <w:vAlign w:val="bottom"/>
            <w:gridSpan w:val="6"/>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w:t>
            </w:r>
          </w:p>
        </w:tc>
        <w:tc>
          <w:tcPr>
            <w:tcW w:w="840" w:type="dxa"/>
            <w:vAlign w:val="bottom"/>
            <w:gridSpan w:val="9"/>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940" w:type="dxa"/>
            <w:vAlign w:val="bottom"/>
            <w:gridSpan w:val="10"/>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1</w:t>
            </w:r>
          </w:p>
        </w:tc>
        <w:tc>
          <w:tcPr>
            <w:tcW w:w="180" w:type="dxa"/>
            <w:vAlign w:val="bottom"/>
          </w:tcPr>
          <w:p>
            <w:pPr>
              <w:spacing w:after="0"/>
              <w:rPr>
                <w:sz w:val="15"/>
                <w:szCs w:val="15"/>
                <w:color w:val="auto"/>
              </w:rPr>
            </w:pPr>
          </w:p>
        </w:tc>
        <w:tc>
          <w:tcPr>
            <w:tcW w:w="28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Executive</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18 U.S.C. Section</w:t>
            </w:r>
          </w:p>
        </w:tc>
        <w:tc>
          <w:tcPr>
            <w:tcW w:w="340" w:type="dxa"/>
            <w:vAlign w:val="bottom"/>
            <w:gridSpan w:val="4"/>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1350, as Adopted Pursuant to Section</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906 of the Sarbanes-Oxley Act of 2002</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3"/>
        </w:trPr>
        <w:tc>
          <w:tcPr>
            <w:tcW w:w="76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2</w:t>
            </w:r>
          </w:p>
        </w:tc>
        <w:tc>
          <w:tcPr>
            <w:tcW w:w="180" w:type="dxa"/>
            <w:vAlign w:val="bottom"/>
          </w:tcPr>
          <w:p>
            <w:pPr>
              <w:spacing w:after="0"/>
              <w:rPr>
                <w:sz w:val="15"/>
                <w:szCs w:val="15"/>
                <w:color w:val="auto"/>
              </w:rPr>
            </w:pPr>
          </w:p>
        </w:tc>
        <w:tc>
          <w:tcPr>
            <w:tcW w:w="2540" w:type="dxa"/>
            <w:vAlign w:val="bottom"/>
            <w:tcBorders>
              <w:top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Financial</w:t>
            </w:r>
          </w:p>
        </w:tc>
        <w:tc>
          <w:tcPr>
            <w:tcW w:w="26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18 U.S.C. Section</w:t>
            </w:r>
          </w:p>
        </w:tc>
        <w:tc>
          <w:tcPr>
            <w:tcW w:w="340" w:type="dxa"/>
            <w:vAlign w:val="bottom"/>
            <w:gridSpan w:val="4"/>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1350, as Adopted Pursuant to Section</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906 of the Sarbanes-Oxley Act of 2002</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9"/>
        </w:trPr>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5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26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Schema Document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Calculation Linkbase Document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Definition Linkbase Document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Label Linkbase Document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Presentation Linkbase Document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80" w:right="5919" w:hanging="930"/>
        <w:spacing w:after="0" w:line="276" w:lineRule="auto"/>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Vertex, Inc.</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3, 2025</w:t>
            </w:r>
          </w:p>
        </w:tc>
        <w:tc>
          <w:tcPr>
            <w:tcW w:w="5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David DeStefano</w:t>
            </w:r>
          </w:p>
        </w:tc>
      </w:tr>
      <w:tr>
        <w:trPr>
          <w:trHeight w:val="189"/>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David DeStefano</w:t>
            </w:r>
          </w:p>
        </w:tc>
      </w:tr>
      <w:tr>
        <w:trPr>
          <w:trHeight w:val="216"/>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Chairperson</w:t>
            </w:r>
          </w:p>
        </w:tc>
      </w:tr>
      <w:tr>
        <w:trPr>
          <w:trHeight w:val="236"/>
        </w:trPr>
        <w:tc>
          <w:tcPr>
            <w:tcW w:w="3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3, 2025</w:t>
            </w:r>
          </w:p>
        </w:tc>
        <w:tc>
          <w:tcPr>
            <w:tcW w:w="5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John Schwab</w:t>
            </w:r>
          </w:p>
        </w:tc>
      </w:tr>
      <w:tr>
        <w:trPr>
          <w:trHeight w:val="189"/>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John Schwab</w:t>
            </w:r>
          </w:p>
        </w:tc>
      </w:tr>
      <w:tr>
        <w:trPr>
          <w:trHeight w:val="236"/>
        </w:trPr>
        <w:tc>
          <w:tcPr>
            <w:tcW w:w="3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tc>
      </w:tr>
      <w:tr>
        <w:trPr>
          <w:trHeight w:val="878"/>
        </w:trPr>
        <w:tc>
          <w:tcPr>
            <w:tcW w:w="3080" w:type="dxa"/>
            <w:vAlign w:val="bottom"/>
          </w:tcPr>
          <w:p>
            <w:pPr>
              <w:spacing w:after="0"/>
              <w:rPr>
                <w:sz w:val="24"/>
                <w:szCs w:val="24"/>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420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2" w:name="page63"/>
    <w:bookmarkEnd w:id="62"/>
    <w:p>
      <w:pPr>
        <w:ind w:left="90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7"/>
          <w:szCs w:val="17"/>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David DeStefano</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7"/>
          <w:szCs w:val="17"/>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Schwab</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September 30, 2025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65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David DeStefano</w:t>
            </w:r>
          </w:p>
        </w:tc>
      </w:tr>
      <w:tr>
        <w:trPr>
          <w:trHeight w:val="178"/>
        </w:trPr>
        <w:tc>
          <w:tcPr>
            <w:tcW w:w="3360" w:type="dxa"/>
            <w:vAlign w:val="bottom"/>
          </w:tcPr>
          <w:p>
            <w:pPr>
              <w:spacing w:after="0"/>
              <w:rPr>
                <w:sz w:val="15"/>
                <w:szCs w:val="15"/>
                <w:color w:val="auto"/>
              </w:rPr>
            </w:pPr>
          </w:p>
        </w:tc>
        <w:tc>
          <w:tcPr>
            <w:tcW w:w="1920" w:type="dxa"/>
            <w:vAlign w:val="bottom"/>
          </w:tcPr>
          <w:p>
            <w:pPr>
              <w:ind w:left="1560"/>
              <w:spacing w:after="0" w:line="177" w:lineRule="exact"/>
              <w:rPr>
                <w:sz w:val="20"/>
                <w:szCs w:val="20"/>
                <w:color w:val="auto"/>
              </w:rPr>
            </w:pPr>
            <w:r>
              <w:rPr>
                <w:rFonts w:ascii="Times New Roman" w:cs="Times New Roman" w:eastAsia="Times New Roman" w:hAnsi="Times New Roman"/>
                <w:sz w:val="18"/>
                <w:szCs w:val="18"/>
                <w:color w:val="auto"/>
                <w:w w:val="77"/>
              </w:rPr>
              <w:t>David</w:t>
            </w:r>
          </w:p>
        </w:tc>
        <w:tc>
          <w:tcPr>
            <w:tcW w:w="464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DeStefano</w:t>
            </w:r>
          </w:p>
        </w:tc>
      </w:tr>
      <w:tr>
        <w:trPr>
          <w:trHeight w:val="214"/>
        </w:trPr>
        <w:tc>
          <w:tcPr>
            <w:tcW w:w="3360" w:type="dxa"/>
            <w:vAlign w:val="bottom"/>
          </w:tcPr>
          <w:p>
            <w:pPr>
              <w:spacing w:after="0"/>
              <w:rPr>
                <w:sz w:val="18"/>
                <w:szCs w:val="18"/>
                <w:color w:val="auto"/>
              </w:rPr>
            </w:pPr>
          </w:p>
        </w:tc>
        <w:tc>
          <w:tcPr>
            <w:tcW w:w="65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60" w:type="dxa"/>
            <w:vAlign w:val="bottom"/>
          </w:tcPr>
          <w:p>
            <w:pPr>
              <w:spacing w:after="0"/>
              <w:rPr>
                <w:sz w:val="20"/>
                <w:szCs w:val="20"/>
                <w:color w:val="auto"/>
              </w:rPr>
            </w:pPr>
          </w:p>
        </w:tc>
        <w:tc>
          <w:tcPr>
            <w:tcW w:w="6560" w:type="dxa"/>
            <w:vAlign w:val="bottom"/>
            <w:gridSpan w:val="2"/>
          </w:tcPr>
          <w:p>
            <w:pPr>
              <w:ind w:left="1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7"/>
        </w:trPr>
        <w:tc>
          <w:tcPr>
            <w:tcW w:w="3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September 30, 2025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John Schwab</w:t>
            </w:r>
          </w:p>
        </w:tc>
      </w:tr>
      <w:tr>
        <w:trPr>
          <w:trHeight w:val="178"/>
        </w:trPr>
        <w:tc>
          <w:tcPr>
            <w:tcW w:w="3380" w:type="dxa"/>
            <w:vAlign w:val="bottom"/>
          </w:tcPr>
          <w:p>
            <w:pPr>
              <w:spacing w:after="0"/>
              <w:rPr>
                <w:sz w:val="15"/>
                <w:szCs w:val="15"/>
                <w:color w:val="auto"/>
              </w:rPr>
            </w:pPr>
          </w:p>
        </w:tc>
        <w:tc>
          <w:tcPr>
            <w:tcW w:w="1900" w:type="dxa"/>
            <w:vAlign w:val="bottom"/>
          </w:tcPr>
          <w:p>
            <w:pPr>
              <w:ind w:left="1600"/>
              <w:spacing w:after="0" w:line="177" w:lineRule="exact"/>
              <w:rPr>
                <w:sz w:val="20"/>
                <w:szCs w:val="20"/>
                <w:color w:val="auto"/>
              </w:rPr>
            </w:pPr>
            <w:r>
              <w:rPr>
                <w:rFonts w:ascii="Times New Roman" w:cs="Times New Roman" w:eastAsia="Times New Roman" w:hAnsi="Times New Roman"/>
                <w:sz w:val="18"/>
                <w:szCs w:val="18"/>
                <w:color w:val="auto"/>
                <w:w w:val="82"/>
              </w:rPr>
              <w:t>John</w:t>
            </w:r>
          </w:p>
        </w:tc>
        <w:tc>
          <w:tcPr>
            <w:tcW w:w="464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Schwab</w:t>
            </w:r>
          </w:p>
        </w:tc>
      </w:tr>
      <w:tr>
        <w:trPr>
          <w:trHeight w:val="214"/>
        </w:trPr>
        <w:tc>
          <w:tcPr>
            <w:tcW w:w="3380" w:type="dxa"/>
            <w:vAlign w:val="bottom"/>
          </w:tcPr>
          <w:p>
            <w:pPr>
              <w:spacing w:after="0"/>
              <w:rPr>
                <w:sz w:val="18"/>
                <w:szCs w:val="18"/>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7"/>
        </w:trPr>
        <w:tc>
          <w:tcPr>
            <w:tcW w:w="3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lowerRoman"/>
      <w:start w:val="3"/>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4"/>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6"/>
    </w:lvl>
  </w:abstractNum>
  <w:abstractNum w:abstractNumId="12">
    <w:nsid w:val="628C895D"/>
    <w:multiLevelType w:val="hybridMultilevel"/>
    <w:lvl w:ilvl="0">
      <w:lvlJc w:val="left"/>
      <w:lvlText w:val="%1."/>
      <w:numFmt w:val="decimal"/>
      <w:start w:val="7"/>
    </w:lvl>
  </w:abstractNum>
  <w:abstractNum w:abstractNumId="13">
    <w:nsid w:val="333AB105"/>
    <w:multiLevelType w:val="hybridMultilevel"/>
    <w:lvl w:ilvl="0">
      <w:lvlJc w:val="left"/>
      <w:lvlText w:val="%1."/>
      <w:numFmt w:val="decimal"/>
      <w:start w:val="8"/>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1)"/>
      <w:numFmt w:val="lowerRoman"/>
      <w:start w:val="3"/>
    </w:lvl>
  </w:abstractNum>
  <w:abstractNum w:abstractNumId="16">
    <w:nsid w:val="2D1D5AE9"/>
    <w:multiLevelType w:val="hybridMultilevel"/>
    <w:lvl w:ilvl="0">
      <w:lvlJc w:val="left"/>
      <w:lvlText w:val="%1."/>
      <w:numFmt w:val="decimal"/>
      <w:start w:val="10"/>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lvl w:ilvl="1">
      <w:lvlJc w:val="left"/>
      <w:lvlText w:val="(%2)"/>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2025-11-03T15:46:04Z</dcterms:created>
  <dcterms:modified xsi:type="dcterms:W3CDTF">2025-11-03T15:46:04Z</dcterms:modified>
</cp:coreProperties>
</file>