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240"/>
        <w:ind w:left="0" w:right="0" w:hanging="0"/>
        <w:jc w:val="center"/>
        <w:rPr/>
      </w:pPr>
      <w:bookmarkStart w:id="0" w:name="verx-20260427xdefa14a.htm"/>
      <w:bookmarkStart w:id="1" w:name="ksverx20260427xdefa14a"/>
      <w:bookmarkEnd w:id="0"/>
      <w:bookmarkEnd w:id="1"/>
      <w:r>
        <w:rPr/>
        <w:t>​</w:t>
      </w:r>
    </w:p>
    <w:p>
      <w:pPr>
        <w:pStyle w:val="TextBody"/>
        <w:pBdr>
          <w:top w:val="single" w:sz="12" w:space="1" w:color="000000"/>
          <w:bottom w:val="single" w:sz="2" w:space="1" w:color="000000"/>
        </w:pBdr>
        <w:bidi w:val="0"/>
        <w:spacing w:lineRule="auto" w:line="285" w:before="0" w:after="240"/>
        <w:ind w:left="0" w:right="0" w:hanging="0"/>
        <w:jc w:val="center"/>
        <w:rPr/>
      </w:pPr>
      <w:r>
        <w:rPr/>
        <w:t>​</w:t>
      </w:r>
    </w:p>
    <w:p>
      <w:pPr>
        <w:pStyle w:val="TextBody"/>
        <w:bidi w:val="0"/>
        <w:spacing w:lineRule="auto" w:line="285" w:before="0" w:after="10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285" w:before="0" w:after="10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285" w:before="0" w:after="10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100"/>
        <w:ind w:left="0" w:right="0" w:hanging="0"/>
        <w:jc w:val="center"/>
        <w:rPr>
          <w:rFonts w:ascii="Times New Roman;Times;serif" w:hAnsi="Times New Roman;Times;serif"/>
          <w:b/>
          <w:sz w:val="28"/>
        </w:rPr>
      </w:pPr>
      <w:r>
        <w:rPr>
          <w:rFonts w:ascii="Times New Roman;Times;serif" w:hAnsi="Times New Roman;Times;serif"/>
          <w:b/>
          <w:sz w:val="28"/>
        </w:rPr>
        <w:t>SCHEDULE 14A</w:t>
      </w:r>
    </w:p>
    <w:p>
      <w:pPr>
        <w:pStyle w:val="TextBody"/>
        <w:bidi w:val="0"/>
        <w:spacing w:lineRule="auto" w:line="285" w:before="0" w:after="100"/>
        <w:ind w:left="0" w:right="0" w:hanging="0"/>
        <w:jc w:val="center"/>
        <w:rPr>
          <w:rFonts w:ascii="Times New Roman;Times;serif" w:hAnsi="Times New Roman;Times;serif"/>
          <w:b/>
          <w:sz w:val="20"/>
        </w:rPr>
      </w:pPr>
      <w:r>
        <w:rPr>
          <w:rFonts w:ascii="Times New Roman;Times;serif" w:hAnsi="Times New Roman;Times;serif"/>
          <w:b/>
          <w:sz w:val="20"/>
        </w:rPr>
        <w:t>(Rule 14a-101)</w:t>
      </w:r>
    </w:p>
    <w:p>
      <w:pPr>
        <w:pStyle w:val="TextBody"/>
        <w:bidi w:val="0"/>
        <w:spacing w:lineRule="auto" w:line="285" w:before="0" w:after="100"/>
        <w:ind w:left="0" w:right="0" w:hanging="0"/>
        <w:jc w:val="center"/>
        <w:rPr>
          <w:rFonts w:ascii="Times New Roman;Times;serif" w:hAnsi="Times New Roman;Times;serif"/>
          <w:b/>
          <w:sz w:val="20"/>
        </w:rPr>
      </w:pPr>
      <w:r>
        <w:rPr>
          <w:rFonts w:ascii="Times New Roman;Times;serif" w:hAnsi="Times New Roman;Times;serif"/>
          <w:b/>
          <w:sz w:val="20"/>
        </w:rPr>
        <w:t>INFORMATION REQUIRED IN PROXY STATEMENT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SCHEDULE 14A INFORMATION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Pursuant to Section 14(a) of</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w:t>
      </w:r>
    </w:p>
    <w:p>
      <w:pPr>
        <w:pStyle w:val="TextBody"/>
        <w:bidi w:val="0"/>
        <w:spacing w:lineRule="auto" w:line="285" w:before="0" w:after="240"/>
        <w:ind w:left="0" w:right="0" w:hanging="0"/>
        <w:jc w:val="both"/>
        <w:rPr/>
      </w:pPr>
      <w:r>
        <w:rPr/>
        <w:t>​</w:t>
      </w:r>
    </w:p>
    <w:tbl>
      <w:tblPr>
        <w:tblW w:w="8721" w:type="dxa"/>
        <w:jc w:val="center"/>
        <w:tblInd w:w="0" w:type="dxa"/>
        <w:tblLayout w:type="fixed"/>
        <w:tblCellMar>
          <w:top w:w="0" w:type="dxa"/>
          <w:left w:w="0" w:type="dxa"/>
          <w:bottom w:w="0" w:type="dxa"/>
          <w:right w:w="0" w:type="dxa"/>
        </w:tblCellMar>
      </w:tblPr>
      <w:tblGrid>
        <w:gridCol w:w="2061"/>
        <w:gridCol w:w="242"/>
        <w:gridCol w:w="183"/>
        <w:gridCol w:w="6235"/>
      </w:tblGrid>
      <w:tr>
        <w:trPr/>
        <w:tc>
          <w:tcPr>
            <w:tcW w:w="2303" w:type="dxa"/>
            <w:gridSpan w:val="2"/>
            <w:tcBorders/>
            <w:vAlign w:val="center"/>
          </w:tcPr>
          <w:p>
            <w:pPr>
              <w:pStyle w:val="TableContents"/>
              <w:bidi w:val="0"/>
              <w:spacing w:lineRule="auto" w:line="307" w:before="0" w:after="160"/>
              <w:ind w:left="0" w:right="0" w:hanging="0"/>
              <w:jc w:val="left"/>
              <w:rPr/>
            </w:pPr>
            <w:r>
              <w:rPr/>
              <w:t>​</w:t>
            </w:r>
          </w:p>
        </w:tc>
        <w:tc>
          <w:tcPr>
            <w:tcW w:w="183" w:type="dxa"/>
            <w:tcBorders/>
            <w:vAlign w:val="center"/>
          </w:tcPr>
          <w:p>
            <w:pPr>
              <w:pStyle w:val="TableContents"/>
              <w:bidi w:val="0"/>
              <w:spacing w:lineRule="auto" w:line="307" w:before="0" w:after="160"/>
              <w:ind w:left="0" w:right="0" w:hanging="0"/>
              <w:jc w:val="left"/>
              <w:rPr/>
            </w:pPr>
            <w:r>
              <w:rPr/>
              <w:t>​</w:t>
            </w:r>
          </w:p>
        </w:tc>
        <w:tc>
          <w:tcPr>
            <w:tcW w:w="6235" w:type="dxa"/>
            <w:tcBorders/>
            <w:vAlign w:val="center"/>
          </w:tcPr>
          <w:p>
            <w:pPr>
              <w:pStyle w:val="TableContents"/>
              <w:bidi w:val="0"/>
              <w:spacing w:lineRule="auto" w:line="307" w:before="0" w:after="160"/>
              <w:ind w:left="0" w:right="0" w:hanging="0"/>
              <w:jc w:val="left"/>
              <w:rPr/>
            </w:pPr>
            <w:r>
              <w:rPr/>
              <w:t>​</w:t>
            </w:r>
          </w:p>
        </w:tc>
      </w:tr>
      <w:tr>
        <w:trPr/>
        <w:tc>
          <w:tcPr>
            <w:tcW w:w="2303" w:type="dxa"/>
            <w:gridSpan w:val="2"/>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 xml:space="preserve">Filed by the Registrant </w:t>
            </w:r>
            <w:r>
              <w:rPr>
                <w:rFonts w:ascii="Helvetica;sans-serif" w:hAnsi="Helvetica;sans-serif"/>
                <w:sz w:val="20"/>
              </w:rPr>
              <w:t>☒</w:t>
            </w:r>
          </w:p>
        </w:tc>
        <w:tc>
          <w:tcPr>
            <w:tcW w:w="183" w:type="dxa"/>
            <w:tcBorders/>
            <w:vAlign w:val="center"/>
          </w:tcPr>
          <w:p>
            <w:pPr>
              <w:pStyle w:val="TableContents"/>
              <w:bidi w:val="0"/>
              <w:spacing w:lineRule="auto" w:line="285" w:before="0" w:after="240"/>
              <w:ind w:left="0" w:right="0" w:hanging="0"/>
              <w:jc w:val="left"/>
              <w:rPr/>
            </w:pPr>
            <w:r>
              <w:rPr/>
              <w:t>​</w:t>
            </w:r>
          </w:p>
        </w:tc>
        <w:tc>
          <w:tcPr>
            <w:tcW w:w="6235" w:type="dxa"/>
            <w:tcBorders/>
            <w:vAlign w:val="center"/>
          </w:tcPr>
          <w:p>
            <w:pPr>
              <w:pStyle w:val="TableContents"/>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 xml:space="preserve">Filed by a Party other than the Registrant </w:t>
            </w:r>
            <w:r>
              <w:rPr>
                <w:rFonts w:ascii="Helvetica;sans-serif" w:hAnsi="Helvetica;sans-serif"/>
                <w:sz w:val="20"/>
              </w:rPr>
              <w:t>☐</w:t>
            </w:r>
          </w:p>
        </w:tc>
      </w:tr>
      <w:tr>
        <w:trPr/>
        <w:tc>
          <w:tcPr>
            <w:tcW w:w="8721" w:type="dxa"/>
            <w:gridSpan w:val="4"/>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2061" w:type="dxa"/>
            <w:tcBorders/>
            <w:vAlign w:val="center"/>
          </w:tcPr>
          <w:p>
            <w:pPr>
              <w:pStyle w:val="TableContents"/>
              <w:bidi w:val="0"/>
              <w:spacing w:lineRule="auto" w:line="285" w:before="0" w:after="0"/>
              <w:ind w:left="0" w:right="0" w:hanging="0"/>
              <w:jc w:val="left"/>
              <w:rPr/>
            </w:pPr>
            <w:r>
              <w:rPr/>
              <w:t>☐</w:t>
            </w:r>
          </w:p>
        </w:tc>
        <w:tc>
          <w:tcPr>
            <w:tcW w:w="6660"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061" w:type="dxa"/>
            <w:tcBorders/>
            <w:vAlign w:val="center"/>
          </w:tcPr>
          <w:p>
            <w:pPr>
              <w:pStyle w:val="TableContents"/>
              <w:bidi w:val="0"/>
              <w:spacing w:lineRule="auto" w:line="285" w:before="0" w:after="0"/>
              <w:ind w:left="0" w:right="0" w:hanging="0"/>
              <w:jc w:val="left"/>
              <w:rPr/>
            </w:pPr>
            <w:r>
              <w:rPr/>
              <w:t>☐</w:t>
            </w:r>
          </w:p>
        </w:tc>
        <w:tc>
          <w:tcPr>
            <w:tcW w:w="6660"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2061" w:type="dxa"/>
            <w:tcBorders/>
            <w:vAlign w:val="center"/>
          </w:tcPr>
          <w:p>
            <w:pPr>
              <w:pStyle w:val="TableContents"/>
              <w:bidi w:val="0"/>
              <w:spacing w:lineRule="auto" w:line="285" w:before="0" w:after="0"/>
              <w:ind w:left="0" w:right="0" w:hanging="0"/>
              <w:jc w:val="left"/>
              <w:rPr/>
            </w:pPr>
            <w:r>
              <w:rPr/>
              <w:t>☐</w:t>
            </w:r>
          </w:p>
        </w:tc>
        <w:tc>
          <w:tcPr>
            <w:tcW w:w="6660"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061" w:type="dxa"/>
            <w:tcBorders/>
            <w:vAlign w:val="center"/>
          </w:tcPr>
          <w:p>
            <w:pPr>
              <w:pStyle w:val="TableContents"/>
              <w:bidi w:val="0"/>
              <w:spacing w:lineRule="auto" w:line="285" w:before="0" w:after="0"/>
              <w:ind w:left="0" w:right="0" w:hanging="0"/>
              <w:jc w:val="left"/>
              <w:rPr/>
            </w:pPr>
            <w:r>
              <w:rPr/>
              <w:t>☒</w:t>
            </w:r>
          </w:p>
        </w:tc>
        <w:tc>
          <w:tcPr>
            <w:tcW w:w="6660"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061" w:type="dxa"/>
            <w:tcBorders/>
            <w:vAlign w:val="center"/>
          </w:tcPr>
          <w:p>
            <w:pPr>
              <w:pStyle w:val="TableContents"/>
              <w:bidi w:val="0"/>
              <w:spacing w:lineRule="auto" w:line="285" w:before="0" w:after="0"/>
              <w:ind w:left="0" w:right="0" w:hanging="0"/>
              <w:jc w:val="left"/>
              <w:rPr/>
            </w:pPr>
            <w:r>
              <w:rPr/>
              <w:t>☐</w:t>
            </w:r>
          </w:p>
        </w:tc>
        <w:tc>
          <w:tcPr>
            <w:tcW w:w="6660" w:type="dxa"/>
            <w:gridSpan w:val="3"/>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lineRule="auto" w:line="307" w:before="0" w:after="16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2129"/>
        <w:gridCol w:w="361"/>
        <w:gridCol w:w="1743"/>
        <w:gridCol w:w="1743"/>
        <w:gridCol w:w="1743"/>
        <w:gridCol w:w="2486"/>
      </w:tblGrid>
      <w:tr>
        <w:trPr/>
        <w:tc>
          <w:tcPr>
            <w:tcW w:w="2490" w:type="dxa"/>
            <w:gridSpan w:val="2"/>
            <w:tcBorders/>
            <w:vAlign w:val="center"/>
          </w:tcPr>
          <w:p>
            <w:pPr>
              <w:pStyle w:val="TableContents"/>
              <w:bidi w:val="0"/>
              <w:spacing w:lineRule="auto" w:line="307" w:before="0" w:after="160"/>
              <w:ind w:left="0" w:right="0" w:hanging="0"/>
              <w:jc w:val="left"/>
              <w:rPr/>
            </w:pPr>
            <w:r>
              <w:rPr/>
              <w:t>​</w:t>
            </w:r>
          </w:p>
        </w:tc>
        <w:tc>
          <w:tcPr>
            <w:tcW w:w="1743" w:type="dxa"/>
            <w:tcBorders/>
            <w:vAlign w:val="center"/>
          </w:tcPr>
          <w:p>
            <w:pPr>
              <w:pStyle w:val="TableContents"/>
              <w:bidi w:val="0"/>
              <w:spacing w:lineRule="auto" w:line="307" w:before="0" w:after="160"/>
              <w:ind w:left="0" w:right="0" w:hanging="0"/>
              <w:jc w:val="left"/>
              <w:rPr/>
            </w:pPr>
            <w:r>
              <w:rPr/>
              <w:t>​</w:t>
            </w:r>
          </w:p>
        </w:tc>
        <w:tc>
          <w:tcPr>
            <w:tcW w:w="1743" w:type="dxa"/>
            <w:tcBorders/>
            <w:vAlign w:val="center"/>
          </w:tcPr>
          <w:p>
            <w:pPr>
              <w:pStyle w:val="TableContents"/>
              <w:bidi w:val="0"/>
              <w:spacing w:lineRule="auto" w:line="307" w:before="0" w:after="160"/>
              <w:ind w:left="0" w:right="0" w:hanging="0"/>
              <w:jc w:val="left"/>
              <w:rPr/>
            </w:pPr>
            <w:r>
              <w:rPr/>
              <w:t>​</w:t>
            </w:r>
          </w:p>
        </w:tc>
        <w:tc>
          <w:tcPr>
            <w:tcW w:w="1743" w:type="dxa"/>
            <w:tcBorders/>
            <w:vAlign w:val="center"/>
          </w:tcPr>
          <w:p>
            <w:pPr>
              <w:pStyle w:val="TableContents"/>
              <w:bidi w:val="0"/>
              <w:spacing w:lineRule="auto" w:line="307" w:before="0" w:after="160"/>
              <w:ind w:left="0" w:right="0" w:hanging="0"/>
              <w:jc w:val="left"/>
              <w:rPr/>
            </w:pPr>
            <w:r>
              <w:rPr/>
              <w:t>​</w:t>
            </w:r>
          </w:p>
        </w:tc>
        <w:tc>
          <w:tcPr>
            <w:tcW w:w="2486" w:type="dxa"/>
            <w:tcBorders/>
            <w:vAlign w:val="center"/>
          </w:tcPr>
          <w:p>
            <w:pPr>
              <w:pStyle w:val="TableContents"/>
              <w:bidi w:val="0"/>
              <w:spacing w:lineRule="auto" w:line="307" w:before="0" w:after="160"/>
              <w:ind w:left="0" w:right="0" w:hanging="0"/>
              <w:jc w:val="left"/>
              <w:rPr/>
            </w:pPr>
            <w:r>
              <w:rPr/>
              <w:t>​</w:t>
            </w:r>
          </w:p>
        </w:tc>
      </w:tr>
      <w:tr>
        <w:trPr/>
        <w:tc>
          <w:tcPr>
            <w:tcW w:w="10205" w:type="dxa"/>
            <w:gridSpan w:val="6"/>
            <w:tcBorders/>
            <w:vAlign w:val="center"/>
          </w:tcPr>
          <w:p>
            <w:pPr>
              <w:pStyle w:val="TableContents"/>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VERTEX, INC.</w:t>
            </w:r>
          </w:p>
        </w:tc>
      </w:tr>
      <w:tr>
        <w:trPr/>
        <w:tc>
          <w:tcPr>
            <w:tcW w:w="10205" w:type="dxa"/>
            <w:gridSpan w:val="6"/>
            <w:tcBorders>
              <w:bottom w:val="single" w:sz="12" w:space="0" w:color="000000"/>
            </w:tcBorders>
            <w:tcMar>
              <w:bottom w:w="28" w:type="dxa"/>
            </w:tcMar>
            <w:vAlign w:val="center"/>
          </w:tcPr>
          <w:p>
            <w:pPr>
              <w:pStyle w:val="TableContents"/>
              <w:bidi w:val="0"/>
              <w:spacing w:lineRule="auto" w:line="307" w:before="0" w:after="160"/>
              <w:ind w:left="0" w:right="0" w:hanging="0"/>
              <w:jc w:val="center"/>
              <w:rPr>
                <w:rFonts w:ascii="Times New Roman;Times;serif" w:hAnsi="Times New Roman;Times;serif"/>
                <w:b/>
                <w:sz w:val="16"/>
              </w:rPr>
            </w:pPr>
            <w:r>
              <w:rPr>
                <w:rFonts w:ascii="Times New Roman;Times;serif" w:hAnsi="Times New Roman;Times;serif"/>
                <w:b/>
                <w:sz w:val="16"/>
              </w:rPr>
              <w:t>(Name of Registrant as Specified in its Charter)</w:t>
            </w:r>
          </w:p>
        </w:tc>
      </w:tr>
      <w:tr>
        <w:trPr/>
        <w:tc>
          <w:tcPr>
            <w:tcW w:w="10205" w:type="dxa"/>
            <w:gridSpan w:val="6"/>
            <w:tcBorders>
              <w:top w:val="single" w:sz="12" w:space="0" w:color="000000"/>
            </w:tcBorders>
            <w:tcMar>
              <w:top w:w="28" w:type="dxa"/>
            </w:tcMar>
            <w:vAlign w:val="center"/>
          </w:tcPr>
          <w:p>
            <w:pPr>
              <w:pStyle w:val="TableContents"/>
              <w:bidi w:val="0"/>
              <w:spacing w:lineRule="auto" w:line="285" w:before="0" w:after="240"/>
              <w:ind w:left="0" w:right="0" w:hanging="0"/>
              <w:jc w:val="center"/>
              <w:rPr/>
            </w:pPr>
            <w:r>
              <w:rPr/>
              <w:t>​</w:t>
            </w:r>
          </w:p>
          <w:p>
            <w:pPr>
              <w:pStyle w:val="TableContents"/>
              <w:bidi w:val="0"/>
              <w:spacing w:lineRule="auto" w:line="307" w:before="0" w:after="160"/>
              <w:ind w:left="0" w:right="0" w:hanging="0"/>
              <w:jc w:val="center"/>
              <w:rPr>
                <w:rFonts w:ascii="Times New Roman;Times;serif" w:hAnsi="Times New Roman;Times;serif"/>
                <w:b/>
                <w:sz w:val="16"/>
              </w:rPr>
            </w:pPr>
            <w:r>
              <w:rPr>
                <w:rFonts w:ascii="Times New Roman;Times;serif" w:hAnsi="Times New Roman;Times;serif"/>
                <w:b/>
                <w:sz w:val="16"/>
              </w:rPr>
              <w:t>(Name of Person(s) Filing Proxy Statement, if Other Than the Registrant)</w:t>
            </w:r>
          </w:p>
        </w:tc>
      </w:tr>
      <w:tr>
        <w:trPr/>
        <w:tc>
          <w:tcPr>
            <w:tcW w:w="10205" w:type="dxa"/>
            <w:gridSpan w:val="6"/>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2129" w:type="dxa"/>
            <w:tcBorders/>
            <w:vAlign w:val="center"/>
          </w:tcPr>
          <w:p>
            <w:pPr>
              <w:pStyle w:val="TableContents"/>
              <w:bidi w:val="0"/>
              <w:spacing w:lineRule="auto" w:line="285" w:before="0" w:after="0"/>
              <w:ind w:left="0" w:right="0" w:hanging="0"/>
              <w:jc w:val="left"/>
              <w:rPr/>
            </w:pPr>
            <w:r>
              <w:rPr/>
              <w:t>☒</w:t>
            </w:r>
          </w:p>
        </w:tc>
        <w:tc>
          <w:tcPr>
            <w:tcW w:w="8076" w:type="dxa"/>
            <w:gridSpan w:val="5"/>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2129" w:type="dxa"/>
            <w:tcBorders/>
            <w:vAlign w:val="center"/>
          </w:tcPr>
          <w:p>
            <w:pPr>
              <w:pStyle w:val="TableContents"/>
              <w:bidi w:val="0"/>
              <w:spacing w:lineRule="auto" w:line="285" w:before="0" w:after="0"/>
              <w:ind w:left="0" w:right="0" w:hanging="0"/>
              <w:jc w:val="left"/>
              <w:rPr/>
            </w:pPr>
            <w:r>
              <w:rPr/>
              <w:t>☐</w:t>
            </w:r>
          </w:p>
        </w:tc>
        <w:tc>
          <w:tcPr>
            <w:tcW w:w="8076" w:type="dxa"/>
            <w:gridSpan w:val="5"/>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129" w:type="dxa"/>
            <w:tcBorders/>
            <w:vAlign w:val="center"/>
          </w:tcPr>
          <w:p>
            <w:pPr>
              <w:pStyle w:val="TableContents"/>
              <w:bidi w:val="0"/>
              <w:spacing w:lineRule="auto" w:line="285" w:before="0" w:after="0"/>
              <w:ind w:left="0" w:right="0" w:hanging="0"/>
              <w:jc w:val="left"/>
              <w:rPr/>
            </w:pPr>
            <w:r>
              <w:rPr/>
              <w:t>☐</w:t>
            </w:r>
          </w:p>
        </w:tc>
        <w:tc>
          <w:tcPr>
            <w:tcW w:w="8076" w:type="dxa"/>
            <w:gridSpan w:val="5"/>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VERTEX, INC. ANNUAL MEETING OF STOCKHOLDERS June 10, 2026 9:00 a.m. EDT Virtual Meeting Important Notice Regarding the Availability of Proxy Materials for the Stockholder Meeting to be Held on June 10, 2026 In order to attend the Annual Meeting, you must register at www.proxydocs.com/verx .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 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are available at www.proxydocs.com/verx If you want to receive a paper copy or an email with links to the electronic materials, you must request one. There is no charge to you for requesting a copy. Please make your request for a copy as instructed on the reverse side of this notice on or before May 29, 2026 to facilitate timely delivery. Matters intended to be acted upon at the meeting are listed below. The Board of Directors recommends that you vote FOR the following proposals: 1. Election of Directors: 01 Eric Andersen 02 David DeStefano 03 Christopher Young 2. The ratification of the appointment of Crowe LLP as our independent registered public accounting firm for the fiscal year ending December 31, 2026. THIS IS NOT A FORM FOR VOTING You may immediately vote your proxy on the Internet at: www.proxypush.com/verx • Use the Internet to vote your proxy 24 hours a day, 7 days a week. • Please have this Notice available. Follow the instructions to vote your proxy. Your Internet vote authorizes the Named Proxies to vote your shares in the same manner as if you marked, signed and returned your proxy card. Shareowner Services P.O. Box 64945 St. Paul, MN 55164-0945 </w:t>
            </w:r>
          </w:p>
        </w:tc>
      </w:tr>
    </w:tbl>
    <w:tbl>
      <w:tblPr>
        <w:tblW w:w="13063" w:type="dxa"/>
        <w:jc w:val="center"/>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To request paper copies of the proxy materials, which include the proxy card, proxy statement and annual report, please contact us via: : Internet/Mobile – Access the Internet and go to www.investorelections.com/verx . Follow the instructions to log in, and order copies. ( Telephone – Call us free of charge at 866-870-3684 in the U.S. or Canada, using a touch-tone phone, and follow the instructions to log in and order copies. * Email – Send us an email at paper@investorelections.com with “VERX Materials Request” in the subject line. The email must include: • The 11-digit control # located in the box in the upper right hand corner on the front of this notice. • Your preference to receive printed materials via mail -or- to receive an email with links to the electronic materials. • If you choose email delivery you must include the email address. • If you would like this election to apply to delivery of material for all future meetings, write the word “Permanent” and include the last 4 digits of your Tax ID number in the email. Important Information about the Notice of Proxy Materials This Notice Regarding the Online Availability of Proxy Materials (Notice) is provided to stockholders in place of the printed materials for the upcoming Stockholder Meeting. Information about the Notice: In 2007, the Securities and Exchange Commission adopted a voluntary rule permitting Internet-based delivery of proxy materials. Companies can now send Notices, rather than printed proxy materials to stockholders. This may help lower mailing, printing and storage costs for the company, while minimizing environmental impact. This Notice contains specific information regarding the meeting, proposals and the internet site where the proxy materials may be found. To view the proxy materials online: Please refer to the instructions in this Notice on how to access and view the proxy materials online, including the proxy card, annual report and proxy statement. To receive paper copies of the proxy materials: Please refer to the instructions in this Notice on how to request hard copies of proxy materials via phone, email or Internet.</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883</Words>
  <Characters>4556</Characters>
  <CharactersWithSpaces>5424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