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80" w:right="1620" w:hanging="3872"/>
        <w:spacing w:after="0" w:line="490"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-518160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tbl>
      <w:tblPr>
        <w:tblLayout w:type="fixed"/>
        <w:tblInd w:w="48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920" w:type="dxa"/>
            <w:vAlign w:val="bottom"/>
            <w:gridSpan w:val="2"/>
          </w:tcPr>
          <w:p>
            <w:pPr>
              <w:jc w:val="center"/>
              <w:ind w:right="3030"/>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to</w:t>
            </w:r>
          </w:p>
        </w:tc>
      </w:tr>
      <w:tr>
        <w:trPr>
          <w:trHeight w:val="432"/>
        </w:trPr>
        <w:tc>
          <w:tcPr>
            <w:tcW w:w="3020" w:type="dxa"/>
            <w:vAlign w:val="bottom"/>
          </w:tcPr>
          <w:p>
            <w:pPr>
              <w:spacing w:after="0"/>
              <w:rPr>
                <w:sz w:val="24"/>
                <w:szCs w:val="24"/>
                <w:color w:val="auto"/>
              </w:rPr>
            </w:pPr>
          </w:p>
        </w:tc>
        <w:tc>
          <w:tcPr>
            <w:tcW w:w="6640" w:type="dxa"/>
            <w:vAlign w:val="bottom"/>
            <w:gridSpan w:val="3"/>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Commission File Number: 333-239644</w:t>
            </w:r>
          </w:p>
        </w:tc>
      </w:tr>
      <w:tr>
        <w:trPr>
          <w:trHeight w:val="216"/>
        </w:trPr>
        <w:tc>
          <w:tcPr>
            <w:tcW w:w="3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120" w:type="dxa"/>
            <w:vAlign w:val="bottom"/>
          </w:tcPr>
          <w:p>
            <w:pPr>
              <w:spacing w:after="0"/>
              <w:rPr>
                <w:sz w:val="18"/>
                <w:szCs w:val="18"/>
                <w:color w:val="auto"/>
              </w:rPr>
            </w:pPr>
          </w:p>
        </w:tc>
      </w:tr>
      <w:tr>
        <w:trPr>
          <w:trHeight w:val="700"/>
        </w:trPr>
        <w:tc>
          <w:tcPr>
            <w:tcW w:w="3020" w:type="dxa"/>
            <w:vAlign w:val="bottom"/>
          </w:tcPr>
          <w:p>
            <w:pPr>
              <w:spacing w:after="0"/>
              <w:rPr>
                <w:sz w:val="24"/>
                <w:szCs w:val="24"/>
                <w:color w:val="auto"/>
              </w:rPr>
            </w:pPr>
          </w:p>
        </w:tc>
        <w:tc>
          <w:tcPr>
            <w:tcW w:w="6640" w:type="dxa"/>
            <w:vAlign w:val="bottom"/>
            <w:gridSpan w:val="3"/>
          </w:tcPr>
          <w:p>
            <w:pPr>
              <w:jc w:val="center"/>
              <w:ind w:right="2290"/>
              <w:spacing w:after="0"/>
              <w:rPr>
                <w:sz w:val="20"/>
                <w:szCs w:val="20"/>
                <w:color w:val="auto"/>
              </w:rPr>
            </w:pPr>
            <w:r>
              <w:rPr>
                <w:rFonts w:ascii="Times New Roman" w:cs="Times New Roman" w:eastAsia="Times New Roman" w:hAnsi="Times New Roman"/>
                <w:sz w:val="43"/>
                <w:szCs w:val="43"/>
                <w:b w:val="1"/>
                <w:bCs w:val="1"/>
                <w:color w:val="auto"/>
                <w:w w:val="99"/>
              </w:rPr>
              <w:t>VERTEX, INC.</w:t>
            </w:r>
          </w:p>
        </w:tc>
      </w:tr>
      <w:tr>
        <w:trPr>
          <w:trHeight w:val="238"/>
        </w:trPr>
        <w:tc>
          <w:tcPr>
            <w:tcW w:w="3020" w:type="dxa"/>
            <w:vAlign w:val="bottom"/>
          </w:tcPr>
          <w:p>
            <w:pPr>
              <w:spacing w:after="0"/>
              <w:rPr>
                <w:sz w:val="20"/>
                <w:szCs w:val="20"/>
                <w:color w:val="auto"/>
              </w:rPr>
            </w:pPr>
          </w:p>
        </w:tc>
        <w:tc>
          <w:tcPr>
            <w:tcW w:w="6640" w:type="dxa"/>
            <w:vAlign w:val="bottom"/>
            <w:gridSpan w:val="3"/>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16"/>
        </w:trPr>
        <w:tc>
          <w:tcPr>
            <w:tcW w:w="3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3120" w:type="dxa"/>
            <w:vAlign w:val="bottom"/>
          </w:tcPr>
          <w:p>
            <w:pPr>
              <w:spacing w:after="0"/>
              <w:rPr>
                <w:sz w:val="18"/>
                <w:szCs w:val="18"/>
                <w:color w:val="auto"/>
              </w:rPr>
            </w:pPr>
          </w:p>
        </w:tc>
      </w:tr>
      <w:tr>
        <w:trPr>
          <w:trHeight w:val="417"/>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6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23-2081753</w:t>
            </w:r>
          </w:p>
        </w:tc>
      </w:tr>
      <w:tr>
        <w:trPr>
          <w:trHeight w:val="216"/>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1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2301 Renaissance Blvd</w:t>
            </w: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6"/>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King of Prussia, Pennsylvania</w:t>
            </w:r>
          </w:p>
        </w:tc>
        <w:tc>
          <w:tcPr>
            <w:tcW w:w="66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19406</w:t>
            </w:r>
          </w:p>
        </w:tc>
      </w:tr>
      <w:tr>
        <w:trPr>
          <w:trHeight w:val="238"/>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1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355-3500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340" w:type="dxa"/>
            <w:vAlign w:val="bottom"/>
          </w:tcPr>
          <w:p>
            <w:pPr>
              <w:spacing w:after="0"/>
              <w:rPr>
                <w:sz w:val="18"/>
                <w:szCs w:val="18"/>
                <w:color w:val="auto"/>
              </w:rPr>
            </w:pPr>
          </w:p>
        </w:tc>
        <w:tc>
          <w:tcPr>
            <w:tcW w:w="350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48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$0.001 Per Share</w:t>
            </w:r>
          </w:p>
        </w:tc>
        <w:tc>
          <w:tcPr>
            <w:tcW w:w="224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VERX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firstLine="47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47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47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80"/>
        <w:spacing w:after="0" w:line="207" w:lineRule="exact"/>
        <w:tabs>
          <w:tab w:leader="none" w:pos="8800" w:val="left"/>
          <w:tab w:leader="none" w:pos="95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firstLine="471"/>
        <w:spacing w:after="0" w:line="282" w:lineRule="auto"/>
        <w:rPr>
          <w:sz w:val="20"/>
          <w:szCs w:val="20"/>
          <w:color w:val="auto"/>
        </w:rPr>
      </w:pPr>
      <w:r>
        <w:rPr>
          <w:rFonts w:ascii="Times New Roman" w:cs="Times New Roman" w:eastAsia="Times New Roman" w:hAnsi="Times New Roman"/>
          <w:sz w:val="18"/>
          <w:szCs w:val="18"/>
          <w:color w:val="auto"/>
        </w:rPr>
        <w:t>As of August 31, 2020, the registrant had 26,359,623 shares of Class A common stock, $0.001 par value per share, and 120,417,000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694"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67"/>
        </w:trPr>
        <w:tc>
          <w:tcPr>
            <w:tcW w:w="136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808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360" w:type="dxa"/>
            <w:vAlign w:val="bottom"/>
            <w:shd w:val="clear" w:color="auto" w:fill="CCEEFF"/>
          </w:tcPr>
          <w:p>
            <w:pPr>
              <w:spacing w:after="0"/>
              <w:rPr>
                <w:sz w:val="18"/>
                <w:szCs w:val="18"/>
                <w:color w:val="auto"/>
              </w:rPr>
            </w:pPr>
          </w:p>
        </w:tc>
        <w:tc>
          <w:tcPr>
            <w:tcW w:w="9320" w:type="dxa"/>
            <w:vAlign w:val="bottom"/>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Part I - Financial Information</w:t>
              </w:r>
            </w:hyperlink>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3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Item 1.</w:t>
              </w:r>
            </w:hyperlink>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Financial Statements</w:t>
              </w:r>
            </w:hyperlink>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Balance Sheets as of December 31, 2019 and June 30, 2020 (unaudited)</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2</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932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(Loss) for the Three and Six Months Ended June 30, 2019 and</w:t>
              </w:r>
            </w:hyperlink>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320" w:type="dxa"/>
            <w:vAlign w:val="bottom"/>
            <w:gridSpan w:val="2"/>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2020 (unaudited)</w:t>
              </w:r>
            </w:hyperlink>
          </w:p>
        </w:tc>
        <w:tc>
          <w:tcPr>
            <w:tcW w:w="580" w:type="dxa"/>
            <w:vAlign w:val="bottom"/>
            <w:gridSpan w:val="2"/>
          </w:tcPr>
          <w:p>
            <w:pPr>
              <w:jc w:val="right"/>
              <w:ind w:right="20"/>
              <w:spacing w:after="0" w:line="196" w:lineRule="exact"/>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3</w:t>
              </w:r>
            </w:hyperlink>
          </w:p>
        </w:tc>
        <w:tc>
          <w:tcPr>
            <w:tcW w:w="0" w:type="dxa"/>
            <w:vAlign w:val="bottom"/>
          </w:tcPr>
          <w:p>
            <w:pPr>
              <w:spacing w:after="0"/>
              <w:rPr>
                <w:sz w:val="1"/>
                <w:szCs w:val="1"/>
                <w:color w:val="auto"/>
              </w:rPr>
            </w:pPr>
          </w:p>
        </w:tc>
      </w:tr>
      <w:tr>
        <w:trPr>
          <w:trHeight w:val="88"/>
        </w:trPr>
        <w:tc>
          <w:tcPr>
            <w:tcW w:w="1360" w:type="dxa"/>
            <w:vAlign w:val="bottom"/>
          </w:tcPr>
          <w:p>
            <w:pPr>
              <w:spacing w:after="0"/>
              <w:rPr>
                <w:sz w:val="7"/>
                <w:szCs w:val="7"/>
                <w:color w:val="auto"/>
              </w:rPr>
            </w:pPr>
          </w:p>
        </w:tc>
        <w:tc>
          <w:tcPr>
            <w:tcW w:w="1240" w:type="dxa"/>
            <w:vAlign w:val="bottom"/>
            <w:tcBorders>
              <w:top w:val="single" w:sz="8" w:color="0000EE"/>
            </w:tcBorders>
          </w:tcPr>
          <w:p>
            <w:pPr>
              <w:spacing w:after="0"/>
              <w:rPr>
                <w:sz w:val="7"/>
                <w:szCs w:val="7"/>
                <w:color w:val="auto"/>
              </w:rPr>
            </w:pPr>
          </w:p>
        </w:tc>
        <w:tc>
          <w:tcPr>
            <w:tcW w:w="8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Changes in Equity for the Six Months Ended June 30, 2019 and 2020 (unaudited)</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4</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Condensed Consolidated Statements of Cash Flows for the Six Months Ended June 30, 2019 and 2020 (unaudited)</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6</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2.</w:t>
              </w:r>
            </w:hyperlink>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30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Item 3.</w:t>
              </w:r>
            </w:hyperlink>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Quantitative and Qualitative Disclosures about Market Risk</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51</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Item 4.</w:t>
              </w:r>
            </w:hyperlink>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Controls and Procedures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52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Part II - Other Information</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54</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Item 1.</w:t>
              </w:r>
            </w:hyperlink>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Legal Proceedings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54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Risk Factors</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54</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Item 2.</w:t>
              </w:r>
            </w:hyperlink>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Unregistered Sales of Equity Securities and Use of Proceeds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70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Item 3.</w:t>
              </w:r>
            </w:hyperlink>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Defaults Upon Senior Securities</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70</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4.</w:t>
              </w:r>
            </w:hyperlink>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Mine Safety Disclosures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71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5.</w:t>
              </w:r>
            </w:hyperlink>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Other Information</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71</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Item 6.</w:t>
              </w:r>
            </w:hyperlink>
          </w:p>
        </w:tc>
        <w:tc>
          <w:tcPr>
            <w:tcW w:w="9320" w:type="dxa"/>
            <w:vAlign w:val="bottom"/>
            <w:gridSpan w:val="2"/>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Exhibits</w:t>
              </w:r>
            </w:hyperlink>
          </w:p>
        </w:tc>
        <w:tc>
          <w:tcPr>
            <w:tcW w:w="560" w:type="dxa"/>
            <w:vAlign w:val="bottom"/>
          </w:tcPr>
          <w:p>
            <w:pPr>
              <w:jc w:val="right"/>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71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6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Signatures</w:t>
              </w:r>
            </w:hyperlink>
          </w:p>
        </w:tc>
        <w:tc>
          <w:tcPr>
            <w:tcW w:w="56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73</w:t>
              </w:r>
            </w:hyperlink>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1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212529"/>
        </w:rPr>
        <w:t>Cautionary Note Regarding Forward-Looking Statements</w:t>
      </w:r>
    </w:p>
    <w:p>
      <w:pPr>
        <w:spacing w:after="0" w:line="229" w:lineRule="exact"/>
        <w:rPr>
          <w:sz w:val="20"/>
          <w:szCs w:val="20"/>
          <w:color w:val="auto"/>
        </w:rPr>
      </w:pPr>
    </w:p>
    <w:p>
      <w:pPr>
        <w:jc w:val="both"/>
        <w:ind w:firstLine="235"/>
        <w:spacing w:after="0" w:line="252" w:lineRule="auto"/>
        <w:rPr>
          <w:sz w:val="20"/>
          <w:szCs w:val="20"/>
          <w:color w:val="auto"/>
        </w:rPr>
      </w:pPr>
      <w:r>
        <w:rPr>
          <w:rFonts w:ascii="Times New Roman" w:cs="Times New Roman" w:eastAsia="Times New Roman" w:hAnsi="Times New Roman"/>
          <w:sz w:val="18"/>
          <w:szCs w:val="18"/>
          <w:color w:val="212529"/>
        </w:rPr>
        <w:t>This Quarterly Report on Form 10-Q contains forward-looking statements within the meaning of Section 27A of the Securities Act of 1933, as amended, (the “Securities Act”), and Section 21E of the Securities Exchange Act of 1934, as amended, (the “Exchange Act”), that involve substantial risks and uncertainties.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 “believe,”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prospectus,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97" w:lineRule="exact"/>
        <w:rPr>
          <w:sz w:val="20"/>
          <w:szCs w:val="20"/>
          <w:color w:val="auto"/>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potential effects on our business of the current novel coronavirus (“COVID-19”) pandemic;</w:t>
      </w:r>
    </w:p>
    <w:p>
      <w:pPr>
        <w:spacing w:after="0" w:line="27"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attract new customers on a cost-effective basis and the extent to which existing customers renew and upgrade their subscriptions;</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sustain and expand revenues, maintain profitability, and to effectively manage our anticipated growth;</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timing of our introduction of new solutions or updates to existing solutions</w:t>
      </w:r>
    </w:p>
    <w:p>
      <w:pPr>
        <w:spacing w:after="0" w:line="9" w:lineRule="exact"/>
        <w:rPr>
          <w:rFonts w:ascii="Times New Roman" w:cs="Times New Roman" w:eastAsia="Times New Roman" w:hAnsi="Times New Roman"/>
          <w:sz w:val="18"/>
          <w:szCs w:val="18"/>
          <w:color w:val="212529"/>
        </w:rPr>
      </w:pPr>
    </w:p>
    <w:p>
      <w:pPr>
        <w:ind w:left="880" w:right="840" w:hanging="319"/>
        <w:spacing w:after="0" w:line="250" w:lineRule="auto"/>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successfully diversify our solutions by developing or introducing new solutions or acquiring and integrating additional businesses, products, services or content;</w:t>
      </w: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maintain and expand our strategic relationships with third parties;</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risks related to our expanding international operations;</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deliver our solutions to customers without disruption or delay;</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exposure to liability from errors, delays, fraud or system failures, which may not be covered by insurance;</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risks related to our determinations of customers’ transaction tax and tax payments;</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risks related to changes in tax laws and regulations or their interpretation or enforcement;</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manage cybersecurity and data privacy risks;</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risks related to failures in information technology, infrastructure and third party service providers;</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effectively protect, maintain and enhance our brand;</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global economic weakness and uncertainties, and disruption in the capital and credit markets;</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business disruptions related to natural disasters, epidemic outbreaks, terrorist acts, political events or other events outside of our control;</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our ability to comply with anti-corruption, anti-bribery and similar laws;</w:t>
      </w:r>
    </w:p>
    <w:p>
      <w:pPr>
        <w:spacing w:after="0" w:line="9" w:lineRule="exact"/>
        <w:rPr>
          <w:rFonts w:ascii="Times New Roman" w:cs="Times New Roman" w:eastAsia="Times New Roman" w:hAnsi="Times New Roman"/>
          <w:sz w:val="18"/>
          <w:szCs w:val="18"/>
          <w:color w:val="212529"/>
        </w:rPr>
      </w:pPr>
    </w:p>
    <w:p>
      <w:pPr>
        <w:ind w:left="880" w:right="660" w:hanging="319"/>
        <w:spacing w:after="0" w:line="250" w:lineRule="auto"/>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changes in interest rates, security ratings and market perceptions of the industry in which we operate, or our ability to obtain capital on commercially reasonable terms or at all;</w:t>
      </w: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any statements of belief and any statements of assumptions underlying any of the foregoing;</w:t>
      </w:r>
    </w:p>
    <w:p>
      <w:pPr>
        <w:spacing w:after="0" w:line="9" w:lineRule="exact"/>
        <w:rPr>
          <w:rFonts w:ascii="Times New Roman" w:cs="Times New Roman" w:eastAsia="Times New Roman" w:hAnsi="Times New Roman"/>
          <w:sz w:val="18"/>
          <w:szCs w:val="18"/>
          <w:color w:val="212529"/>
        </w:rPr>
      </w:pPr>
    </w:p>
    <w:p>
      <w:pPr>
        <w:ind w:left="880" w:hanging="319"/>
        <w:spacing w:after="0"/>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other factors beyond our control; and</w:t>
      </w:r>
    </w:p>
    <w:p>
      <w:pPr>
        <w:spacing w:after="0" w:line="9" w:lineRule="exact"/>
        <w:rPr>
          <w:rFonts w:ascii="Times New Roman" w:cs="Times New Roman" w:eastAsia="Times New Roman" w:hAnsi="Times New Roman"/>
          <w:sz w:val="18"/>
          <w:szCs w:val="18"/>
          <w:color w:val="212529"/>
        </w:rPr>
      </w:pPr>
    </w:p>
    <w:p>
      <w:pPr>
        <w:ind w:left="880" w:right="260" w:hanging="319"/>
        <w:spacing w:after="0" w:line="260" w:lineRule="auto"/>
        <w:tabs>
          <w:tab w:leader="none" w:pos="8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other factors discussed in other sections of this Quarterly Report on Form 10-Q, including the sections titled “Management’s Discussion and Analysis of Financial Conditions and Results of Operations” and under Part II,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235"/>
        <w:spacing w:after="0" w:line="255" w:lineRule="auto"/>
        <w:rPr>
          <w:sz w:val="20"/>
          <w:szCs w:val="20"/>
          <w:color w:val="auto"/>
        </w:rPr>
      </w:pPr>
      <w:r>
        <w:rPr>
          <w:rFonts w:ascii="Times New Roman" w:cs="Times New Roman" w:eastAsia="Times New Roman" w:hAnsi="Times New Roman"/>
          <w:sz w:val="18"/>
          <w:szCs w:val="18"/>
          <w:color w:val="212529"/>
        </w:rPr>
        <w:t>You should not place undue reliance on our forward-looking statements and you should not rely on forward-looking statements as predictions of future events. The results, events, and circumstances reflected in the forward- 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2019 and June 30, 2020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8"/>
                <w:szCs w:val="18"/>
                <w:color w:val="auto"/>
              </w:rPr>
            </w:pPr>
          </w:p>
        </w:tc>
        <w:tc>
          <w:tcPr>
            <w:tcW w:w="13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47,295</w:t>
            </w: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75,903</w:t>
            </w: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held for customers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$7,669 (unaudited), and $7,515, respectively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63,739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70,367</w:t>
            </w: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to stockholders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13,119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80" w:type="dxa"/>
            <w:vAlign w:val="bottom"/>
            <w:shd w:val="clear" w:color="auto" w:fill="CCEEFF"/>
          </w:tcPr>
          <w:p>
            <w:pPr>
              <w:spacing w:after="0"/>
              <w:rPr>
                <w:sz w:val="19"/>
                <w:szCs w:val="19"/>
                <w:color w:val="auto"/>
              </w:rPr>
            </w:pPr>
          </w:p>
        </w:tc>
      </w:tr>
      <w:tr>
        <w:trPr>
          <w:trHeight w:val="21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134,371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54,727</w:t>
            </w:r>
          </w:p>
        </w:tc>
        <w:tc>
          <w:tcPr>
            <w:tcW w:w="100" w:type="dxa"/>
            <w:vAlign w:val="bottom"/>
            <w:gridSpan w:val="2"/>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net of accumulated amortization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33,761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32,075</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80" w:type="dxa"/>
            <w:vAlign w:val="bottom"/>
          </w:tcPr>
          <w:p>
            <w:pPr>
              <w:spacing w:after="0"/>
              <w:rPr>
                <w:sz w:val="18"/>
                <w:szCs w:val="18"/>
                <w:color w:val="auto"/>
              </w:rPr>
            </w:pPr>
          </w:p>
        </w:tc>
      </w:tr>
      <w:tr>
        <w:trPr>
          <w:trHeight w:val="22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19"/>
                <w:szCs w:val="19"/>
                <w:color w:val="auto"/>
              </w:rPr>
            </w:pPr>
          </w:p>
        </w:tc>
      </w:tr>
      <w:tr>
        <w:trPr>
          <w:trHeight w:val="263"/>
        </w:trPr>
        <w:tc>
          <w:tcPr>
            <w:tcW w:w="814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264,623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50,804</w:t>
            </w: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10,729</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13,308</w:t>
            </w: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13,183</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funds obligations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15,195</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variable compensation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22,237</w:t>
            </w: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current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22,349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187,041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191,745</w:t>
            </w: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 and 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Future acquisition commitment, current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net of current portion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100" w:type="dxa"/>
            <w:vAlign w:val="bottom"/>
            <w:gridSpan w:val="2"/>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14,046</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173,361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Future acquisition commitment, net of current portion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other liabilities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8,865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w:t>
            </w:r>
          </w:p>
        </w:tc>
        <w:tc>
          <w:tcPr>
            <w:tcW w:w="80" w:type="dxa"/>
            <w:vAlign w:val="bottom"/>
            <w:shd w:val="clear" w:color="auto" w:fill="CCEEFF"/>
          </w:tcPr>
          <w:p>
            <w:pPr>
              <w:spacing w:after="0"/>
              <w:rPr>
                <w:sz w:val="19"/>
                <w:szCs w:val="19"/>
                <w:color w:val="auto"/>
              </w:rPr>
            </w:pPr>
          </w:p>
        </w:tc>
      </w:tr>
      <w:tr>
        <w:trPr>
          <w:trHeight w:val="210"/>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559,477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Options for redeemable shares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17,344</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8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voting common stock, $0.001 par value, 600 shares authorized, 300 shares issued, 147 shares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non-voting common stock, $0.001 par value, 299,400 shares authorized, 162,470 (unaudited), and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162,297 shares issued, respectively, 120,443 (unaudited) and 120,270 shares outstanding, respectively</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0"/>
                <w:szCs w:val="20"/>
                <w:color w:val="auto"/>
              </w:rPr>
            </w:pP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(305,861)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(90,701)</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(38,638)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(38,638)</w:t>
            </w:r>
          </w:p>
        </w:tc>
      </w:tr>
      <w:tr>
        <w:trPr>
          <w:trHeight w:val="209"/>
        </w:trPr>
        <w:tc>
          <w:tcPr>
            <w:tcW w:w="8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have been retrospectively restated to reflect the three-for-one forward stock split which was effective July 28, 2020. See Note 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2019 and 2020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60" w:type="dxa"/>
            <w:vAlign w:val="bottom"/>
          </w:tcPr>
          <w:p>
            <w:pPr>
              <w:spacing w:after="0"/>
              <w:rPr>
                <w:sz w:val="20"/>
                <w:szCs w:val="20"/>
                <w:color w:val="auto"/>
              </w:rPr>
            </w:pPr>
          </w:p>
        </w:tc>
        <w:tc>
          <w:tcPr>
            <w:tcW w:w="25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subscriptions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77,306</w:t>
            </w: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67,267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153,066</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131,651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27,450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21,338</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subscriptions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26,001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50,685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37,843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30,522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14,830</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13,617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26,696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24,544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48,877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75,394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32,095</w:t>
            </w:r>
          </w:p>
        </w:tc>
        <w:tc>
          <w:tcPr>
            <w:tcW w:w="0" w:type="dxa"/>
            <w:vAlign w:val="bottom"/>
          </w:tcPr>
          <w:p>
            <w:pPr>
              <w:spacing w:after="0"/>
              <w:rPr>
                <w:sz w:val="1"/>
                <w:szCs w:val="1"/>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43,616</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loss from foreign currency translation adjustments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revaluations, net of tax</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attributable to Class A stockholders</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Class A share, basic and diluted (*)</w:t>
            </w: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Class A common stock, basic and diluted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 Class B stockholders</w:t>
            </w: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(29,040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7,113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(58,069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14,429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Class B share, basic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Class B stock, basic (*)</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120,402</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120,443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120,336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120,357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Class B share, diluted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Class B stock, diluted (*)</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120,402</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124,158</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120,336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124,169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(30,060)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(58,874)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 forma provision for income tax benefit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(14,895)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attributable to Class A stockholders (*)</w:t>
            </w: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Class A common stock, basic and diluted</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Class A share, basic and diluted (*)</w:t>
            </w:r>
          </w:p>
        </w:tc>
        <w:tc>
          <w:tcPr>
            <w:tcW w:w="1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 forma net loss attributable to Class B stockholders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(22,427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(43,925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Class B common stock, basic and diluted</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120,402</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120,336</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 forma net loss per Class B share, basic and diluted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and the calculation of net income (loss) per share have been retrospectively restated to reflect the three-for-one forward stock split which was effective July 28, 2020. See Note 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78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2019 and 2020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9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9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6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Options for</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100" w:type="dxa"/>
            <w:vAlign w:val="bottom"/>
          </w:tcPr>
          <w:p>
            <w:pPr>
              <w:spacing w:after="0"/>
              <w:rPr>
                <w:sz w:val="11"/>
                <w:szCs w:val="11"/>
                <w:color w:val="auto"/>
              </w:rPr>
            </w:pPr>
          </w:p>
        </w:tc>
        <w:tc>
          <w:tcPr>
            <w:tcW w:w="9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1"/>
                <w:szCs w:val="11"/>
                <w:color w:val="auto"/>
              </w:rPr>
            </w:pPr>
          </w:p>
        </w:tc>
        <w:tc>
          <w:tcPr>
            <w:tcW w:w="64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8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Shares (*)</w:t>
            </w: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Shares (*)</w:t>
            </w:r>
          </w:p>
        </w:tc>
        <w:tc>
          <w:tcPr>
            <w:tcW w:w="100" w:type="dxa"/>
            <w:vAlign w:val="bottom"/>
          </w:tcPr>
          <w:p>
            <w:pPr>
              <w:spacing w:after="0"/>
              <w:rPr>
                <w:sz w:val="13"/>
                <w:szCs w:val="13"/>
                <w:color w:val="auto"/>
              </w:rPr>
            </w:pPr>
          </w:p>
        </w:tc>
        <w:tc>
          <w:tcPr>
            <w:tcW w:w="64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Issued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0" w:type="dxa"/>
            <w:vAlign w:val="bottom"/>
          </w:tcPr>
          <w:p>
            <w:pPr>
              <w:spacing w:after="0"/>
              <w:rPr>
                <w:sz w:val="1"/>
                <w:szCs w:val="1"/>
                <w:color w:val="auto"/>
              </w:rPr>
            </w:pPr>
          </w:p>
        </w:tc>
      </w:tr>
      <w:tr>
        <w:trPr>
          <w:trHeight w:val="97"/>
        </w:trPr>
        <w:tc>
          <w:tcPr>
            <w:tcW w:w="126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January 1,</w:t>
            </w:r>
          </w:p>
        </w:tc>
        <w:tc>
          <w:tcPr>
            <w:tcW w:w="8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120,270</w:t>
            </w:r>
          </w:p>
        </w:tc>
        <w:tc>
          <w:tcPr>
            <w:tcW w:w="740" w:type="dxa"/>
            <w:vAlign w:val="bottom"/>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(88,038)</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41,685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(37,797)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(126,277)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14,581</w:t>
            </w: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Remeasurement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options for</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redeemable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607</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declared</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5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(5,255)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(5,255)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adjustments and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revaluations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5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7,325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7,325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March 31,</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120,270</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(86,575)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41,685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(37,797)</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(124,793)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15,188</w:t>
            </w: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Remeasurement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options for</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redeemable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(424)</w:t>
            </w: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Exercise of stock</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options, net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 declared</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ind w:left="5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(6,105)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(6,105)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and</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revaluations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7,122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7,122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26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June 30,</w:t>
            </w:r>
          </w:p>
        </w:tc>
        <w:tc>
          <w:tcPr>
            <w:tcW w:w="8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2019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120,495</w:t>
            </w:r>
          </w:p>
        </w:tc>
        <w:tc>
          <w:tcPr>
            <w:tcW w:w="740" w:type="dxa"/>
            <w:vAlign w:val="bottom"/>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(85,250)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41,685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(37,797)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(123,491)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14,764</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60" w:type="dxa"/>
            <w:vAlign w:val="bottom"/>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Balance, January 1,</w:t>
            </w:r>
          </w:p>
        </w:tc>
        <w:tc>
          <w:tcPr>
            <w:tcW w:w="8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120,270</w:t>
            </w:r>
          </w:p>
        </w:tc>
        <w:tc>
          <w:tcPr>
            <w:tcW w:w="740" w:type="dxa"/>
            <w:vAlign w:val="bottom"/>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(90,701)</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41,910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(38,638)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(129,776)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17,344</w:t>
            </w: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Remeasurement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options for</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redeemable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(15,242)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(15,242)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15,242</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declared</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5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(4,010)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adjustments and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revaluations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(2,998)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5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(29,064)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(29,064)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March 31,</w:t>
            </w:r>
          </w:p>
        </w:tc>
        <w:tc>
          <w:tcPr>
            <w:tcW w:w="8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120,270</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(139,017)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(3,489)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41,910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(38,638)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(181,090)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32,586</w:t>
            </w: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Remeasurement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options for</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redeemable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(14,637)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14,637</w:t>
            </w: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Exercise of stock</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options, net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2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 declared</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tcPr>
          <w:p>
            <w:pPr>
              <w:ind w:left="5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(123,185)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(123,185)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and</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revaluations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76"/>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(29,075)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(29,075)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26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June 30,</w:t>
            </w:r>
          </w:p>
        </w:tc>
        <w:tc>
          <w:tcPr>
            <w:tcW w:w="8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vMerge w:val="restart"/>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76"/>
              </w:rPr>
              <w:t>—</w:t>
            </w:r>
          </w:p>
        </w:tc>
        <w:tc>
          <w:tcPr>
            <w:tcW w:w="240" w:type="dxa"/>
            <w:vAlign w:val="bottom"/>
            <w:tcBorders>
              <w:top w:val="single" w:sz="8" w:color="CCEEFF"/>
            </w:tcBorders>
            <w:vMerge w:val="restart"/>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120,443</w:t>
            </w:r>
          </w:p>
        </w:tc>
        <w:tc>
          <w:tcPr>
            <w:tcW w:w="740" w:type="dxa"/>
            <w:vAlign w:val="bottom"/>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1"/>
                <w:szCs w:val="11"/>
                <w:color w:val="auto"/>
              </w:rPr>
              <w:t>(305,861</w:t>
            </w:r>
            <w:r>
              <w:rPr>
                <w:rFonts w:ascii="Times New Roman" w:cs="Times New Roman" w:eastAsia="Times New Roman" w:hAnsi="Times New Roman"/>
                <w:sz w:val="20"/>
                <w:szCs w:val="20"/>
                <w:color w:val="auto"/>
                <w:vertAlign w:val="superscript"/>
              </w:rPr>
              <w: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1"/>
                <w:szCs w:val="11"/>
                <w:color w:val="auto"/>
              </w:rPr>
              <w:t>(3,765</w:t>
            </w:r>
            <w:r>
              <w:rPr>
                <w:rFonts w:ascii="Times New Roman" w:cs="Times New Roman" w:eastAsia="Times New Roman" w:hAnsi="Times New Roman"/>
                <w:sz w:val="20"/>
                <w:szCs w:val="20"/>
                <w:color w:val="auto"/>
                <w:vertAlign w:val="superscript"/>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41,910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81" w:lineRule="exact"/>
              <w:rPr>
                <w:sz w:val="20"/>
                <w:szCs w:val="20"/>
                <w:color w:val="auto"/>
              </w:rPr>
            </w:pPr>
            <w:r>
              <w:rPr>
                <w:rFonts w:ascii="Times New Roman" w:cs="Times New Roman" w:eastAsia="Times New Roman" w:hAnsi="Times New Roman"/>
                <w:sz w:val="11"/>
                <w:szCs w:val="11"/>
                <w:color w:val="auto"/>
              </w:rPr>
              <w:t>(38,638</w:t>
            </w:r>
            <w:r>
              <w:rPr>
                <w:rFonts w:ascii="Times New Roman" w:cs="Times New Roman" w:eastAsia="Times New Roman" w:hAnsi="Times New Roman"/>
                <w:sz w:val="20"/>
                <w:szCs w:val="20"/>
                <w:color w:val="auto"/>
                <w:vertAlign w:val="superscript"/>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1"/>
                <w:szCs w:val="11"/>
                <w:color w:val="auto"/>
              </w:rPr>
              <w:t>(348,210</w:t>
            </w:r>
            <w:r>
              <w:rPr>
                <w:rFonts w:ascii="Times New Roman" w:cs="Times New Roman" w:eastAsia="Times New Roman" w:hAnsi="Times New Roman"/>
                <w:sz w:val="20"/>
                <w:szCs w:val="20"/>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47,223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640" w:hanging="3"/>
        <w:spacing w:after="0" w:line="282" w:lineRule="auto"/>
        <w:tabs>
          <w:tab w:leader="none" w:pos="6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and treasury stock have been retrospectively restated to reflect the three-for-one forward stock split which was effective July 28, 2020. See Note 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2019 and 2020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(58,139)</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14,447</w:t>
            </w:r>
          </w:p>
        </w:tc>
      </w:tr>
      <w:tr>
        <w:trPr>
          <w:trHeight w:val="216"/>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12,154</w:t>
            </w:r>
          </w:p>
        </w:tc>
      </w:tr>
      <w:tr>
        <w:trPr>
          <w:trHeight w:val="216"/>
        </w:trPr>
        <w:tc>
          <w:tcPr>
            <w:tcW w:w="8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Provision for subscription cancellations and non-renewals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76,596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2,620</w:t>
            </w:r>
          </w:p>
        </w:tc>
      </w:tr>
      <w:tr>
        <w:trPr>
          <w:trHeight w:val="216"/>
        </w:trPr>
        <w:tc>
          <w:tcPr>
            <w:tcW w:w="8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2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14,626</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Advances to stockholders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and deferred compensation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(10,804)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(9,084)</w:t>
            </w: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8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82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00" w:type="dxa"/>
            <w:vAlign w:val="bottom"/>
            <w:tcBorders>
              <w:bottom w:val="single" w:sz="8" w:color="CCEEFF"/>
            </w:tcBorders>
          </w:tcPr>
          <w:p>
            <w:pPr>
              <w:spacing w:after="0"/>
              <w:rPr>
                <w:sz w:val="18"/>
                <w:szCs w:val="18"/>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Capitalized software additions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(7,264)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30"/>
        </w:trPr>
        <w:tc>
          <w:tcPr>
            <w:tcW w:w="8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8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in customer funds obligations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payments on line of credit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(51,009)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16"/>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Payments for deferred financing costs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Distributions to stockholders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(140,378)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(22,252)</w:t>
            </w:r>
          </w:p>
        </w:tc>
      </w:tr>
      <w:tr>
        <w:trPr>
          <w:trHeight w:val="230"/>
        </w:trPr>
        <w:tc>
          <w:tcPr>
            <w:tcW w:w="8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8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83,495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59,174</w:t>
            </w:r>
          </w:p>
        </w:tc>
      </w:tr>
      <w:tr>
        <w:trPr>
          <w:trHeight w:val="223"/>
        </w:trPr>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Consolidated Balance Sheets, end of period: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47,295</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47,018</w:t>
            </w:r>
          </w:p>
        </w:tc>
      </w:tr>
      <w:tr>
        <w:trPr>
          <w:trHeight w:val="216"/>
        </w:trPr>
        <w:tc>
          <w:tcPr>
            <w:tcW w:w="8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Restricted cash—funds held for customers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4,038</w:t>
            </w:r>
          </w:p>
        </w:tc>
      </w:tr>
      <w:tr>
        <w:trPr>
          <w:trHeight w:val="229"/>
        </w:trPr>
        <w:tc>
          <w:tcPr>
            <w:tcW w:w="8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cash, cash equivalents and restricted cash, end of period</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340" w:right="6220" w:hanging="332"/>
        <w:spacing w:after="0" w:line="503" w:lineRule="auto"/>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Vertex, Inc. (“Vertex”) and its direct and indirect wholly-owned subsidiaries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Effective January 7, 2020, the Company acquired a 60% controlling interest in Systax Sistemas Fiscais LTDA (“Systax”), a provider of Brazilian transaction tax content and software. Systax is considered a Variable Interest Entity (“VIE”) and its accounts have been included in the consolidated financial statements from the acquisition date. Systax was determined to be a VIE as the Company is the primary beneficiary of the equity interests in Systax and participates significantly in the variability in the fair value of Systax’s net assets. Although the Company does not have full decision-making authority as it is shared with the minority interest owners, as the minority interest owners are considered a related party, the Company is considered the most closely associated party to Systax and is required to consolidate. Systax’s assets may only be used to settle its own obligations and this will continue until such time as the Company owns 100% of the VIE. As of June 30, 2020, the net assets of Systax were $19,555 (unaudited). The Company is at risk to the extent of its current 60% ownership of Systax, which risk will increase over time in proportion to increases in percentage ownership as the Company exercises its future share purchase commitment through 2024. See Note 2.</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of Company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Registration Statement on Form S-1 (the “S-1”) with the Securities and Exchange Commission (“SEC”) was declared effective on July 28, 2020, resulting in newly issued Class A common stock being registered and available for trading on the NASDAQ exchange (the “Offering”). Refer to Note 13 for further description of the impacts of this and other events which occurred in connection with the Offering.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balance sheet as of December 31, 2019, which has been derived from audited financial statements, and the unaudited interim condensed consolidated financial statements have been prepared pursuant to the rules and regulations of the SEC for interim financial information and include the accounts of the Company. All intercompany transactions have been eliminated in consolidation. Certain information and disclosures normally included in consolidated financial statements prepared in accordance with accounting principles generally accepted in the U.S. (“GAAP”) have been condensed or omitted. Accordingly, these consolidated financial statements should be read in conjunction with the audited consolidated financial statements and the related notes for the year ended December 31, 2019 included in the Company’s final prospectus dated July 28, 2020 and filed with the SEC pursuant to Rule 424(b)(4) under the Securities Act of 1933, as amended, (the “Securities Act”), on July 30, 2020 (the “Prospectus”). The accompanying interim condensed consolidated balance sheet as of June 30, 2020, the interim condensed consolidated statements of comprehensive income (loss) and changes in equity for the three and six months ended June 30, 2020 and 2019, and the interim condensed consolidated statements of cash flows for the six months ended June 30, 2020 and 2019,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consolidated financial statements. The operating results for the three and six months ended June 30, 2020 and 2019 are not necessarily indicative of the results expected for the full year periods ending December 31, 2020 and 2019, respectively.</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Operating segments are defined as components of an enterprise about which separate financial information is evaluated regularly by the chief operating decision maker (“CODM”), the Company’s Chief Executive Officer, in deciding how to allocate resources and assess performance. The Company’s CODM allocates resources and assesses performance based upon discrete financial information at the consolidated level. For the three and six months ended June 30, 2020 and 2019, approximately 3% of the Company’s revenues were generated outside of the United States in each respective period. As of December 31, 2019, none of the Company’s long-lived assets were held outside of the U.S. As of June 30, 2020, 18%, or $19,471, of the Company’s long-lived assets were held outside of the U.S. (unaudited) and consists primarily of goodwill of $19,355 (unaudited) at June 30, 2020 related to the acquisition of the controlling interest in Systax, which is located in Brazil. See Note 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consolidated balance sheets for cash and cash equivalents, funds held for customers, accounts receivable, accounts payable, accrued expenses and debt approximate their related fair values.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the reserve for self-insurance, (iii) assumptions related to achievement of technological feasibility for software developed for sale, (iv) product life cycles, (v) estimated useful lives and potential impairment of long-lived assets, intangible assets and goodwill, (vi) determination of the fair value of tangible and intangible assets acquired, liabilities assumed and consideration transferred in an acquisition, (vii) amortization period of material rights and deferred commissions (viii) valuation for the Company’s stock used for stock-based compensation, and (ix) the potential outcome of future tax consequences of events that have been recognized in the consolidated financial statements or tax returns. Actual results may differ from these estimates.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initial maturity date of three months or less to be cash equivalents.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Funds Held for Customers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Funds held for customers in the consolidated balance sheets represents customer funds advanced for transaction tax returns outsourcing. Funds held for customers are restricted for the sole purpose of remitting such funds to satisfy obligations on behalf of such customers and are deposited at FDIC-insured institutions. Customer funds obligations are included in current liabilities in the consolidated balance sheets, as the obligations are expected to be settled within one year.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or fair value when acquired in a business combination and presented net of accumulated depreciation. Normal maintenance and repairs are charged to expense, while major renewals and betterments are capitalized. Assets under capital leases are recorded at the lower of the present value of the minimum lease payments or the fair value of the assets and are depreciated over the shorter of the asset’s useful life or lease term. Depreciation and amortization are computed straight-line over the estimated useful lives of the assets,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10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1</w:t>
            </w: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 years</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10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3</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10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3</w:t>
            </w: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410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3</w:t>
            </w: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10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color w:val="auto"/>
              </w:rPr>
              <w:t>7</w:t>
            </w: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Automobiles</w:t>
            </w:r>
          </w:p>
        </w:tc>
        <w:tc>
          <w:tcPr>
            <w:tcW w:w="734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5 years</w:t>
            </w:r>
          </w:p>
        </w:tc>
      </w:tr>
      <w:tr>
        <w:trPr>
          <w:trHeight w:val="637"/>
        </w:trPr>
        <w:tc>
          <w:tcPr>
            <w:tcW w:w="39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- 7 -</w:t>
            </w: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Internal-Use Software</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follows Accounting Standard Codification (“ASC”) 350-40, </w:t>
      </w:r>
      <w:r>
        <w:rPr>
          <w:rFonts w:ascii="Times New Roman" w:cs="Times New Roman" w:eastAsia="Times New Roman" w:hAnsi="Times New Roman"/>
          <w:sz w:val="18"/>
          <w:szCs w:val="18"/>
          <w:i w:val="1"/>
          <w:iCs w:val="1"/>
          <w:color w:val="auto"/>
        </w:rPr>
        <w:t>Goodwill and Other, Internal-Use Software,</w:t>
      </w:r>
      <w:r>
        <w:rPr>
          <w:rFonts w:ascii="Times New Roman" w:cs="Times New Roman" w:eastAsia="Times New Roman" w:hAnsi="Times New Roman"/>
          <w:sz w:val="18"/>
          <w:szCs w:val="18"/>
          <w:color w:val="auto"/>
        </w:rPr>
        <w:t xml:space="preserve"> to account for development costs incurred for the costs of computer software developed or obtained for internal use. ASC 350-40 requires such costs to be capitalized once certain criteria are met. Capitalized internal-use software costs are primarily comprised of direct labor, related expenses and initial software licenses. ASC 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purpose.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and is depreciated over periods between 3 to 5 years. Depreciation expense for internal-use software utilized for cloud-based solutions and for software for internal systems and tools is included in cost of revenues, software subscriptions and depreciation expense, respectively, in the consolidated statements of comprehensive income (loss).</w:t>
      </w:r>
    </w:p>
    <w:p>
      <w:pPr>
        <w:spacing w:after="0" w:line="1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Software Developed for Sale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costs incurred for the development of computer software to be sold, leased, or otherwise marketed are capitalized in accordance with ASC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when technological feasibility has been established. Technological feasibility generally occurs when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includes direct labor and related expenses for software development for new products and enhancements to existing products and acquired software.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capitalized software development costs begins when the product is available for general release. Amortization is provided on a product-by-product basis using the straight-line method over periods between 3 to 5 years. Unamortized capitalized software development costs determined to be in excess of the net realizable value of the product are expensed immediately.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Capitalized software costs are subject to an ongoing assessment of recoverability based on anticipated future revenues and changes in software technologies. At each balance sheet date, unamortized capitalized software costs are compared to the net realizable value of the related product.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Assessment of Long-Lived Assets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income (loss) in the period in which they arise. In addition, if outside of the Measurement Period, any subsequent adjustments to the acquisition date fair values are recorded to the consolidated statements of comprehensive income (loss) in the period in which they arise.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677"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intangible assets acquired in a business combination. The Company evaluates goodwill for impairment annually at December 31 and whenever events or circumstances make it more likely than not that impairment may have occurred. 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unit’s goodwill over the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capitalizes costs related to obtaining, renewing or extending loan agreements and amortizes these costs on a straight-line basis, which approximates the interest method, over the life of the loan. Deferred financing costs related to outstanding borrowings under bank debt are reflected as a reduction of current portion of long-term debt and long-term debt, net of current portion. Deferred financing costs related to undrawn debt are reflected in deposits and other assets in the consolidated balance sheets in accordance with ASC 835-30, </w:t>
      </w:r>
      <w:r>
        <w:rPr>
          <w:rFonts w:ascii="Times New Roman" w:cs="Times New Roman" w:eastAsia="Times New Roman" w:hAnsi="Times New Roman"/>
          <w:sz w:val="18"/>
          <w:szCs w:val="18"/>
          <w:i w:val="1"/>
          <w:iCs w:val="1"/>
          <w:color w:val="auto"/>
        </w:rPr>
        <w:t>Interest—Imputation of Interest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for the award of equity-based instruments. The provisions of ASC 718 require a company to measure the fair value of stock-based compensation as of the grant date of the award. The Company has stock options and stock appreciation rights (“SAR(s)”) (collectively, the “awards”) outstanding that are subject to guidance set forth in ASC 718. The Company’s Board of Directors (the “Board”) intends all awards granted to be exercisable at a price per share not less than the per share fair value of the Company’s common stock underlying such awards on the date of grant. Stock-based compensation expense reflects the cost of employee services received in exchange for the awards.</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SARs are accounted for as liabilities under ASC 718 and, as such, the Company recognizes stock-based compensation expense by remeasuring the SARs at the end of each reporting period and accruing the portion of the requisite service rendered at that date. As a nonpublic entity for all periods presented, the Company elected to measure SARs based on their intrinsic values. Management measures the intrinsic value of the SARs as the difference between the fair value of the Company’s Class B common stock less the grant date fair value of the underlying shares as this is the value the SAR participant can derive from exercise of the SAR award. The fair value of the Company’s common stock is determined periodically by the Board with the assistance of management and a third-party valuation firm. Management continued to record changes in the intrinsic value of the SARs in 2020 up to the date on which the Company became a public entity. Upon becoming a public entity and up to the effective date of the Offering, Management will remeasure SARs using the fair value-based method under ASC 718. See Note 13 for discussion of the impact of the resulting change in accounting policy. Outstanding SARs are included in deferred compensation, current and deferred compensation, net of current portion in the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option holders having the right to require the Company to repurchase shares issued in connection with option exercises after six months of share issuance, the options are classified as temporary equity and reflected in options for redeemable shares on the consolidated balance sheets at their redemption value, which equals the options’ intrinsic value, as of the end of each balance sheet measurement period. Changes as a result of remeasurement of the redemption value of options for redeemable shares are recorded as adjustments to accumulated deficit. The options were exchanged for new options in connection with the Offering. See Note 7.</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fair value of the common stock underlying the awards is determined by the Board with assistance from management and an independent third-party valuation firm. The determination of value uses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intrinsic value of the awards which resulted in corresponding increases to compensation expense for the three and six months ended June 30, 2020 which exceed historical results. See Note 10. Management expects the SAR value increases to continue and to exceed historical results. See Note 13.</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 and Deferred Rent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Rent expense for operating leases is recognized on a straight-line basis over the period of the related lease. For lease agreements that include future specific rent increases, rent concessions and/or tenant improvement allowances, the difference between the rent payments and the straight-line rent expense is included in deferred rent liability in the consolidated balance sheets.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$1,473 and $1,980 at December 31, 2019 and June 30, 2020 (unaudited), respectively, and are reflected in accrued salaries and benefits in the consolidated balance sheets. Material differences may result in the amount and timing of insurance expense if actual experience differs significantly from management’s estimates.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The Company’s on-premise software subscription prices in the initial subscription year are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reflects revenue by major source for the following periods: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20" w:type="dxa"/>
            <w:vAlign w:val="bottom"/>
          </w:tcPr>
          <w:p>
            <w:pPr>
              <w:spacing w:after="0"/>
              <w:rPr>
                <w:sz w:val="24"/>
                <w:szCs w:val="24"/>
                <w:color w:val="auto"/>
              </w:rPr>
            </w:pPr>
          </w:p>
        </w:tc>
        <w:tc>
          <w:tcPr>
            <w:tcW w:w="256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Sources of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subscriptions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77,306</w:t>
            </w:r>
          </w:p>
        </w:tc>
        <w:tc>
          <w:tcPr>
            <w:tcW w:w="5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67,267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153,066</w:t>
            </w:r>
          </w:p>
        </w:tc>
        <w:tc>
          <w:tcPr>
            <w:tcW w:w="4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131,651</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27,450</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21,338</w:t>
            </w:r>
          </w:p>
        </w:tc>
      </w:tr>
      <w:tr>
        <w:trPr>
          <w:trHeight w:val="22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180,516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$7,515 and $7,669 at December 31, 2019 and June 30, 2020 (unaudited), respectively. The allowance is based on management’s assessment of uncollectible accounts on a specific identification basis, with the estimate of potential cancellations being determined based on management’s review of historical cancellation rates.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The beginning and ending balances of accounts receivable, net of allowance, are as follows:</w:t>
            </w: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3500" w:type="dxa"/>
            <w:vAlign w:val="bottom"/>
            <w:gridSpan w:val="4"/>
          </w:tcPr>
          <w:p>
            <w:pPr>
              <w:ind w:left="18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0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3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0"/>
                <w:szCs w:val="20"/>
                <w:color w:val="auto"/>
              </w:rPr>
            </w:pPr>
          </w:p>
        </w:tc>
        <w:tc>
          <w:tcPr>
            <w:tcW w:w="17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3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8"/>
                <w:szCs w:val="18"/>
                <w:color w:val="auto"/>
              </w:rPr>
            </w:pPr>
          </w:p>
        </w:tc>
      </w:tr>
      <w:tr>
        <w:trPr>
          <w:trHeight w:val="209"/>
        </w:trPr>
        <w:tc>
          <w:tcPr>
            <w:tcW w:w="3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62,235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70,367</w:t>
            </w: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70,367</w:t>
            </w:r>
          </w:p>
        </w:tc>
        <w:tc>
          <w:tcPr>
            <w:tcW w:w="320" w:type="dxa"/>
            <w:vAlign w:val="bottom"/>
          </w:tcPr>
          <w:p>
            <w:pPr>
              <w:spacing w:after="0"/>
              <w:rPr>
                <w:sz w:val="19"/>
                <w:szCs w:val="19"/>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63,739</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net</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A contract liability is recorded as deferred revenue on the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$5,614 and $5,335 at December 31, 2019 and June 30, 2020 (unaudited), respectively. The deferred allowance represents the portion of the allowance for subscription cancellations associated with deferred revenue.</w:t>
      </w:r>
    </w:p>
    <w:p>
      <w:pPr>
        <w:sectPr>
          <w:pgSz w:w="11900" w:h="16838" w:orient="portrait"/>
          <w:cols w:equalWidth="0" w:num="1">
            <w:col w:w="11240"/>
          </w:cols>
          <w:pgMar w:left="320" w:top="900" w:right="339" w:bottom="1440" w:gutter="0" w:footer="0" w:header="0"/>
        </w:sectPr>
      </w:pP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beginning and ending balances of and changes to the allowance and the deferred allowance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balance.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balance, June 30</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Change in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allowance balance,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allowance balance, June 30</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Change in deferred allowance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amount charged to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7056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ind w:left="3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Balance</w:t>
      </w:r>
      <w:r>
        <w:rPr>
          <w:sz w:val="20"/>
          <w:szCs w:val="20"/>
          <w:color w:val="auto"/>
        </w:rPr>
        <w:tab/>
      </w:r>
      <w:r>
        <w:rPr>
          <w:rFonts w:ascii="Times New Roman" w:cs="Times New Roman" w:eastAsia="Times New Roman" w:hAnsi="Times New Roman"/>
          <w:sz w:val="18"/>
          <w:szCs w:val="18"/>
          <w:b w:val="1"/>
          <w:bCs w:val="1"/>
          <w:color w:val="auto"/>
        </w:rPr>
        <w:t>Net Change</w:t>
      </w:r>
    </w:p>
    <w:p>
      <w:pPr>
        <w:spacing w:after="0" w:line="23" w:lineRule="exact"/>
        <w:rPr>
          <w:sz w:val="20"/>
          <w:szCs w:val="20"/>
          <w:color w:val="auto"/>
        </w:rPr>
      </w:pPr>
    </w:p>
    <w:p>
      <w:pPr>
        <w:ind w:left="780" w:hanging="775"/>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(7,476)</w:t>
      </w:r>
    </w:p>
    <w:p>
      <w:pPr>
        <w:spacing w:after="0" w:line="2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(7,669)</w:t>
      </w:r>
    </w:p>
    <w:p>
      <w:pPr>
        <w:spacing w:after="0" w:line="23" w:lineRule="exact"/>
        <w:rPr>
          <w:sz w:val="20"/>
          <w:szCs w:val="20"/>
          <w:color w:val="auto"/>
        </w:rPr>
      </w:pPr>
    </w:p>
    <w:p>
      <w:pPr>
        <w:ind w:left="146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193</w:t>
      </w:r>
    </w:p>
    <w:p>
      <w:pPr>
        <w:spacing w:after="0" w:line="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5,118</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886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(217)</w:t>
      </w:r>
    </w:p>
    <w:p>
      <w:pPr>
        <w:spacing w:after="0" w:line="23" w:lineRule="exact"/>
        <w:rPr>
          <w:sz w:val="20"/>
          <w:szCs w:val="20"/>
          <w:color w:val="auto"/>
        </w:rPr>
      </w:pPr>
    </w:p>
    <w:p>
      <w:pPr>
        <w:jc w:val="both"/>
        <w:ind w:left="1460"/>
        <w:spacing w:after="0"/>
        <w:tabs>
          <w:tab w:leader="none" w:pos="2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40005</wp:posOffset>
            </wp:positionV>
            <wp:extent cx="7797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80" w:space="60"/>
            <w:col w:w="280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740"/>
        <w:spacing w:after="0"/>
        <w:rPr>
          <w:sz w:val="20"/>
          <w:szCs w:val="20"/>
          <w:color w:val="auto"/>
        </w:rPr>
      </w:pPr>
      <w:r>
        <w:rPr>
          <w:rFonts w:ascii="Times New Roman" w:cs="Times New Roman" w:eastAsia="Times New Roman" w:hAnsi="Times New Roman"/>
          <w:sz w:val="18"/>
          <w:szCs w:val="18"/>
          <w:color w:val="auto"/>
        </w:rPr>
        <w:t>Allowance balance. April 1</w:t>
      </w:r>
    </w:p>
    <w:p>
      <w:pPr>
        <w:spacing w:after="0" w:line="27"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color w:val="auto"/>
        </w:rPr>
        <w:t>Allowance balance, June 30</w:t>
      </w:r>
    </w:p>
    <w:p>
      <w:pPr>
        <w:spacing w:after="0" w:line="18"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Change in allowance</w:t>
      </w:r>
    </w:p>
    <w:p>
      <w:pPr>
        <w:spacing w:after="0" w:line="27" w:lineRule="exact"/>
        <w:rPr>
          <w:sz w:val="20"/>
          <w:szCs w:val="20"/>
          <w:color w:val="auto"/>
        </w:rPr>
      </w:pPr>
    </w:p>
    <w:p>
      <w:pPr>
        <w:jc w:val="center"/>
        <w:ind w:right="5100"/>
        <w:spacing w:after="0"/>
        <w:rPr>
          <w:sz w:val="20"/>
          <w:szCs w:val="20"/>
          <w:color w:val="auto"/>
        </w:rPr>
      </w:pPr>
      <w:r>
        <w:rPr>
          <w:rFonts w:ascii="Times New Roman" w:cs="Times New Roman" w:eastAsia="Times New Roman" w:hAnsi="Times New Roman"/>
          <w:sz w:val="18"/>
          <w:szCs w:val="18"/>
          <w:color w:val="auto"/>
        </w:rPr>
        <w:t>Deferred allowance balance, April 1</w:t>
      </w:r>
    </w:p>
    <w:p>
      <w:pPr>
        <w:spacing w:after="0" w:line="9"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18"/>
          <w:szCs w:val="18"/>
          <w:color w:val="auto"/>
        </w:rPr>
        <w:t>Deferred allowance balance, June 30</w:t>
      </w:r>
    </w:p>
    <w:p>
      <w:pPr>
        <w:spacing w:after="0" w:line="9" w:lineRule="exact"/>
        <w:rPr>
          <w:sz w:val="20"/>
          <w:szCs w:val="20"/>
          <w:color w:val="auto"/>
        </w:rPr>
      </w:pPr>
    </w:p>
    <w:p>
      <w:pPr>
        <w:jc w:val="center"/>
        <w:ind w:right="5200"/>
        <w:spacing w:after="0"/>
        <w:rPr>
          <w:sz w:val="20"/>
          <w:szCs w:val="20"/>
          <w:color w:val="auto"/>
        </w:rPr>
      </w:pPr>
      <w:r>
        <w:rPr>
          <w:rFonts w:ascii="Times New Roman" w:cs="Times New Roman" w:eastAsia="Times New Roman" w:hAnsi="Times New Roman"/>
          <w:sz w:val="18"/>
          <w:szCs w:val="18"/>
          <w:color w:val="auto"/>
        </w:rPr>
        <w:t>Change in deferred allowance</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amount charged to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balance. January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balance, June 30</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allowance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allowance balance, January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allowance balance, June 30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deferred allowance</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amount charged to revenue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705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4"/>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(4,703)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5"/>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4"/>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-1748155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-1456690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-1173480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-882015</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780" w:hanging="775"/>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(7,515)</w:t>
      </w:r>
    </w:p>
    <w:p>
      <w:pPr>
        <w:spacing w:after="0" w:line="22"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14605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both"/>
        <w:ind w:left="146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154</w:t>
      </w:r>
    </w:p>
    <w:p>
      <w:pPr>
        <w:spacing w:after="0" w:line="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5715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color w:val="auto"/>
        </w:rPr>
        <w:t>5,335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8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14605</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jc w:val="both"/>
        <w:ind w:left="146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34290</wp:posOffset>
            </wp:positionV>
            <wp:extent cx="7797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01"/>
        </w:trPr>
        <w:tc>
          <w:tcPr>
            <w:tcW w:w="56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center"/>
              <w:ind w:right="1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7"/>
                <w:szCs w:val="17"/>
                <w:color w:val="auto"/>
              </w:rPr>
            </w:pPr>
          </w:p>
        </w:tc>
      </w:tr>
      <w:tr>
        <w:trPr>
          <w:trHeight w:val="238"/>
        </w:trPr>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Net Change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balance. January 1</w:t>
            </w:r>
          </w:p>
        </w:tc>
        <w:tc>
          <w:tcPr>
            <w:tcW w:w="2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Allowance balance, June 30</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(4,845)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allowance</w:t>
            </w:r>
          </w:p>
        </w:tc>
        <w:tc>
          <w:tcPr>
            <w:tcW w:w="2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allowance balance, January 1</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4,858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allowance balance, June 30</w:t>
            </w: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2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5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amount charged to revenue</w:t>
            </w: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provides information about the balances of and changes to deferred revenue for the following periods: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8"/>
        </w:trPr>
        <w:tc>
          <w:tcPr>
            <w:tcW w:w="4720" w:type="dxa"/>
            <w:vAlign w:val="bottom"/>
          </w:tcPr>
          <w:p>
            <w:pPr>
              <w:spacing w:after="0"/>
              <w:rPr>
                <w:sz w:val="20"/>
                <w:szCs w:val="20"/>
                <w:color w:val="auto"/>
              </w:rPr>
            </w:pPr>
          </w:p>
        </w:tc>
        <w:tc>
          <w:tcPr>
            <w:tcW w:w="4180" w:type="dxa"/>
            <w:vAlign w:val="bottom"/>
            <w:gridSpan w:val="4"/>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 2020</w:t>
            </w:r>
          </w:p>
        </w:tc>
      </w:tr>
      <w:tr>
        <w:trPr>
          <w:trHeight w:val="209"/>
        </w:trPr>
        <w:tc>
          <w:tcPr>
            <w:tcW w:w="47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191,745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187,041</w:t>
            </w:r>
          </w:p>
        </w:tc>
        <w:tc>
          <w:tcPr>
            <w:tcW w:w="80" w:type="dxa"/>
            <w:vAlign w:val="bottom"/>
          </w:tcPr>
          <w:p>
            <w:pPr>
              <w:spacing w:after="0"/>
              <w:rPr>
                <w:sz w:val="18"/>
                <w:szCs w:val="18"/>
                <w:color w:val="auto"/>
              </w:rPr>
            </w:pP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14,046</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11,396</w:t>
            </w:r>
          </w:p>
        </w:tc>
        <w:tc>
          <w:tcPr>
            <w:tcW w:w="80" w:type="dxa"/>
            <w:vAlign w:val="bottom"/>
            <w:shd w:val="clear" w:color="auto" w:fill="CCEEFF"/>
          </w:tcPr>
          <w:p>
            <w:pPr>
              <w:spacing w:after="0"/>
              <w:rPr>
                <w:sz w:val="19"/>
                <w:szCs w:val="19"/>
                <w:color w:val="auto"/>
              </w:rPr>
            </w:pPr>
          </w:p>
        </w:tc>
      </w:tr>
      <w:tr>
        <w:trPr>
          <w:trHeight w:val="223"/>
        </w:trPr>
        <w:tc>
          <w:tcPr>
            <w:tcW w:w="4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23"/>
        </w:trPr>
        <w:tc>
          <w:tcPr>
            <w:tcW w:w="4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09"/>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deferred revenue: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201,484</w:t>
            </w:r>
          </w:p>
        </w:tc>
        <w:tc>
          <w:tcPr>
            <w:tcW w:w="3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181,957</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205,791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178,703</w:t>
            </w:r>
          </w:p>
        </w:tc>
      </w:tr>
      <w:tr>
        <w:trPr>
          <w:trHeight w:val="216"/>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88,224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75,769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173,162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153,637</w:t>
            </w:r>
          </w:p>
        </w:tc>
      </w:tr>
      <w:tr>
        <w:trPr>
          <w:trHeight w:val="230"/>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(78,375)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(180,516)</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(152,989)</w:t>
            </w:r>
          </w:p>
        </w:tc>
      </w:tr>
      <w:tr>
        <w:trPr>
          <w:trHeight w:val="223"/>
        </w:trPr>
        <w:tc>
          <w:tcPr>
            <w:tcW w:w="49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9"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The table provides information about the changes to contract cost balances as of and for the following periods:</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80" w:type="dxa"/>
            <w:vAlign w:val="bottom"/>
          </w:tcPr>
          <w:p>
            <w:pPr>
              <w:spacing w:after="0"/>
              <w:rPr>
                <w:sz w:val="24"/>
                <w:szCs w:val="24"/>
                <w:color w:val="auto"/>
              </w:rPr>
            </w:pPr>
          </w:p>
        </w:tc>
        <w:tc>
          <w:tcPr>
            <w:tcW w:w="24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3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09"/>
        </w:trPr>
        <w:tc>
          <w:tcPr>
            <w:tcW w:w="3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3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10,563</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8,239</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11,196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8,830</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(1,084)</w:t>
            </w: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r>
      <w:tr>
        <w:trPr>
          <w:trHeight w:val="210"/>
        </w:trPr>
        <w:tc>
          <w:tcPr>
            <w:tcW w:w="3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Ending balance</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Payment terms</w:t>
      </w:r>
    </w:p>
    <w:p>
      <w:pPr>
        <w:spacing w:after="0" w:line="22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Payment terms and conditions vary by contract, although the Company’s terms generally include a requirement of payment within 30 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Cost of revenues, software subscriptions includes the direct cost to develop, host and distribute software products, the direct cost to provide customer support, and amortization of costs capitalized for software developed for sale and for internal-use software utilized for cloud-based subscriptions. Cost of revenues, services includes the direct costs of implementation, training, transaction tax returns outsourcing and other tax-related services.</w:t>
      </w:r>
    </w:p>
    <w:p>
      <w:pPr>
        <w:spacing w:after="0" w:line="1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Reimbursable Costs</w:t>
      </w:r>
    </w:p>
    <w:p>
      <w:pPr>
        <w:spacing w:after="0" w:line="229"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Reimbursable costs passed through and invoiced to customers of the Company are recorded as services revenues with the associated expenses recorded as cost of revenues, services in the consolidated statements of comprehensive income (loss).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and are included in the consolidated statements of comprehensive income (loss).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 translated into U.S. Dollars using exchange rates at the balance sheet date. The effects of foreign currency translation adjustments are included in stockholders’ deficit as a component of accumulated other comprehensive loss in the consolidated balance sheets. Related periodic movements in exchange rates are included in other comprehensive income (loss) in the consolidated statements of comprehensive income (loss).</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Vertex is taxed as an S-corporation for U.S. federal income tax purposes and for most states. As a result, net income or loss is allocated to the stockholders and is included on their individual income tax returns. In certain states, Vertex is taxed at the corporate level. Accordingly, the income tax provision or benefit is based on taxable income allocated to these states. In certain foreign jurisdictions, Vertex subsidiaries are taxed at the corporate level. Similar to states, the income tax provision or benefit is based on taxable income sourced to these foreign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direct and indirect wholly-owned subsidiaries are treated as disregarded entities for U.S. federal income tax purposes and most states under the Internal Revenue Service (“IRS”) “check-the-box” regulations. The income and loss from these disregarded entities are reported on the Company’s U.S. federal and most state income tax returns in addition to being reported on a foreign jurisdiction tax return if a foreign subsidiary. Other foreign subsidiaries in which we own greater than 50% of the equity by measure of vote or value are treated as controlled foreign companies (“CFCs”) for U.S. federal income tax purposes and most states under the IRS foreign tax regulations. The income and loss from these entities is reported on the Company’s U.S. federal and some state income tax returns when the foreign earnings are repatriated or deemed to be repatriated to the U.S.</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records deferred income taxes using the liability method. The Company recognizes deferred tax assets and liabilities for future tax consequences of events that have been previously recognized in the Company’s consolidated financial statements and tax returns. The measurement of deferred tax assets and liabilities is based on provisions of the enacted tax law. The effects of future changes in tax laws or rates are not anticipated.</w:t>
      </w:r>
    </w:p>
    <w:p>
      <w:pPr>
        <w:spacing w:after="0" w:line="174"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on the basis of a two 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impact as a result of the application of ASC 740 is reflected in the consolidated financial statements.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27, 2020, the S corporation election was terminated by the Company’s stockholders in connection with the Offering. See Note 13.</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Total comprehensive income (loss) consists of net income and other comprehensive income (loss). Other comprehensive income (loss) refers to revenues, expenses, gains and losses that under U.S. GAAP are recorded as elements of stockholders’ deficit but are excluded from net income. Other comprehensive income (loss) is comprised of foreign currency translation adjustments and revaluations.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calculates basic and diluted net income per share attributable to common stockholders using the treasury stock method. The Company has Class A voting common stock (“Class A common stock”) and Class B non-voting common stock (“Class B common stock”) outstanding. Neither class of stock has any liquidity or dividend preferences and are both considered to be participating securities. The diluted net income per share attributable to common stockholders is computed by giving effect to all potential dilutive common stock equivalents outstanding for the period. For purposes of this calculation, options to purchase common stock are considered common stock equivalents.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Unaudited Pro Forma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July 27, 2020, the Company converted to and will be taxed as a C corporation for U.S. income tax purposes (see Note 13). Accordingly, a pro forma income tax provision has been disclosed as if the Company was a taxable corporation for the three and six months ended June 30, 2020. The Company has computed pro forma entity level income tax expense using an estimated effective tax rate of approximately 25% for these periods, inclusive of all applicable U.S. federal, state, local and foreign income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Unaudited Pro Forma Earnings Per Share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presented pro forma earnings per share for the three and six months ended June 30, 2020 to reflect the pro forma adjustment to income taxes resulting from the conversion to a C corporation effective July 27, 2020. See Note 13.</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 forma net loss attributable to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180" w:right="2220"/>
        <w:spacing w:after="0" w:line="306" w:lineRule="auto"/>
        <w:rPr>
          <w:sz w:val="20"/>
          <w:szCs w:val="20"/>
          <w:color w:val="auto"/>
        </w:rPr>
      </w:pPr>
      <w:r>
        <w:rPr>
          <w:rFonts w:ascii="Times New Roman" w:cs="Times New Roman" w:eastAsia="Times New Roman" w:hAnsi="Times New Roman"/>
          <w:sz w:val="17"/>
          <w:szCs w:val="17"/>
          <w:color w:val="auto"/>
        </w:rPr>
        <w:t>Class A stock as a percentage of total shares outstanding Pro forma net loss attributable to Class A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77227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77227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Weighted-average Class A stock outstanding—basic and diluted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180" w:type="dxa"/>
            <w:vAlign w:val="bottom"/>
          </w:tcPr>
          <w:p>
            <w:pPr>
              <w:spacing w:after="0"/>
              <w:rPr>
                <w:sz w:val="20"/>
                <w:szCs w:val="20"/>
                <w:color w:val="auto"/>
              </w:rPr>
            </w:pPr>
          </w:p>
        </w:tc>
        <w:tc>
          <w:tcPr>
            <w:tcW w:w="17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20" w:type="dxa"/>
            <w:vAlign w:val="bottom"/>
          </w:tcPr>
          <w:p>
            <w:pPr>
              <w:spacing w:after="0"/>
              <w:rPr>
                <w:sz w:val="20"/>
                <w:szCs w:val="20"/>
                <w:color w:val="auto"/>
              </w:rPr>
            </w:pPr>
          </w:p>
        </w:tc>
        <w:tc>
          <w:tcPr>
            <w:tcW w:w="14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10"/>
        </w:trPr>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180" w:type="dxa"/>
            <w:vAlign w:val="bottom"/>
          </w:tcPr>
          <w:p>
            <w:pPr>
              <w:spacing w:after="0"/>
              <w:rPr>
                <w:sz w:val="20"/>
                <w:szCs w:val="20"/>
                <w:color w:val="auto"/>
              </w:rPr>
            </w:pPr>
          </w:p>
        </w:tc>
        <w:tc>
          <w:tcPr>
            <w:tcW w:w="316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gridSpan w:val="3"/>
          </w:tcPr>
          <w:p>
            <w:pPr>
              <w:spacing w:after="0"/>
              <w:rPr>
                <w:sz w:val="20"/>
                <w:szCs w:val="20"/>
                <w:color w:val="auto"/>
              </w:rPr>
            </w:pPr>
          </w:p>
        </w:tc>
      </w:tr>
      <w:tr>
        <w:trPr>
          <w:trHeight w:val="391"/>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(22,455)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(43,979)</w:t>
            </w:r>
          </w:p>
        </w:tc>
      </w:tr>
      <w:tr>
        <w:trPr>
          <w:trHeight w:val="248"/>
        </w:trPr>
        <w:tc>
          <w:tcPr>
            <w:tcW w:w="180" w:type="dxa"/>
            <w:vAlign w:val="bottom"/>
          </w:tcPr>
          <w:p>
            <w:pPr>
              <w:spacing w:after="0"/>
              <w:rPr>
                <w:sz w:val="21"/>
                <w:szCs w:val="21"/>
                <w:color w:val="auto"/>
              </w:rPr>
            </w:pPr>
          </w:p>
        </w:tc>
        <w:tc>
          <w:tcPr>
            <w:tcW w:w="1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180" w:type="dxa"/>
            <w:vAlign w:val="bottom"/>
          </w:tcPr>
          <w:p>
            <w:pPr>
              <w:spacing w:after="0"/>
              <w:rPr>
                <w:sz w:val="24"/>
                <w:szCs w:val="24"/>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4"/>
                <w:szCs w:val="24"/>
                <w:color w:val="auto"/>
              </w:rPr>
            </w:pPr>
          </w:p>
        </w:tc>
        <w:tc>
          <w:tcPr>
            <w:tcW w:w="13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4"/>
                <w:szCs w:val="24"/>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460" w:space="720"/>
            <w:col w:w="4060"/>
          </w:cols>
          <w:pgMar w:left="320" w:top="90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color w:val="auto"/>
        </w:rPr>
        <w:t>Pro forma net loss per Class A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 forma net loss attributable to all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180" w:right="2220"/>
        <w:spacing w:after="0" w:line="306" w:lineRule="auto"/>
        <w:rPr>
          <w:sz w:val="20"/>
          <w:szCs w:val="20"/>
          <w:color w:val="auto"/>
        </w:rPr>
      </w:pPr>
      <w:r>
        <w:rPr>
          <w:rFonts w:ascii="Times New Roman" w:cs="Times New Roman" w:eastAsia="Times New Roman" w:hAnsi="Times New Roman"/>
          <w:sz w:val="17"/>
          <w:szCs w:val="17"/>
          <w:color w:val="auto"/>
        </w:rPr>
        <w:t>Class B stock as a percentage of total shares outstanding Pro forma net loss attributable to Class B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77227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77227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Weighted-average Class B stock outstanding—basic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180" w:type="dxa"/>
            <w:vAlign w:val="bottom"/>
          </w:tcPr>
          <w:p>
            <w:pPr>
              <w:spacing w:after="0"/>
              <w:rPr>
                <w:sz w:val="20"/>
                <w:szCs w:val="20"/>
                <w:color w:val="auto"/>
              </w:rPr>
            </w:pPr>
          </w:p>
        </w:tc>
        <w:tc>
          <w:tcPr>
            <w:tcW w:w="17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20" w:type="dxa"/>
            <w:vAlign w:val="bottom"/>
          </w:tcPr>
          <w:p>
            <w:pPr>
              <w:spacing w:after="0"/>
              <w:rPr>
                <w:sz w:val="20"/>
                <w:szCs w:val="20"/>
                <w:color w:val="auto"/>
              </w:rPr>
            </w:pPr>
          </w:p>
        </w:tc>
        <w:tc>
          <w:tcPr>
            <w:tcW w:w="14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10"/>
        </w:trPr>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180" w:type="dxa"/>
            <w:vAlign w:val="bottom"/>
          </w:tcPr>
          <w:p>
            <w:pPr>
              <w:spacing w:after="0"/>
              <w:rPr>
                <w:sz w:val="20"/>
                <w:szCs w:val="20"/>
                <w:color w:val="auto"/>
              </w:rPr>
            </w:pPr>
          </w:p>
        </w:tc>
        <w:tc>
          <w:tcPr>
            <w:tcW w:w="316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gridSpan w:val="3"/>
          </w:tcPr>
          <w:p>
            <w:pPr>
              <w:spacing w:after="0"/>
              <w:rPr>
                <w:sz w:val="20"/>
                <w:szCs w:val="20"/>
                <w:color w:val="auto"/>
              </w:rPr>
            </w:pPr>
          </w:p>
        </w:tc>
      </w:tr>
      <w:tr>
        <w:trPr>
          <w:trHeight w:val="391"/>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(22,455)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(43,979)</w:t>
            </w:r>
          </w:p>
        </w:tc>
      </w:tr>
      <w:tr>
        <w:trPr>
          <w:trHeight w:val="248"/>
        </w:trPr>
        <w:tc>
          <w:tcPr>
            <w:tcW w:w="180" w:type="dxa"/>
            <w:vAlign w:val="bottom"/>
          </w:tcPr>
          <w:p>
            <w:pPr>
              <w:spacing w:after="0"/>
              <w:rPr>
                <w:sz w:val="21"/>
                <w:szCs w:val="21"/>
                <w:color w:val="auto"/>
              </w:rPr>
            </w:pPr>
          </w:p>
        </w:tc>
        <w:tc>
          <w:tcPr>
            <w:tcW w:w="1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99.88%</w:t>
            </w:r>
          </w:p>
        </w:tc>
        <w:tc>
          <w:tcPr>
            <w:tcW w:w="120" w:type="dxa"/>
            <w:vAlign w:val="bottom"/>
          </w:tcPr>
          <w:p>
            <w:pPr>
              <w:spacing w:after="0"/>
              <w:rPr>
                <w:sz w:val="21"/>
                <w:szCs w:val="21"/>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99.88%</w:t>
            </w: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(43,925</w:t>
            </w: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180" w:type="dxa"/>
            <w:vAlign w:val="bottom"/>
          </w:tcPr>
          <w:p>
            <w:pPr>
              <w:spacing w:after="0"/>
              <w:rPr>
                <w:sz w:val="24"/>
                <w:szCs w:val="24"/>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120,402</w:t>
            </w:r>
          </w:p>
        </w:tc>
        <w:tc>
          <w:tcPr>
            <w:tcW w:w="12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120,336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460" w:space="720"/>
            <w:col w:w="4060"/>
          </w:cols>
          <w:pgMar w:left="320" w:top="900" w:right="339" w:bottom="1440" w:gutter="0" w:footer="0" w:header="0"/>
          <w:type w:val="continuous"/>
        </w:sectPr>
      </w:pPr>
    </w:p>
    <w:p>
      <w:pPr>
        <w:ind w:left="180"/>
        <w:spacing w:after="0"/>
        <w:tabs>
          <w:tab w:leader="none" w:pos="7180" w:val="left"/>
          <w:tab w:leader="none" w:pos="8420" w:val="left"/>
          <w:tab w:leader="none" w:pos="9060" w:val="left"/>
          <w:tab w:leader="none" w:pos="10120" w:val="left"/>
        </w:tabs>
        <w:rPr>
          <w:sz w:val="20"/>
          <w:szCs w:val="20"/>
          <w:color w:val="auto"/>
        </w:rPr>
      </w:pPr>
      <w:r>
        <w:rPr>
          <w:rFonts w:ascii="Times New Roman" w:cs="Times New Roman" w:eastAsia="Times New Roman" w:hAnsi="Times New Roman"/>
          <w:sz w:val="18"/>
          <w:szCs w:val="18"/>
          <w:color w:val="auto"/>
        </w:rPr>
        <w:t>Pro forma net loss per Class B share, basic and diluted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(0.19)</w:t>
        <w:tab/>
        <w:t>$</w:t>
      </w:r>
      <w:r>
        <w:rPr>
          <w:sz w:val="20"/>
          <w:szCs w:val="20"/>
          <w:color w:val="auto"/>
        </w:rPr>
        <w:tab/>
      </w:r>
      <w:r>
        <w:rPr>
          <w:rFonts w:ascii="Times New Roman" w:cs="Times New Roman" w:eastAsia="Times New Roman" w:hAnsi="Times New Roman"/>
          <w:sz w:val="18"/>
          <w:szCs w:val="18"/>
          <w:color w:val="auto"/>
        </w:rPr>
        <w:t>(0.37)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2275" cy="1797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p>
      <w:pPr>
        <w:spacing w:after="0" w:line="2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Supplemental cash flow disclosures are as follows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Cash paid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-119380</wp:posOffset>
            </wp:positionV>
            <wp:extent cx="60604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Interest</w:t>
      </w:r>
    </w:p>
    <w:p>
      <w:pPr>
        <w:spacing w:after="0" w:line="3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-119380</wp:posOffset>
            </wp:positionV>
            <wp:extent cx="606044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For the six</w:t>
      </w:r>
    </w:p>
    <w:p>
      <w:pPr>
        <w:spacing w:after="0" w:line="3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months ended</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440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34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440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80" w:type="dxa"/>
            <w:vAlign w:val="bottom"/>
          </w:tcPr>
          <w:p>
            <w:pPr>
              <w:spacing w:after="0"/>
              <w:rPr>
                <w:sz w:val="20"/>
                <w:szCs w:val="20"/>
                <w:color w:val="auto"/>
              </w:rPr>
            </w:pP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720"/>
            <w:col w:w="3200"/>
          </w:cols>
          <w:pgMar w:left="320" w:top="90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 options exchanged in lieu of income taxes</w:t>
            </w:r>
          </w:p>
        </w:tc>
        <w:tc>
          <w:tcPr>
            <w:tcW w:w="32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6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Acquisition purchase commitment liability</w:t>
            </w:r>
          </w:p>
        </w:tc>
        <w:tc>
          <w:tcPr>
            <w:tcW w:w="29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Equipment acquired through capital leases</w:t>
            </w:r>
          </w:p>
        </w:tc>
        <w:tc>
          <w:tcPr>
            <w:tcW w:w="29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4260" w:type="dxa"/>
            <w:vAlign w:val="bottom"/>
            <w:tcBorders>
              <w:bottom w:val="single" w:sz="8" w:color="CCEEFF"/>
            </w:tcBorders>
            <w:vMerge w:val="continue"/>
          </w:tcPr>
          <w:p>
            <w:pPr>
              <w:spacing w:after="0"/>
              <w:rPr>
                <w:sz w:val="20"/>
                <w:szCs w:val="20"/>
                <w:color w:val="auto"/>
              </w:rPr>
            </w:pPr>
          </w:p>
        </w:tc>
        <w:tc>
          <w:tcPr>
            <w:tcW w:w="29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Remeasurement of options for redeemable shares</w:t>
            </w:r>
          </w:p>
        </w:tc>
        <w:tc>
          <w:tcPr>
            <w:tcW w:w="2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29,879</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92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8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standard amends several of aspects of lease accounting, including requiring lessees to recognize operating leases with a term greater than one year on their balance sheet as a right-of-use asset, and a corresponding lease liability, measured at the present value of the future minimum lease payments. The standard is effective for public entities for fiscal years and interim periods beginning after December 15, 2018, and after December 15, 2020 for all other companies, with early adoption permitted. The Company intends to adopt this standard effective January 1, 2021 using the modified retrospective transition method and therefore will not restate comparative periods. The Company expects to elect the “package of three” practical expedients permitted under the transition guidance, which allows (i) a carry forward of the historical lease classification conclusions, (ii) management’s assessment on whether a contract is or contains a lease, and (iii) the initial direct costs for any leases that exist prior to adoption of the new standard. The Company is currently evaluating the impact this guidance will have on the Company’s consolidated financial statements. While the Company has not yet quantified the impact, resulting adjustments are expected to materially increase total assets and total liabilities relative to such amounts reported prior to adoption, but not have a material impact on the consolidated statements of comprehensive income (loss) or consolidated statements of cash flows.</w:t>
      </w:r>
    </w:p>
    <w:p>
      <w:pPr>
        <w:spacing w:after="0" w:line="19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(“ASU 2016-13”) which replaces the existing incurred loss impairment model with an expected credit loss model and requires financial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trade receivables, to be measured at amortized cost to be presented at the net amount expected to be collected. ASU 2016-13 is effective for annual periods, and interim periods within those years, beginning after December 15, 2019, for business entities that are public and meet the definition of an SEC filer (excluding smaller reporting companies), and after December 15, 2022 for all other entities. The Company has elected to delay adoption of this guidance until January 1, 2021. The implementation of ASC 2016-13 is not expected to have a material impact on the Company’s financial position.</w:t>
      </w:r>
    </w:p>
    <w:p>
      <w:pPr>
        <w:spacing w:after="0" w:line="182"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(“ASU 2017-04”) to eliminate step two of the goodwill impairment test requiring a 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In addition, income tax effects from any tax-deductible goodwill on the carrying amount of the reporting unit should be considered when measuring the goodwill impairment loss, if applicable. ASU 2017-04 is effective for annual periods, and interim periods within those years, beginning after December 15, 2019, for business entities that are public and meet the definition of an SEC filer (excluding smaller reporting companies), and after December 15, 2022 for all other entities. The Company has adopted this guidance effective as of January 1, 2020.</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Update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which simplifies the accounting for income taxes. The guidance in ASU 2019-12 is required for annual reporting periods, including interim periods within those annual periods, beginning after December 15, 2020, for business entities that are public, and after December 15, 2021, including interim periods within those annual periods for all other entities, with early adoption permitted. The Company will adopt this guidance on January 1, 2021. The Company is currently evaluating the impact this guidance will have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2019, a novel strain of coronavirus (“COVID-19”) appeared. In March 2020, the World Health Organization declared the outbreak of COVID-19 to be a pandemic. The COVID-19 pandemic is having widespread, rapidly evolving and unpredictable impacts on global society, economies, financial markets and business practices. To protect the health and well-being of Company employees and customers, substantial modifications were made to employee travel policies, our offices were closed and employees advised to work from home, and conferences and other marketing events were cancelled or shifted to virtual-only. The COVID-19 pandemic has impacted and may continue to impact Company operations, including employees, customers and partners, and there is substantial uncertainty in the nature and degree of its continued effects over time.</w:t>
      </w:r>
    </w:p>
    <w:p>
      <w:pPr>
        <w:spacing w:after="0" w:line="187"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The Company did not experience any significant reductions in sales, revenues or collections through June 30, 2020 as a result of COVID-19. The uncertainty caused by the COVID-19 pandemic could, however, impact Company billings to new customers for the remainder of 2020, and may also negatively impact Company efforts to expand revenues from existing customers as they continue to evaluate certain long-term projects and budget constraints. In addition to the potential impact on sales, the Company may see delays in collections over the coming months. However, these delays are not expected to materially impact the business, and thus the Company has not recorded an additional allowance for doubtful accounts in connection with any delays. The Company believes it has ample liquidity and capital resources to continue to meet its operating needs, and to service debt and other financial obligations.</w:t>
      </w:r>
    </w:p>
    <w:p>
      <w:pPr>
        <w:spacing w:after="0" w:line="18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impacts the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 lived assets.</w:t>
      </w:r>
    </w:p>
    <w:p>
      <w:pPr>
        <w:spacing w:after="0" w:line="18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tab/>
        <w:t>ACQUISITION</w:t>
      </w:r>
    </w:p>
    <w:p>
      <w:pPr>
        <w:spacing w:after="0" w:line="229" w:lineRule="exact"/>
        <w:rPr>
          <w:sz w:val="20"/>
          <w:szCs w:val="20"/>
          <w:color w:val="auto"/>
        </w:rPr>
      </w:pPr>
    </w:p>
    <w:p>
      <w:pPr>
        <w:jc w:val="both"/>
        <w:ind w:firstLine="297"/>
        <w:spacing w:after="0" w:line="253" w:lineRule="auto"/>
        <w:rPr>
          <w:sz w:val="20"/>
          <w:szCs w:val="20"/>
          <w:color w:val="auto"/>
        </w:rPr>
      </w:pPr>
      <w:r>
        <w:rPr>
          <w:rFonts w:ascii="Times New Roman" w:cs="Times New Roman" w:eastAsia="Times New Roman" w:hAnsi="Times New Roman"/>
          <w:sz w:val="18"/>
          <w:szCs w:val="18"/>
          <w:color w:val="auto"/>
        </w:rPr>
        <w:t>On January 7, 2020, the Company acquired a 60% controlling interest in Systax, a provider of Brazilian transaction tax content and software. Cash consideration for the purchase was $12,374 and was funded through borrowings under the revolving line of credit (the “Line of Credit”). This acquisition provides the Company with full access to a sizeable database of Brazilian tax content that is critical to supporting its global multi-national customers’ business expansion into Brazil. The Company has a contractual purchase commitment to acquire the remaining 40% equity interest from the original Systax Quota holders incrementally between 2021 through 2024. Future purchase commitment payments for these incremental acquisition amounts are based on a multiple of Systax revenue and earnings before interest, depreciation, amortization and income taxes (“EBITDA”) performance at the end of 2020, 2022 and 2023, whereby the Company will have full ownership after the final payment in 2024. Management has determined these future purchase commitments to be a forward contract, resulting in the Company being required to estimate and record an estimated future purchase commitment amount (the “Purchase Commitment Liability”) in connection with recording the initial purchase. The Purchase Commitment Liability is estimated to be $14,344 at the acquisition date based on information currently available. This amount is reflected in future acquisition commitment in the consolidated balance sheet at June 30, 2020, and any adjustments to the acquisition date fair value of this commitment will be adjusted to goodwill during the Measurement Period. Adjustments to the settlement date value that arise as a result of remeasurement at future balance sheet dates will be recorded as interest expense in the consolidated statements of comprehensive income (loss) in the period the change is identified.</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the total preliminary purchase price was allocated to the net tangible assets acquired and liabilities assumed based on their estimated fair values on the acquisition date, with the excess being recorded as goodwill. The net tangible assets acquired and liabilities assumed were valued at their respective carrying amounts as of the acquisition date pending the receipt of additional information during the Measurement Period. The contractual value of accounts receivable was $867 at acquisition date. The excess of the purchase consideration over the net tangible assets is recorded as goodwill and primarily reflects the value of the tax content database, the assembled workforce and expected future synergies. Goodwill is deductible for tax purposes. The preliminary values recorded will be adjusted during the Measurement Period as more detailed analyses are performed and further information becomes available regarding the fair values of these amounts as of the acquisition date. Any such adjustments may be material. Subsequent adjustments to these values not associated with determination of their fair values on the acquisition date would be recorded in the consolidated statements of comprehensive income (loss) in the period the change is identified.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purchase price allocation recorded in the Company’s consolidated balance sheet as of the acquisition date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Initial Purchase</w:t>
            </w:r>
          </w:p>
        </w:tc>
      </w:tr>
      <w:tr>
        <w:trPr>
          <w:trHeight w:val="238"/>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and Assumed Liabilities</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Price Allocation</w:t>
            </w:r>
          </w:p>
        </w:tc>
      </w:tr>
      <w:tr>
        <w:trPr>
          <w:trHeight w:val="187"/>
        </w:trPr>
        <w:tc>
          <w:tcPr>
            <w:tcW w:w="9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6"/>
                <w:szCs w:val="16"/>
                <w:color w:val="auto"/>
              </w:rPr>
            </w:pPr>
          </w:p>
        </w:tc>
      </w:tr>
      <w:tr>
        <w:trPr>
          <w:trHeight w:val="238"/>
        </w:trPr>
        <w:tc>
          <w:tcPr>
            <w:tcW w:w="9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26,124</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 at acquisition date</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97"/>
        <w:spacing w:after="0" w:line="254" w:lineRule="auto"/>
        <w:rPr>
          <w:sz w:val="20"/>
          <w:szCs w:val="20"/>
          <w:color w:val="auto"/>
        </w:rPr>
      </w:pPr>
      <w:r>
        <w:rPr>
          <w:rFonts w:ascii="Times New Roman" w:cs="Times New Roman" w:eastAsia="Times New Roman" w:hAnsi="Times New Roman"/>
          <w:sz w:val="18"/>
          <w:szCs w:val="18"/>
          <w:color w:val="auto"/>
        </w:rPr>
        <w:t>The Company has included the financial results of Systax in the consolidated statement of comprehensive income (loss) from the date of acquisition in accordance with ASC 810 due to the Company having a controlling financial interest in Systax. Systax revenue and net loss for the three months ended June 30, 2020 (unaudited) reflected in the consolidated statement of comprehensive income (loss), after elimination of intercompany activity, were $944 and ($25), respectively. Systax revenue and net loss for the six months ended June 30, 2020 (unaudited) reflected in the consolidated statement of comprehensive income (loss), after elimination of intercompany activity, were $2,087 and ($281), respectively. As the Systax acquisition did not have a material impact on the Company’s reported revenue or net loss for the three and six months ended June 30, 2020, pro forma financial information has not been presented. The transaction costs associated with the acquisition were approximately $504 and were recorded in general and administrative expense in the year ending December 31,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major components of property and equipment are as follows:</w:t>
            </w: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21,028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40,698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acquired</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Cloud-based services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54,689</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24,584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Automobiles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(109,763)</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16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excluding all internal-use software and capital leases, was $1,773 and $1,371 for the three months ended June 30, 2020 and 2019 (unaudited), respectively, and $3,948 and $2,788 for the six months ended June 30, 2020 and 2019 (unaudited), respectively. Depreciation for property and equipment, excluding all internal-use software, is reflected in depreciation and amortization in the consolidated statements of comprehensive income (loss).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Assets under capital leases of $1,455 and $1,120, net of accumulated depreciation of $627 and $962, at December 31, 2019 and June 30, 2020 (unaudited), respectively, are included in property and equipment in the consolidated balance sheets. Depreciation expense for assets held under capital leases was $167 and $167 for the three months ended June 30, 2020 and 2019 (unaudited), respectively, and $335 and $229 for the six months ended June 30, 2020 and 2019 (unaudited), respectively. Depreciation expense for assets held under capital leases is included in depreciation and amortization expense in the consolidated statements of comprehensive income (loss).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major components of internal-use software are as follows:</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6520" w:type="dxa"/>
            <w:vAlign w:val="bottom"/>
          </w:tcPr>
          <w:p>
            <w:pPr>
              <w:spacing w:after="0"/>
              <w:rPr>
                <w:sz w:val="24"/>
                <w:szCs w:val="24"/>
                <w:color w:val="auto"/>
              </w:rPr>
            </w:pPr>
          </w:p>
        </w:tc>
        <w:tc>
          <w:tcPr>
            <w:tcW w:w="3300" w:type="dxa"/>
            <w:vAlign w:val="bottom"/>
            <w:gridSpan w:val="4"/>
          </w:tcPr>
          <w:p>
            <w:pPr>
              <w:ind w:left="16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8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r>
      <w:tr>
        <w:trPr>
          <w:trHeight w:val="238"/>
        </w:trPr>
        <w:tc>
          <w:tcPr>
            <w:tcW w:w="6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r>
      <w:tr>
        <w:trPr>
          <w:trHeight w:val="209"/>
        </w:trPr>
        <w:tc>
          <w:tcPr>
            <w:tcW w:w="6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20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79,273</w:t>
            </w: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(59,051)</w:t>
            </w:r>
          </w:p>
        </w:tc>
      </w:tr>
      <w:tr>
        <w:trPr>
          <w:trHeight w:val="209"/>
        </w:trPr>
        <w:tc>
          <w:tcPr>
            <w:tcW w:w="65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5,587</w:t>
            </w:r>
          </w:p>
        </w:tc>
      </w:tr>
      <w:tr>
        <w:trPr>
          <w:trHeight w:val="223"/>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Internal-use software developed, net</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Amounts capitalized for internal-use software and included in property and equipment additions on the consolidated statements of cash flows are as follows: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Cloud-based solutions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systems and tools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17056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ind w:left="44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05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14605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820" w:val="left"/>
          <w:tab w:leader="none" w:pos="144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7,731</w:t>
        <w:tab/>
        <w:t>$</w:t>
      </w:r>
      <w:r>
        <w:rPr>
          <w:sz w:val="20"/>
          <w:szCs w:val="20"/>
          <w:color w:val="auto"/>
        </w:rPr>
        <w:tab/>
      </w:r>
      <w:r>
        <w:rPr>
          <w:rFonts w:ascii="Times New Roman" w:cs="Times New Roman" w:eastAsia="Times New Roman" w:hAnsi="Times New Roman"/>
          <w:sz w:val="18"/>
          <w:szCs w:val="18"/>
          <w:color w:val="auto"/>
        </w:rPr>
        <w:t>4,594</w:t>
      </w:r>
    </w:p>
    <w:p>
      <w:pPr>
        <w:spacing w:after="0" w:line="9" w:lineRule="exact"/>
        <w:rPr>
          <w:sz w:val="20"/>
          <w:szCs w:val="20"/>
          <w:color w:val="auto"/>
        </w:rPr>
      </w:pPr>
    </w:p>
    <w:p>
      <w:pPr>
        <w:jc w:val="both"/>
        <w:ind w:left="980"/>
        <w:spacing w:after="0"/>
        <w:tabs>
          <w:tab w:leader="none" w:pos="2260" w:val="left"/>
        </w:tabs>
        <w:rPr>
          <w:sz w:val="20"/>
          <w:szCs w:val="20"/>
          <w:color w:val="auto"/>
        </w:rPr>
      </w:pPr>
      <w:r>
        <w:rPr>
          <w:rFonts w:ascii="Times New Roman" w:cs="Times New Roman" w:eastAsia="Times New Roman" w:hAnsi="Times New Roman"/>
          <w:sz w:val="18"/>
          <w:szCs w:val="18"/>
          <w:color w:val="auto"/>
        </w:rPr>
        <w:t>939</w:t>
      </w:r>
      <w:r>
        <w:rPr>
          <w:sz w:val="20"/>
          <w:szCs w:val="20"/>
          <w:color w:val="auto"/>
        </w:rPr>
        <w:tab/>
      </w:r>
      <w:r>
        <w:rPr>
          <w:rFonts w:ascii="Times New Roman" w:cs="Times New Roman" w:eastAsia="Times New Roman" w:hAnsi="Times New Roman"/>
          <w:sz w:val="18"/>
          <w:szCs w:val="18"/>
          <w:color w:val="auto"/>
        </w:rPr>
        <w:t>1,622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14605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tabs>
          <w:tab w:leader="none" w:pos="820" w:val="left"/>
          <w:tab w:leader="none" w:pos="144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8,670</w:t>
        <w:tab/>
        <w:t>$</w:t>
      </w:r>
      <w:r>
        <w:rPr>
          <w:sz w:val="20"/>
          <w:szCs w:val="20"/>
          <w:color w:val="auto"/>
        </w:rPr>
        <w:tab/>
      </w:r>
      <w:r>
        <w:rPr>
          <w:rFonts w:ascii="Times New Roman" w:cs="Times New Roman" w:eastAsia="Times New Roman" w:hAnsi="Times New Roman"/>
          <w:sz w:val="18"/>
          <w:szCs w:val="18"/>
          <w:color w:val="auto"/>
        </w:rPr>
        <w:t>6,216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1705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In-process internal-use software is not depreciated until it is available for its intended use. Depreciation expense for internal-use software used for cloud-based solutions for the three months ended June 30, 2020 and 2019 (unaudited) was $2,453 and $2,105, respectively, and $4,464 and $4,219 for the six months ended June 30, 2020 and 2019 (unaudited), respectively. Depreciation expense for internal-use software used for cloud-based solutions is included in cost of revenues, software subscriptions in the consolidated statements of comprehensive income (loss).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internal-use software utilized for internal systems and tools for the three months ended June 30, 2020 and 2019 (unaudited) was $565 and $634, respectively, and $1,091 and $1,200 for the six months ended June 30, 2020 and 2019 (unaudited), respectively. Depreciation expense for internal-use software utilized for internal systems and tools is included in depreciation and amortization in the consolidated statements of comprehensive income (loss).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associated with internal-use software were $240 and $211 for the three months ended June 30, 2020 and 2019 (unaudited), respectively, and $735 and $398 for the six months ended June 30, 2020 and 2019 (unaudited),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Capitalized software includes acquired software and direct labor and related expenses for software developed for sale for new products and enhancements to existing products. Software development costs capitalized for the three months ended June 30, 2020 and 2019 (unaudited) were $3,558 and $4,186, respectively, and $7,264 and $8,101 for the six months ended June 30, 2020 and 2019 (audited),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major components of capitalized software are as follows: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480" w:type="dxa"/>
            <w:vAlign w:val="bottom"/>
          </w:tcPr>
          <w:p>
            <w:pPr>
              <w:spacing w:after="0"/>
              <w:rPr>
                <w:sz w:val="24"/>
                <w:szCs w:val="24"/>
                <w:color w:val="auto"/>
              </w:rPr>
            </w:pPr>
          </w:p>
        </w:tc>
        <w:tc>
          <w:tcPr>
            <w:tcW w:w="3320" w:type="dxa"/>
            <w:vAlign w:val="bottom"/>
            <w:gridSpan w:val="4"/>
          </w:tcPr>
          <w:p>
            <w:pPr>
              <w:ind w:left="17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r>
      <w:tr>
        <w:trPr>
          <w:trHeight w:val="238"/>
        </w:trPr>
        <w:tc>
          <w:tcPr>
            <w:tcW w:w="6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r>
      <w:tr>
        <w:trPr>
          <w:trHeight w:val="209"/>
        </w:trPr>
        <w:tc>
          <w:tcPr>
            <w:tcW w:w="6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04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47,862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57,560</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25,859</w:t>
            </w:r>
          </w:p>
        </w:tc>
      </w:tr>
      <w:tr>
        <w:trPr>
          <w:trHeight w:val="209"/>
        </w:trPr>
        <w:tc>
          <w:tcPr>
            <w:tcW w:w="64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27,581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In-process capitalized software</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r>
      <w:tr>
        <w:trPr>
          <w:trHeight w:val="223"/>
        </w:trPr>
        <w:tc>
          <w:tcPr>
            <w:tcW w:w="6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32,075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Capitalized software amortization expense for the three months ended June 30, 2020 and 2019 was $3,022 and $1,903, respectively, and $5,578 and $3,718 for the six months ended June 30, 2020 and 2019, respectively, and is included in cost of revenues, software subscriptions in the consolidated statements of comprehensive income (loss).</w:t>
      </w:r>
    </w:p>
    <w:p>
      <w:pPr>
        <w:sectPr>
          <w:pgSz w:w="11900" w:h="16838" w:orient="portrait"/>
          <w:cols w:equalWidth="0" w:num="1">
            <w:col w:w="11240"/>
          </w:cols>
          <w:pgMar w:left="320" w:top="900" w:right="339" w:bottom="1440" w:gutter="0" w:footer="0" w:header="0"/>
        </w:sectPr>
      </w:pPr>
    </w:p>
    <w:p>
      <w:pPr>
        <w:spacing w:after="0" w:line="17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for the six months ended June 30, 2020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-119380</wp:posOffset>
            </wp:positionV>
            <wp:extent cx="427736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Acquisition of Systax,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42773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7"/>
          <w:szCs w:val="17"/>
          <w:color w:val="auto"/>
        </w:rPr>
        <w:t>Foreign currency translation adjustment for the three months ended March 30</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Foreign currency translation adjustment for the three months ended June 30</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6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5746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4" w:lineRule="exact"/>
        <w:rPr>
          <w:sz w:val="20"/>
          <w:szCs w:val="20"/>
          <w:color w:val="auto"/>
        </w:rPr>
      </w:pPr>
    </w:p>
    <w:p>
      <w:pPr>
        <w:ind w:left="720" w:hanging="720"/>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26,124</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(5,893)</w:t>
      </w:r>
    </w:p>
    <w:p>
      <w:pPr>
        <w:spacing w:after="0" w:line="20"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(876)</w:t>
      </w:r>
    </w:p>
    <w:p>
      <w:pPr>
        <w:spacing w:after="0" w:line="43" w:lineRule="exact"/>
        <w:rPr>
          <w:sz w:val="20"/>
          <w:szCs w:val="20"/>
          <w:color w:val="auto"/>
        </w:rPr>
      </w:pPr>
    </w:p>
    <w:p>
      <w:pPr>
        <w:ind w:left="420" w:hanging="420"/>
        <w:spacing w:after="0"/>
        <w:tabs>
          <w:tab w:leader="none" w:pos="42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5746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7840" w:space="180"/>
            <w:col w:w="3220"/>
          </w:cols>
          <w:pgMar w:left="320" w:top="900" w:right="339" w:bottom="1440" w:gutter="0" w:footer="0" w:header="0"/>
          <w:type w:val="continuous"/>
        </w:sectPr>
      </w:pP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New Credit Agreement (unaudited)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31, 2020, the Company entered into a new credit agreement with a bank, which was subsequently amended on April 3, 2020 to permit another bank to be a party to the agreement, consisting of a $175,000 term loan (the “New Term Loan”) and a $100,000 committed line of credit (the “New Line of Credit”) (collectively, the “New Credit Agreement”). Absent the occurrence of a triggering event, such as an initial public offering which requires immediate repayment of the New Term Loan, the New Term Loan matures in March 2023 and requires quarterly principal payments of $4,375 starting October 1, 2020, with a balloon payment on the payoff date. The Company was required to distribute not less than $110,000 and not more than $125,000 to stockholders within 90 days of the closing date of the New Credit Agreement or such amount must be repaid to the lender. Net proceeds from the New Term Loan after payment of financing fees of $2,904 and repayment of aggregate amounts outstanding at March 31, 2020 under the previous credit agreement term loan and line of credit of $61,656, were used to fund a portion of the $123,000 distribution made to the stockholders on May 29, 2020, thus satisfying this requirement. The New Term Loan was repaid on July 31, 2020 upon funding of the Offering (see Note 13). The outstanding balance of the New Term Loan of $175,000 was classified as long-term debt, net of current portion in the consolidated balance sheet at June 30, 2020 due to this amount being repaid on July 31, 2020 with a portion of the proceeds from the Offering.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New Line of Credit matures in March 2025 and had no outstanding borrowings at closing. The Company has the option to select an applicable interest rate at either the bank base rate plus an applicable margin (the “New Base Rate Option”) or the LIBOR plus an applicable margin (the “New LIBOR Option”). The applicable margins are determined by certain financial covenant performance as defined in the New Credit Agreement. At June 30, 2020, the New Base Rate Option and New LIBOR Option were 3.75% and 2.50%, respectively. The New Credit Agreement is collateralized by certain assets of the Company. The New Credit Agreement contains financial and operating covenants. The Company was in compliance with these covenants at June 30, 2020.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2019, the Company had a credit agreement (the “Credit Agreement”) consisting of a term loan (the “Term Loan”) with an outstanding principal balance of $50,375 and a $40,000 committed line of credit (the “Line of Credit”) with no outstanding borrowings. The Company had the option to select an applicable interest rate at either the bank base rate plus an applicable margin (the “Base Rate Option”) or the London Interbank Offered Rate (“LIBOR”) plus an applicable margin (the “LIBOR Option”). The applicable margins were determined by certain financial covenant performance as defined in the Credit Agreement. At December 31, 2019, the Base Rate Option and LIBOR Option resulted in rates of 4.75% and 2.69%, respectively. The Credit Agreement was collateralized by certain assets of the Company. The Credit Agreement contained financial and operating covenants, which included limitations on the amount of dividends payable in a given period. The Company was in compliance with these covenants at December 31, 2019.</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Loan required quarterly principal payments over five years, with a balloon payment in November 2020. The interest rate on the Term Loan was 2.69% at December 31, 2019 as the Company selected the LIBOR Option. Term Loan outstanding amounts are reported in current portion of long-term debt and long-term debt, net of current portion, in the consolidated balance sheets. As a result of the Term Loan becoming due in November 2020, the balance outstanding of $50,375 was included in current portion of long-term debt on the consolidated balance sheet at December 31, 2019.</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Line of Credit was due to expire on November 1, 2020. The Company was required to pay a quarterly fee on the difference between the $40,000 maximum borrowings allowed under the Line of Credit and the unpaid principal balance outstanding under the line at an applicable rate. The applicable rate, determined by certain financial covenant performance as defined in the Credit Agreement, was 0.200%.</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Unamortized deferred financing costs of $221 at December 31, 2019 are included as a reduction in current portion of long-term debt in the consolidated balance sheets. Amortization expense of deferred financing costs will be $221 in 2020 and will be included in interest expense in the consolidated statements of comprehensive income (loss).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Capital Leases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Capital lease obligations were $1,333 and $701 at December 31, 2019 and June 30, 2020 (unaudited), respectively, and are included in current portion of long-term debt and long-term debt, net of current portion in the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FOR REDEEMABLE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2006, Vertex issued stock options under separate option agreements, not subject to an option plan, permitting certain key members of management and the Board to purchase shares of Class B common stock. At December 31, 2019 and June 30, 2020, 3,849 and 3,676 (unaudited) shares of Class B common stock, respectively, were reserved for issuance under these option agreements. The exercise price of the shares under these option agreements is equal to the fair value of the shares as of the grant date, as determined by the Board with assistance from management and an independent third-party valuation provider. No options have been issued since December 2005. All options are fully vested at December 31, 2019 and June 30, 2020.</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options are exercisable upon: (i) any time after the option holder is no longer an employee of the Company or a member of the Board; (ii) the Grantee’s death or disability; (iii) the occurrence of a Partial Triggering Event (as defined below); or (iv) the occurrence of a Triggering Event (as defined below). In addition, the option agreements provide employee option holders with the ability to exercise a portion of their options between April 15 and April 30 of each year based upon the fair value of the Class B common stock as of December 31 of the prior calendar year, provided that certain Company performance is achieved. At the election of the Company, the option agreements allow option holders to satisfy tax withholding obligations incurred in connection with the exercise by exchanging exercised options in lieu of payment of income taxes paid by the Company on their behalf. The fair value of exchanged exercised options is recorded as a reduction to stockholders’ deficit as part of the exercise of the related options, net of cash received.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these option agreements permit the option holders to put their exercised shares back to the Company for a price per share based upon the fair value of the Class B common stock determined six months after the holder exercised the options, they are classified as temporary equity and included in options for redeemable shares on the consolidated balance sheets. In addition, these option agreements permit the Company to call the shares based upon the fair value of the Class B common stock determined six months after the options were exercised. The Company has never exercised its right to call any shares issued from option exercises. In the event of the sale of at least 50% of the Company’s stock or all the assets of the Company (“Triggering Event”) in a single or multiple transactions, the option holders have the right to exercise their options and sell their related shares in connection with the transactions. Unexercised options expire after a Triggering Event. In the event of a sale of at least 25% of the Company’s assets to an unrelated third-party in a single or multiple transactions (“Partial Triggering Event”), the option holders have the right to exercise a portion of their options pro rata based on the sales price and sell their related shares in connection with the transaction. Unexercised options remaining after a Partial Triggering Event remain outstanding. In addition, in the event stockholders owning at least 51% of the outstanding stock of the Company (the “selling stockholders”) sell a portion of their stock to an unrelated third-party, the option holders have the right to exercise and sell an amount of options in the same proportion as the selling stockholders (a “tag-along right”). The option holders may also be required to exercise all their outstanding options and sell all related shares in the event the selling stockholders sell at least 51% of their ownership to an unrelated third-party (a “drag-along right”).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table below reflects stock option activity for the following periods: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Intrinsic</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prices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 prices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14,581</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$0.15—$0.71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$0.15—$0.38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17,344</w:t>
            </w:r>
          </w:p>
        </w:tc>
        <w:tc>
          <w:tcPr>
            <w:tcW w:w="13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$0.15—$0.71</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 (unaudited)</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$0.15—$0.38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2020 (unaudited)</w:t>
            </w: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vMerge w:val="continue"/>
            <w:shd w:val="clear" w:color="auto" w:fill="CCEEFF"/>
          </w:tcPr>
          <w:p>
            <w:pPr>
              <w:spacing w:after="0"/>
              <w:rPr>
                <w:sz w:val="21"/>
                <w:szCs w:val="21"/>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3,676</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47,223</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$0.15—$0.71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the effectiveness of the Offering on July 28, 2020 (see Note 13), outstanding options to purchase Class B common shares were exchanged for options to purchase an equivalent number of Class A shares at the same exercise price and vesting, subject to the terms of the 2020 Incentive Award Plan (the “2020 Plan”) except with respect to the expiration of the options which remain subject to the Trigger Event requirements of the original option agreements. The option holders’ ability to put the exercised option shares to the Company and the Company’s ability to call these shares expired as these shares are now eligible to sold on the NASDAQ exchange. As a result of the put right no longer being applicable, the options will no longer be considered temporary equity and will be reclassified to stockholders’ equity during the three months ended September 30,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340" w:right="8540" w:hanging="332"/>
        <w:spacing w:after="0" w:line="503" w:lineRule="auto"/>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 Common Stock</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dividend or liquidation preference differences between the Class A common stock or Class B common stock.</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2020, Vertex issued 173 shares of Class B common stock in connection with the exercise of stock options by option holders for cash of $53. In April 2019, Vertex issued 225 shares of Class B common stock in connection with the exercise of stock options by option holders for cash of $68, net of 51 shares that were immediately returned to Vertex upon exercise in lieu of payment of income taxes payable by the option holders of $184.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2019 and June 30, 2020, repurchased shares (“Treasury Stock”) aggregating 41,910 for each period are carried at cost and included in Treasury Stock in the consolidated balance sheets. Treasury Stock includes 41,757 shares of Class B common stock and 153 shares of Class A common stock for both years.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declared distributions of $4,010 ($0.03 per share) and $123,185 ($1.02 per share) during the three months ended March 31 and June 30, 2020, respectively, pro rata to stockholders of the Class A and Class B common stock.</w:t>
      </w:r>
    </w:p>
    <w:p>
      <w:pPr>
        <w:spacing w:after="0" w:line="162"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Board declared distributions of $5,255 ($0.04 per share) and $6,105 ($0.05 per share) during the three months ended March 31 and June 30, 2019, respectively, pro rata to stockholders of the Class A and Class B common stock.</w:t>
      </w:r>
    </w:p>
    <w:p>
      <w:pPr>
        <w:spacing w:after="0" w:line="15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calculation of basic and diluted net income (loss) per common share for the Class A common stock and Class B common stock for the following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40" w:type="dxa"/>
            <w:vAlign w:val="bottom"/>
          </w:tcPr>
          <w:p>
            <w:pPr>
              <w:spacing w:after="0"/>
              <w:rPr>
                <w:sz w:val="18"/>
                <w:szCs w:val="18"/>
                <w:color w:val="auto"/>
              </w:rPr>
            </w:pPr>
          </w:p>
        </w:tc>
        <w:tc>
          <w:tcPr>
            <w:tcW w:w="2540" w:type="dxa"/>
            <w:vAlign w:val="bottom"/>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5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9"/>
                <w:szCs w:val="19"/>
                <w:color w:val="auto"/>
              </w:rPr>
            </w:pPr>
          </w:p>
        </w:tc>
      </w:tr>
      <w:tr>
        <w:trPr>
          <w:trHeight w:val="209"/>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all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(29,075)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7,122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(58,139)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14,447</w:t>
            </w:r>
          </w:p>
        </w:tc>
      </w:tr>
      <w:tr>
        <w:trPr>
          <w:trHeight w:val="230"/>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stock as a percentage of total shares outstanding</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r>
      <w:tr>
        <w:trPr>
          <w:trHeight w:val="263"/>
        </w:trPr>
        <w:tc>
          <w:tcPr>
            <w:tcW w:w="5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Class A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Class A stock outstanding—basic</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stock equivalents</w:t>
            </w:r>
          </w:p>
        </w:tc>
        <w:tc>
          <w:tcPr>
            <w:tcW w:w="18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Class A stock outstanding—diluted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Class A share, 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(0.48)</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635"/>
        </w:trPr>
        <w:tc>
          <w:tcPr>
            <w:tcW w:w="5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40" w:type="dxa"/>
            <w:vAlign w:val="bottom"/>
          </w:tcPr>
          <w:p>
            <w:pPr>
              <w:spacing w:after="0"/>
              <w:rPr>
                <w:sz w:val="18"/>
                <w:szCs w:val="18"/>
                <w:color w:val="auto"/>
              </w:rPr>
            </w:pPr>
          </w:p>
        </w:tc>
        <w:tc>
          <w:tcPr>
            <w:tcW w:w="25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5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all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(29,075)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7,122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(58,139)</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14,447</w:t>
            </w:r>
          </w:p>
        </w:tc>
      </w:tr>
      <w:tr>
        <w:trPr>
          <w:trHeight w:val="229"/>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B stock as a percentage of total stock outstanding</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99.88%</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99.88%</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99.88%</w:t>
            </w:r>
          </w:p>
        </w:tc>
      </w:tr>
      <w:tr>
        <w:trPr>
          <w:trHeight w:val="263"/>
        </w:trPr>
        <w:tc>
          <w:tcPr>
            <w:tcW w:w="5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Class B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2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160" w:type="dxa"/>
            <w:vAlign w:val="bottom"/>
            <w:tcBorders>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Class B stock outstanding—basic</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120,402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120,443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120,336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120,357</w:t>
            </w:r>
          </w:p>
        </w:tc>
      </w:tr>
      <w:tr>
        <w:trPr>
          <w:trHeight w:val="230"/>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stock equivalents</w:t>
            </w:r>
          </w:p>
        </w:tc>
        <w:tc>
          <w:tcPr>
            <w:tcW w:w="18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3,715</w:t>
            </w:r>
          </w:p>
        </w:tc>
        <w:tc>
          <w:tcPr>
            <w:tcW w:w="3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3,812</w:t>
            </w:r>
          </w:p>
        </w:tc>
      </w:tr>
      <w:tr>
        <w:trPr>
          <w:trHeight w:val="223"/>
        </w:trPr>
        <w:tc>
          <w:tcPr>
            <w:tcW w:w="5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Class B stock outstanding—diluted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Class B share,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Class B share,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(0.48)</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340" w:right="5420" w:hanging="332"/>
        <w:spacing w:after="0" w:line="503"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AND DEFERRED COMPENSATION PLANS 401(k) Plan</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a 401(k) plan that covers eligible employees subject to certain age and length of service requirements. The Company matches up to 3% of eligible compensation during the period in which an eligible participant contributes to the plan. Matching contributions were $965 and $779 for the three months ended June 30, 2020 and 2019 (unaudited), respectively, and $2,090 and $1,929 for the six months ended June 30, 2020 and 2019 (unaudited), respectively. In addition, a discretionary profit-sharing contribution of 3% of eligible compensation for eligible employees was approved and aggregated $3,363 for the year ended December 31, 2019 and is reflected in accrued salaries and benefits in the consolidated balance sheet. Accrued salaries and benefits includes $981 and $1,942 for the three and six months ended June 30, 2020 (unaudited), respectively, for an estimated discretionary profit-sharing contribution for 2020.</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Long-Term Rewards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a long-term rewards (“LTR”) plan for certain key employees which provides for compensation related to growth in certain financial measures over a three-year period (the “Reward Performance Period”), subject to achieving an annual minimum net income target (the “Net Income Target”) during each year of the Reward Performance Period. Each year, eligible LTR plan participants receive an individual target award opportunity (“Award Opportunity”) for a new three-year Reward Performance Period (i.e. target award grant made in 2018 is for years 2018 through 2020). For Reward Performance Periods prior to 2018, compensation earned for growth in the financial measures over each Reward Performance Period is paid in cash in the year following the end of the respective Reward Performance Period, assuming the Net Income Target was achieved for each year of the respective Reward Performance Period. Starting in 2018, the Net Income Target is only required to be achieved in the final year of the Reward Performance Period. Estimated compensation is recorded during each year of a Reward Performance Period (“accrued LTR Award Opportunities”).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Compensation expense included $799 and $493 for the three months ended June 30, 2020 and 2019 (unaudited), respectively, and $1,597 and $985 for the six months ended June 30, 2020 and 2019 (unaudited), respectively, for open Reward Performance Periods. Amounts paid to participants in 2020 for the Reward Performance Period starting in 2017 of $2,717 is reflected in deferred compensation, current in the consolidated balance sheet as of December 31, 2019. Amounts estimated to be paid in 2021 for performance through June 30, 2020 for the Reward Performance Period starting in 2018 of $1,707 (unaudited) is reflected in deferred compensation, current in the consolidated balance sheet as of June 30, 2020.The remaining balances of accrued LTR Award Opportunities for open Reward Performance Periods of $1,812 and $3,329 at December 31, 2019 and June 30, 2020 (unaudited) are reflected in deferred compensation, net of current portion, in the consolidated balance sheets.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SAR Plan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 SAR plan for the purpose of providing incentives to key members of management to contribute to the growth and financial success of the Company. SAR plan awards (“SAR Awards”) are represented as a fixed number of shares of Class B common stock (“SAR Units”). SAR Units outstanding aggregated 12,276 and 12,086 at December 31, 2019 and June 30, 2020 (unaudited), respectively. SAR Units are issued at the equivalent of the fair value of the equivalent number of shares of the Company’s Class B common stock on the grant date (“Base Value”), as determined by the Board with assistance from management and an independent third-party valuation provider, and compensation is based upon the appreciation of the SAR Units in excess of the Base Value over the service vesting period. SAR Awards are exercisable upon 50% vesting or upon the occurrence of a triggering event.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Vested SAR units are redeemed upon the occurrence of a triggering event. Triggering events include: (i) expiration of the term of the SAR; (ii) a change of control of the Company whereby stockholders holding at least 50% of the voting stock of the company sell their shares; (iii) a merger of the Company with an unrelated third-party; (iv) an initial public offering; and (v) death, disability or retirement of a SAR participant.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SAR participants are limited to exercising no more than 25% of their vested SAR Units in any given year. SAR Awards generally vest 50% and 100% after two years and five years, respectively, from the grant date, or as determined by the Board. Maximum contractual terms range from ten years to term of employment of the participant. SAR Awards are settled in cash only, not through the issuance of shares. SAR Award exercises are limited each year to the proportion of the vested SAR units to the total units outstanding multiplied by adjusted net cash from operating activities (the “Liquidity Pool”), which is defined as cash from operating activities less cash paid for property and equipment and capitalized software for a given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below table represents SAR activity for the following periods: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Range of</w:t>
            </w:r>
          </w:p>
        </w:tc>
      </w:tr>
      <w:tr>
        <w:trPr>
          <w:trHeight w:val="238"/>
        </w:trPr>
        <w:tc>
          <w:tcPr>
            <w:tcW w:w="552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Unvested Units</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Units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Values</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$0.92–$3.17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$2.13–$2.50</w:t>
            </w: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$0.92–$3.73</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(unaudited)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 (unaudited)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$1.31–$2.50</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(unaudited)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(unaudited)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 (unaudited)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$0.92–$4.70</w:t>
            </w: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intrinsic value of the SARs on grant date is zero as the Company’s Board grants all awards at a price per share not less than the per share fair value of the Company’s Class B common stock underlying such awards on the date of grant.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cost in the consolidated statements of comprehensive income (loss) to reflect the appreciation in value of the vested portion of outstanding SAR Awards over the Base Value from the grant date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340" w:type="dxa"/>
            <w:vAlign w:val="bottom"/>
          </w:tcPr>
          <w:p>
            <w:pPr>
              <w:spacing w:after="0"/>
              <w:rPr>
                <w:sz w:val="18"/>
                <w:szCs w:val="18"/>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4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0"/>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1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4,168</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services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Accrued SAR Awards of $5,790 and $20,582 at December 31, 2019 and June 30, 2020 (unaudited), respectively, representing SAR Units scheduled for redemption and 25% of the vested SAR Units eligible for exercise within 12-months of the balance sheet date are reflected in deferred compensation, current in the consolidated balance sheets. The remaining balances of accrued SAR Awards of $16,506 and $75,705 at December 31, 2019 and June 30, 2020 (unaudited), respectively, are reflected as deferred compensation, net of current portion, in the consolidated balance sheets. We had approximately $3,900 and $27,867 of total unrecognized compensation expense for unvested SAR Awards at December 31, 2019 and June 30, 2020 (unaudited), respectively, which we expect to recognize over the respective service periods of one to five years.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SAR Awards were amended in connection with the Offering. See Note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advanced amounts to certain stockholders of the Company of $283 and $230 at December 31, 2019 and June 30, 2020 (unaudited), respectively. These amounts are non-interest bearing as they are short-term in nature and repaid within three months. These amounts are included in advances to stockholders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operating leases that expire at various dates through September 2028. Rent expense under all property operating leases was $1,754 and $1,574 for the three months ended June 30, 2020 and 2019 (unaudited), respectively, and $3,451 and $3,092 for the six months ended June 30, 2020 and 2019 (unaudited), respectively. These amounts are reflected in general and administrative expense in the consolidated statements of comprehensive income (loss).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The Company is not aware of any such legal proceedings or claims that management believes will have a material adverse effect on our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Termination of S Corporation Filing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27, 2020, the Company and its shareholders entered into an S corporation and Tax Sharing Agreement, pursuant to which the Company’s S corporation status for U.S. federal income tax purposes was terminated on July 27, 2020 and the Company will thereafter be taxed as C Corporation. As a result, the Company’s effective tax rate is projected to increase from approximately 2.5% to 25%. The Company estimates a tax benefit of approximately $27,200 (unaudited) upon such conversion in the quarter ended September 30, 2020.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Changes to Capital Structure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28, 2020, the Company filed its amended and restated certificate of incorporation with the Delaware Secretary of State to effect a three-for-one forward stock split (the “Stock Split”), a share exchange, and to establish a new capital structure for the Company. The Stock Split resulted in each one share owned by a stockholder being exchanged for three shares of common stock, and the number of shares of the Company’s common stock issued and outstanding was increased proportionately based on the Stock Split. In addition, in connection with the Stock Split, stockholders of record exchanged their existing Class A and Class B common stock for newly created shares of Class A common stock (“Class A”) and Class B common stock (“Class B”) issued in connection with the new capital structure. The effect of the Stock Split was recognized retrospectively in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new capital structure, the Company authorized 450,000 shares of common stock, par value $0.001 per share, and 30,000 shares of preferred stock, par value $0.001 per share. Common stock is divided into two classes, Class A with one vote per share, and Class B with ten votes per share. The rights of the holders of Class A and Class B are identical, except with respect to voting, conversion and transfer rights. Following the Offering, authorized Class A will consist of 300,000 shares and authorized Class B will consist of 150,000 shares.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outstanding share of Class B is convertible at any time at the option of the holder into one share of Class A. Each share of Class B will convert automatically into one share of Class A upon any transfer, except for certain permitted transfers to other Class B stockholders or other members of the control group. Each share of Class B will convert automatically into one share of Class A if the voting power of all then-outstanding shares of Class B comes to represent less than ten percent of the combined voting power of all shares of the then-outstanding common stock. Once converted or transferred and converted into Class A, the Class B may not be reissued.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is authorized to issue up to 30,000 shares of preferred stock in one or more series without stockholder approval. The Board of directors has the discretion to determine the rights, preferences, privileges and restrictions, including voting rights, dividend rights, conversion rights, redemption privileges and liquidation preferences, of each series of preferred stock. Upon closing of the Offering, there were no shares of preferred stock outstanding.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SAR Amendment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SAR participants were offered the option to either redeem their SARs upon the occurrence of the Offering or amend their SARs pursuant to which, upon effectiveness of the Company’s 2020 Plan to occur concurrent or shortly after the effective date of the Offering, such SARs will become options to purchase shares of new Class A common stock under the 2020 Plan. Effective July 13, 2020, this offer period ended and all SAR participants eligible to receive the offer accepted and will have their outstanding SARs converted to stock options with equivalent terms under the 2020 Plan (the “Converted SARs”). This is considered a modification of these SAR awards.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Converted SARs with either no expiration date or that expire during calendar year 2020 were converted to options and automatically exercised into shares (the “Auto Exercise New Options”) on July 28, 2020, the effective date of the Offering. Shares issued in connection with the Auto Exercise New Options were net of the number of shares of common stock necessary to satisfy the aggregate exercise price and the tax withholding obligation of such options. The Auto Exercise New Option participants also had the ability to require the Company to repurchase all or a portion of the shares remaining after this reduction on the Offering date for cash based on the Offering price, which aggregated $22,900 (unaudited).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continued to record changes in the intrinsic value of the SARs in 2020 up to July 2, 2020,the date on which Management determined the Company was considered to have become a public entity. Management will record the change in accounting policy of $2,421 in accordance with ASC 718 during the three months ended September 30, 2020, which includes $1,299 of vested Converted SARs which will be recognized as compensation expense during this period, with the remaining $1,122 of unvested Converted SARs being recognized as compensation expense over the remaining service period of one to five years through 2025. Any additional incremental increase in fair value of the Converted SARs after July 2, 2020 resulting from the modification will be recorded as compensation expense at the time of the exchange upon the Offering effective date. Upon modification, the Converted SARs will no longer be recorded as a liability under ASC 718 and the accumulated liability balance will be reclassified to stockholders’ equity. The unvested portion of the Converted SAR liability at the Offering date will be amortized over the remaining service period of the Converted SARs as compensation expense. At the Offering price of $19.00 management estimates the fair value of the Converted SARs at the Offering date to be approximately $197,000 (unaudited), of which approximately $153,000 (unaudited) is vested. At this value, management expects to record estimated additional compensation expense of approximately $57,000 (unaudited) for vested Converted SARs from July 1 to the Offering date, which includes the $1,299 impact of the change in accounting of vested Converted SARs. The remaining approximate $44,000 (unaudited) of unvested Converted SAR liability, which includes the $1,122 of unvested Converted SARs, will be recognized as compensation expense over the remaining service period of one to five years through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31" w:lineRule="exact"/>
        <w:rPr>
          <w:sz w:val="20"/>
          <w:szCs w:val="20"/>
          <w:color w:val="auto"/>
        </w:rPr>
      </w:pPr>
    </w:p>
    <w:p>
      <w:pPr>
        <w:ind w:right="52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of Company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Registration Statement filed with the SEC was declared effective on July 28, 2020, resulting in Class A being registered and available for trading on the NASDAQ exchange. Concurrent with the effectiveness of the S-1, the Company filed a form S-8 registration statement, which was also declared effective covering registration of shares issued or to be issued under the Company’s 2020 Plan and the Employee Stock Purchase Plan.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Redemption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31, 2020, the Company received $423,024 in proceeds, net of underwriting fees, from the sale of 23,812 shares of Class A and used a portion of the proceeds to pay off the $175,000 New Term Loan. The Company expects to record a write down of deferred financing costs associated with the New Term Loan of $1,174, which will be recorded as interest expense in the consolidated statement of comprehensive income for the three months ended September 30, 2020. The net proceeds remaining after payment of Offering costs will be used for working capital and other corporate purposes as described in the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notes thereto included elsewhere in this Quarterly Report on Form 10-Q.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“Risk Factors” in Part II, Item 1A.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Vertex delivers comprehensive tax solutions that enable global businesses to transact, comply and grow with confidence. Companies with complex tax operations rely on Vertex to automate their end-to-end indirect tax processes. Indirect tax is the largest corporate tax category, encompassing sales tax, sellers use tax, consumer use tax and value added tax (“VAT”), among others. Indirect tax accounts for more than $3.5 trillion of annual tax revenue, which is 2.5 times the amount of corporate income taxes, according to the 2019 OECD Tax Database.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pioneered tax technology for over 40 years. We first began electronic delivery of tax rules in the early 1980s and we first sold transaction tax processing software in 1982. Today, our software enables tax determination, compliance and reporting, tax data management and document management with powerful pre-built integrations to core business applications used by most companies, particularly those applications that have a significant impact on global commerce. Our software is fueled by over 300 million data-driven effective tax rules and supports indirect tax compliance in more than 19,000 jurisdictions worldwide. In order to maintain the quality of our content, our team includes many global tax and regulatory experts from industry and the public sector, who deliver monthly updates to our tax content, which are then incorporated directly into our software. Our solutions can be deployed on-premise, in the cloud, or both, with implementation services available to enable optimal customer outcomes and satisfy their unique business requirements.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accumulated industry-specific tax knowledge for over four decades and our customers leverage our in-depth content through their use of our software. This allows our customers to comply with the dynamic regulatory landscape in real time and mitigates our customers’ risk exposure. As our customers expand their global footprint and business models, we are actively supporting their expansion by continuously strengthening our content offering and allowing for additional jurisdiction-specific tax compliance.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almost all of our customers annually in advance of the subscription period.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over 4,000 customers, including the majority of the Fortune 500, as well as a majority of the top 10 companies by revenue in multiple industries such as retail, technology and manufacturing, in addition to leading marketplaces. At June 30, 2020, we had over 4,000 customers and our Annual Recurring Revenue (“ARR”) per customer was over $72,000, while at June 30, 2019, we had over 3,900 customers and our ARR per customer was over $63,000. As our customers expand geographically and pursue omnichannel business models, their tax determination and compliance requirements increase and become more complex, providing sustainable organic growth opportunities for our business. Our pricing model is aligned with our customers’ objectives by adjusting with their growth over time. We principally price our solutions based on a customer’s revenue base, in addition to a number of other factors.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employ a hybrid deployment model to align to our customers’ technology preferences for their core financial management software across on premise, cloud deployments or any combination of these models. Over time, we expect both existing and newly acquired customers to continue to shift towards cloud deployment models. Cloud-based subscription sales to new customers have grown at a significantly faster rate than on premise software subscription sales, which is a trend that we expect to continue over time. We generated 26% and 18% of software subscription revenue from cloud-based subscriptions during the three months ended June 30, 2020 and 2019, respectively, and 26% and 17% for the six months ended June 30, 2019 and 2020, respectively. While our on premise software subscription revenue comprises 74% of our 2020 software subscription revenue, we anticipate that it will decrease as a percentage of total software subscription revenue as cloud-based subscriptions accelerate.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global commerce and the compliance environment provides durable and accelerating growth opportunities for our business. We generated revenue of $78.4 million and $91.3 million for the three months ended June 30, 2019 and 2020, respectively. We generated revenue of $153.0 million and $180.5 million for the six months ended June 30, 2019 and 2020, respectively. We had net income of $7.1 million and a net loss of $(29.1) million for the three months ended June 30, 2019 and 2020, respectively. We had net income of $14.4 million and a net loss of $(58.1) million for the six months ended June 30, 2019 and 2020, respectively. Adjusted EBITDA was $15.9 million and $21.5 million for the three months ended June 30, 2019 and 2020, respectively. Adjusted EBITDA was $31.1 million and $36.8 million for the six months ended June 30, 2019 and 2020, respectively. Additionally, we generated net cash provided by operating activities of $32.9 million and $20.8 million in the six months ended June 30, 2019 and 2020, respectively. Our free cash flow was $14.7 million and $18.7 million in the three months ended June 30, 2019 and 2020, respectively. Our free cash flow was $16.5 million and $2.9 million in the six months ended June 30, 2019 and 2020, respectively. Adjusted EBITDA and free cash flow are non-GAAP financial measures. Refer to “</w:t>
      </w:r>
      <w:r>
        <w:rPr>
          <w:rFonts w:ascii="Times New Roman" w:cs="Times New Roman" w:eastAsia="Times New Roman" w:hAnsi="Times New Roman"/>
          <w:sz w:val="18"/>
          <w:szCs w:val="18"/>
          <w:i w:val="1"/>
          <w:iCs w:val="1"/>
          <w:color w:val="auto"/>
        </w:rPr>
        <w:t>Use and Reconciliation of Non-GAAP Financial Measures</w:t>
      </w:r>
      <w:r>
        <w:rPr>
          <w:rFonts w:ascii="Times New Roman" w:cs="Times New Roman" w:eastAsia="Times New Roman" w:hAnsi="Times New Roman"/>
          <w:sz w:val="18"/>
          <w:szCs w:val="18"/>
          <w:color w:val="auto"/>
        </w:rPr>
        <w:t>” for further discussion of non-GAAP financial measures and their comparison to GAAP financial measures.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31, 2020, we completed our initial public offering (“IPO”) in which we sold 23,812,216 shares of our Class A common stock, and certain selling stockholders sold an additional 510,284 shares of Class A common stock, at a public offering price of $19.00 per share. We received proceeds of approximately $423.0 million, after deducting underwriting discounts and commissions, from sales of our shares in the IPO. We did not receive any of the proceeds from any sale of shares by the selling stockholders.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to be a pandemic. The COVID-19 pandemic is having widespread,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 from home, supply chain logistical changes and closure of non-essential businesses. To protect the health and well-being of our employees and customers, we have made substantial modifications to employee travel policies, closed our offices as employees are advised to work from home and cancelled or shifted our conferences and other marketing events to virtual-only. The COVID-19 pandemic has impacted and may continue to impact our business operations, including our employees, customers and partners, and there is substantial uncertainty in the nature and degree of its continued effects over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first half of 2020, the COVID-19 pandemic had minimal impact on our revenue or results of operations, as we continue to derive the significant majority of our revenue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the first half of 2020, nor any material declines in revenue associated with declines in our customers’ revenues, and we currently expect our existing customer base to remain largely stable, as it did through the recession in 2008 and 2009. However, significant decreases in non-renewals or concessions to renewal customers would have a material impact on our revenues and cash flows. We did see a decline in new software subscription billings at the end of the first quarter of 2020. It is important to note that our sales metrics are assessed quarterly, and given the size and complexity of our sales process we often see variances from month to month due to legal or procurement processes. In the case of the first quarter of 2020 we achieved our new software billings targets as several deals were completed earlier in the quarter.</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second quarter of 2020, new software billings exceeded our original second quarter of 2020 forecasts. We have seen some delays due to prospects shifting to working remotely, and some due to economic uncertainty. We expect that the uncertainty caused by the COVID-19 pandemic could continue to impact our billings to new customers for the remainder of 2020, and it may also negatively impact our efforts to expand revenues from our existing customers as they continue to evaluate certain long-term projects and budget constraints. However, we do not anticipate that overall demand for our software and solutions, our ability to deliver such software and solutions, or our growth strategies to be materially impacted by the COVID-19 pandemic, as companies continue to rely on us for their indirect tax solutions. There is potential for an increase in demand for our products over the long-term considering the amount of state debt being accumulated during the pandemic, which may result in increases in taxes and revenue department audits which our products are positioned to address customer needs.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impacts on our sales, our cash collections from existing customers were lower than expected at the end of the first quarter of 2020. During the second quarter of 2020, our collections exceeded our expectation as some of the procedural disruptions that customers experienced as they shifted to remote work in March had stabilized. We believe that we may see delays in collections over the coming months. However, we do not believe that these delays will materially impact our business; we continue to expect that we will be able to collect amounts due under subscription contracts from customer experiencing issues as a result of the COVID-19 pandemic, and we have not recorded an additional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including the New Credit Agreement entered into on March 31, 2020, see “Management’s Discussion and Analysis of Financial Condition and Results of Operations—Liquidity and Capital Resources.”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going forward will depend on numerous evolving factors we cannot reliably predict,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 lived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metrics identified below to evaluate growth trends, measure our performance, formulate financial projections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Period Over</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Recurring Revenue</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41.6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ARR increased by $41.6 million or 16.4% for the twelve month period ended June 30, 2020, as compared to the same period in 2019. The increase was primarily driven by $20.7 million of growth in revenues from existing customers through their expanded use of our solutions as well as price increases and $20.9 million of on premise and cloud-based subscription sales of our tax solutions to new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Net Revenue Retention Rate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as well as any revenue expansion from upgrades, cross sells or upsells of our software.</w:t>
      </w:r>
    </w:p>
    <w:p>
      <w:pPr>
        <w:spacing w:after="0" w:line="1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19685</wp:posOffset>
            </wp:positionV>
            <wp:extent cx="10458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 w:lineRule="exact"/>
        <w:rPr>
          <w:sz w:val="20"/>
          <w:szCs w:val="20"/>
          <w:color w:val="auto"/>
        </w:rPr>
      </w:pPr>
    </w:p>
    <w:p>
      <w:pPr>
        <w:ind w:left="5120"/>
        <w:spacing w:after="0"/>
        <w:tabs>
          <w:tab w:leader="none" w:pos="602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9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4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Revenue Retention Rate</w:t>
            </w:r>
          </w:p>
        </w:tc>
        <w:tc>
          <w:tcPr>
            <w:tcW w:w="92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108%</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NRR remained consistent at June 30, 2020 with the same period in 2019 at 108%.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New Credit Agreement. We define Adjusted EBITDA as net income or loss before interest, taxes, depreciation, and amortization, as adjusted to exclude charges for asset impairments, share based compensation expense, severance charges and offering transaction costs. Adjusted EBITDA margin represents Adjusted EBITDA divided by total revenues for the same period. For purposes of comparison, our net income (loss) was $(29.1) million and $7.1 million for the three months ended June 30, 2020 and 2019, respectively, while our net income margin was –31.9% and 9.1% over the same periods, respectively. Additionally, our net income (loss) was $(58.1) million and $14.4 million for the six months ended June 30, 2020 and 2019, respectively, while our net income margin was –32.2% and 9.4% over the same periods,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tbl>
      <w:tblPr>
        <w:tblLayout w:type="fixed"/>
        <w:tblInd w:w="26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00" w:type="dxa"/>
            <w:vAlign w:val="bottom"/>
          </w:tcPr>
          <w:p>
            <w:pPr>
              <w:spacing w:after="0"/>
              <w:rPr>
                <w:sz w:val="18"/>
                <w:szCs w:val="18"/>
                <w:color w:val="auto"/>
              </w:rPr>
            </w:pPr>
          </w:p>
        </w:tc>
        <w:tc>
          <w:tcPr>
            <w:tcW w:w="272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Ended June 30</w:t>
            </w: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(29,075)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7,122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(58,139)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 cost of subscription revenues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8"/>
                <w:szCs w:val="18"/>
                <w:color w:val="auto"/>
              </w:rPr>
            </w:pP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41,676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76,596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10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91,271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78,375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180,516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23.6</w:t>
            </w: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89"/>
        <w:spacing w:after="0" w:line="255" w:lineRule="auto"/>
        <w:rPr>
          <w:sz w:val="20"/>
          <w:szCs w:val="20"/>
          <w:color w:val="auto"/>
        </w:rPr>
      </w:pPr>
      <w:r>
        <w:rPr>
          <w:rFonts w:ascii="Times New Roman" w:cs="Times New Roman" w:eastAsia="Times New Roman" w:hAnsi="Times New Roman"/>
          <w:sz w:val="18"/>
          <w:szCs w:val="18"/>
          <w:color w:val="auto"/>
        </w:rPr>
        <w:t>The increase in Adjusted EBITDA for the three months ended June 30, 2020 of $6.0 million over the comparable period in 2019 is primarily driven by an increase in gross profit, offset by an increase in operating expenses including additional sales and marketing and research and development investments. Adjusted EBITDA margin increased to 23.6% for the three months ended June 30, 2020 over the comparable period in 2019 margin of 19.8% primarily due to revenue increasing at a higher rate than operating expenses. The decrease in operating expenses as compared to the prior period was driven primarily by a reduction in travel and external marketing events in 2020 due to COVID-19 travel and conference restrictions. These costs are expected to increase once travel and conference restrictions are lifted, although it is uncertain whether these costs will return to their historical levels experienced pre-COVID-19.</w:t>
      </w:r>
    </w:p>
    <w:p>
      <w:pPr>
        <w:spacing w:after="0" w:line="189" w:lineRule="exact"/>
        <w:rPr>
          <w:sz w:val="20"/>
          <w:szCs w:val="20"/>
          <w:color w:val="auto"/>
        </w:rPr>
      </w:pPr>
    </w:p>
    <w:p>
      <w:pPr>
        <w:jc w:val="both"/>
        <w:ind w:right="20" w:firstLine="389"/>
        <w:spacing w:after="0" w:line="261" w:lineRule="auto"/>
        <w:rPr>
          <w:sz w:val="20"/>
          <w:szCs w:val="20"/>
          <w:color w:val="auto"/>
        </w:rPr>
      </w:pPr>
      <w:r>
        <w:rPr>
          <w:rFonts w:ascii="Times New Roman" w:cs="Times New Roman" w:eastAsia="Times New Roman" w:hAnsi="Times New Roman"/>
          <w:sz w:val="18"/>
          <w:szCs w:val="18"/>
          <w:color w:val="auto"/>
        </w:rPr>
        <w:t>The increase in Adjusted EBITDA for the six months ended June 30, 2020 of $5.7 million over the comparable period in 2019 is primarily driven by an increase in gross profit, offset by an increase in operating expenses including additional sales and marketing and research and development investments. Adjusted EBITDA margin was consistent at 20.4% for the six months ended June 30, 2020 over the comparable period in 2019 primarily due to revenue and operating expenses increasing at comparable rates.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Free Cash Flow and Free Cash Flow Margin.</w:t>
      </w:r>
    </w:p>
    <w:p>
      <w:pPr>
        <w:spacing w:after="0" w:line="229" w:lineRule="exact"/>
        <w:rPr>
          <w:sz w:val="20"/>
          <w:szCs w:val="20"/>
          <w:color w:val="auto"/>
        </w:rPr>
      </w:pPr>
    </w:p>
    <w:p>
      <w:pPr>
        <w:jc w:val="both"/>
        <w:ind w:right="20" w:firstLine="389"/>
        <w:spacing w:after="0" w:line="253" w:lineRule="auto"/>
        <w:rPr>
          <w:sz w:val="20"/>
          <w:szCs w:val="20"/>
          <w:color w:val="auto"/>
        </w:rPr>
      </w:pPr>
      <w:r>
        <w:rPr>
          <w:rFonts w:ascii="Times New Roman" w:cs="Times New Roman" w:eastAsia="Times New Roman" w:hAnsi="Times New Roman"/>
          <w:sz w:val="18"/>
          <w:szCs w:val="18"/>
          <w:color w:val="auto"/>
        </w:rPr>
        <w:t>Our management uses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 Our net cash provided in operating activities was $20.8 million and $32.9 million for the six months ended June 30, 2020 and 2019, respectively, while our operating cash flow margin was 11.5% and 21.5% over the same periods, respectively. Net cash used in investing activities was $(30.1) million and $(16.4) million for the six months ended June 30, 2020 and 2019, respectively. Net cash used in financing activities was $(16.6) million and $(24.6) million for the six months ended June 30, 2020 and June 30, 2019,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12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(in thousands)</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20"/>
                <w:szCs w:val="20"/>
                <w:color w:val="auto"/>
              </w:rPr>
            </w:pPr>
          </w:p>
        </w:tc>
      </w:tr>
      <w:tr>
        <w:trPr>
          <w:trHeight w:val="630"/>
        </w:trPr>
        <w:tc>
          <w:tcPr>
            <w:tcW w:w="1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183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116" w:right="319" w:bottom="1440" w:gutter="0" w:footer="0" w:header="0"/>
        </w:sectPr>
      </w:pPr>
    </w:p>
    <w:bookmarkStart w:id="37" w:name="page38"/>
    <w:bookmarkEnd w:id="37"/>
    <w:p>
      <w:pPr>
        <w:jc w:val="both"/>
        <w:ind w:firstLine="389"/>
        <w:spacing w:after="0" w:line="253" w:lineRule="auto"/>
        <w:rPr>
          <w:sz w:val="20"/>
          <w:szCs w:val="20"/>
          <w:color w:val="auto"/>
        </w:rPr>
      </w:pPr>
      <w:r>
        <w:rPr>
          <w:rFonts w:ascii="Times New Roman" w:cs="Times New Roman" w:eastAsia="Times New Roman" w:hAnsi="Times New Roman"/>
          <w:sz w:val="18"/>
          <w:szCs w:val="18"/>
          <w:color w:val="auto"/>
        </w:rPr>
        <w:t>Free cash flow decreased by $13.6 million for the six months ended June 30, 2020 as compared to the same period in 2019, driven primarily by a decrease in cash from operating activities of $12.1 million due to a reduction in cash provided by changes in operating assets and liabilities of $17.8 million. This reduction was primarily due to decreases in accrued and deferred compensation of $1.7 million, a reduction in deferred revenue of $8.0 million and a reduction in accounts receivable of $7.5 million. Accrued and deferred compensation decreased by $1.7 million due to payments for variable compensation for the first half of 2020 increasing over the comparable quarter from the prior year by $0.3 million as a result of increases in headcount, and due to payments of $1.4 million for stock appreciation right redemptions in the first half of 2020 as compared to the same period of 2019. Deferred revenue decreased $8.0 million due to a $5.6 million decrease in nonrecurring extended product support fees billed in the first half of 2019 related to older versions of software subscription solutions retired during 2019. The balance of the deferred revenue reduction of $2.4 million, and the reduction in accounts receivable of $7.5 million are due primarily to modifications to billing frequencies requested by customers, primarily to align all the annual subscription billings for their subscription licenses to the same period. Such billing frequency modification results in a short-term reduction in deferred revenue, but no impact to revenue.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revenue from software subscriptions and services.</w:t>
      </w:r>
    </w:p>
    <w:p>
      <w:pPr>
        <w:spacing w:after="0" w:line="225"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Our on-premise software subscription prices in the initial subscription year are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w:t>
      </w:r>
    </w:p>
    <w:p>
      <w:pPr>
        <w:spacing w:after="0" w:line="188"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83"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upon our historical experience.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3"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Our managed services offering has recently experienced increased revenue associated with returns processing volume increases attributable to regulatory changes, as customers expanded their tax filings into more jurisdictions.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and developed software for new products and enhancements to existing products and cloud-based subscription solutions.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 but may decrease as a percentage of revenues as we scale our operations.</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For the six months ended June 30, 2020 and 2019, $7.3 million and $8.1 million of software development costs were capitalized, respectively. Capitalized software development costs consist primarily of employee-related and third-party labor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and costs associated with our annual customer conferences.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stock-based compensation, professional fees, insurance premiums, facility costs and other internal support costs.</w:t>
      </w:r>
    </w:p>
    <w:p>
      <w:pPr>
        <w:spacing w:after="0" w:line="176"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we continue to expand our operations, hire additional personnel, integrate future acquisitions and incur additional costs associated with becoming a publicly listed company. As a public company, we expect to incur increased expenses related to accounting, tax and auditing activities, legal, insurance, SEC compliance and internal control compliance.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Interest expense consists primarily of interest payments and other financing costs on our debt facility.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acquisition will be recorded as interest expense, as described further in “Note 2—Acquisition” to our interim consolidated financial statements included in this Quarterly Report on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b w:val="1"/>
          <w:bCs w:val="1"/>
          <w:color w:val="auto"/>
        </w:rPr>
        <w:t>Provision for Taxes</w:t>
      </w:r>
    </w:p>
    <w:p>
      <w:pPr>
        <w:spacing w:after="0" w:line="22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We have been taxed as an S Corporation for U.S. federal income tax purposes and for income tax purposes in most states. As a result, net income or loss has been allocated to our stockholders and included on their individual income tax returns. In certain states, we have been taxed at the corporate level. Accordingly, the income tax provision or benefit is based on taxable income allocated to these states. In certain foreign jurisdictions, our subsidiaries were taxed at the corporate level. Similar to states, the income tax provision or benefit is based on taxable income sourced to these foreign jurisdictions.</w:t>
      </w:r>
    </w:p>
    <w:p>
      <w:pPr>
        <w:spacing w:after="0" w:line="180"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Effective as of July 27, 2020, we converted to a C Corporation, which will result in net income of the Company being taxed at the corporate level. As such, our provision for taxes will increase. Upon conversion to a C Corporation, we expect a pro forma entity level estimated effective tax rate of approximately 25%, inclusive of all applicable U.S. federal, state, local and foreign income taxes. The Company estimates a tax benefit of approximately $27.2 million upon such conversion, which will be reflected in the three months ended September 30,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notes thereto included elsewhere in this Quarterly Report on Form 10-Q and our Prospectus filed with the SEC on July 30, 2020. The period-to-period comparison of financial results is not necessarily indicative of financial results to be achieved in future periods.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comprehensive income (loss)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(unaudited)</w:t>
            </w:r>
          </w:p>
        </w:tc>
        <w:tc>
          <w:tcPr>
            <w:tcW w:w="160" w:type="dxa"/>
            <w:vAlign w:val="bottom"/>
          </w:tcPr>
          <w:p>
            <w:pPr>
              <w:spacing w:after="0"/>
              <w:rPr>
                <w:sz w:val="15"/>
                <w:szCs w:val="15"/>
                <w:color w:val="auto"/>
              </w:rPr>
            </w:pPr>
          </w:p>
        </w:tc>
        <w:tc>
          <w:tcPr>
            <w:tcW w:w="19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9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20" w:type="dxa"/>
            <w:vAlign w:val="bottom"/>
          </w:tcPr>
          <w:p>
            <w:pPr>
              <w:spacing w:after="0"/>
              <w:rPr>
                <w:sz w:val="15"/>
                <w:szCs w:val="15"/>
                <w:color w:val="auto"/>
              </w:rPr>
            </w:pPr>
          </w:p>
        </w:tc>
        <w:tc>
          <w:tcPr>
            <w:tcW w:w="19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55"/>
        </w:trPr>
        <w:tc>
          <w:tcPr>
            <w:tcW w:w="328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19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Software subscriptions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77,306</w:t>
            </w:r>
          </w:p>
        </w:tc>
        <w:tc>
          <w:tcPr>
            <w:tcW w:w="2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67,267</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10,039</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153,066</w:t>
            </w: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131,651</w:t>
            </w: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21,415</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13,965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11,108</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2,857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27,450</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21,338</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91,271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78,375</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12,896</w:t>
            </w:r>
          </w:p>
        </w:tc>
        <w:tc>
          <w:tcPr>
            <w:tcW w:w="3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16.5%</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180,516</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152,989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27,527</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Cost of Revenue: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180"/>
              <w:spacing w:after="0" w:line="189" w:lineRule="exact"/>
              <w:rPr>
                <w:sz w:val="20"/>
                <w:szCs w:val="20"/>
                <w:color w:val="auto"/>
              </w:rPr>
            </w:pPr>
            <w:r>
              <w:rPr>
                <w:rFonts w:ascii="Times New Roman" w:cs="Times New Roman" w:eastAsia="Times New Roman" w:hAnsi="Times New Roman"/>
                <w:sz w:val="13"/>
                <w:szCs w:val="13"/>
                <w:color w:val="auto"/>
              </w:rPr>
              <w:t>Software subscriptions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6"/>
                <w:szCs w:val="16"/>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26,001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19,417</w:t>
            </w:r>
          </w:p>
        </w:tc>
        <w:tc>
          <w:tcPr>
            <w:tcW w:w="200" w:type="dxa"/>
            <w:vAlign w:val="bottom"/>
          </w:tcPr>
          <w:p>
            <w:pPr>
              <w:spacing w:after="0"/>
              <w:rPr>
                <w:sz w:val="16"/>
                <w:szCs w:val="16"/>
                <w:color w:val="auto"/>
              </w:rPr>
            </w:pPr>
          </w:p>
        </w:tc>
        <w:tc>
          <w:tcPr>
            <w:tcW w:w="8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6,584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50,685</w:t>
            </w:r>
          </w:p>
        </w:tc>
        <w:tc>
          <w:tcPr>
            <w:tcW w:w="2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37,843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12,842</w:t>
            </w:r>
          </w:p>
        </w:tc>
        <w:tc>
          <w:tcPr>
            <w:tcW w:w="2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Services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15,744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7,692</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8,052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30,522</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14,830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revenues</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41,745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27,109</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14,636</w:t>
            </w:r>
          </w:p>
        </w:tc>
        <w:tc>
          <w:tcPr>
            <w:tcW w:w="3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54.0%</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81,207</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52,673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28,534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49,526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51,266</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1,740</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99,309</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w:t>
            </w:r>
          </w:p>
        </w:tc>
        <w:tc>
          <w:tcPr>
            <w:tcW w:w="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9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13,617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7,205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6,412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89.0%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26,696</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14,778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11,918</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89"/>
        </w:trPr>
        <w:tc>
          <w:tcPr>
            <w:tcW w:w="3280" w:type="dxa"/>
            <w:vAlign w:val="bottom"/>
          </w:tcPr>
          <w:p>
            <w:pPr>
              <w:ind w:left="180"/>
              <w:spacing w:after="0" w:line="189" w:lineRule="exact"/>
              <w:rPr>
                <w:sz w:val="20"/>
                <w:szCs w:val="20"/>
                <w:color w:val="auto"/>
              </w:rPr>
            </w:pPr>
            <w:r>
              <w:rPr>
                <w:rFonts w:ascii="Times New Roman" w:cs="Times New Roman" w:eastAsia="Times New Roman" w:hAnsi="Times New Roman"/>
                <w:sz w:val="13"/>
                <w:szCs w:val="13"/>
                <w:color w:val="auto"/>
              </w:rPr>
              <w:t>Selling and marketing</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6"/>
                <w:szCs w:val="16"/>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24,544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17,287</w:t>
            </w:r>
          </w:p>
        </w:tc>
        <w:tc>
          <w:tcPr>
            <w:tcW w:w="200" w:type="dxa"/>
            <w:vAlign w:val="bottom"/>
          </w:tcPr>
          <w:p>
            <w:pPr>
              <w:spacing w:after="0"/>
              <w:rPr>
                <w:sz w:val="16"/>
                <w:szCs w:val="16"/>
                <w:color w:val="auto"/>
              </w:rPr>
            </w:pPr>
          </w:p>
        </w:tc>
        <w:tc>
          <w:tcPr>
            <w:tcW w:w="8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7,257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48,877</w:t>
            </w:r>
          </w:p>
        </w:tc>
        <w:tc>
          <w:tcPr>
            <w:tcW w:w="2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33,334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15,543</w:t>
            </w:r>
          </w:p>
        </w:tc>
        <w:tc>
          <w:tcPr>
            <w:tcW w:w="2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37,758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16,647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21,111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126.8%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75,394</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32,095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43,299</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2"/>
                <w:szCs w:val="12"/>
                <w:color w:val="auto"/>
              </w:rPr>
            </w:pPr>
          </w:p>
        </w:tc>
        <w:tc>
          <w:tcPr>
            <w:tcW w:w="78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2,172</w:t>
            </w:r>
          </w:p>
        </w:tc>
        <w:tc>
          <w:tcPr>
            <w:tcW w:w="200" w:type="dxa"/>
            <w:vAlign w:val="bottom"/>
          </w:tcPr>
          <w:p>
            <w:pPr>
              <w:spacing w:after="0"/>
              <w:rPr>
                <w:sz w:val="12"/>
                <w:szCs w:val="12"/>
                <w:color w:val="auto"/>
              </w:rPr>
            </w:pPr>
          </w:p>
        </w:tc>
        <w:tc>
          <w:tcPr>
            <w:tcW w:w="88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5,374</w:t>
            </w:r>
          </w:p>
        </w:tc>
        <w:tc>
          <w:tcPr>
            <w:tcW w:w="2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4,217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w:t>
            </w:r>
          </w:p>
        </w:tc>
        <w:tc>
          <w:tcPr>
            <w:tcW w:w="2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operating expense</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305</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468</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78,527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43,616</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34,911</w:t>
            </w:r>
          </w:p>
        </w:tc>
        <w:tc>
          <w:tcPr>
            <w:tcW w:w="3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80.0%</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156,555</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84,892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71,663</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(loss) from operations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(29,001</w:t>
            </w:r>
          </w:p>
        </w:tc>
        <w:tc>
          <w:tcPr>
            <w:tcW w:w="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7,650</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(36,651</w:t>
            </w:r>
          </w:p>
        </w:tc>
        <w:tc>
          <w:tcPr>
            <w:tcW w:w="320" w:type="dxa"/>
            <w:vAlign w:val="bottom"/>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479.1%</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(57,246</w:t>
            </w:r>
          </w:p>
        </w:tc>
        <w:tc>
          <w:tcPr>
            <w:tcW w:w="22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15,424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(72,670</w:t>
            </w:r>
          </w:p>
        </w:tc>
        <w:tc>
          <w:tcPr>
            <w:tcW w:w="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471.1%</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4"/>
                <w:szCs w:val="14"/>
                <w:color w:val="auto"/>
              </w:rPr>
            </w:pP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539</w:t>
            </w:r>
          </w:p>
        </w:tc>
        <w:tc>
          <w:tcPr>
            <w:tcW w:w="200" w:type="dxa"/>
            <w:vAlign w:val="bottom"/>
          </w:tcPr>
          <w:p>
            <w:pPr>
              <w:spacing w:after="0"/>
              <w:rPr>
                <w:sz w:val="14"/>
                <w:szCs w:val="14"/>
                <w:color w:val="auto"/>
              </w:rPr>
            </w:pPr>
          </w:p>
        </w:tc>
        <w:tc>
          <w:tcPr>
            <w:tcW w:w="8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621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115.2%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2,084</w:t>
            </w:r>
          </w:p>
        </w:tc>
        <w:tc>
          <w:tcPr>
            <w:tcW w:w="24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752</w:t>
            </w:r>
          </w:p>
        </w:tc>
        <w:tc>
          <w:tcPr>
            <w:tcW w:w="3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245.0%</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1,628</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552</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194.9%</w:t>
            </w:r>
          </w:p>
        </w:tc>
        <w:tc>
          <w:tcPr>
            <w:tcW w:w="0" w:type="dxa"/>
            <w:vAlign w:val="bottom"/>
          </w:tcPr>
          <w:p>
            <w:pPr>
              <w:spacing w:after="0"/>
              <w:rPr>
                <w:sz w:val="1"/>
                <w:szCs w:val="1"/>
                <w:color w:val="auto"/>
              </w:rPr>
            </w:pPr>
          </w:p>
        </w:tc>
      </w:tr>
      <w:tr>
        <w:trPr>
          <w:trHeight w:val="142"/>
        </w:trPr>
        <w:tc>
          <w:tcPr>
            <w:tcW w:w="32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7,343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(37,403)</w:t>
            </w:r>
          </w:p>
        </w:tc>
        <w:tc>
          <w:tcPr>
            <w:tcW w:w="32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509.4%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(58,874)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(73,746)</w:t>
            </w:r>
          </w:p>
        </w:tc>
        <w:tc>
          <w:tcPr>
            <w:tcW w:w="240" w:type="dxa"/>
            <w:vAlign w:val="bottom"/>
            <w:gridSpan w:val="2"/>
          </w:tcPr>
          <w:p>
            <w:pPr>
              <w:spacing w:after="0"/>
              <w:rPr>
                <w:sz w:val="12"/>
                <w:szCs w:val="12"/>
                <w:color w:val="auto"/>
              </w:rPr>
            </w:pP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495.9%</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221</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1,206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545.7%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(735)</w:t>
            </w:r>
          </w:p>
        </w:tc>
        <w:tc>
          <w:tcPr>
            <w:tcW w:w="2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272.9%</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(29,075)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7,122</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(36,197)</w:t>
            </w:r>
          </w:p>
        </w:tc>
        <w:tc>
          <w:tcPr>
            <w:tcW w:w="320" w:type="dxa"/>
            <w:vAlign w:val="bottom"/>
          </w:tcPr>
          <w:p>
            <w:pPr>
              <w:spacing w:after="0"/>
              <w:rPr>
                <w:sz w:val="12"/>
                <w:szCs w:val="12"/>
                <w:color w:val="auto"/>
              </w:rPr>
            </w:pPr>
          </w:p>
        </w:tc>
        <w:tc>
          <w:tcPr>
            <w:tcW w:w="8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508.2%</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(58,139)</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14,447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(72,586)</w:t>
            </w:r>
          </w:p>
        </w:tc>
        <w:tc>
          <w:tcPr>
            <w:tcW w:w="240" w:type="dxa"/>
            <w:vAlign w:val="bottom"/>
            <w:gridSpan w:val="2"/>
          </w:tcPr>
          <w:p>
            <w:pPr>
              <w:spacing w:after="0"/>
              <w:rPr>
                <w:sz w:val="12"/>
                <w:szCs w:val="12"/>
                <w:color w:val="auto"/>
              </w:rPr>
            </w:pP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502.4%</w:t>
            </w:r>
          </w:p>
        </w:tc>
        <w:tc>
          <w:tcPr>
            <w:tcW w:w="0" w:type="dxa"/>
            <w:vAlign w:val="bottom"/>
          </w:tcPr>
          <w:p>
            <w:pPr>
              <w:spacing w:after="0"/>
              <w:rPr>
                <w:sz w:val="1"/>
                <w:szCs w:val="1"/>
                <w:color w:val="auto"/>
              </w:rPr>
            </w:pPr>
          </w:p>
        </w:tc>
      </w:tr>
      <w:tr>
        <w:trPr>
          <w:trHeight w:val="126"/>
        </w:trPr>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loss  from  foreign  currency</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253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1100.0%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3,274</w:t>
            </w:r>
          </w:p>
        </w:tc>
        <w:tc>
          <w:tcPr>
            <w:tcW w:w="2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163600.0%</w:t>
            </w: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(29,351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7,099</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(36,450</w:t>
            </w:r>
          </w:p>
        </w:tc>
        <w:tc>
          <w:tcPr>
            <w:tcW w:w="32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1"/>
                <w:szCs w:val="11"/>
                <w:color w:val="auto"/>
              </w:rPr>
              <w:t>513.5</w:t>
            </w:r>
            <w:r>
              <w:rPr>
                <w:rFonts w:ascii="Times New Roman" w:cs="Times New Roman" w:eastAsia="Times New Roman" w:hAnsi="Times New Roman"/>
                <w:sz w:val="18"/>
                <w:szCs w:val="18"/>
                <w:color w:val="auto"/>
                <w:vertAlign w:val="superscript"/>
              </w:rPr>
              <w:t>%</w:t>
            </w: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(61,413</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14,445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(75,858</w:t>
            </w: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9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1"/>
                <w:szCs w:val="11"/>
                <w:color w:val="auto"/>
              </w:rPr>
              <w:t>525.2</w:t>
            </w:r>
            <w:r>
              <w:rPr>
                <w:rFonts w:ascii="Times New Roman" w:cs="Times New Roman" w:eastAsia="Times New Roman" w:hAnsi="Times New Roman"/>
                <w:sz w:val="18"/>
                <w:szCs w:val="18"/>
                <w:color w:val="auto"/>
                <w:vertAlign w:val="superscript"/>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38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expenses as follows in the table below. For more details, see “Seasonality and Quarterly Trends.”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187"/>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4,168</w:t>
            </w:r>
          </w:p>
        </w:tc>
        <w:tc>
          <w:tcPr>
            <w:tcW w:w="860" w:type="dxa"/>
            <w:vAlign w:val="bottom"/>
            <w:gridSpan w:val="2"/>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7,660</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services</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6,251</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4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11,489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4,168</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8,335</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4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18,754</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34,468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5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41,676</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76,596</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3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gridSpan w:val="5"/>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subscriptions</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84.7%</w:t>
            </w:r>
          </w:p>
        </w:tc>
        <w:tc>
          <w:tcPr>
            <w:tcW w:w="7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85.8%</w:t>
            </w:r>
          </w:p>
        </w:tc>
        <w:tc>
          <w:tcPr>
            <w:tcW w:w="3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7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3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subscriptions</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28.5%</w:t>
            </w:r>
          </w:p>
        </w:tc>
        <w:tc>
          <w:tcPr>
            <w:tcW w:w="7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7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7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7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41.4%</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3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Pr>
          <w:p>
            <w:pPr>
              <w:spacing w:after="0"/>
              <w:rPr>
                <w:sz w:val="19"/>
                <w:szCs w:val="19"/>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other expense, net</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8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7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7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from foreign currency translations</w:t>
            </w: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7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w:t>
            </w: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40" w:type="dxa"/>
            <w:vAlign w:val="bottom"/>
            <w:tcBorders>
              <w:bottom w:val="single" w:sz="8" w:color="auto"/>
            </w:tcBorders>
            <w:gridSpan w:val="2"/>
          </w:tcPr>
          <w:p>
            <w:pPr>
              <w:ind w:left="5420"/>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7480" w:type="dxa"/>
            <w:vAlign w:val="bottom"/>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June 30, 2020 Compared to Three Months Ended June 30, 2019</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0" w:type="dxa"/>
            <w:vAlign w:val="bottom"/>
          </w:tcPr>
          <w:p>
            <w:pPr>
              <w:spacing w:after="0"/>
              <w:rPr>
                <w:sz w:val="1"/>
                <w:szCs w:val="1"/>
                <w:color w:val="auto"/>
              </w:rPr>
            </w:pPr>
          </w:p>
        </w:tc>
      </w:tr>
      <w:tr>
        <w:trPr>
          <w:trHeight w:val="209"/>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subscriptions</w:t>
            </w:r>
          </w:p>
        </w:tc>
        <w:tc>
          <w:tcPr>
            <w:tcW w:w="3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77,306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67,267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10,039</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11,108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2,857</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78,375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20" w:type="dxa"/>
            <w:vAlign w:val="bottom"/>
            <w:tcBorders>
              <w:bottom w:val="single" w:sz="8" w:color="auto"/>
            </w:tcBorders>
          </w:tcPr>
          <w:p>
            <w:pPr>
              <w:spacing w:after="0"/>
              <w:rPr>
                <w:sz w:val="19"/>
                <w:szCs w:val="19"/>
                <w:color w:val="auto"/>
              </w:rPr>
            </w:pPr>
          </w:p>
        </w:tc>
        <w:tc>
          <w:tcPr>
            <w:tcW w:w="158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14"/>
                <w:szCs w:val="14"/>
                <w:color w:val="auto"/>
              </w:rPr>
              <w:t>16.5</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Revenue increased $12.9 million, or 16.5%, to $91.3 million for the three months ended June 30, 2020 compared to $78.4 million for the three months ended June 30, 2019. The increase in software subscriptions revenue of $10.0 million, or 14.9%, was primarily driven by $9.0 million in revenue growth derived from our existing customers and $1.0 million of revenue from new customers.</w:t>
      </w:r>
    </w:p>
    <w:p>
      <w:pPr>
        <w:spacing w:after="0" w:line="176"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$2.9 million increase in services revenue is primarily driven by an increase of $2.4 million in software subscription related services associated with the growth in subscription revenues, which includes new customers implementing our solutions and upgrading existing customers to newer versions of our solutions. In addition, our managed services offering experienced a $0.5 million increase in recurring services revenue over the prior year due to returns processing volume increases related to regulatory changes as customers expanded their tax filings into more jurisdictions.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software subscription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6,584</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r>
    </w:tbl>
    <w:p>
      <w:pPr>
        <w:spacing w:after="0" w:line="19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 increased $6.6 million, or 33.9%, to $26.0 million for the three months ended June 30, 2020 compared to $19.4 million for the three months ended June 30, 2019. Of this increase, 61.3% is due to an increase in stock-based compensation of $4.1 million for the three months ended June 30, 2020 over the same period in 2019. After excluding the impact of stock-based compensation there is a remaining increase of $2.5 million. Of this increase, $1.5 million is due primarily to increased amortization expense associated with late Q3 2019 release of O Series 9.0. The remaining $1.0 million variance is associated with increased costs of personnel supporting year-over-year growth of sales and customers and ongoing infrastructure investments to support expansion of customer transaction volumes for our cloud-based subscription customers. As a percentage of total revenue, the cost of software subscriptions revenue increased to 28.5% for the three months ended June 30, 2020 compared to 24.8% in June 30, 2019. Adjusting for the increase in stock-based compensation in 2020, cost of software subscriptions as a percentage of total revenue would have been 24.1% for the three months ended June 30,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b w:val="1"/>
          <w:bCs w:val="1"/>
          <w:color w:val="auto"/>
        </w:rPr>
        <w:t>Cost of Services Revenue</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8,052</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r>
    </w:tbl>
    <w:p>
      <w:pPr>
        <w:spacing w:after="0" w:line="198"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Cost of services revenue increased $8.1 million, or 104.7%, to $15.7 million for the three months ended June 30, 2020 compared to $7.7 million for the three months ended June 30, 2019. Of this increase, 75.2% is due to an increase in stock-based compensation of $6.1 million for the three months ended June 30, 2020 over the same period in 2019. The balance of the increase of $2.0 million is primarily due to headcount growth in the service delivery areas to support revenue growth in software subscription related services and our managed services offering. As a percentage of total revenue, cost of services revenue increased to 17.2% in 2020 compared to 9.8% in 2019. Adjusting for the increase in stock-based compensation in 2020, cost of services revenue as a percentage of total revenue would have been 10.6% for the three months ended June 30, 2020.</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6,412</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r>
    </w:tbl>
    <w:p>
      <w:pPr>
        <w:spacing w:after="0" w:line="19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$6.4 million, or 89.0%, to $13.6 million for the three months ended June 30, 2020 compared to $7.2 million for the three months ended June 30, 2019. Of this increase, 63.0% is due to an increase in stock-based compensation of $4.0 million for the three months ended June 30, 2020 over the same period in 2019 for personnel that participate in the Company’s stock-based compensation plans. The balance of the increase of $2.4 million is primarily due to costs associated with increased development activity associated with nascent technologies and new solutions to address end-to-end data analysis and compliance needs of our customers. As a percentage of total revenue, research and development expenses increased to 14.9% for the three months ended June 30, 2020 compared to 9.2% for the three months ended June 30, 2019, driven in part by our expanded investment in developing our global compliance reporting solution. Adjusting for the increase in stock-based compensation in 2020, research and development expenses as a percentage of total revenue would have been 10.5% for the three months ended June 30, 2020.</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Research and development expense excludes those costs that have been capitalized for solutions that have met our capitalization policy.</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7,257</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bl>
    <w:p>
      <w:pPr>
        <w:spacing w:after="0" w:line="19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Selling and marketing expenses increased $7.3 million, or 42.0%, to $24.6 million for the three months ended June 30, 2020 compared to $17.3 million for the same period in 2019. Of this increase, 111.3% is due to an increase in stock-based compensation of $8.1 million for the three months ended June 30, 2020 over the same period in 2019. The balance of the variance of $(0.8) million is primarily due to a reduction in travel and external marketing events due to COVID-19 travel and conference restrictions. These costs are expected to increase once travel and conference restrictions are lifted, although it is uncertain whether these costs will return to their historical levels experienced pre-COVID-19. As a percentage of total revenue, selling and marketing expenses increased to 26.9% for the three months ended June 30, 2020 compared to 22.1% for the same period in 2019. Adjusting for the increase in stock-based compensation in 2020, selling and marketing expenses as a percentage of total revenue would have been 18.0% for the three months ended June 30,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21,111</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r>
    </w:tbl>
    <w:p>
      <w:pPr>
        <w:spacing w:after="0" w:line="19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$21.1 million, or 126.8%, to $37.8 million for the three months ended June 30, 2020 compared to $16.6 million for the same period in 2019. Of this increase, 86.0% is due to an increase in stock-based compensation of $18.2 million for the three months ended June 30, 2020 over the same period in 2019. The balance of the increase of $2.9 million is primarily due to planned strategic investments in information technology infrastructure, business process reengineering and other initiatives to drive future operating leverage, as well as investments in employees and other systems and resources in support of our growth. Due to these factors, as a percentage of total revenue, general and administrative expenses increased to 41.4% for the three months ended June 30, 2020 compared to 21.2% for the same period in 2019. Adjusting for the increase in stock-based compensation in 2020, general and administrative expenses as a percentage of total revenue would have been 21.5% for the three months ended June 30, 2020.</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333</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98"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$0.3 million, or 15.3%, to $2.5 million for the three months ended June 30, 2020 compared to $2.2 million for the same period in 2019. The increase was primarily due to the impact of infrastructure and technology purchases placed in service in 2019 and other capitalized infrastructure costs to support our growth. As a percentage of revenue, depreciation expense was relative consistent at 2.7% for the three months ended June 30, 2020 compared to 2.8% for the same period in 2019.</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three months ended June 30, 2020 did not fluctuate significantly compared to the same period in 2019.</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621</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115.2%</w:t>
            </w:r>
          </w:p>
        </w:tc>
      </w:tr>
    </w:tbl>
    <w:p>
      <w:pPr>
        <w:spacing w:after="0" w:line="198"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Interest expense increased $0.6 million, or 115.2%, to $1.2 million for the three months ended June 30, 2020 compared to $0.5 million for the same period in 2019. The increase is primarily due to interest of $0.6 million related to an increase in outstanding debt of $113.6 million over the first quarter of 2020 related to borrowings under the New Credit Agreement entered into on March 31,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b w:val="1"/>
          <w:bCs w:val="1"/>
          <w:color w:val="auto"/>
        </w:rPr>
        <w:t>Provision for Taxes</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1,206</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545.7%</w:t>
            </w:r>
          </w:p>
        </w:tc>
      </w:tr>
    </w:tbl>
    <w:p>
      <w:pPr>
        <w:spacing w:after="0" w:line="198"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Income tax expense decreased $1.2 million, or 545.7%, to a $(1.0) million income tax benefit for the three months ended June 30, 2020 compared to $0.2 million of income tax expense for the same period in 2019. The decrease was primarily due to a pretax loss resulting from an increase in stock-based compensation in 2020. As a percentage of revenue, income tax benefit increased to (1.1)% for the three months ended June 30, 2020 compared to expense of 0.3% for the same period in 2019 due to a pretax loss in 2020 resulting from an increase in stock-based compensation.</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 June 30, 2020 Compared to Six Months Ended June 30,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subscriptions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153,066</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131,651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21,415</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21,338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6,112</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20" w:type="dxa"/>
            <w:vAlign w:val="bottom"/>
            <w:tcBorders>
              <w:bottom w:val="single" w:sz="8" w:color="auto"/>
            </w:tcBorders>
          </w:tcPr>
          <w:p>
            <w:pPr>
              <w:spacing w:after="0"/>
              <w:rPr>
                <w:sz w:val="19"/>
                <w:szCs w:val="19"/>
                <w:color w:val="auto"/>
              </w:rPr>
            </w:pPr>
          </w:p>
        </w:tc>
        <w:tc>
          <w:tcPr>
            <w:tcW w:w="158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14"/>
                <w:szCs w:val="14"/>
                <w:color w:val="auto"/>
              </w:rPr>
              <w:t>18.0</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Revenue increased $27.5 million, or 18.0%, to $180.5 million for the six months ended June 30, 2020 compared to $153.0 million for the six months ended June 30, 2019. The increase in software subscriptions revenue of $21.4 million, or 16.3%, was primarily driven by $19.3 million in revenue growth derived from our existing customers and $2.1 million of revenue from new customers.</w:t>
      </w:r>
    </w:p>
    <w:p>
      <w:pPr>
        <w:spacing w:after="0" w:line="176"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$6.1 million increase in services revenue is primarily driven by an increase of $4.9 million in software subscription-related services associated with the growth in subscription revenues, which includes new customers implementing our solutions and upgrading existing customers to newer versions of our solutions. In addition, our managed services offering experienced a $0.4 million increase in recurring services revenue over the prior year due to returns processing volume increases related to regulatory changes as customers expanded their tax filings into more jurisdictions.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w:t>
      </w:r>
    </w:p>
    <w:p>
      <w:pPr>
        <w:spacing w:after="0" w:line="225"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software subscription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12,842</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r>
    </w:tbl>
    <w:p>
      <w:pPr>
        <w:spacing w:after="0" w:line="19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 increased $12.8 million, or 33.9%, to $50.7 million for the six months ended June 30, 2020 compared to $37.8 million for the six months ended June 30, 2019. Of this increase, 57.6% is due to an increase in stock-based compensation of $7.4 million for the six months ended June 30, 2020 over the same period in 2019. After excluding the impact of stock-based compensation there is a remaining increase of $5.4 million. Of this increase, $2.1 million is due primarily to increased amortization expense associated with the late Q3 2019 release of O Series 9.0. The remaining $3.3 million variance is associated with increased costs of personnel supporting year-over-year growth of sales and customers and ongoing infrastructure investments to support expansion of customer transaction volumes for our cloud-based subscription customers. As a percentage of total revenue, the cost of software subscriptions revenue increased to 28.1% for the six months ended June 30, 2020 compared to 24.7% in June 30, 2019. Adjusting for the increase in stock-based compensation in 2020, cost of software subscriptions as a percentage of total revenue would have been 24.0% for the six months ended June 30,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b w:val="1"/>
          <w:bCs w:val="1"/>
          <w:color w:val="auto"/>
        </w:rPr>
        <w:t>Cost of Services Revenue</w:t>
      </w:r>
    </w:p>
    <w:p>
      <w:pPr>
        <w:spacing w:after="0" w:line="225"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15,692</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105.8%</w:t>
            </w:r>
          </w:p>
        </w:tc>
      </w:tr>
    </w:tbl>
    <w:p>
      <w:pPr>
        <w:spacing w:after="0" w:line="198"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Cost of services revenue increased $15.7 million, or 105.8%, to $30.5 million for the six months ended June 30, 2020 compared to $14.8 million for the six months ended June 30, 2019. Of this increase, 70.7% is due to an increase in stock-based compensation of $11.1 million for the six months ended June 30, 2020 over the same period in 2019. The balance of the increase of $4.6 million is primarily due to headcount growth in the service delivery areas to support revenue growth in software subscription related services and our managed services offering. As a percentage of total revenue, cost of services revenue increased to 16.9% in 2020 compared to 9.7% in 2019. Adjusting for the increase in stock-based compensation in 2020, cost of services revenue as a percentage of total revenue would have been 10.8% for the three months ended June 30, 2020.</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5"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11,918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r>
    </w:tbl>
    <w:p>
      <w:pPr>
        <w:spacing w:after="0" w:line="198"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$11.9 million, or 80.6%, to $26.7 million for the six months ended June 30, 2020 compared to $14.8 million for the six months ended June 30, 2019. Of this increase, 62.1% is due to an increase in stock-based compensation of $7.4 million for the six months ended June 30, 2020 over the same period in 2019 for personnel that participate in the Company’s stock-based compensation plans. The balance of the increase of $4.5 million is primarily due to costs associated with increased development activity associated with nascent technologies and new solutions to address end-to-end data analysis and compliance needs of our customers. As a percentage of total revenue, research and development expenses increased to 14.8% for the six months ended June 30, 2020 compared to 9.7% for the six months ended June 30, 2019, driven in part by our expanded investment in developing our global compliance reporting solution. Adjusting for the increase in stock-based compensation in 2020, research and development expenses as a percentage of total revenue would have been 10.7% for the three months ended June 30, 2020.</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Research and development expense excludes those costs that have been capitalized for solutions that have met our capitalization policy.</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9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15,543</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r>
      <w:tr>
        <w:trPr>
          <w:trHeight w:val="648"/>
        </w:trPr>
        <w:tc>
          <w:tcPr>
            <w:tcW w:w="35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 w:name="page48"/>
    <w:bookmarkEnd w:id="47"/>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Selling and marketing expenses increased $15.5 million, or 46.6%, to $48.9 million for the six months ended June 30, 2020 compared to $33.3 million for the same period in 2019. Of this increase, 95.2% is due to an increase in stock-based compensation of $14.8 million for the six months ended June 30, 2020 over the same period in 2019. The balance of the increase of $0.7 million is primarily due to an increase in payroll and related expenses associated with the growth in year-over-year subscription sales and services revenue and expansion of our partner and channel management programs. In addition, increases in advertising and promotional spending and expanded brand awareness efforts contributed to this increase. As a percentage of total revenue, selling and marketing expenses increased to 27.1% for the six months ended June 30, 2020 compared to 21.8% for the same period in 2019. Adjusting for the increase in stock-based compensation in 2020, selling and marketing expenses as a percentage of total revenue would have been 18.9% for the six months ended June 30, 2020.</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5"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43,299</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w:t>
            </w:r>
          </w:p>
        </w:tc>
      </w:tr>
    </w:tbl>
    <w:p>
      <w:pPr>
        <w:spacing w:after="0" w:line="198"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$43.3 million, or 134.9%, to $75.4 million for the six months ended June 30, 2020 compared to $32.1 million for the same period in 2019. Of this increase, 76.9% is due to an increase in stock-based compensation of $33.3 million for the six months ended June 30, 2020 over the same period in 2019. The balance of the increase of $10.0 million is primarily due to planned strategic investments in information technology infrastructure, business process reengineering and other initiatives to drive future operating leverage, as well as investments in employees and other systems and resources in support of our growth. Due to these factors, as a percentage of total revenue, general and administrative expenses increased to 41.8% for the six months ended June 30, 2020 compared to 21.0% for the same period in 2019. Adjusting for the increase in stock-based compensation in 2020, general and administrative expenses as a percentage of total revenue would have been 23.3% for the six months ended June 30, 2020.</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5"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5,374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1,157</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r>
    </w:tbl>
    <w:p>
      <w:pPr>
        <w:spacing w:after="0" w:line="198"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$1.2 million, or 27.4%, to $5.4 million for the six months ended June 30, 2020 compared to $4.1 million for the same period in 2019. The increase was primarily due to the impact of infrastructure and technology purchases placed in service in 2019 and other capitalized infrastructure costs to support our growth. As a percentage of revenue, depreciation expense was relatively consistent at 3.0% for the six months ended June 30, 2020 compared to 2.8% for the same period in 2019.</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5"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220" w:type="dxa"/>
            <w:vAlign w:val="bottom"/>
            <w:tcBorders>
              <w:bottom w:val="single" w:sz="8" w:color="CCEEFF"/>
            </w:tcBorders>
          </w:tcPr>
          <w:p>
            <w:pPr>
              <w:spacing w:after="0"/>
              <w:rPr>
                <w:sz w:val="19"/>
                <w:szCs w:val="19"/>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six months ended June 30, 2020 was relatively consistent with the same period in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5"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2,084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1,008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$1.0 million, or 93.7%, to $2.1 million for the six months ended June 30, 2020 compared to $1.1 million for the same period in 2019. The increase is primarily due to the increase in interest of $0.9 million related to increases in outstanding debt due to the New Term Loan.</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Provision for Taxes</w:t>
      </w:r>
    </w:p>
    <w:p>
      <w:pPr>
        <w:spacing w:after="0" w:line="225"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Six Months</w:t>
      </w:r>
    </w:p>
    <w:p>
      <w:pPr>
        <w:spacing w:after="0" w:line="31"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Period-Over-Period Change</w:t>
            </w:r>
          </w:p>
        </w:tc>
        <w:tc>
          <w:tcPr>
            <w:tcW w:w="16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1,160</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272.9%</w:t>
            </w:r>
          </w:p>
        </w:tc>
      </w:tr>
    </w:tbl>
    <w:p>
      <w:pPr>
        <w:spacing w:after="0" w:line="198"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Income tax expense decreased $1.2 million, or 272.9%, to a $(0.7) million income tax benefit for the six months ended June 30, 2020 compared to $0.4 million of income tax expense for the same period in 2019. The decrease was primarily due to a pre-tax loss resulting from an increase in stock based compensation in 2020. As a percentage of revenue, income tax benefit increased to (0.4)% for the six months ended June 30, 2020 compared to expense of 0.3% for the same period in 2019 due to a pre-tax loss in 2020 resulting from an increase in stock 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As of June 30, 2020 we had cash and cash equivalents of $47.3 million and an accumulated deficit of $(348.2) million. Our primary sources of capital to date have been from sales of our solutions and proceeds from bank lending facilities. On July 31, 2020, we received $423.0 million in proceeds, net of underwriting fees, from the sale of 23,812,216 shares of Class A common stock and used a portion of the proceeds to pay off the $175.0 million term loan under the New Credit Agreement. As a result, we have no outstanding bank debt after such redemption. The net proceeds remaining after payment of Offering costs will be used for working capital and other corporate purposes as described in the Prospectus.</w:t>
      </w:r>
    </w:p>
    <w:p>
      <w:pPr>
        <w:spacing w:after="0" w:line="183"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20,756</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32,850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(30,147)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(16,617)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660" w:type="dxa"/>
            <w:vAlign w:val="bottom"/>
            <w:vMerge w:val="restart"/>
          </w:tcPr>
          <w:p>
            <w:pPr>
              <w:jc w:val="right"/>
              <w:ind w:right="253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9" w:name="page50"/>
    <w:bookmarkEnd w:id="49"/>
    <w:p>
      <w:pPr>
        <w:jc w:val="both"/>
        <w:ind w:firstLine="38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$20.8 million for the six months ended June 30, 2020 compared to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activities of $32.9 million for the same period in 2019, a decrease of $12.1 million. This decrease was primarily due to a reduction in cash provided by changes in operating assets and liabilities of $17.8 million. This reduction was primarily due to decreases in accrued and deferred compensation of $1.7 million, a reduction in deferred revenue of $8.0 million and a reduction in accounts receivable of $7.5 million. Accrued and deferred compensation decreased by $1.7 million due to payments for variable compensation for the first half of 2020 increasing over the prior year comparable quarter by $0.3 million due to increases in headcount, and due to payments of $1.4 million for stock appreciation right redemptions in the first half of 2020 as compared to the same period of 2019. Deferred revenue decreased $8.0 million due to a $5.6 million decrease in nonrecurring extended product support fees billed in the first half of 2019 related to older versions of software subscription solutions retired during 2019. The balance of the deferred revenue reduction of $2.4 million, and the reduction in accounts receivable of $7.5 million are due primarily to modifications to billing frequencies requested by customers, primarily to align all the annual subscription billings for their subscription licenses to the same period. This results in a short-term reduction in deferred revenue, but no impact to revenue.</w:t>
      </w:r>
    </w:p>
    <w:p>
      <w:pPr>
        <w:spacing w:after="0" w:line="182" w:lineRule="exact"/>
        <w:rPr>
          <w:sz w:val="20"/>
          <w:szCs w:val="20"/>
          <w:color w:val="auto"/>
        </w:rPr>
      </w:pPr>
    </w:p>
    <w:p>
      <w:pPr>
        <w:jc w:val="both"/>
        <w:ind w:firstLine="38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Cash used in investing activities was $30.1 million for the six months ended June 30, 2020 compared to $16.4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2019, an increase of $13.7 million. This increase was primarily related to the acquisition of a controlling interest in Systax, a Brazilian transaction tax software and content subscription provider, for cash paid of $12.3 million during the three months ended March 31, 2020. For additional information, see “Note 2 to the Interim Condensed Consolidated Financial Statements (unaudited) —Acquisition.”</w:t>
      </w:r>
    </w:p>
    <w:p>
      <w:pPr>
        <w:spacing w:after="0" w:line="176" w:lineRule="exact"/>
        <w:rPr>
          <w:sz w:val="20"/>
          <w:szCs w:val="20"/>
          <w:color w:val="auto"/>
        </w:rPr>
      </w:pPr>
    </w:p>
    <w:p>
      <w:pPr>
        <w:jc w:val="both"/>
        <w:ind w:firstLine="38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Cash used in financing activities was $16.6 million for the six months ended June 30, 2020 compared to $24.6 million used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in 2019, a decrease of $8.0 million. This change was due primarily to borrowings under the term loan of $175.0 million in connection with the New Credit Agreement entered into on March 31, 2020. The proceeds of the term loan were used to repay amounts outstanding under the Company’s previous credit agreement of $61.7 million and pay related financing fees of $2.9 million, with the balance being used to fund a portion of a $123.0 million dividend to our stockholders on May 29, 2020.</w:t>
      </w:r>
    </w:p>
    <w:p>
      <w:pPr>
        <w:spacing w:after="0" w:line="179" w:lineRule="exact"/>
        <w:rPr>
          <w:sz w:val="20"/>
          <w:szCs w:val="20"/>
          <w:color w:val="auto"/>
        </w:rPr>
      </w:pPr>
    </w:p>
    <w:p>
      <w:pPr>
        <w:jc w:val="both"/>
        <w:ind w:firstLine="38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As of June 30, 2020, we had a $100 million line of credit with no related outstanding borrowings and a $175.0 million dollar outstanding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Interest on outstanding borrowings accrue at a Base Rate plus an applicable margin (0.50% as of June 30, 2020) or London Interbank Offered Rate (“LIBOR”) plus an applicable margin (1.50% as of June 30, 2020). As of June 30, 2020, the interest rate on the term loan was 2.50%. As noted above, the Company paid off the term loan on July 31, 2020 with a portion of the proceeds from the Offering, resulting in the Company having no outstanding bank debt after such redemption.</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Funds Held for Customers and Customer Funds Obligations</w:t>
      </w:r>
    </w:p>
    <w:p>
      <w:pPr>
        <w:spacing w:after="0" w:line="22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We maintain trust accounts with financial institutions, which allows our customers to outsource their tax remittance functions to us. We have legal ownership over the accounts utilized for this purpose. Funds held for customers represents cash and cash equivalents that, based upon our intent, are restricted solely for satisfying the obligations to remit funds relating to our tax remittance services. Funds held for customers are not commingled with our operating funds.</w:t>
      </w:r>
    </w:p>
    <w:p>
      <w:pPr>
        <w:spacing w:after="0" w:line="180"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18"/>
          <w:szCs w:val="18"/>
          <w:color w:val="auto"/>
        </w:rPr>
        <w:t>Other than the redemption of our outstanding debt through use of a portion of the Offering proceeds, there have been no material updates or changes to our contractual obligations and commitments compared to contractual obligations and commitments described in our Prospectus filed on July 30,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jc w:val="both"/>
        <w:ind w:firstLine="220"/>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calculated non-GAAP cost of revenues, non-GAAP gross profit, non-GAAP gross margin, non-GAAP research and development expense, non-GAAP sales and marketing expense, non-GAAP general and administrative expense, non-GAAP operating income, non-GAAP net income, and free cash flow, which are each non-GAAP financial measures. We have provided tabular reconciliations of each of these non-GAAP financial measures to its most directly comparable GAAP financial measure. Management uses these non-GAAP financial measures to understand and compare operating results across accounting periods, for internal budgeting and forecasting purposes, and to evaluate financial performance and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measures, and should be read in conjunction with the financial statements included elsewhere in this Quarterly Report on Form 10-Q and the Prospectus.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 calculate these non-GAAP financial measures as follows:</w:t>
      </w:r>
    </w:p>
    <w:p>
      <w:pPr>
        <w:spacing w:after="0" w:line="225" w:lineRule="exact"/>
        <w:rPr>
          <w:sz w:val="20"/>
          <w:szCs w:val="20"/>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is determined by adding back to GAAP cost of revenue the stock-based compensation expense and the depreciation and amortization of capitalized software costs included in cost of revenue for the respective periods.</w:t>
      </w: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is determined by adding back to GAAP gross profit the stock-based compensation expense and the depreciation and amortization of capitalized software costs included in cost of revenue for the respective periods.</w:t>
      </w: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is determined by adding back to GAAP gross margin the impact of stock-based compensation expense and depreciation and amortization of capitalized software costs included in cost of revenues as a percentage of revenue for the respective periods.</w:t>
      </w:r>
    </w:p>
    <w:p>
      <w:pPr>
        <w:jc w:val="both"/>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research and development expense, non-GAAP selling and marketing expense, and non-GAAP general and administrative expense are determined by adding back to GAAP research and development expense, GAAP selling and marketing expense, and GAAP general and administrative expense, the stock-based compensation expense and severance expense included in the applicable expense categories for the respective periods.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determined by adding back to GAAP operating income (loss) the stock-based compensation expense, depreciation and amortization of capitalized software costs, and severance costs included for the respective periods.</w:t>
      </w: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determined by adding back to GAAP net income (loss) amortization of capitalized software costs, stock-based compensation expense, and severance costs included for the respective periods.</w:t>
      </w: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determined by adding back to GAAP net income (loss) the net interest expense, taxes, depreciation and amortization of property and equipment and capitalized software costs, stock-based compensation expense and severance cost included for the respective periods.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determined by dividing Adjusted EBITDA by total revenues for the respective periods.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determined by adjusting net cash provided by (used in) operating activities by cash used for purchases of property and equipment and capitalized software additions for the respective periods.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margin is determined by dividing free cash flow by total revenues for the respective periods.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220"/>
        <w:spacing w:after="0" w:line="282" w:lineRule="auto"/>
        <w:rPr>
          <w:sz w:val="20"/>
          <w:szCs w:val="20"/>
          <w:color w:val="auto"/>
        </w:rPr>
      </w:pPr>
      <w:r>
        <w:rPr>
          <w:rFonts w:ascii="Times New Roman" w:cs="Times New Roman" w:eastAsia="Times New Roman" w:hAnsi="Times New Roman"/>
          <w:sz w:val="18"/>
          <w:szCs w:val="18"/>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62" w:lineRule="exact"/>
        <w:rPr>
          <w:sz w:val="20"/>
          <w:szCs w:val="20"/>
          <w:color w:val="auto"/>
        </w:rPr>
      </w:pPr>
    </w:p>
    <w:p>
      <w:pPr>
        <w:jc w:val="both"/>
        <w:ind w:firstLine="220"/>
        <w:spacing w:after="0" w:line="261" w:lineRule="auto"/>
        <w:rPr>
          <w:sz w:val="20"/>
          <w:szCs w:val="20"/>
          <w:color w:val="auto"/>
        </w:rPr>
      </w:pPr>
      <w:r>
        <w:rPr>
          <w:rFonts w:ascii="Times New Roman" w:cs="Times New Roman" w:eastAsia="Times New Roman" w:hAnsi="Times New Roman"/>
          <w:sz w:val="18"/>
          <w:szCs w:val="18"/>
          <w:color w:val="auto"/>
        </w:rPr>
        <w:t xml:space="preserve">The following schedules reflect our non-GAAP financial measures and reconcile our non-GAAP financial measures to the related GAAP financial measures. Refer to </w:t>
      </w:r>
      <w:r>
        <w:rPr>
          <w:rFonts w:ascii="Times New Roman" w:cs="Times New Roman" w:eastAsia="Times New Roman" w:hAnsi="Times New Roman"/>
          <w:sz w:val="18"/>
          <w:szCs w:val="18"/>
          <w:i w:val="1"/>
          <w:iCs w:val="1"/>
          <w:color w:val="auto"/>
        </w:rPr>
        <w:t>“Item 2. Management’s Discussion and Analysis of Financial Condition and Results of Operations - Key Business Metrics”</w:t>
      </w:r>
      <w:r>
        <w:rPr>
          <w:rFonts w:ascii="Times New Roman" w:cs="Times New Roman" w:eastAsia="Times New Roman" w:hAnsi="Times New Roman"/>
          <w:sz w:val="18"/>
          <w:szCs w:val="18"/>
          <w:color w:val="auto"/>
        </w:rPr>
        <w:t xml:space="preserve"> for further discussion and reconciliation of Adjusted EBITDA, Adjusted EBITDA margin, free cash flow and free cash flow margin to the related GAAP financial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18"/>
                <w:szCs w:val="18"/>
                <w:color w:val="auto"/>
              </w:rPr>
            </w:pPr>
          </w:p>
        </w:tc>
        <w:tc>
          <w:tcPr>
            <w:tcW w:w="26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27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6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9,493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7,495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19,033</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14,436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55,602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128,500</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108,909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research and development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9,449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7,074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19,036</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Non-GAAP selling and marketing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16,209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17,025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33,558</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32,811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general and administrative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18,145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15,649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38,884</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29,969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19,009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13,377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31,434</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26,928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18,935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12,849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30,541</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25,951</w:t>
            </w:r>
          </w:p>
        </w:tc>
        <w:tc>
          <w:tcPr>
            <w:tcW w:w="0" w:type="dxa"/>
            <w:vAlign w:val="bottom"/>
          </w:tcPr>
          <w:p>
            <w:pPr>
              <w:spacing w:after="0"/>
              <w:rPr>
                <w:sz w:val="1"/>
                <w:szCs w:val="1"/>
                <w:color w:val="auto"/>
              </w:rPr>
            </w:pPr>
          </w:p>
        </w:tc>
      </w:tr>
      <w:tr>
        <w:trPr>
          <w:trHeight w:val="648"/>
        </w:trPr>
        <w:tc>
          <w:tcPr>
            <w:tcW w:w="5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18"/>
                <w:szCs w:val="18"/>
                <w:color w:val="auto"/>
              </w:rPr>
            </w:pPr>
          </w:p>
        </w:tc>
        <w:tc>
          <w:tcPr>
            <w:tcW w:w="2620" w:type="dxa"/>
            <w:vAlign w:val="bottom"/>
            <w:gridSpan w:val="6"/>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2720" w:type="dxa"/>
            <w:vAlign w:val="bottom"/>
            <w:gridSpan w:val="5"/>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6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Cost of Revenue: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26,001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19,417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50,685</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37,843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(4,168)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(7,660)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 cost of subscription revenues</w:t>
            </w:r>
          </w:p>
        </w:tc>
        <w:tc>
          <w:tcPr>
            <w:tcW w:w="26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(5,475)</w:t>
            </w:r>
          </w:p>
        </w:tc>
        <w:tc>
          <w:tcPr>
            <w:tcW w:w="26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(10,042)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(7,937)</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15,744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7,692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30,522</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14,830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(6,251)</w:t>
            </w:r>
          </w:p>
        </w:tc>
        <w:tc>
          <w:tcPr>
            <w:tcW w:w="26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(11,489)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49,526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51,266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99,309</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100,316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10,419</w:t>
            </w:r>
          </w:p>
        </w:tc>
        <w:tc>
          <w:tcPr>
            <w:tcW w:w="2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19,149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capitalized software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5,475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10,042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7,937</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65,420</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55,602</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128,500</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108,909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as a percentage of revenue</w:t>
            </w:r>
          </w:p>
        </w:tc>
        <w:tc>
          <w:tcPr>
            <w:tcW w:w="2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 - cost of subscription revenues as a</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Research and Development Expense: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13,617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7,205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26,696</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(4,168)</w:t>
            </w:r>
          </w:p>
        </w:tc>
        <w:tc>
          <w:tcPr>
            <w:tcW w:w="26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(7,660)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research and development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Selling and Marketing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24,544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17,287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48,877</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33,334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(8,335)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(15,319)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selling and marketing</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16,209</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33,558</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General and Administrative Expense: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37,758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16,647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75,394</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32,095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(18,754)</w:t>
            </w:r>
          </w:p>
        </w:tc>
        <w:tc>
          <w:tcPr>
            <w:tcW w:w="26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(34,468)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38,884</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(29,001)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7,650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(57,246)</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15,424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41,676</w:t>
            </w:r>
          </w:p>
        </w:tc>
        <w:tc>
          <w:tcPr>
            <w:tcW w:w="2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76,596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2,042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 cost of subscription revenues</w:t>
            </w:r>
          </w:p>
        </w:tc>
        <w:tc>
          <w:tcPr>
            <w:tcW w:w="26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5,475</w:t>
            </w:r>
          </w:p>
        </w:tc>
        <w:tc>
          <w:tcPr>
            <w:tcW w:w="2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10,042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7,937</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Net Income: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(29,075)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7,122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(58,139)</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14,447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41,676</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76,596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26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18"/>
                <w:szCs w:val="18"/>
                <w:color w:val="auto"/>
              </w:rPr>
            </w:pPr>
          </w:p>
        </w:tc>
        <w:tc>
          <w:tcPr>
            <w:tcW w:w="11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2,042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 cost of subscription revenues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5,475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10,042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7,937</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18,935</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that reflect our more significant judgments and estimates used in the preparation of our condensed consolidated financial statements include those described in “Note 1—Summary of Significant Accounting Policies” in Part I, Item 1 of this Quarterly Report on Form 10-Q.</w:t>
      </w:r>
    </w:p>
    <w:p>
      <w:pPr>
        <w:spacing w:after="0" w:line="176"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18"/>
          <w:szCs w:val="18"/>
          <w:color w:val="auto"/>
        </w:rPr>
        <w:t>There have been no material updates or changes to our critical accounting policies and estimates compared to the critical accounting policies and estimates described in our Prospectus filed on July 30, 2020.</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For further information on recent accounting pronouncements, refer to Note 1 in the consolidated financial statements contained within this Quarterly Report on Form 10-Q and in our Registration Statement on Form S-1 filed on July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$47.3 million as of June 30, 2020. In addition, the Company received proceeds, net of underwriter fees, from its Offering of $423.0 million on July 31, 2020, which it used to pay off outstanding debt of $175.0 million resulting in the Company having no outstanding bank debt after such redemption. We maintain our cash and cash equivalents in deposit accounts and money market funds with various financial institutions. Due to the short-term nature of these instruments, we believe that we do not have any material exposure to changes in the fair value of our investment portfolio as a result of changes in interest rates. Declines in interest rates, however, would reduce future interest income.</w:t>
      </w:r>
    </w:p>
    <w:p>
      <w:pPr>
        <w:spacing w:after="0" w:line="183"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We are exposed to risk related to changes in interest rates. Borrowings under the New Credit Agreement bear interest at rates that are variable. Increases in the bank prime or LIBOR rates would increase the interest rate on any outstanding borrowings. Any debt we incur in the future may also bear interest at variable rates.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Our revenue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 and other operating results as expressed in U.S. dollars. For the three and six months ended June 30, 2019 and 2020, approximately 1% of our revenues were generated in currencies other than U.S. dollars in each respective period.</w:t>
      </w:r>
    </w:p>
    <w:p>
      <w:pPr>
        <w:spacing w:after="0" w:line="183"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approximately 40% of our exposure to adverse fluctuations in the Brazilian Real associated with these future purchase commitments.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Historically we do not believe that inflation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Solely as a result of the material weaknesses described below, our principal executive officer and principal financial officer concluded that, as of June 30, 2020, our disclosure controls and procedures were not effective.</w:t>
      </w:r>
    </w:p>
    <w:p>
      <w:pPr>
        <w:spacing w:after="0" w:line="176" w:lineRule="exact"/>
        <w:rPr>
          <w:sz w:val="20"/>
          <w:szCs w:val="20"/>
          <w:color w:val="auto"/>
        </w:rPr>
      </w:pPr>
    </w:p>
    <w:p>
      <w:pPr>
        <w:jc w:val="both"/>
        <w:ind w:firstLine="220"/>
        <w:spacing w:after="0" w:line="261" w:lineRule="auto"/>
        <w:rPr>
          <w:sz w:val="20"/>
          <w:szCs w:val="20"/>
          <w:color w:val="auto"/>
        </w:rPr>
      </w:pPr>
      <w:r>
        <w:rPr>
          <w:rFonts w:ascii="Times New Roman" w:cs="Times New Roman" w:eastAsia="Times New Roman" w:hAnsi="Times New Roman"/>
          <w:sz w:val="18"/>
          <w:szCs w:val="18"/>
          <w:color w:val="auto"/>
        </w:rPr>
        <w:t>We have performed additional analyses, reconciliations, and other post-closing procedures and have concluded that, notwithstanding the material weaknesses in our internal control over financial reporting, the unaudited interim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2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As previously disclosed, we identified three material weaknesses in our internal control over financial reporting during the two-year period ended December 31, 2019. These material weaknesses were due to (i) the lack of an effective review control over the completeness and accuracy of significant conclusions regarding the impact of the new revenue recognition guidance prescribed by ASC 606, (ii) incorrect applications of software capitalization models and untimely identification of impairments of capitalized software development costs and (iii) an insufficient process for the provision and governance of user access to financially significant systems that resulted in a lack of segregation of duties related to journal entries and cash disbursements. The material weaknesses resulted in several control deficiencies that could have the following effects:</w:t>
      </w:r>
    </w:p>
    <w:p>
      <w:pPr>
        <w:spacing w:after="0" w:line="187" w:lineRule="exact"/>
        <w:rPr>
          <w:sz w:val="20"/>
          <w:szCs w:val="20"/>
          <w:color w:val="auto"/>
        </w:rPr>
      </w:pPr>
    </w:p>
    <w:p>
      <w:pPr>
        <w:ind w:left="660" w:right="20" w:hanging="4"/>
        <w:spacing w:after="0" w:line="282"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revised accounting guidance on the Company’s financial statements may not be identified and accurately reflected in the Company’s financial statements;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7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the amount of software development costs capitalized and impairment assessments that are either not captured in a timely manner or not appropriate based on whether such costs are internal-use software versus software to be sold, leased or marketed; and</w:t>
      </w:r>
    </w:p>
    <w:p>
      <w:pPr>
        <w:spacing w:after="0" w:line="161"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risk that unauthorized transactions will not be prevented and/or detected and corrected in a timely manner.</w:t>
      </w:r>
    </w:p>
    <w:p>
      <w:pPr>
        <w:spacing w:after="0" w:line="225"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The material weaknesses relating to revenue recognition and capitalized software development costs resulted in errors that were not identified timely in conjunction with the issuance of our financial statements as of and for the years ended December 31, 2018 and 2019. These errors led to adjustments reflected in the 2019 and 2018 audited consolidated financial statements. We evaluated these errors under both quantitative and qualitative standards. No errors were identified with respect to the lack of segregation of user access to financially significant systems.</w:t>
      </w:r>
    </w:p>
    <w:p>
      <w:pPr>
        <w:spacing w:after="0" w:line="180" w:lineRule="exact"/>
        <w:rPr>
          <w:sz w:val="20"/>
          <w:szCs w:val="20"/>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control deficiencies, that results in more than a reasonable possibility that a material misstatement of the annual or interim financial statements will not be prevented or detected on a timely basis by a company’s internal controls.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Beginning in February 2020, we started specific efforts to remediate the material weaknesses described above, including the following:</w:t>
      </w:r>
    </w:p>
    <w:p>
      <w:pPr>
        <w:spacing w:after="0" w:line="225" w:lineRule="exact"/>
        <w:rPr>
          <w:sz w:val="20"/>
          <w:szCs w:val="20"/>
          <w:color w:val="auto"/>
        </w:rPr>
      </w:pPr>
    </w:p>
    <w:p>
      <w:pPr>
        <w:ind w:left="660" w:right="20" w:hanging="4"/>
        <w:spacing w:after="0" w:line="282" w:lineRule="auto"/>
        <w:tabs>
          <w:tab w:leader="none" w:pos="8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additional and more precise review controls over revenue recognition, particularly considering the complex nature of this accounting pronouncement;</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left="660" w:right="20" w:hanging="4"/>
        <w:spacing w:after="0" w:line="282" w:lineRule="auto"/>
        <w:tabs>
          <w:tab w:leader="none" w:pos="7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additional and more precise review controls over implementation of new accounting pronouncements, particularly where management seeks input from outside consultants with respect to implementation of those accounting pronouncements that are complex;</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7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a control in which senior members of our finance, accounting, technology and product teams meet quarterly and review all new software projects, existing software assets that have changes in projected use and/or pipeline, and business and market conditions that could impact classification or impairment of capitalized software development costs; and</w:t>
      </w:r>
    </w:p>
    <w:p>
      <w:pPr>
        <w:spacing w:after="0" w:line="175" w:lineRule="exact"/>
        <w:rPr>
          <w:rFonts w:ascii="Times New Roman" w:cs="Times New Roman" w:eastAsia="Times New Roman" w:hAnsi="Times New Roman"/>
          <w:sz w:val="18"/>
          <w:szCs w:val="18"/>
          <w:color w:val="auto"/>
        </w:rPr>
      </w:pPr>
    </w:p>
    <w:p>
      <w:pPr>
        <w:ind w:left="660" w:right="20" w:hanging="4"/>
        <w:spacing w:after="0" w:line="282" w:lineRule="auto"/>
        <w:tabs>
          <w:tab w:leader="none" w:pos="7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began to implement changes needed over our user access governance practices to prevent individuals from having the ability to create and post journal entry or create a vendor and prepare checks.</w:t>
      </w:r>
    </w:p>
    <w:p>
      <w:pPr>
        <w:spacing w:after="0" w:line="162" w:lineRule="exact"/>
        <w:rPr>
          <w:sz w:val="20"/>
          <w:szCs w:val="20"/>
          <w:color w:val="auto"/>
        </w:rPr>
      </w:pPr>
    </w:p>
    <w:p>
      <w:pPr>
        <w:jc w:val="both"/>
        <w:ind w:firstLine="389"/>
        <w:spacing w:after="0" w:line="255" w:lineRule="auto"/>
        <w:rPr>
          <w:sz w:val="20"/>
          <w:szCs w:val="20"/>
          <w:color w:val="auto"/>
        </w:rPr>
      </w:pPr>
      <w:r>
        <w:rPr>
          <w:rFonts w:ascii="Times New Roman" w:cs="Times New Roman" w:eastAsia="Times New Roman" w:hAnsi="Times New Roman"/>
          <w:sz w:val="18"/>
          <w:szCs w:val="18"/>
          <w:color w:val="auto"/>
        </w:rPr>
        <w:t>We continue to implement new technology systems to automate certain processes, particularly with respect to revenue recognition. We expect these efforts to continue throughout 2020 and, in the interim, we will continue to employ enhanced review controls. We also plan to increase the education and training available to our management regarding new and revised accounting standards to aid in our efforts to remediate the material weakness regarding our implementation of ASC 606 and future accounting pronouncements. Our executive team in charge of reviewing potential impairments of capitalized software development costs will continue to meet quarterly in 2020 and thereafter. Finally, we are in the process of performing an overall review of user access for our core financial systems, which we expect may result in further segregation of duties. We also plan to periodically update our review of user access going forward.</w:t>
      </w:r>
    </w:p>
    <w:p>
      <w:pPr>
        <w:spacing w:after="0" w:line="18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Company will require additional time to demonstrate the effectiveness of the remediation efforts. The material weaknesses will not be considered remediated until the applicable controls operate for a sufficient period of time and management has concluded, through testing, that these controls are operating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Other than the changes described above regarding enhancements associated with ongoing remediation efforts, 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risks, together with management’s discussion and analysis of our financial condition and results of operations in conjunction with the consolidated financial statements and the notes thereto included elsewhere in this Quarterly Report on Form 10-Q and our audited consolidated financial statements and the notes thereto included in our Prospectus filed with the SEC on July 30, 2020. If any of the events contemplated by the following discussion of risks should occur, our business, results of operations, financial condition and cash flows could suffer significantly.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portion of our revenue depends on maintaining and growing our revenue from existing customers, and if we fail to retain our customers or expand their usage of our solutions, our business, results of operations, financial condition and cash flows would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accurately predict customer behavior. Our customers have no obligation to renew their subscriptions for our solutions after the expiration of their subscription periods and our customers may not renew subscriptions for a similar mix of solutions. Our retention rates would decline as a result of a number of factors, including customer dissatisfaction, decreased customer spending levels, decreased customer transaction volumes, increased competition, changes in tax laws or rules, pricing changes or legislative changes affecting tax compliance providers. If our customers do not renew their subscriptions, or our customers reduce the solutions purchased under their subscriptions, our revenue would decline and our business may be harmed.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success also depends in part on our ability to sell additional solutions to existing customers and on our customers’ expanded use of our solutions. If our efforts to sell our additional solutions to our customers are not successful or if our customers do not expand their use of our solutions, it would decrease our revenue growth and harm our business, results of operations, financial condition and cash flows.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depend in part on, and anticipate that we will continue to depend in part on, various third-party relationships to sustain and grow our business. Our relationships with third-party publishers of software business applications, including accounting, ERP, eCommerce, Point of Sales (“POS”), recurring billing and Customer Relationship Management (“CRM”) systems, help drive our business because the integration of our solutions with their applications allows us to reach their sizeable customer bases. Our customers’ user experience is dependent on our ability to connect easily to such third-party software applications. We may fail to retain and expand these integrations or relationships for many reasons, including due to failures by third parties to maintain, support or secure their technology platforms in general and our integrations in particular, or errors, bugs or defects in such third party technology, or changes in our technology platform. Any such failure could harm our relationship with our customers, our reputation and brand and our business and results of operations.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integrating third-party technology can be complex, costly and time-consuming. Third parties may be unwilling to build integrations, and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resulting in customer dissatisfaction and harm to our business. If we are unable to respond to these changes or failures in a cost-effective manner, our solutions may become less marketable, less competitive or obsolete and our results of operations may be negatively impacted.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adapt to technological change by successfully introducing new and enhanced solutions and services, our business, results of operations, financial condition and cash flows would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solutions is characterized by rapid technological change, frequent new product and service introductions and enhancements, changing customer demands and evolving industry standards. The introduction of software embodying new technologies can quickly make existing software obsolete and unmarketable. Software solutions are inherently complex, and it can take a long time and require significant research and development expenditures to develop and test new or enhanced solutions. The success of any enhancements or improvements to our software solutions or any new solutions and services depends on several factors, including timely completion, competitive pricing, adequate quality testing, integration with existing technologies and our platform and overall market acceptance. We cannot be sure that we will succeed in developing, marketing and delivering on a timely and cost-effective basis enhancements or improvements to our software or any new solutions and services that respond to technological change or new customer requirements, nor can we be sure that any enhancements or improvements to our software or any new solutions and services will be free of errors and defects or that they will achieve market acceptance. Moreover, even if we introduce new solutions, we would experience a decline in revenue of our existing solutions that is not offset by revenue from the solutions. Customers may delay making purchases of new solutions to permit them to make a more thorough evaluation of these solutions or until industry and marketplace reviews become widely available. In addition, we may lose existing customers who choose a competitor’s solutions rather than migrate to our new solutions. This could result in a temporary or permanent revenue shortfall and adversely affect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failures in information technology or infrastructure could lead to disruptions of our software, loss of customer data or untimely remittance of taxes, any of which could adversely affect our reputation and financial condition.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software depends on uninterrupted, high-speed access to the internet in order to provide real-time tax determinations and processing of indirect tax data. Failures in our or our customers’ and partners’ information technology and infrastructure or service outages at third-party internet providers could lead to disruptions to our software. Such failures may be caused by numerous factors, including mechanical failure, power outage, human error, physical or electronic security breaches, war, terrorism, fire, earthquake, hurricane, flood and other natural disasters, sabotage and vandalism. Disruptions to our software could cause customers to lose sensitive or confidential information and could also lead to our or our customers’ inability to timely remit taxes to the appropriate authorities. Any of these outcomes could lead customers to switch to our competitors or avoid using our solutions, which would negatively impact our revenue and harm our opportunities for growth.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integration or use of our solutions could result in customer dissatisfaction and negatively affect our business, results of operations, financial condition and cash flows.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may need training or education in the proper use of, and the variety of benefits that can be derived from, our solutions to maximize their potential benefits. If our solutions are not implemented or used correctly or as intended, inadequate performance may result. Because our customers rely on our solutions to manage a wide range of tax compliance operations, the incorrect or improper implementation or use of our solutions, or our failure to provide adequate support to our customers, may result in negative publicity or legal claims against us, which could harm our business, results of operations, financial condition and cash flows. Also, as we continue to expand our customer base, any failure by us to properly provide training and support will likely result in lost opportunities for additional subscriptions for our solutions.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technical and tax-content personnel, our business could be harmed.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technology is complex and our success depends in large part on our ability to attract and retain highly qualified personnel, particularly tax-content specialists, software developers, technical support and research and development personnel. Competition for skilled personnel is intense and we may not be successful in attracting, motivating and retaining needed personnel. We also may be unable to attract or integrate into our operations qualified personnel on the schedule we desire. Any inability to attract, integrate, motivate and retain the necessary personnel could harm our business. Dealing with the loss of the services of our executive officers or key personnel and the process to replace any of our executive officers or key personnel may involve significant time and expense, take longer than anticipated, and significantly delay or prevent the achievement of our business objectives, which would harm our financial condition, results of operations, and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competitive pressures from other tax software and services providers, as well as the challenge of convincing businesses using manual processes and native ERP functions to switch to our software.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significant competitive challenges from other tax-specific software vendors and from outsourced transaction tax compliance services offered by accounting and specialized consulting firms. There are a number of competing tax-specific software vendors, some of which have substantially greater revenue, personnel and other resources than we do. Corporate competitors, as well as the state and local tax services offered by accounting firms, have historically targeted our customer base of large enterprise companies. In addition, our competitors who currently focus their tax compliance services on small- to medium-sized businesses may be better positioned to increase their market share with small- to medium-sized businesses and may choose to enter our markets, whether competing based on price, service or otherwise. We also face a growing number of competing private transaction tax compliance businesses focused primarily on eCommerce. Increased competition may impact our ability to add new customers and to retain and expand revenues from existing customers. It is also possible that large enterprises with substantial resources that operate in adjacent compliance, finance or eCommerce verticals may decide to pursue transaction tax compliance automation and become immediate, significant competitors. Our failure to successfully and effectively compete with current or future competitors could lead to lost business and negatively affect our revenue.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many companies continue to employ manual processes that often rely on transaction-specific research, static tax tables, non-tax specific software or rate calculator services, as well as manual filing and remittance activities. Many businesses using manual approaches believe that these processes are adequate and may be unaware that there is an alternative that is more effective, resulting in an inertia that can be difficult to overcome. In addition, the upfront costs of our solutions can limit our sales to businesses using manual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success may not be indicative of our future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predict with certainty our customers’ future usage or retention given the diversity of our customer base across industries, geographies, customer size and other factors. Accordingly, we may be unable to accurately forecast our revenues notwithstanding our substantial investments in sales and marketing, tax content infrastructure and research and development in anticipation of continued growth in our business. If we do not realize returns on these investments in our growth, our results of operations could differ materially from our prior results, which could cause our stock price to decline.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derive a substantial portion of our revenue from our indirect tax software, and any failure of our software to satisfy customer requirements or to achieve increased market penetration could adversely affect our business, results of operations, financial condition and growth prospects.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derive a substantial portion of our revenue from subscriptions to our indirect tax software. We have added, and will continue to add, additional solutions to expand our offerings, but, at least in the near term, we expect to continue to derive the majority of our revenue from our indirect tax software. As such, the ability of our indirect tax software to meet our customers’ requirements is critical to our success. Demand for our solutions is affected by a number of factors, many of which are beyond our control, such as continued market acceptance and continued employment of our solutions by existing and new customers, the timing of the development and release of upgraded or new solutions, the introduction or upgrading of products and services by our competitors, technological change and growth or contraction in our addressable market. If our indirect tax software does not continue to meet customer requirements, our business, results of operations, financial condition and growth prospects will suffer.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customers’ and partners’ software systems may impact our ability to offer a specific software deployment method to existing customers, which could cause a termination of customer contracts utilizing that deployment method, or otherwise effect our results of operations, financial condition and cash flow.</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solutions are integrated with the software systems and complex workflows of our customers and partners. In the event that such software systems are modified or updated in a way that is incompatible with our software, we may be unable to continue to support the operations of our customers and partners. If our customers are unable to implement our solutions successfully or in a timely manner, or if our partners are unable to integrate with our solutions through our integrations, customer perceptions of our solutions may be impaired, our reputation and brand may suffer and customers may choose not to renew or expand the use of our solutions. In addition, if we fail to anticipate technological changes that our customers and partners may look to adopt, our solutions may be perceived as being less effective or obsolete. Any of these changes could have a material adverse effect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continue making significant investments in software development and equipment to improve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improve the scalability, security and efficiency of our solutions, and to support the expansion of our software into other tax types, we will need to continue making significant capital expenditures and also invest in additional software and infrastructure development. If we experience increasing demand in subscriptions, we may not be able to augment our infrastructure quickly enough to accommodate such increasing demand. In the event of decreases in subscription sales, certain of our fixed costs, such as for capital expenditures, may make it difficult for us to quickly adjust our expenses downward. Additionally, we are continually updating our software and content, which increases expenses for us. We may also need to review or revise our software architecture as we grow, which may require significant resources and investments. As a result, although we may have significant research and development expenditures, which may be incurred and certain of which may be capitalized, there is no guarantee our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growth depends in part on our ability to continue to grow our customer base.</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Increasing our customer base will depend, to a significant extent, on our ability to effectively expand our sales and marketing activities, as well as our partner ecosystem and other customer referral sources. We may not be able to recruit qualified sales and marketing personnel, train them to perform and achieve an acceptable level of sales production from them on a timely basis or at all. In the past, it has usually taken new members of our sales force at least six months to integrate into our operations and start converting sales leads at our expected levels. In addition, if we cannot continue to maintain or expand our relationships with our partners, we may receive fewer referrals, the set of integrations we offer may not keep up with the market and our customer expansion strategy may become less effective. If we are unable to maintain effective sales and marketing activities and maintain and expand our partner network, our ability to attract new customers could be harmed and our business, results of operations, financial condition and cash flows would suffer.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financial condition and cash flows will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and may continue to experience, growth in our headcount and operations, both domestically and internationally, which has placed, and may continue to place, significant demands on our management and our administrative, operational and financial reporting resources. We have also experienced significant growth in the number of customers, number of transactions and the amount of tax content that our platform and solutions support. Our growth will require us to hire additional employees and make significant expenditures, particularly in sales and marketing but also in our technology, professional services, finance and administration teams, as well as in our facilities and infrastructure. Our ability to effectively manage our growth will also require the allocation of valuable management and employee resources and improvements to our operational and financial controls and our reporting procedures and systems. In addition, as we seek to continue to expand internationally, we will likely encounter unexpected challenges and expenses due to unfamiliarity with local requirements, practices and markets. Our expenses may increase more than we plan, and we may fail to hire qualified personnel, expand our customer base, enhance our existing solutions, develop new solutions, integrate any acquisitions, satisfy the requirements of our existing customers, respond to competitive challenges or otherwise execute our strategies. If we are unable to effectively manage our growth, our business, results of operations, financial condition and cash flows would likely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of, and investments in, other businesses, software, tax content or technologies may not yield expected benefits, and our inability to successfully integrate acquisitions may negatively impact our business, results of operations, financial condition and cash flows.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in the future seek to grow our operations by pursuing acquisitions of businesses, software and technologies. We may not realize the anticipated benefits, or any benefits, from future acquisitions. In addition, if we finance acquisitions by incurring debt or by issuing equity or convertible or debt securities, our existing stockholder may be diluted or we could face constraints related to covenants in the agreements governing the indebtedness, which could affect the market value of our capital stock.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seriously harmed and the value of your investment may decline. For us to realize the benefits of future acquisitions, we must successfully integrate the acquired businesses, software or technologies with ours. This may take time and divert management’s attention from our day-to-day operations, which could negatively impact our business, results of operations, financial condition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of operations will fluctuate in future periods.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experience quarterly or annual fluctuations in our results of operations due to a number of factors, many of which are outside of our control. This makes our future results difficult to predict and could cause our results of operations to fall below expectations or our predictions. Factors that might cause quarterly or annual fluctuations in our results of operations include:</w:t>
      </w:r>
    </w:p>
    <w:p>
      <w:pPr>
        <w:spacing w:after="0" w:line="176"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grow revenue from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train and achieve an acceptable level of production from our sales and marketing teams;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 nurture successful sales opportunities;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introduction of new solutions or updates to existing solutions;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maintain our relationships with our ecosystem of third-party partners, including integration partners and referral partners;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customers’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large subscriptions and customer renewal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related to the expansion of our business, operations and infrastructure;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of our intangible assets, capitalized software, long-lived assets and goodwill;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seasonality in connection with new customer agreements, as well as renewal and upgrade agreements, each of which have historically occurred at a higher rate in the fourth quarter of each year;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costs related to acquisitions of content, technologies or businesses and their integration;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or all of the factors referred to above, may result in significant fluctuations in our quarterly and annual results of operations. This variability and unpredictability could result in our failure to meet or exceed our internal operating plan. In addition, a percentage of our operating expenses is fixed in nature and is based on forecasted financial performance. In the event of revenue shortfalls, we may not be able to mitigate the negative impact on our results of operations quickly enough to avoid short-term impacts.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recognize revenue from subscription fees paid by customers ratably over the subscription term.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is generally recognized over the applicable subscription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globally involves challenges that may adversely affect our ability to grow.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plan to continue expanding our business operations globally and to enter new markets where we have limited or no experience in marketing, selling and deploying our solutions. If we fail to deploy or manage our operations in international markets successfully, our business may suffer. In the future, as our international operations increase, or more of our expenses are denominated in currencies other than the U.S. dollar, our results of operations may become more sensitive to fluctuations in the exchange rates of the currencies in which we do business. In addition, we are subject to a variety of risks inherent in doing business internationally, including:</w:t>
      </w:r>
    </w:p>
    <w:p>
      <w:pPr>
        <w:spacing w:after="0" w:line="183"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localization and content laws as well as unexpected changes in laws, regulatory requirements and enforcement due to the wide discretion given to some local lawmakers and regulators regarding the enactment, interpretation and implementation of local regulations;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user information to local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tax laws and regulations of multiple tax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international locations;</w:t>
      </w:r>
    </w:p>
    <w:p>
      <w:pPr>
        <w:spacing w:after="0" w:line="37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our core markets and otherwise prevent us from freely moving cash;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(the “FCPA”), the U.K. Bribery Act and similar laws in other jurisdictions;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export controls and economic sanctions administered by the relevant local authorities, including in the United States and European Union, in our international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unable to expand internationally and manage the complexity of our global operations successfully, our business could be seriously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hold significant amounts of money that we remit to taxing authorities on behalf of our customers, and this may expose us to liability from errors, delays, fraud or system failures, which may not be covered by insurance.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handle significant amounts of our customers’ money so that we can remit those amounts to various taxing jurisdictions on their behalf. If we make mistakes in the determination or remittance of tax payments to the appropriate jurisdictions, our reputation and results of operations could suffer. Moreover, if our banks’ or our own internal compliance procedures regarding cash management fail, are hacked or sabotaged, or if our banks or we are the subject of fraudulent behavior by personnel or third parties, we could face significant financial losses. Our efforts to remit tax payments to applicable taxing jurisdictions after receiving the corresponding funds from our customers may fail, which would expose us to the financial risk of collecting from our customers after we have remitted funds on their behalf.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subject to risk from concentration of cash and cash equivalent accounts, including cash from our customers that is to be remitted to taxing jurisdictions, with financial institutions where deposits routinely exceed federal insurance limits. If the financial institutions in which we deposit our customers’ cash were to experience insolvency or other financial difficulty, our access to cash deposits could be limited, any deposit insurance may not be adequate, we could lose our cash deposits entirely and we could be exposed to liability to our customers. Any of these events would negatively impact our liquidity, results of operations and our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adapt to organizational changes and effectively implement strategic initiatives, our reputation and results of operations could be impacted.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dynamic organization and routinely implement changes to our priorities and workforce in order to keep up with the constantly evolving market in which we operate. We expect these types of changes to continue for the foreseeable future. Successfully managing these changes, including retention of key employees, is critical to our business success. In addition, we are generally a build-from-within company, and our success is dependent on identifying, developing and retaining key employees to provide uninterrupted leadership and direction for our business. This includes developing organizational capabilities in key growth markets where the depth of skilled employees is limited and competition for these resources is intense. Further, business and organizational changes may result in more reliance on third parties for various services, and that reliance may increase reputational, operational and compliance risks.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in our customers’ transaction tax determinations and reporting functions, or delays in the remittance of their tax payments, could harm our reputation, results of operations and growth prospects.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tax determinations functions that our customers have to perform are complicated from a data management standpoint, time-sensitive and dependent on the accuracy of the database of tax content underlying our solutions. Some of our processes are not fully automated, such as our process for monitoring updates to tax rates and rules, and even to the extent our processes are automated, our solutions are not proven to be without any possibility of errors. If errors are made in our customers’ tax determinations and reporting functions, or delays occur in the remittance of their tax payments, our customers may be assessed interest and penalties. Although our agreements generally have disclaimers of warranties and limit our liability, a court could determine that such disclaimers and limitations are unenforceable as a matter of law and hold us liable for these errors. Additionally, erroneous tax determinations could result in overpayments to taxing authorities that are difficult to reclaim from the applicable taxing authorities or underpayments that could result in penalties. Any history of erroneous tax determinations for our customers could also harm our reputation, could result in negative publicity, loss of or delay in market acceptance of our solutions, loss of customer renewals and loss of competitive position. In addition, our insurance coverage may not cover all amounts claimed against us if such errors or failures occur. The financial and reputational costs associated with any erroneous tax determinations may be substantial and could harm our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their interpretation or enforcement, may cause us to invest substantial amounts to modify our software, cause us to change our business model or draw new competitors to the market.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Changes in tax laws or regulations or interpretations of existing taxation requirements in the United States or in other countries may require us to change the manner in which we conduct some aspects of our business and could harm our ability to attract and retain customers. For example, a material portion of our revenue is generated by performing what can be complex transaction tax determinations and the corresponding preparation of tax returns and remittance of taxes. Changes in tax laws or regulations that reduce complexity or decrease the frequency of tax filings could negatively impact our revenue. In addition, there is considerable uncertainty as to if, when and how tax laws and regulations might change. As a result, we may need to invest substantial funds to modify our solutions to adapt to new tax laws or regulations. If our software solutions are not flexible enough to adapt to changes in tax laws and regulations, our financial condition and results of operations may suffer.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number of states have considered or adopted laws that attempt to require out-of-state retailers to collect sales taxes on their behalf or to provide the jurisdiction with information enabling it to more easily collect use tax. On June 21, 2018, the U.S. Supreme Court issued its opinion in </w:t>
      </w:r>
      <w:r>
        <w:rPr>
          <w:rFonts w:ascii="Times New Roman" w:cs="Times New Roman" w:eastAsia="Times New Roman" w:hAnsi="Times New Roman"/>
          <w:sz w:val="18"/>
          <w:szCs w:val="18"/>
          <w:i w:val="1"/>
          <w:iCs w:val="1"/>
          <w:color w:val="auto"/>
        </w:rPr>
        <w:t>South Dakota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Wayfair, Inc.</w:t>
      </w:r>
      <w:r>
        <w:rPr>
          <w:rFonts w:ascii="Times New Roman" w:cs="Times New Roman" w:eastAsia="Times New Roman" w:hAnsi="Times New Roman"/>
          <w:sz w:val="18"/>
          <w:szCs w:val="18"/>
          <w:color w:val="auto"/>
        </w:rPr>
        <w:t>, upholding South Dakota’s economic nexus law, which requires certain out-of-state retailers to collect and remit sales taxes on sales into South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Dakota. Following the Supreme Court’s decision, certain states with pre-existing economic nexus provisions announced that they would begin enforcing these provisions on out-of-state retailers and additional states have proceeded with similar efforts. There also has been consideration of federal legislation related to taxation of interstate sales, which, if enacted into law, would place guidelines or restrictions on states’ authority to require online and other out of state merchants to collect and remit indirect tax on products and services that they may sell. Similar issues exist outside of the United States, where the application of value-added taxes or other indirect taxes on online retailers is uncertain and evolving. The effect of changes in tax laws and regulations is uncertain and dependent on a number of factors. Depending on the content of any indirect tax legislation, the role of third-party compliance vendors may change, we may need to invest substantial amounts to modify our solutions or our business model, we could see a decrease in demand, we could see new competitors enter the market, or we could be negatively impacted by such legislation in a way not yet 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cybersecurity and data privacy risks that, if realized, could expose us to legal liability, damage our reputation and harm our business.</w:t>
      </w:r>
    </w:p>
    <w:p>
      <w:pPr>
        <w:spacing w:after="0" w:line="2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risks of cyber-attacks, computer hacks, theft, viruses, malicious software, phishing, employee error, denial-of-service attacks and other security breaches that could jeopardize the performance of our software and expose us to financial and reputational harm. Any of these occurrences could create liability for us, put our reputation in jeopardy and harm our business. Such harm could be in the form of theft of our or our customers’ confidential information, the inability of our customers to access our systems or the improper re-routing of customer funds through fraudulent transactions or other frauds perpetrated to obtain inappropriate payments. In some cases, we rely on the safeguards put in place by third parties to protect against security threats. These third parties, including vendors that provide products and services for our operations, could also be a source of security risk to us in the event of a failure or a security incident affecting their own security systems and infrastructure. Our network of ecosystem partners could also be a source of vulnerability to the extent their applications interface with ours, whether unintentionally or through a malicious backdoor. We do not review the software code included in third-party integrations in all instances. Because the techniques used to obtain unauthorized access or to sabotage systems change frequently and generally are not recognized until launched against a target, we or these third parties may be unable to anticipate these techniques or to implement adequate preventative measures. We have internal controls designed to prevent cyber-related frauds related to authorizing the transfer of funds, but such internal controls may not be adequate. With the increasing frequency of cyber-related frauds to obtain inappropriate payments and other threats related to cyber-attacks, we may find it necessary to expend resources to remediate cyber-related incidents or to enhance and strengthen our cybersecurity. Our remediation efforts may not be successful and could result in interruptions, delays or cessation of service.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reputation and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provide us with information that our solutions store, some of which may be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such information. The security systems and infrastructure we maintain may not be successful in protecting against all security breaches and cyber-attacks, social-engineering attacks, computer break-ins, theft and other improper activity. Threats to our information technology security can take various forms, including viruses, worms and other malicious software programs that attempt to attack our solutions or platform or to gain access to the data of our customers or their customers. Like other companies, we have on occasion and will continue to experience threats to our data and systems. Any significant data breach could result in the loss of business, litigation and regulatory investigations, loss of customers and fines and penalties that could damage our reputation and brand and adversely affect the growth of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material legal proceedings and audits, the outcomes which could adversely affect our business, results of operations, financial condition and cash flows.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claims, suits, investigations, audits and proceedings arising in the ordinary course of our business, and we may in the future become involved in legal proceedings and audits that could have a material adverse effect on our business, results of operations, financial condition and cash flows. Claims, suits, investigations, audits and proceedings are inherently difficult to predict and their results are subject to significant uncertainties, many of which are outside of our control. Regardless of the outcome, such legal proceedings could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Further, it may take time to develop factors on which reasonable judgments and estimates can be based. If we fail to establish appropriate reserves, our business could be negatively impacted.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errors, bugs or defects in our software could harm our reputation or decrease market acceptance of our software, which would harm our business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software may contain undetected errors, bugs or defects. We have experienced these errors, bugs or defects in the past in connection with new software and software upgrades and we expect that errors, bugs or defects may be found from time to time in the future in new or enhanced software after their commercial release. Our software is often used in connection with large-scale computing environments with different operating systems, system management software, equipment and networking configurations, which may cause or reveal errors or failures in our software or in the computing environments in which they are deployed. Despite testing by us, errors, bugs or defects may not be found in our software until they are used by our customers. In the past, we have discovered errors, bugs and defects in our software after they have been deployed to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errors, bugs, defects, disruptions in service or other performance problems with our software may damage our customers’ businesses and could hurt our reputation, brand and business. We may also be required, or may choose, for customer relations or other reasons, to expend additional resources to correct actual or perceived errors, bugs or defects in our software. If errors, bugs or defects are detected or perceived to exist in our software, we may experience negative publicity, loss of competitive position or diversion of the attention of our key personnel, our customers may delay or withhold payment to us or elect not to renew their subscriptions, or other significant customer relations problems may arise. We may also be subject to liability claims for damages related to errors, bugs or defects in our software. A material liability claim or other occurrence that harms our reputation or decreases market acceptance of our software may harm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software utilizes open-source software, and any defects or security vulnerabilities in the open-source software could negatively affect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our software employs open-source software and we expect to use open-source software in the future. To the extent that our software depends upon the successful operation of open-source software, any undetected errors or defects in this open-source software could prevent the deployment or impair the functionality of our software, delay the introduction of new solutions, result in a failure of our software, and injure our reputation. For example, undetected errors or defects in open source software could render it vulnerable to breaches or security attacks, and, in conjunction, make our systems more vulnerable to data breaches.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certain of our software solutions. Some open-source licenses might require us to make our source code available for no cost, to make publicly available source code for modifications or derivative works that we create based upon, incorporating or using the open source software, and/or to license such modifications or derivative works under the terms of the particular open 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systems and technologies to operate our business, and interruptions or performance problems with these third-party providers may adversely affect our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data centers and other technologies and services provided by third parties in order to operate our business. If any of these services becomes unavailable or otherwise is unable to serve our requirements, there could be interruptions to our software and provision of services to our customers. Our business depends on our ability to protect the growing amount of information stored in data centers and related systems, offices and hosting facilities against damage from earthquakes, floods, fires, other extreme weather conditions, power loss, telecommunications failures, hardware failures, viruses, terrorist attacks, acts of war, unauthorized electronic or physical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disruptions to our operations or damage to our important facilities. Our data center providers have no obligations to renew their agreements with us on commercially reasonable terms, or at all, and it is possible that we will not be able to switch our operations to another provider in a timely and cost-effective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rely on computer hardware purchased or leased from, software licensed from, content licensed from and services provided by a variety of third parties, which include database, operating system, virtualization software, tax requirement content and geolocation content and services. Any errors, bugs or defects in such third-party hardware, software, content or services could result in errors or a failure of our solutions, which could harm our business. In the future, we might need to license other hardware, software, content or services to enhance our solutions and meet evolving customer requirements. Any inability to license or otherwise obtain such hardware or software could result in a reduction in functionality, or errors or failures of our products, until equivalent technology is either developed by us or, if available, is identified, obtained through purchase or license, and integrated into our solutions, any of which may reduce demand for our solutions and increase our expenses. In addition, third-party licenses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harm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protect, maintain and enhance our brand, our business may suffer.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leader in our industry for over 40 years, our brand is one of our most valuable assets, and any failure to protect our brand could cause our business to suffer. In addition, the promotion of our brand requires us to make substantial expenditures, and we anticipate that the expenditures will increase as our market becomes more competitive and as we expand into new regions. The demand for and cost of online and traditional advertising have been increasing and may continue to increase. Our brand promotion efforts will require investment not just in our indirect tax solutions, but also in our full suite of software and services.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new customers, all of which would adversely affect our business, results of operations, financial condition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perform a number of critical business functions for our customers, including remittance of the taxes our customers owe to taxing authorities. Our electronic payment of customers’ taxes may be subject to federal or state laws or regulations relating to money transmission. The Federal Bank Secrecy Act requires that financial institutions, of which money transmitters are a subset, register with the U.S. Department of Treasury’s Financial Crimes Enforcement Network and maintain policies and procedures reasonably designed to monitor, identify, report and, where possible, avoid money laundering and criminal or terrorist financing by customers. Most U.S. states also have laws that apply to money transmitters, and impose various licensure, examination and bonding requirements on them. We believe these federal and state laws and regulations were not intended to cover the business activity of remitting transaction taxes that taxpayers owe to the various states and localities. However, if federal or state regulators were to apply these laws and regulations to this business activity, whether through expansion of enforcement activities, new interpretations of the scope of certain of these laws or regulations or of available exemptions, or if our activities are held by a court to be covered by such laws or regulations, we could be required to expend time, money and other resources to deal with enforcement actions and any penalties that might be asserted, to institute and maintain a compliance program specific to money transmission laws, and possibly to change aspects of how we conduct our business to achieve compliance or minimize regulation. Application of these laws to our business could also make it more difficult or costly for us to maintain our banking relationships. Financial institutions may also be unwilling to provide banking services to us due to concerns about the large dollar volume moving in and out of our accounts on behalf of our customers in the ordinary course of our business. As we continue to expand the solutions we offer and the jurisdictions in which we offer them, we could become subject to other licensing, examination or regulatory requirements relating to financial services.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Determining the taxes owed by our customers involves providing solutions tailored to the types and prices of products our customers sell, as well as information regarding addresses that products are shipped from and delivered to. Numerous federal, state and local laws and regulations govern the collection, dissemination, use and safeguarding of personal information and other data, the scope of which is changing, subject to differing interpretations, and which may be costly to comply with, inconsistent between jurisdictions or conflicting with other rules. We may be subject to these laws in certain circumstances. Most states have also adopted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A failure on our part to safeguard consumer data adequately or to destroy data securely may subject us, depending on the personal information in question, to costs associated with notice and remediation, as well as to potential regulatory investigations or enforcement actions, and possibly to civil liability, under federal or state data security or unfair practices or consumer protection laws. If federal or state regulators were to expand their enforcement activities, or change their interpretation of the applicability of these laws, or if new laws regarding privacy and protection of consumer data were to be adopted, the burdens and costs of complying with them could increase significantly, negatively affecting our results of operations and possibly the manner in which we conduct our business. For example, the European Union’s General Data Protection Regulation requires certain operational changes for companies that receive or process personal data of residents of the EU and includes significant penalties for noncompliance. In addition, other governmental authorities around the world are considering implementing similar types of legislative and regulatory proposals concerning data protection. We may incur significant costs to comply with these mandatory privacy and security standards.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economic conditions worsen, it may negatively affect our business and financial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performance depends, in part, on the state of the economy, both in the United States and globally. Declining levels of economic activity may lead to declines in spending and customer revenue, which may result in decreased revenue for us. Concern about the strength of the economy may slow the rate at which businesses of all sizes are willing to hire an outside vendor to perform the determination and remittance of their transaction taxes and filing of related returns. If our customers and potential customers experience financial hardship as a result of a weak economy, industry consolidation or other factors, the overall demand for our solutions could decrease. If economic conditions worsen, our business, results of operations, financial condition and cash flows could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 outbreaks, terrorist acts and political events could disrupt business and result in lower sales and otherwise have a material adverse effect on our business, financial performance and results of operations.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occurrence of one or more major natural disasters, unusual weather conditions, epidemic outbreaks, terrorist attacks or disruptive political events, each of which is out of our control, may result in reduced consumer and supplier spending and transactions, which in turn could cause our revenues to decline and our business to suffer. Natural disasters including tornados, hurricanes, floods and earthquakes may damage the facilities of our customers or those of their suppliers or retailers or their other operations, which could lead to reduced revenue for our customers and thus less transaction tax due. In addition, a global epidemic outbreak may have a material adverse effect on global economic conditions, consumer spending and the stability of global financial markets. For example, in December 2019, COVID-19 appeared. The COVID-19 pandemic is having widespread,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work-from-home, supply chain logistical changes and closure of non-essential businesses. To protect the health and well-being of our employees and customers, we have made substantial modifications to employee travel policies, closed our offices as employees are advised to work-from-home and cancelled or shifted our conferences and other marketing events to virtual-only. The COVID-19 pandemic has impacted and may continue to adversely impact our business operations, including our employees, customers and partners, and there is substantial uncertainty in the nature and degree of its continued effects over time. The extent to which the COVID-19 pandemic impacts our business going forward will depend on numerous evolving factors that we cannot reliably predict, including (i) the duration and scope of the pandemic; (ii) actions of governments, businesses and individuals in response to the pandemic and</w:t>
      </w:r>
    </w:p>
    <w:p>
      <w:pPr>
        <w:spacing w:after="0" w:line="12" w:lineRule="exact"/>
        <w:rPr>
          <w:sz w:val="20"/>
          <w:szCs w:val="20"/>
          <w:color w:val="auto"/>
        </w:rPr>
      </w:pPr>
    </w:p>
    <w:p>
      <w:pPr>
        <w:jc w:val="both"/>
        <w:ind w:firstLine="8"/>
        <w:spacing w:after="0" w:line="253"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economic activity including the possibility of recession or financial market instability. These factors may adversely impact consumer and business spending as well as customers’ ability to pay for our software and solutions on an ongoing basis. Similarly, terrorist attacks or disruptive political events, such as the imposition of retaliatory tariffs or governmental trade or price manipulation, could cause our customers, or their customers, to defer spending plans or otherwise reduce their economic activity. If any of the foregoing risks were to be realized, it could have a material adverse effect on or business, financial performance and results of operations.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U.S. Treasury Department’s Office of Foreign Assets Control, anti-corruption, anti-bribery and similar laws, such as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operations,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financial condition and cash flows.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 the future we may use third parties to sell access to our software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results of operations and financial condition.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and severe criminal or civil sanctions, any of which could have a materially adverse effect on our reputation, business,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intellectual property is limited, and we may be subject to claims of infringement by third parties.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our proprietary technology, processes, trade secrets, and other proprietary information and our ability to protect this information from unauthorized disclosure and use. We primarily rely upon a combination of copyright, trademark and trade secret laws, as well as confidentiality procedures, contractual provisions and other similar measures to protect our proprietary or confidential information and intellectual property. Our trademarks and service marks include VERTEX™ and O Series™, which is our flagship indirect tax solution. Despite our efforts to protect our proprietary rights and intellectual property, unauthorized parties may attempt to copy aspects of our solutions or to obtain and use information that we regard as proprietary, and third parties may attempt to independently develop similar technology, and policing unauthorized use of our technology and intellectual property rights may be difficult and may not be effective.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third parties may claim infringement by us with respect to current or future solutions or other intellectual property rights. The software and technology industries are characterized by the existence of a large number of patents, trademarks and copyrights and by frequent litigation based on allegations of infringement or other violations of intellectual property rights. The outcome of any claims or litigation, regardless of the merits, is inherently uncertain. Any claims and lawsuits to enforce our intellectual property rights or to defend ourselves against claims of infringement of third-party intellectual property rights, and the disposition of such claims and lawsuits, whether through settlement or licensing discussions, or litigation, could be time-consuming and expensive to resolve, divert management attention from executing our strategies, result in efforts to enjoin our activities, lead to attempts on the part of other parties to pursue similar claims, and, in the case of intellectual property claims, require us to change our technology, change our business practices, pay monetary damages, or enter into short- or long-term royalty or licensing agreements. Any adverse determination related to intellectual property claims or other litigation could prevent us from offering our solutions to others, could be material to our financial condition or cash flows, or both, or could otherwise harm our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additional capital on commercially reasonable terms may be limited.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beyond those generated by this offering, to respond to business challenges, including to better support and serve our customers, develop new software or enhance our existing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the planned initial public offering has created a need for additional resources within the accounting and finance functions due to the increasing need to produce timely financial information and to ensure the level of segregation of duties customary for a U.S. public company. We continue to reassess the sufficiency of finance personnel in response to these increasing demands and expectations.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may experience additional material weaknesses in the future. Our failure to remediate these material weaknesses and maintain effective internal control over financial reporting could result in material misstatements in our financial statements, the inability to timely report our financial condition or results of operations, investors losing confidence in our reported financial information and our stock price being adversely affected.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and our independent registered public accounting firm have identified material weaknesses in our internal control over financial reporting that affected our financial statements for each of the years in the two year period ended December 31, 2019. See “Management’s Discussion and Analysis of Financial Condition and Results of Operations—Internal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weaknesses in our internal control over financial reporting during each of the years ended December 31, 2018 and 2019 related to the implementation of ASC 606, application of software capitalization guidance and recording of impairments, and our procedures for segregating user access to financially significant systems, which resulted in a lack of segregation of incompatible duties.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you that additional material weaknesses in our internal control over financial reporting will not be identified in the future. The failure to maintain effective internal control over financial reporting could result in errors in our financial statements that could result in a restatement of financial statements, cause us to fail to meet our periodic reporting obligations and cause investors to lose confidence in our reported financial information, which could lead to a decline in our stock price.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publicly traded Class A common stock less attractive to investors.</w:t>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1" w:lineRule="exact"/>
        <w:rPr>
          <w:sz w:val="20"/>
          <w:szCs w:val="20"/>
          <w:color w:val="auto"/>
        </w:rPr>
      </w:pPr>
    </w:p>
    <w:p>
      <w:pPr>
        <w:jc w:val="both"/>
        <w:ind w:firstLine="8"/>
        <w:spacing w:after="0" w:line="251"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We have elected to use this extended transition period and we intend to utilize this related to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standard amends several aspects of lease accounting, including requiring lessees to recognize operating leases with a term greater than one year on their balance sheet as a right-of-use asset, and a corresponding lease liability, measured at the present value of the future minimum lease payments. The standard is effective for public companies for fiscal years beginning after December 15, 2018, and after December 15, 2020 for all other companies, with early adoption permitted. We intend to adopt this standard effective January 1, 2021 using the modified retrospective transition method and therefore will not restate comparative periods. While we have not yet quantified the impact, resulting adjustments are expected to materially increase total assets and total liabilities relative to such amounts reported prior to adoption, but not have a material impact on the consolidated statements of comprehensive income (loss) or consolidated statements of cash flows.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also intend to take advantage of certain other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Class A common stock less attractive because we will rely on these exemptions. If some investors find our Class A common stock less attractive as a result, there may be a less active trading market for our Class A common stock and our stock price may be more volatile.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year in which we have total annual gross revenue of $1.07 billion or more; (ii) the last day of the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Securities Exchange Act of 1934, as amended, (the “Exchange Act”), the Sarbanes-Oxley Act of 2002 (the “Sarbanes-Oxley Act”), the Dodd-Frank Wall Street Reform and Consumer Protection Act, the listing requirements of the Nasdaq Global Market on which our Class A common stock will be traded and other applicable securities rules and regulations. The SEC and other regulators have continued to adopt new rules and regulations and make additional changes to existing regulations that require our compliance.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will need to institute a comprehensive compliance function and establish internal policies to ensure we have the ability to prepare financial statements that are fully compliant with all SEC reporting requirements on a timely basis and establish an investor relations function. Compliance with these rules and regulations may cause us to incur additional accounting, legal and other expenses that we did not incur as a private company. We also anticipate that we will incur costs associated with corporate governance requirements, including requirements under securities laws, as well as rules and regulations implemented by the SEC and the Nasdaq Global Market, particularly after we are no longer an “emerging growth company.” We expect these rules and regulations to increase our legal and financial compliance costs and to make some activities more time-consuming and costly, while also diverting some of management’s time and attention from revenue-generating activities.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are currently evaluating and monitoring developments with respect to these rules and regulations, and we cannot predict or estimate the amount of additional costs we may incur or the timing of such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2007 Plan-Related Issuances</w:t>
      </w:r>
    </w:p>
    <w:p>
      <w:pPr>
        <w:spacing w:after="0" w:line="229"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From January 1, 2020 through February 5, 2020, we granted to our directors, officers and employees 234,638 SARs as the long-term equity incentive component of our compensation program under the 2007 Plan. The SARs generally entitled their holder, upon exercise, to receive from us an amount in cash equal to the appreciation of the shares subject to the award between the grant date and the exercise date.</w:t>
      </w:r>
    </w:p>
    <w:p>
      <w:pPr>
        <w:spacing w:after="0" w:line="176" w:lineRule="exact"/>
        <w:rPr>
          <w:sz w:val="20"/>
          <w:szCs w:val="20"/>
          <w:color w:val="auto"/>
        </w:rPr>
      </w:pPr>
    </w:p>
    <w:p>
      <w:pPr>
        <w:jc w:val="both"/>
        <w:ind w:firstLine="389"/>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83"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holders of outstanding SARs were offered the opportunity to amend outstanding SARs, whether vested or unvested, so that they become options to purchase shares of our Class A stock. These options cover an equal number of shares as the amended SARs and have an exercise price per share equal to the base price of an amended SAR, subject to the Stock Split that was effected in connection with our Offering. Such options were issued pursuant to the 2020 Plan registered on the Registration Statement on Form S-8 filed by us on July 28,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38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460" w:type="dxa"/>
            <w:vAlign w:val="bottom"/>
            <w:gridSpan w:val="23"/>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Filing Date   Filed Herewith Furnished Herewith</w:t>
            </w:r>
          </w:p>
        </w:tc>
      </w:tr>
      <w:tr>
        <w:trPr>
          <w:trHeight w:val="169"/>
        </w:trPr>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top w:val="single" w:sz="8" w:color="auto"/>
            </w:tcBorders>
            <w:gridSpan w:val="22"/>
          </w:tcPr>
          <w:p>
            <w:pPr>
              <w:spacing w:after="0" w:line="169"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Amended and Restated</w:t>
              </w:r>
            </w:hyperlink>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Certificate of Incorporation of</w:t>
              </w:r>
            </w:hyperlink>
          </w:p>
        </w:tc>
        <w:tc>
          <w:tcPr>
            <w:tcW w:w="28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3.1</w:t>
              </w:r>
            </w:hyperlink>
          </w:p>
        </w:tc>
        <w:tc>
          <w:tcPr>
            <w:tcW w:w="10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78">
              <w:r>
                <w:rPr>
                  <w:rFonts w:ascii="Times New Roman" w:cs="Times New Roman" w:eastAsia="Times New Roman" w:hAnsi="Times New Roman"/>
                  <w:sz w:val="18"/>
                  <w:szCs w:val="18"/>
                  <w:color w:val="0000EE"/>
                  <w:w w:val="95"/>
                </w:rPr>
                <w:t>Vertex, Inc.</w:t>
              </w:r>
            </w:hyperlink>
          </w:p>
        </w:tc>
        <w:tc>
          <w:tcPr>
            <w:tcW w:w="1620" w:type="dxa"/>
            <w:vAlign w:val="bottom"/>
            <w:gridSpan w:val="2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3"/>
          </w:tcPr>
          <w:p>
            <w:pPr>
              <w:ind w:left="520"/>
              <w:spacing w:after="0" w:line="196" w:lineRule="exact"/>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X</w:t>
              </w:r>
            </w:hyperlink>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Amended and Restated Bylaws</w:t>
              </w:r>
            </w:hyperlink>
          </w:p>
        </w:tc>
        <w:tc>
          <w:tcPr>
            <w:tcW w:w="200" w:type="dxa"/>
            <w:vAlign w:val="bottom"/>
            <w:gridSpan w:val="5"/>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3.2</w:t>
              </w:r>
            </w:hyperlink>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of Vertex, Inc.</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3"/>
          </w:tcPr>
          <w:p>
            <w:pPr>
              <w:ind w:left="520"/>
              <w:spacing w:after="0" w:line="196" w:lineRule="exact"/>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X</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Specimen Stock Certificate</w:t>
              </w:r>
            </w:hyperlink>
          </w:p>
        </w:tc>
        <w:tc>
          <w:tcPr>
            <w:tcW w:w="480" w:type="dxa"/>
            <w:vAlign w:val="bottom"/>
            <w:gridSpan w:val="1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evidencing the shares of Class A</w:t>
              </w:r>
            </w:hyperlink>
          </w:p>
        </w:tc>
        <w:tc>
          <w:tcPr>
            <w:tcW w:w="10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4.1</w:t>
              </w:r>
            </w:hyperlink>
          </w:p>
        </w:tc>
        <w:tc>
          <w:tcPr>
            <w:tcW w:w="1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common stock.</w:t>
              </w:r>
            </w:hyperlink>
          </w:p>
        </w:tc>
        <w:tc>
          <w:tcPr>
            <w:tcW w:w="1360" w:type="dxa"/>
            <w:vAlign w:val="bottom"/>
            <w:gridSpan w:val="20"/>
          </w:tcPr>
          <w:p>
            <w:pPr>
              <w:spacing w:after="0"/>
              <w:rPr>
                <w:sz w:val="17"/>
                <w:szCs w:val="17"/>
                <w:color w:val="auto"/>
              </w:rPr>
            </w:pPr>
          </w:p>
        </w:tc>
        <w:tc>
          <w:tcPr>
            <w:tcW w:w="1120" w:type="dxa"/>
            <w:vAlign w:val="bottom"/>
            <w:gridSpan w:val="2"/>
          </w:tcPr>
          <w:p>
            <w:pPr>
              <w:ind w:left="300"/>
              <w:spacing w:after="0" w:line="196" w:lineRule="exact"/>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S-1/A</w:t>
              </w:r>
            </w:hyperlink>
          </w:p>
        </w:tc>
        <w:tc>
          <w:tcPr>
            <w:tcW w:w="1040" w:type="dxa"/>
            <w:vAlign w:val="bottom"/>
          </w:tcPr>
          <w:p>
            <w:pPr>
              <w:jc w:val="center"/>
              <w:spacing w:after="0" w:line="196" w:lineRule="exact"/>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333-239644</w:t>
              </w:r>
            </w:hyperlink>
          </w:p>
        </w:tc>
        <w:tc>
          <w:tcPr>
            <w:tcW w:w="100" w:type="dxa"/>
            <w:vAlign w:val="bottom"/>
          </w:tcPr>
          <w:p>
            <w:pPr>
              <w:spacing w:after="0"/>
              <w:rPr>
                <w:sz w:val="17"/>
                <w:szCs w:val="17"/>
                <w:color w:val="auto"/>
              </w:rPr>
            </w:pPr>
          </w:p>
        </w:tc>
        <w:tc>
          <w:tcPr>
            <w:tcW w:w="1040" w:type="dxa"/>
            <w:vAlign w:val="bottom"/>
          </w:tcPr>
          <w:p>
            <w:pPr>
              <w:jc w:val="center"/>
              <w:spacing w:after="0" w:line="196" w:lineRule="exact"/>
              <w:rPr>
                <w:rFonts w:ascii="Times New Roman" w:cs="Times New Roman" w:eastAsia="Times New Roman" w:hAnsi="Times New Roman"/>
                <w:sz w:val="18"/>
                <w:szCs w:val="18"/>
                <w:u w:val="single" w:color="auto"/>
                <w:color w:val="0000EE"/>
                <w:w w:val="97"/>
              </w:rPr>
            </w:pPr>
            <w:hyperlink r:id="rId146">
              <w:r>
                <w:rPr>
                  <w:rFonts w:ascii="Times New Roman" w:cs="Times New Roman" w:eastAsia="Times New Roman" w:hAnsi="Times New Roman"/>
                  <w:sz w:val="18"/>
                  <w:szCs w:val="18"/>
                  <w:u w:val="single" w:color="auto"/>
                  <w:color w:val="0000EE"/>
                  <w:w w:val="97"/>
                </w:rPr>
                <w:t>4.1</w:t>
              </w:r>
            </w:hyperlink>
          </w:p>
        </w:tc>
        <w:tc>
          <w:tcPr>
            <w:tcW w:w="120" w:type="dxa"/>
            <w:vAlign w:val="bottom"/>
          </w:tcPr>
          <w:p>
            <w:pPr>
              <w:spacing w:after="0"/>
              <w:rPr>
                <w:sz w:val="17"/>
                <w:szCs w:val="17"/>
                <w:color w:val="auto"/>
              </w:rPr>
            </w:pPr>
          </w:p>
        </w:tc>
        <w:tc>
          <w:tcPr>
            <w:tcW w:w="1080" w:type="dxa"/>
            <w:vAlign w:val="bottom"/>
          </w:tcPr>
          <w:p>
            <w:pPr>
              <w:jc w:val="center"/>
              <w:spacing w:after="0" w:line="196" w:lineRule="exact"/>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7/24/2020</w:t>
              </w:r>
            </w:hyperlink>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Third Amended and Restated</w:t>
              </w:r>
            </w:hyperlink>
          </w:p>
        </w:tc>
        <w:tc>
          <w:tcPr>
            <w:tcW w:w="34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4.2</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Stockholders’ Agreement</w:t>
              </w:r>
            </w:hyperlink>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3"/>
          </w:tcPr>
          <w:p>
            <w:pPr>
              <w:ind w:left="520"/>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X</w:t>
              </w:r>
            </w:hyperlink>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0000EE"/>
            </w:tcBorders>
            <w:gridSpan w:val="21"/>
          </w:tcPr>
          <w:p>
            <w:pPr>
              <w:spacing w:after="0" w:line="194"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Credit Agreement by and among</w:t>
              </w:r>
            </w:hyperlink>
          </w:p>
        </w:tc>
        <w:tc>
          <w:tcPr>
            <w:tcW w:w="10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Vertex, Inc., the guarantors</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party thereto, PNC Bank,</w:t>
              </w:r>
            </w:hyperlink>
          </w:p>
        </w:tc>
        <w:tc>
          <w:tcPr>
            <w:tcW w:w="52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National Association, and the</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lenders party thereto, dated as of</w:t>
              </w:r>
            </w:hyperlink>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10.1</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March 31, 2020.</w:t>
              </w:r>
            </w:hyperlink>
          </w:p>
        </w:tc>
        <w:tc>
          <w:tcPr>
            <w:tcW w:w="11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S-1/A</w:t>
              </w:r>
            </w:hyperlink>
          </w:p>
        </w:tc>
        <w:tc>
          <w:tcPr>
            <w:tcW w:w="1040" w:type="dxa"/>
            <w:vAlign w:val="bottom"/>
          </w:tcPr>
          <w:p>
            <w:pPr>
              <w:jc w:val="center"/>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333-239644</w:t>
              </w:r>
            </w:hyperlink>
          </w:p>
        </w:tc>
        <w:tc>
          <w:tcPr>
            <w:tcW w:w="100" w:type="dxa"/>
            <w:vAlign w:val="bottom"/>
          </w:tcPr>
          <w:p>
            <w:pPr>
              <w:spacing w:after="0"/>
              <w:rPr>
                <w:sz w:val="18"/>
                <w:szCs w:val="18"/>
                <w:color w:val="auto"/>
              </w:rPr>
            </w:pPr>
          </w:p>
        </w:tc>
        <w:tc>
          <w:tcPr>
            <w:tcW w:w="104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147">
              <w:r>
                <w:rPr>
                  <w:rFonts w:ascii="Times New Roman" w:cs="Times New Roman" w:eastAsia="Times New Roman" w:hAnsi="Times New Roman"/>
                  <w:sz w:val="18"/>
                  <w:szCs w:val="18"/>
                  <w:u w:val="single" w:color="auto"/>
                  <w:color w:val="0000EE"/>
                  <w:w w:val="97"/>
                </w:rPr>
                <w:t>4.1</w:t>
              </w:r>
            </w:hyperlink>
          </w:p>
        </w:tc>
        <w:tc>
          <w:tcPr>
            <w:tcW w:w="120" w:type="dxa"/>
            <w:vAlign w:val="bottom"/>
          </w:tcPr>
          <w:p>
            <w:pPr>
              <w:spacing w:after="0"/>
              <w:rPr>
                <w:sz w:val="18"/>
                <w:szCs w:val="18"/>
                <w:color w:val="auto"/>
              </w:rPr>
            </w:pPr>
          </w:p>
        </w:tc>
        <w:tc>
          <w:tcPr>
            <w:tcW w:w="1080" w:type="dxa"/>
            <w:vAlign w:val="bottom"/>
          </w:tcPr>
          <w:p>
            <w:pPr>
              <w:jc w:val="center"/>
              <w:spacing w:after="0"/>
              <w:rPr>
                <w:rFonts w:ascii="Times New Roman" w:cs="Times New Roman" w:eastAsia="Times New Roman" w:hAnsi="Times New Roman"/>
                <w:sz w:val="18"/>
                <w:szCs w:val="18"/>
                <w:u w:val="single" w:color="auto"/>
                <w:color w:val="0000EE"/>
                <w:w w:val="99"/>
              </w:rPr>
            </w:pPr>
            <w:hyperlink r:id="rId147">
              <w:r>
                <w:rPr>
                  <w:rFonts w:ascii="Times New Roman" w:cs="Times New Roman" w:eastAsia="Times New Roman" w:hAnsi="Times New Roman"/>
                  <w:sz w:val="18"/>
                  <w:szCs w:val="18"/>
                  <w:u w:val="single" w:color="auto"/>
                  <w:color w:val="0000EE"/>
                  <w:w w:val="99"/>
                </w:rPr>
                <w:t>7/2/2020</w:t>
              </w:r>
            </w:hyperlink>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3"/>
          </w:tcPr>
          <w:p>
            <w:pPr>
              <w:spacing w:after="0" w:line="194"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First Amendment to Loan</w:t>
              </w:r>
            </w:hyperlink>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Documents, by and among</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Vertex, Inc., the guarantors</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party thereto, the lenders party</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thereto and PNC Bank, National</w:t>
              </w:r>
            </w:hyperlink>
          </w:p>
        </w:tc>
        <w:tc>
          <w:tcPr>
            <w:tcW w:w="12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Association, dated as of April 3,</w:t>
              </w:r>
            </w:hyperlink>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10.2</w:t>
              </w:r>
            </w:hyperlink>
          </w:p>
        </w:tc>
        <w:tc>
          <w:tcPr>
            <w:tcW w:w="100" w:type="dxa"/>
            <w:vAlign w:val="bottom"/>
          </w:tcPr>
          <w:p>
            <w:pPr>
              <w:spacing w:after="0"/>
              <w:rPr>
                <w:sz w:val="18"/>
                <w:szCs w:val="18"/>
                <w:color w:val="auto"/>
              </w:rPr>
            </w:pPr>
          </w:p>
        </w:tc>
        <w:tc>
          <w:tcPr>
            <w:tcW w:w="840" w:type="dxa"/>
            <w:vAlign w:val="bottom"/>
          </w:tcPr>
          <w:p>
            <w:pPr>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2020.</w:t>
              </w:r>
            </w:hyperlink>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S-1/A</w:t>
              </w:r>
            </w:hyperlink>
          </w:p>
        </w:tc>
        <w:tc>
          <w:tcPr>
            <w:tcW w:w="1040" w:type="dxa"/>
            <w:vAlign w:val="bottom"/>
          </w:tcPr>
          <w:p>
            <w:pPr>
              <w:jc w:val="center"/>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333-239644</w:t>
              </w:r>
            </w:hyperlink>
          </w:p>
        </w:tc>
        <w:tc>
          <w:tcPr>
            <w:tcW w:w="100" w:type="dxa"/>
            <w:vAlign w:val="bottom"/>
          </w:tcPr>
          <w:p>
            <w:pPr>
              <w:spacing w:after="0"/>
              <w:rPr>
                <w:sz w:val="18"/>
                <w:szCs w:val="18"/>
                <w:color w:val="auto"/>
              </w:rPr>
            </w:pPr>
          </w:p>
        </w:tc>
        <w:tc>
          <w:tcPr>
            <w:tcW w:w="104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148">
              <w:r>
                <w:rPr>
                  <w:rFonts w:ascii="Times New Roman" w:cs="Times New Roman" w:eastAsia="Times New Roman" w:hAnsi="Times New Roman"/>
                  <w:sz w:val="18"/>
                  <w:szCs w:val="18"/>
                  <w:u w:val="single" w:color="auto"/>
                  <w:color w:val="0000EE"/>
                  <w:w w:val="97"/>
                </w:rPr>
                <w:t>4.1</w:t>
              </w:r>
            </w:hyperlink>
          </w:p>
        </w:tc>
        <w:tc>
          <w:tcPr>
            <w:tcW w:w="120" w:type="dxa"/>
            <w:vAlign w:val="bottom"/>
          </w:tcPr>
          <w:p>
            <w:pPr>
              <w:spacing w:after="0"/>
              <w:rPr>
                <w:sz w:val="18"/>
                <w:szCs w:val="18"/>
                <w:color w:val="auto"/>
              </w:rPr>
            </w:pPr>
          </w:p>
        </w:tc>
        <w:tc>
          <w:tcPr>
            <w:tcW w:w="1080" w:type="dxa"/>
            <w:vAlign w:val="bottom"/>
          </w:tcPr>
          <w:p>
            <w:pPr>
              <w:jc w:val="center"/>
              <w:spacing w:after="0"/>
              <w:rPr>
                <w:rFonts w:ascii="Times New Roman" w:cs="Times New Roman" w:eastAsia="Times New Roman" w:hAnsi="Times New Roman"/>
                <w:sz w:val="18"/>
                <w:szCs w:val="18"/>
                <w:u w:val="single" w:color="auto"/>
                <w:color w:val="0000EE"/>
                <w:w w:val="99"/>
              </w:rPr>
            </w:pPr>
            <w:hyperlink r:id="rId148">
              <w:r>
                <w:rPr>
                  <w:rFonts w:ascii="Times New Roman" w:cs="Times New Roman" w:eastAsia="Times New Roman" w:hAnsi="Times New Roman"/>
                  <w:sz w:val="18"/>
                  <w:szCs w:val="18"/>
                  <w:u w:val="single" w:color="auto"/>
                  <w:color w:val="0000EE"/>
                  <w:w w:val="99"/>
                </w:rPr>
                <w:t>7/2/2020</w:t>
              </w:r>
            </w:hyperlink>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Form of Indemnification</w:t>
              </w:r>
            </w:hyperlink>
          </w:p>
        </w:tc>
        <w:tc>
          <w:tcPr>
            <w:tcW w:w="680" w:type="dxa"/>
            <w:vAlign w:val="bottom"/>
            <w:gridSpan w:val="17"/>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Agreement between Vertex, Inc.</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and each of its Executive</w:t>
              </w:r>
            </w:hyperlink>
          </w:p>
        </w:tc>
        <w:tc>
          <w:tcPr>
            <w:tcW w:w="14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10.3</w:t>
              </w:r>
            </w:hyperlink>
          </w:p>
        </w:tc>
        <w:tc>
          <w:tcPr>
            <w:tcW w:w="100" w:type="dxa"/>
            <w:vAlign w:val="bottom"/>
          </w:tcPr>
          <w:p>
            <w:pPr>
              <w:spacing w:after="0"/>
              <w:rPr>
                <w:sz w:val="18"/>
                <w:szCs w:val="18"/>
                <w:color w:val="auto"/>
              </w:rPr>
            </w:pPr>
          </w:p>
        </w:tc>
        <w:tc>
          <w:tcPr>
            <w:tcW w:w="1820" w:type="dxa"/>
            <w:vAlign w:val="bottom"/>
            <w:tcBorders>
              <w:top w:val="single" w:sz="8" w:color="0000EE"/>
            </w:tcBorders>
            <w:gridSpan w:val="7"/>
          </w:tcPr>
          <w:p>
            <w:pPr>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Officers and Directors</w:t>
              </w:r>
            </w:hyperlink>
          </w:p>
        </w:tc>
        <w:tc>
          <w:tcPr>
            <w:tcW w:w="640" w:type="dxa"/>
            <w:vAlign w:val="bottom"/>
            <w:gridSpan w:val="16"/>
          </w:tcPr>
          <w:p>
            <w:pPr>
              <w:spacing w:after="0"/>
              <w:rPr>
                <w:sz w:val="18"/>
                <w:szCs w:val="18"/>
                <w:color w:val="auto"/>
              </w:rPr>
            </w:pPr>
          </w:p>
        </w:tc>
        <w:tc>
          <w:tcPr>
            <w:tcW w:w="11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S-1/A</w:t>
              </w:r>
            </w:hyperlink>
          </w:p>
        </w:tc>
        <w:tc>
          <w:tcPr>
            <w:tcW w:w="1040" w:type="dxa"/>
            <w:vAlign w:val="bottom"/>
          </w:tcPr>
          <w:p>
            <w:pPr>
              <w:jc w:val="center"/>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333-239644</w:t>
              </w:r>
            </w:hyperlink>
          </w:p>
        </w:tc>
        <w:tc>
          <w:tcPr>
            <w:tcW w:w="100" w:type="dxa"/>
            <w:vAlign w:val="bottom"/>
          </w:tcPr>
          <w:p>
            <w:pPr>
              <w:spacing w:after="0"/>
              <w:rPr>
                <w:sz w:val="18"/>
                <w:szCs w:val="18"/>
                <w:color w:val="auto"/>
              </w:rPr>
            </w:pPr>
          </w:p>
        </w:tc>
        <w:tc>
          <w:tcPr>
            <w:tcW w:w="1040" w:type="dxa"/>
            <w:vAlign w:val="bottom"/>
          </w:tcPr>
          <w:p>
            <w:pPr>
              <w:jc w:val="center"/>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10.3</w:t>
              </w:r>
            </w:hyperlink>
          </w:p>
        </w:tc>
        <w:tc>
          <w:tcPr>
            <w:tcW w:w="120" w:type="dxa"/>
            <w:vAlign w:val="bottom"/>
          </w:tcPr>
          <w:p>
            <w:pPr>
              <w:spacing w:after="0"/>
              <w:rPr>
                <w:sz w:val="18"/>
                <w:szCs w:val="18"/>
                <w:color w:val="auto"/>
              </w:rPr>
            </w:pPr>
          </w:p>
        </w:tc>
        <w:tc>
          <w:tcPr>
            <w:tcW w:w="1080" w:type="dxa"/>
            <w:vAlign w:val="bottom"/>
          </w:tcPr>
          <w:p>
            <w:pPr>
              <w:jc w:val="center"/>
              <w:spacing w:after="0"/>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7/20/2020</w:t>
              </w:r>
            </w:hyperlink>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174">
              <w:r>
                <w:rPr>
                  <w:rFonts w:ascii="Times New Roman" w:cs="Times New Roman" w:eastAsia="Times New Roman" w:hAnsi="Times New Roman"/>
                  <w:sz w:val="18"/>
                  <w:szCs w:val="18"/>
                  <w:color w:val="0000EE"/>
                  <w:w w:val="99"/>
                </w:rPr>
                <w:t>Executive Employment</w:t>
              </w:r>
            </w:hyperlink>
          </w:p>
        </w:tc>
        <w:tc>
          <w:tcPr>
            <w:tcW w:w="760" w:type="dxa"/>
            <w:vAlign w:val="bottom"/>
            <w:gridSpan w:val="18"/>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74">
              <w:r>
                <w:rPr>
                  <w:rFonts w:ascii="Times New Roman" w:cs="Times New Roman" w:eastAsia="Times New Roman" w:hAnsi="Times New Roman"/>
                  <w:sz w:val="18"/>
                  <w:szCs w:val="18"/>
                  <w:color w:val="0000EE"/>
                  <w:w w:val="99"/>
                </w:rPr>
                <w:t>Agreement, as amended and</w:t>
              </w:r>
            </w:hyperlink>
          </w:p>
        </w:tc>
        <w:tc>
          <w:tcPr>
            <w:tcW w:w="42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174">
              <w:r>
                <w:rPr>
                  <w:rFonts w:ascii="Times New Roman" w:cs="Times New Roman" w:eastAsia="Times New Roman" w:hAnsi="Times New Roman"/>
                  <w:sz w:val="18"/>
                  <w:szCs w:val="18"/>
                  <w:color w:val="0000EE"/>
                  <w:w w:val="98"/>
                </w:rPr>
                <w:t>restated, by and between Vertex,</w:t>
              </w:r>
            </w:hyperlink>
          </w:p>
        </w:tc>
        <w:tc>
          <w:tcPr>
            <w:tcW w:w="12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10.4</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Inc. and Lisa Butler.</w:t>
              </w:r>
            </w:hyperlink>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3"/>
          </w:tcPr>
          <w:p>
            <w:pPr>
              <w:ind w:left="520"/>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X</w:t>
              </w:r>
            </w:hyperlink>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Executive Employment</w:t>
              </w:r>
            </w:hyperlink>
          </w:p>
        </w:tc>
        <w:tc>
          <w:tcPr>
            <w:tcW w:w="760" w:type="dxa"/>
            <w:vAlign w:val="bottom"/>
            <w:gridSpan w:val="18"/>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Agreement, as amended and</w:t>
              </w:r>
            </w:hyperlink>
          </w:p>
        </w:tc>
        <w:tc>
          <w:tcPr>
            <w:tcW w:w="42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restated, by and between Vertex,</w:t>
              </w:r>
            </w:hyperlink>
          </w:p>
        </w:tc>
        <w:tc>
          <w:tcPr>
            <w:tcW w:w="12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10.5</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Inc. and David DeStefano.</w:t>
              </w:r>
            </w:hyperlink>
          </w:p>
        </w:tc>
        <w:tc>
          <w:tcPr>
            <w:tcW w:w="11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S-1/A</w:t>
              </w:r>
            </w:hyperlink>
          </w:p>
        </w:tc>
        <w:tc>
          <w:tcPr>
            <w:tcW w:w="1040" w:type="dxa"/>
            <w:vAlign w:val="bottom"/>
          </w:tcPr>
          <w:p>
            <w:pPr>
              <w:jc w:val="center"/>
              <w:spacing w:after="0"/>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333-239644</w:t>
              </w:r>
            </w:hyperlink>
          </w:p>
        </w:tc>
        <w:tc>
          <w:tcPr>
            <w:tcW w:w="100" w:type="dxa"/>
            <w:vAlign w:val="bottom"/>
          </w:tcPr>
          <w:p>
            <w:pPr>
              <w:spacing w:after="0"/>
              <w:rPr>
                <w:sz w:val="18"/>
                <w:szCs w:val="18"/>
                <w:color w:val="auto"/>
              </w:rPr>
            </w:pPr>
          </w:p>
        </w:tc>
        <w:tc>
          <w:tcPr>
            <w:tcW w:w="1040" w:type="dxa"/>
            <w:vAlign w:val="bottom"/>
          </w:tcPr>
          <w:p>
            <w:pPr>
              <w:jc w:val="center"/>
              <w:spacing w:after="0"/>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10.6</w:t>
              </w:r>
            </w:hyperlink>
          </w:p>
        </w:tc>
        <w:tc>
          <w:tcPr>
            <w:tcW w:w="120" w:type="dxa"/>
            <w:vAlign w:val="bottom"/>
          </w:tcPr>
          <w:p>
            <w:pPr>
              <w:spacing w:after="0"/>
              <w:rPr>
                <w:sz w:val="18"/>
                <w:szCs w:val="18"/>
                <w:color w:val="auto"/>
              </w:rPr>
            </w:pPr>
          </w:p>
        </w:tc>
        <w:tc>
          <w:tcPr>
            <w:tcW w:w="1080" w:type="dxa"/>
            <w:vAlign w:val="bottom"/>
          </w:tcPr>
          <w:p>
            <w:pPr>
              <w:jc w:val="center"/>
              <w:spacing w:after="0"/>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7/20/2020</w:t>
              </w:r>
            </w:hyperlink>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191">
              <w:r>
                <w:rPr>
                  <w:rFonts w:ascii="Times New Roman" w:cs="Times New Roman" w:eastAsia="Times New Roman" w:hAnsi="Times New Roman"/>
                  <w:sz w:val="18"/>
                  <w:szCs w:val="18"/>
                  <w:color w:val="0000EE"/>
                  <w:w w:val="99"/>
                </w:rPr>
                <w:t>Executive Employment</w:t>
              </w:r>
            </w:hyperlink>
          </w:p>
        </w:tc>
        <w:tc>
          <w:tcPr>
            <w:tcW w:w="760" w:type="dxa"/>
            <w:vAlign w:val="bottom"/>
            <w:gridSpan w:val="18"/>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91">
              <w:r>
                <w:rPr>
                  <w:rFonts w:ascii="Times New Roman" w:cs="Times New Roman" w:eastAsia="Times New Roman" w:hAnsi="Times New Roman"/>
                  <w:sz w:val="18"/>
                  <w:szCs w:val="18"/>
                  <w:color w:val="0000EE"/>
                  <w:w w:val="99"/>
                </w:rPr>
                <w:t>Agreement, as amended and</w:t>
              </w:r>
            </w:hyperlink>
          </w:p>
        </w:tc>
        <w:tc>
          <w:tcPr>
            <w:tcW w:w="42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191">
              <w:r>
                <w:rPr>
                  <w:rFonts w:ascii="Times New Roman" w:cs="Times New Roman" w:eastAsia="Times New Roman" w:hAnsi="Times New Roman"/>
                  <w:sz w:val="18"/>
                  <w:szCs w:val="18"/>
                  <w:color w:val="0000EE"/>
                  <w:w w:val="98"/>
                </w:rPr>
                <w:t>restated, by and between Vertex,</w:t>
              </w:r>
            </w:hyperlink>
          </w:p>
        </w:tc>
        <w:tc>
          <w:tcPr>
            <w:tcW w:w="12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10.6</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Inc. and Bryan Rowland.</w:t>
              </w:r>
            </w:hyperlink>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3"/>
          </w:tcPr>
          <w:p>
            <w:pPr>
              <w:ind w:left="520"/>
              <w:spacing w:after="0"/>
              <w:rPr>
                <w:rFonts w:ascii="Times New Roman" w:cs="Times New Roman" w:eastAsia="Times New Roman" w:hAnsi="Times New Roman"/>
                <w:sz w:val="18"/>
                <w:szCs w:val="18"/>
                <w:u w:val="single" w:color="auto"/>
                <w:color w:val="0000EE"/>
              </w:rPr>
            </w:pPr>
            <w:hyperlink w:anchor="page191">
              <w:r>
                <w:rPr>
                  <w:rFonts w:ascii="Times New Roman" w:cs="Times New Roman" w:eastAsia="Times New Roman" w:hAnsi="Times New Roman"/>
                  <w:sz w:val="18"/>
                  <w:szCs w:val="18"/>
                  <w:u w:val="single" w:color="auto"/>
                  <w:color w:val="0000EE"/>
                </w:rPr>
                <w:t>X</w:t>
              </w:r>
            </w:hyperlink>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w:anchor="page207">
              <w:r>
                <w:rPr>
                  <w:rFonts w:ascii="Times New Roman" w:cs="Times New Roman" w:eastAsia="Times New Roman" w:hAnsi="Times New Roman"/>
                  <w:sz w:val="18"/>
                  <w:szCs w:val="18"/>
                  <w:color w:val="0000EE"/>
                  <w:w w:val="99"/>
                </w:rPr>
                <w:t>Executive Employment</w:t>
              </w:r>
            </w:hyperlink>
          </w:p>
        </w:tc>
        <w:tc>
          <w:tcPr>
            <w:tcW w:w="760" w:type="dxa"/>
            <w:vAlign w:val="bottom"/>
            <w:gridSpan w:val="18"/>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07">
              <w:r>
                <w:rPr>
                  <w:rFonts w:ascii="Times New Roman" w:cs="Times New Roman" w:eastAsia="Times New Roman" w:hAnsi="Times New Roman"/>
                  <w:sz w:val="18"/>
                  <w:szCs w:val="18"/>
                  <w:color w:val="0000EE"/>
                  <w:w w:val="99"/>
                </w:rPr>
                <w:t>Agreement, as amended and</w:t>
              </w:r>
            </w:hyperlink>
          </w:p>
        </w:tc>
        <w:tc>
          <w:tcPr>
            <w:tcW w:w="420" w:type="dxa"/>
            <w:vAlign w:val="bottom"/>
            <w:gridSpan w:val="10"/>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207">
              <w:r>
                <w:rPr>
                  <w:rFonts w:ascii="Times New Roman" w:cs="Times New Roman" w:eastAsia="Times New Roman" w:hAnsi="Times New Roman"/>
                  <w:sz w:val="18"/>
                  <w:szCs w:val="18"/>
                  <w:color w:val="0000EE"/>
                  <w:w w:val="98"/>
                </w:rPr>
                <w:t>restated, by and between Vertex,</w:t>
              </w:r>
            </w:hyperlink>
          </w:p>
        </w:tc>
        <w:tc>
          <w:tcPr>
            <w:tcW w:w="12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10.7</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Inc. and John Schwab.</w:t>
              </w:r>
            </w:hyperlink>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3"/>
          </w:tcPr>
          <w:p>
            <w:pPr>
              <w:ind w:left="520"/>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X</w:t>
              </w:r>
            </w:hyperlink>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w:anchor="page224">
              <w:r>
                <w:rPr>
                  <w:rFonts w:ascii="Times New Roman" w:cs="Times New Roman" w:eastAsia="Times New Roman" w:hAnsi="Times New Roman"/>
                  <w:sz w:val="18"/>
                  <w:szCs w:val="18"/>
                  <w:color w:val="0000EE"/>
                  <w:w w:val="98"/>
                </w:rPr>
                <w:t>S Corporation Termination and</w:t>
              </w:r>
            </w:hyperlink>
          </w:p>
        </w:tc>
        <w:tc>
          <w:tcPr>
            <w:tcW w:w="220" w:type="dxa"/>
            <w:vAlign w:val="bottom"/>
            <w:gridSpan w:val="6"/>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10.8</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Tax Sharing Agreement.</w:t>
              </w:r>
            </w:hyperlink>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3"/>
          </w:tcPr>
          <w:p>
            <w:pPr>
              <w:ind w:left="52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X</w:t>
              </w:r>
            </w:hyperlink>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Vertex, Inc. 2020 Employee</w:t>
              </w:r>
            </w:hyperlink>
          </w:p>
        </w:tc>
        <w:tc>
          <w:tcPr>
            <w:tcW w:w="440" w:type="dxa"/>
            <w:vAlign w:val="bottom"/>
            <w:gridSpan w:val="11"/>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8"/>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10.9</w:t>
              </w:r>
            </w:hyperlink>
          </w:p>
        </w:tc>
        <w:tc>
          <w:tcPr>
            <w:tcW w:w="100" w:type="dxa"/>
            <w:vAlign w:val="bottom"/>
          </w:tcPr>
          <w:p>
            <w:pPr>
              <w:spacing w:after="0"/>
              <w:rPr>
                <w:sz w:val="18"/>
                <w:szCs w:val="18"/>
                <w:color w:val="auto"/>
              </w:rPr>
            </w:pPr>
          </w:p>
        </w:tc>
        <w:tc>
          <w:tcPr>
            <w:tcW w:w="2460" w:type="dxa"/>
            <w:vAlign w:val="bottom"/>
            <w:gridSpan w:val="23"/>
          </w:tcPr>
          <w:p>
            <w:pPr>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Stock Purchase Plan</w:t>
              </w:r>
            </w:hyperlink>
          </w:p>
        </w:tc>
        <w:tc>
          <w:tcPr>
            <w:tcW w:w="1120" w:type="dxa"/>
            <w:vAlign w:val="bottom"/>
            <w:gridSpan w:val="2"/>
          </w:tcPr>
          <w:p>
            <w:pPr>
              <w:ind w:left="300"/>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S-1/A</w:t>
              </w:r>
            </w:hyperlink>
          </w:p>
        </w:tc>
        <w:tc>
          <w:tcPr>
            <w:tcW w:w="1040" w:type="dxa"/>
            <w:vAlign w:val="bottom"/>
          </w:tcPr>
          <w:p>
            <w:pPr>
              <w:jc w:val="center"/>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333-239644</w:t>
              </w:r>
            </w:hyperlink>
          </w:p>
        </w:tc>
        <w:tc>
          <w:tcPr>
            <w:tcW w:w="100" w:type="dxa"/>
            <w:vAlign w:val="bottom"/>
          </w:tcPr>
          <w:p>
            <w:pPr>
              <w:spacing w:after="0"/>
              <w:rPr>
                <w:sz w:val="18"/>
                <w:szCs w:val="18"/>
                <w:color w:val="auto"/>
              </w:rPr>
            </w:pPr>
          </w:p>
        </w:tc>
        <w:tc>
          <w:tcPr>
            <w:tcW w:w="1040" w:type="dxa"/>
            <w:vAlign w:val="bottom"/>
          </w:tcPr>
          <w:p>
            <w:pPr>
              <w:jc w:val="center"/>
              <w:spacing w:after="0"/>
              <w:rPr>
                <w:rFonts w:ascii="Times New Roman" w:cs="Times New Roman" w:eastAsia="Times New Roman" w:hAnsi="Times New Roman"/>
                <w:sz w:val="18"/>
                <w:szCs w:val="18"/>
                <w:u w:val="single" w:color="auto"/>
                <w:color w:val="0000EE"/>
                <w:w w:val="98"/>
              </w:rPr>
            </w:pPr>
            <w:hyperlink r:id="rId151">
              <w:r>
                <w:rPr>
                  <w:rFonts w:ascii="Times New Roman" w:cs="Times New Roman" w:eastAsia="Times New Roman" w:hAnsi="Times New Roman"/>
                  <w:sz w:val="18"/>
                  <w:szCs w:val="18"/>
                  <w:u w:val="single" w:color="auto"/>
                  <w:color w:val="0000EE"/>
                  <w:w w:val="98"/>
                </w:rPr>
                <w:t>10.21</w:t>
              </w:r>
            </w:hyperlink>
          </w:p>
        </w:tc>
        <w:tc>
          <w:tcPr>
            <w:tcW w:w="120" w:type="dxa"/>
            <w:vAlign w:val="bottom"/>
          </w:tcPr>
          <w:p>
            <w:pPr>
              <w:spacing w:after="0"/>
              <w:rPr>
                <w:sz w:val="18"/>
                <w:szCs w:val="18"/>
                <w:color w:val="auto"/>
              </w:rPr>
            </w:pPr>
          </w:p>
        </w:tc>
        <w:tc>
          <w:tcPr>
            <w:tcW w:w="1080" w:type="dxa"/>
            <w:vAlign w:val="bottom"/>
          </w:tcPr>
          <w:p>
            <w:pPr>
              <w:jc w:val="center"/>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7/20/2020</w:t>
              </w:r>
            </w:hyperlink>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9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Vertex, Inc. 2020 Incentive</w:t>
              </w:r>
            </w:hyperlink>
          </w:p>
        </w:tc>
        <w:tc>
          <w:tcPr>
            <w:tcW w:w="500" w:type="dxa"/>
            <w:vAlign w:val="bottom"/>
            <w:gridSpan w:val="13"/>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r:id="rId152">
              <w:r>
                <w:rPr>
                  <w:rFonts w:ascii="Times New Roman" w:cs="Times New Roman" w:eastAsia="Times New Roman" w:hAnsi="Times New Roman"/>
                  <w:sz w:val="18"/>
                  <w:szCs w:val="18"/>
                  <w:u w:val="single" w:color="auto"/>
                  <w:color w:val="0000EE"/>
                </w:rPr>
                <w:t>10.10</w:t>
              </w:r>
            </w:hyperlink>
          </w:p>
        </w:tc>
        <w:tc>
          <w:tcPr>
            <w:tcW w:w="100" w:type="dxa"/>
            <w:vAlign w:val="bottom"/>
          </w:tcPr>
          <w:p>
            <w:pPr>
              <w:spacing w:after="0"/>
              <w:rPr>
                <w:sz w:val="17"/>
                <w:szCs w:val="17"/>
                <w:color w:val="auto"/>
              </w:rPr>
            </w:pPr>
          </w:p>
        </w:tc>
        <w:tc>
          <w:tcPr>
            <w:tcW w:w="2460" w:type="dxa"/>
            <w:vAlign w:val="bottom"/>
            <w:gridSpan w:val="2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Award Plan</w:t>
              </w:r>
            </w:hyperlink>
          </w:p>
        </w:tc>
        <w:tc>
          <w:tcPr>
            <w:tcW w:w="1120" w:type="dxa"/>
            <w:vAlign w:val="bottom"/>
            <w:gridSpan w:val="2"/>
          </w:tcPr>
          <w:p>
            <w:pPr>
              <w:ind w:left="300"/>
              <w:spacing w:after="0" w:line="196" w:lineRule="exact"/>
              <w:rPr>
                <w:rFonts w:ascii="Times New Roman" w:cs="Times New Roman" w:eastAsia="Times New Roman" w:hAnsi="Times New Roman"/>
                <w:sz w:val="18"/>
                <w:szCs w:val="18"/>
                <w:u w:val="single" w:color="auto"/>
                <w:color w:val="0000EE"/>
              </w:rPr>
            </w:pPr>
            <w:hyperlink r:id="rId152">
              <w:r>
                <w:rPr>
                  <w:rFonts w:ascii="Times New Roman" w:cs="Times New Roman" w:eastAsia="Times New Roman" w:hAnsi="Times New Roman"/>
                  <w:sz w:val="18"/>
                  <w:szCs w:val="18"/>
                  <w:u w:val="single" w:color="auto"/>
                  <w:color w:val="0000EE"/>
                </w:rPr>
                <w:t>S-1/A</w:t>
              </w:r>
            </w:hyperlink>
          </w:p>
        </w:tc>
        <w:tc>
          <w:tcPr>
            <w:tcW w:w="1040" w:type="dxa"/>
            <w:vAlign w:val="bottom"/>
          </w:tcPr>
          <w:p>
            <w:pPr>
              <w:jc w:val="center"/>
              <w:spacing w:after="0" w:line="196" w:lineRule="exact"/>
              <w:rPr>
                <w:rFonts w:ascii="Times New Roman" w:cs="Times New Roman" w:eastAsia="Times New Roman" w:hAnsi="Times New Roman"/>
                <w:sz w:val="18"/>
                <w:szCs w:val="18"/>
                <w:u w:val="single" w:color="auto"/>
                <w:color w:val="0000EE"/>
              </w:rPr>
            </w:pPr>
            <w:hyperlink r:id="rId152">
              <w:r>
                <w:rPr>
                  <w:rFonts w:ascii="Times New Roman" w:cs="Times New Roman" w:eastAsia="Times New Roman" w:hAnsi="Times New Roman"/>
                  <w:sz w:val="18"/>
                  <w:szCs w:val="18"/>
                  <w:u w:val="single" w:color="auto"/>
                  <w:color w:val="0000EE"/>
                </w:rPr>
                <w:t>333-239644</w:t>
              </w:r>
            </w:hyperlink>
          </w:p>
        </w:tc>
        <w:tc>
          <w:tcPr>
            <w:tcW w:w="100" w:type="dxa"/>
            <w:vAlign w:val="bottom"/>
          </w:tcPr>
          <w:p>
            <w:pPr>
              <w:spacing w:after="0"/>
              <w:rPr>
                <w:sz w:val="17"/>
                <w:szCs w:val="17"/>
                <w:color w:val="auto"/>
              </w:rPr>
            </w:pPr>
          </w:p>
        </w:tc>
        <w:tc>
          <w:tcPr>
            <w:tcW w:w="1040" w:type="dxa"/>
            <w:vAlign w:val="bottom"/>
          </w:tcPr>
          <w:p>
            <w:pPr>
              <w:jc w:val="center"/>
              <w:spacing w:after="0" w:line="196" w:lineRule="exact"/>
              <w:rPr>
                <w:rFonts w:ascii="Times New Roman" w:cs="Times New Roman" w:eastAsia="Times New Roman" w:hAnsi="Times New Roman"/>
                <w:sz w:val="18"/>
                <w:szCs w:val="18"/>
                <w:u w:val="single" w:color="auto"/>
                <w:color w:val="0000EE"/>
                <w:w w:val="98"/>
              </w:rPr>
            </w:pPr>
            <w:hyperlink r:id="rId152">
              <w:r>
                <w:rPr>
                  <w:rFonts w:ascii="Times New Roman" w:cs="Times New Roman" w:eastAsia="Times New Roman" w:hAnsi="Times New Roman"/>
                  <w:sz w:val="18"/>
                  <w:szCs w:val="18"/>
                  <w:u w:val="single" w:color="auto"/>
                  <w:color w:val="0000EE"/>
                  <w:w w:val="98"/>
                </w:rPr>
                <w:t>10.15</w:t>
              </w:r>
            </w:hyperlink>
          </w:p>
        </w:tc>
        <w:tc>
          <w:tcPr>
            <w:tcW w:w="120" w:type="dxa"/>
            <w:vAlign w:val="bottom"/>
          </w:tcPr>
          <w:p>
            <w:pPr>
              <w:spacing w:after="0"/>
              <w:rPr>
                <w:sz w:val="17"/>
                <w:szCs w:val="17"/>
                <w:color w:val="auto"/>
              </w:rPr>
            </w:pPr>
          </w:p>
        </w:tc>
        <w:tc>
          <w:tcPr>
            <w:tcW w:w="1080" w:type="dxa"/>
            <w:vAlign w:val="bottom"/>
          </w:tcPr>
          <w:p>
            <w:pPr>
              <w:jc w:val="center"/>
              <w:spacing w:after="0" w:line="196" w:lineRule="exact"/>
              <w:rPr>
                <w:rFonts w:ascii="Times New Roman" w:cs="Times New Roman" w:eastAsia="Times New Roman" w:hAnsi="Times New Roman"/>
                <w:sz w:val="18"/>
                <w:szCs w:val="18"/>
                <w:u w:val="single" w:color="auto"/>
                <w:color w:val="0000EE"/>
              </w:rPr>
            </w:pPr>
            <w:hyperlink r:id="rId152">
              <w:r>
                <w:rPr>
                  <w:rFonts w:ascii="Times New Roman" w:cs="Times New Roman" w:eastAsia="Times New Roman" w:hAnsi="Times New Roman"/>
                  <w:sz w:val="18"/>
                  <w:szCs w:val="18"/>
                  <w:u w:val="single" w:color="auto"/>
                  <w:color w:val="0000EE"/>
                </w:rPr>
                <w:t>7/24/2020</w:t>
              </w:r>
            </w:hyperlink>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68"/>
        </w:trPr>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Stock Option Amendment</w:t>
              </w:r>
            </w:hyperlink>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10.11</w:t>
              </w:r>
            </w:hyperlink>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Agreement</w:t>
              </w:r>
            </w:hyperlink>
          </w:p>
        </w:tc>
        <w:tc>
          <w:tcPr>
            <w:tcW w:w="1980" w:type="dxa"/>
            <w:vAlign w:val="bottom"/>
            <w:gridSpan w:val="22"/>
          </w:tcPr>
          <w:p>
            <w:pPr>
              <w:spacing w:after="0"/>
              <w:rPr>
                <w:sz w:val="17"/>
                <w:szCs w:val="17"/>
                <w:color w:val="auto"/>
              </w:rPr>
            </w:pPr>
          </w:p>
        </w:tc>
        <w:tc>
          <w:tcPr>
            <w:tcW w:w="960" w:type="dxa"/>
            <w:vAlign w:val="bottom"/>
          </w:tcPr>
          <w:p>
            <w:pPr>
              <w:ind w:left="240"/>
              <w:spacing w:after="0" w:line="196" w:lineRule="exact"/>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line="196" w:lineRule="exact"/>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line="196" w:lineRule="exact"/>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10.12</w:t>
              </w:r>
            </w:hyperlink>
          </w:p>
        </w:tc>
        <w:tc>
          <w:tcPr>
            <w:tcW w:w="2000" w:type="dxa"/>
            <w:vAlign w:val="bottom"/>
          </w:tcPr>
          <w:p>
            <w:pPr>
              <w:jc w:val="right"/>
              <w:ind w:right="850"/>
              <w:spacing w:after="0" w:line="196" w:lineRule="exact"/>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7/20/2020</w:t>
              </w:r>
            </w:hyperlink>
          </w:p>
        </w:tc>
      </w:tr>
      <w:tr>
        <w:trPr>
          <w:trHeight w:val="250"/>
        </w:trPr>
        <w:tc>
          <w:tcPr>
            <w:tcW w:w="1260" w:type="dxa"/>
            <w:vAlign w:val="bottom"/>
          </w:tcPr>
          <w:p>
            <w:pPr>
              <w:spacing w:after="0"/>
              <w:rPr>
                <w:sz w:val="21"/>
                <w:szCs w:val="21"/>
                <w:color w:val="auto"/>
              </w:rPr>
            </w:pPr>
          </w:p>
        </w:tc>
        <w:tc>
          <w:tcPr>
            <w:tcW w:w="21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Form of Stock Option Award</w:t>
              </w:r>
            </w:hyperlink>
          </w:p>
        </w:tc>
        <w:tc>
          <w:tcPr>
            <w:tcW w:w="680" w:type="dxa"/>
            <w:vAlign w:val="bottom"/>
            <w:gridSpan w:val="17"/>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2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Agreement under 2020 Incentive</w:t>
              </w:r>
            </w:hyperlink>
          </w:p>
        </w:tc>
        <w:tc>
          <w:tcPr>
            <w:tcW w:w="40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7"/>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10.12</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Award Plan for Amended Options</w:t>
              </w:r>
            </w:hyperlink>
          </w:p>
        </w:tc>
        <w:tc>
          <w:tcPr>
            <w:tcW w:w="960" w:type="dxa"/>
            <w:vAlign w:val="bottom"/>
          </w:tcPr>
          <w:p>
            <w:pPr>
              <w:ind w:left="240"/>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10.13</w:t>
              </w:r>
            </w:hyperlink>
          </w:p>
        </w:tc>
        <w:tc>
          <w:tcPr>
            <w:tcW w:w="2000" w:type="dxa"/>
            <w:vAlign w:val="bottom"/>
          </w:tcPr>
          <w:p>
            <w:pPr>
              <w:jc w:val="right"/>
              <w:ind w:right="850"/>
              <w:spacing w:after="0"/>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7/20/2020</w:t>
              </w:r>
            </w:hyperlink>
          </w:p>
        </w:tc>
      </w:tr>
      <w:tr>
        <w:trPr>
          <w:trHeight w:val="229"/>
        </w:trPr>
        <w:tc>
          <w:tcPr>
            <w:tcW w:w="1260" w:type="dxa"/>
            <w:vAlign w:val="bottom"/>
          </w:tcPr>
          <w:p>
            <w:pPr>
              <w:spacing w:after="0"/>
              <w:rPr>
                <w:sz w:val="19"/>
                <w:szCs w:val="19"/>
                <w:color w:val="auto"/>
              </w:rPr>
            </w:pPr>
          </w:p>
        </w:tc>
        <w:tc>
          <w:tcPr>
            <w:tcW w:w="2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Form of Option Award Agreement</w:t>
              </w:r>
            </w:hyperlink>
          </w:p>
        </w:tc>
        <w:tc>
          <w:tcPr>
            <w:tcW w:w="28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2780" w:type="dxa"/>
            <w:vAlign w:val="bottom"/>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under 2020 Incentive Award Plan</w:t>
              </w:r>
            </w:hyperlink>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 Amended Stock Appreciation</w:t>
              </w:r>
            </w:hyperlink>
          </w:p>
        </w:tc>
        <w:tc>
          <w:tcPr>
            <w:tcW w:w="3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10.13</w:t>
              </w:r>
            </w:hyperlink>
          </w:p>
        </w:tc>
        <w:tc>
          <w:tcPr>
            <w:tcW w:w="2780" w:type="dxa"/>
            <w:vAlign w:val="bottom"/>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Rights</w:t>
              </w:r>
            </w:hyperlink>
          </w:p>
        </w:tc>
        <w:tc>
          <w:tcPr>
            <w:tcW w:w="960" w:type="dxa"/>
            <w:vAlign w:val="bottom"/>
          </w:tcPr>
          <w:p>
            <w:pPr>
              <w:ind w:left="240"/>
              <w:spacing w:after="0" w:line="196" w:lineRule="exact"/>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line="196" w:lineRule="exact"/>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line="196" w:lineRule="exact"/>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10.14</w:t>
              </w:r>
            </w:hyperlink>
          </w:p>
        </w:tc>
        <w:tc>
          <w:tcPr>
            <w:tcW w:w="2000" w:type="dxa"/>
            <w:vAlign w:val="bottom"/>
          </w:tcPr>
          <w:p>
            <w:pPr>
              <w:jc w:val="right"/>
              <w:ind w:right="850"/>
              <w:spacing w:after="0" w:line="196" w:lineRule="exact"/>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7/20/2020</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Form of Option Award Agreement</w:t>
              </w:r>
            </w:hyperlink>
          </w:p>
        </w:tc>
        <w:tc>
          <w:tcPr>
            <w:tcW w:w="28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7"/>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10.14</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under 2020 Incentive Award Plan</w:t>
              </w:r>
            </w:hyperlink>
          </w:p>
        </w:tc>
        <w:tc>
          <w:tcPr>
            <w:tcW w:w="960" w:type="dxa"/>
            <w:vAlign w:val="bottom"/>
          </w:tcPr>
          <w:p>
            <w:pPr>
              <w:ind w:left="240"/>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10.16</w:t>
              </w:r>
            </w:hyperlink>
          </w:p>
        </w:tc>
        <w:tc>
          <w:tcPr>
            <w:tcW w:w="2000" w:type="dxa"/>
            <w:vAlign w:val="bottom"/>
          </w:tcPr>
          <w:p>
            <w:pPr>
              <w:jc w:val="right"/>
              <w:ind w:right="850"/>
              <w:spacing w:after="0"/>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7/20/2020</w:t>
              </w:r>
            </w:hyperlink>
          </w:p>
        </w:tc>
      </w:tr>
      <w:tr>
        <w:trPr>
          <w:trHeight w:val="229"/>
        </w:trPr>
        <w:tc>
          <w:tcPr>
            <w:tcW w:w="1260" w:type="dxa"/>
            <w:vAlign w:val="bottom"/>
          </w:tcPr>
          <w:p>
            <w:pPr>
              <w:spacing w:after="0"/>
              <w:rPr>
                <w:sz w:val="19"/>
                <w:szCs w:val="19"/>
                <w:color w:val="auto"/>
              </w:rPr>
            </w:pPr>
          </w:p>
        </w:tc>
        <w:tc>
          <w:tcPr>
            <w:tcW w:w="2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Form of Restricted Stock Award</w:t>
              </w:r>
            </w:hyperlink>
          </w:p>
        </w:tc>
        <w:tc>
          <w:tcPr>
            <w:tcW w:w="440" w:type="dxa"/>
            <w:vAlign w:val="bottom"/>
            <w:gridSpan w:val="7"/>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2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Agreement under 2020 Incentive</w:t>
              </w:r>
            </w:hyperlink>
          </w:p>
        </w:tc>
        <w:tc>
          <w:tcPr>
            <w:tcW w:w="40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10.15</w:t>
              </w:r>
            </w:hyperlink>
          </w:p>
        </w:tc>
        <w:tc>
          <w:tcPr>
            <w:tcW w:w="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57">
              <w:r>
                <w:rPr>
                  <w:rFonts w:ascii="Times New Roman" w:cs="Times New Roman" w:eastAsia="Times New Roman" w:hAnsi="Times New Roman"/>
                  <w:sz w:val="18"/>
                  <w:szCs w:val="18"/>
                  <w:color w:val="0000EE"/>
                  <w:w w:val="95"/>
                </w:rPr>
                <w:t>Award Plan</w:t>
              </w:r>
            </w:hyperlink>
          </w:p>
        </w:tc>
        <w:tc>
          <w:tcPr>
            <w:tcW w:w="1940" w:type="dxa"/>
            <w:vAlign w:val="bottom"/>
            <w:gridSpan w:val="21"/>
          </w:tcPr>
          <w:p>
            <w:pPr>
              <w:spacing w:after="0"/>
              <w:rPr>
                <w:sz w:val="17"/>
                <w:szCs w:val="17"/>
                <w:color w:val="auto"/>
              </w:rPr>
            </w:pPr>
          </w:p>
        </w:tc>
        <w:tc>
          <w:tcPr>
            <w:tcW w:w="960" w:type="dxa"/>
            <w:vAlign w:val="bottom"/>
          </w:tcPr>
          <w:p>
            <w:pPr>
              <w:ind w:left="240"/>
              <w:spacing w:after="0" w:line="196" w:lineRule="exact"/>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line="196" w:lineRule="exact"/>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line="196" w:lineRule="exact"/>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10.17</w:t>
              </w:r>
            </w:hyperlink>
          </w:p>
        </w:tc>
        <w:tc>
          <w:tcPr>
            <w:tcW w:w="2000" w:type="dxa"/>
            <w:vAlign w:val="bottom"/>
          </w:tcPr>
          <w:p>
            <w:pPr>
              <w:jc w:val="right"/>
              <w:ind w:right="850"/>
              <w:spacing w:after="0" w:line="196" w:lineRule="exact"/>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7/20/2020</w:t>
              </w:r>
            </w:hyperlink>
          </w:p>
        </w:tc>
      </w:tr>
      <w:tr>
        <w:trPr>
          <w:trHeight w:val="250"/>
        </w:trPr>
        <w:tc>
          <w:tcPr>
            <w:tcW w:w="1260" w:type="dxa"/>
            <w:vAlign w:val="bottom"/>
          </w:tcPr>
          <w:p>
            <w:pPr>
              <w:spacing w:after="0"/>
              <w:rPr>
                <w:sz w:val="21"/>
                <w:szCs w:val="21"/>
                <w:color w:val="auto"/>
              </w:rPr>
            </w:pPr>
          </w:p>
        </w:tc>
        <w:tc>
          <w:tcPr>
            <w:tcW w:w="2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Form of Restricted Stock Unit</w:t>
              </w:r>
            </w:hyperlink>
          </w:p>
        </w:tc>
        <w:tc>
          <w:tcPr>
            <w:tcW w:w="580" w:type="dxa"/>
            <w:vAlign w:val="bottom"/>
            <w:gridSpan w:val="12"/>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2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Award Agreement under 2020</w:t>
              </w:r>
            </w:hyperlink>
          </w:p>
        </w:tc>
        <w:tc>
          <w:tcPr>
            <w:tcW w:w="60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6"/>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10.16</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Incentive Award Plan</w:t>
              </w:r>
            </w:hyperlink>
          </w:p>
        </w:tc>
        <w:tc>
          <w:tcPr>
            <w:tcW w:w="960" w:type="dxa"/>
            <w:vAlign w:val="bottom"/>
          </w:tcPr>
          <w:p>
            <w:pPr>
              <w:ind w:left="240"/>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10.18</w:t>
              </w:r>
            </w:hyperlink>
          </w:p>
        </w:tc>
        <w:tc>
          <w:tcPr>
            <w:tcW w:w="2000" w:type="dxa"/>
            <w:vAlign w:val="bottom"/>
          </w:tcPr>
          <w:p>
            <w:pPr>
              <w:jc w:val="right"/>
              <w:ind w:right="850"/>
              <w:spacing w:after="0"/>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7/20/2020</w:t>
              </w:r>
            </w:hyperlink>
          </w:p>
        </w:tc>
      </w:tr>
      <w:tr>
        <w:trPr>
          <w:trHeight w:val="230"/>
        </w:trPr>
        <w:tc>
          <w:tcPr>
            <w:tcW w:w="1260" w:type="dxa"/>
            <w:vAlign w:val="bottom"/>
          </w:tcPr>
          <w:p>
            <w:pPr>
              <w:spacing w:after="0"/>
              <w:rPr>
                <w:sz w:val="19"/>
                <w:szCs w:val="19"/>
                <w:color w:val="auto"/>
              </w:rPr>
            </w:pPr>
          </w:p>
        </w:tc>
        <w:tc>
          <w:tcPr>
            <w:tcW w:w="24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Form of Stock Award Agreement</w:t>
              </w:r>
            </w:hyperlink>
          </w:p>
        </w:tc>
        <w:tc>
          <w:tcPr>
            <w:tcW w:w="380" w:type="dxa"/>
            <w:vAlign w:val="bottom"/>
            <w:gridSpan w:val="4"/>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7"/>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10.17</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under 2020 Incentive Award Plan</w:t>
              </w:r>
            </w:hyperlink>
          </w:p>
        </w:tc>
        <w:tc>
          <w:tcPr>
            <w:tcW w:w="960" w:type="dxa"/>
            <w:vAlign w:val="bottom"/>
          </w:tcPr>
          <w:p>
            <w:pPr>
              <w:ind w:left="240"/>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10.19</w:t>
              </w:r>
            </w:hyperlink>
          </w:p>
        </w:tc>
        <w:tc>
          <w:tcPr>
            <w:tcW w:w="2000" w:type="dxa"/>
            <w:vAlign w:val="bottom"/>
          </w:tcPr>
          <w:p>
            <w:pPr>
              <w:jc w:val="right"/>
              <w:ind w:right="850"/>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7/20/2020</w:t>
              </w:r>
            </w:hyperlink>
          </w:p>
        </w:tc>
      </w:tr>
      <w:tr>
        <w:trPr>
          <w:trHeight w:val="229"/>
        </w:trPr>
        <w:tc>
          <w:tcPr>
            <w:tcW w:w="1260" w:type="dxa"/>
            <w:vAlign w:val="bottom"/>
          </w:tcPr>
          <w:p>
            <w:pPr>
              <w:spacing w:after="0"/>
              <w:rPr>
                <w:sz w:val="19"/>
                <w:szCs w:val="19"/>
                <w:color w:val="auto"/>
              </w:rPr>
            </w:pPr>
          </w:p>
        </w:tc>
        <w:tc>
          <w:tcPr>
            <w:tcW w:w="17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Form of Option Transfer</w:t>
              </w:r>
            </w:hyperlink>
          </w:p>
        </w:tc>
        <w:tc>
          <w:tcPr>
            <w:tcW w:w="1000" w:type="dxa"/>
            <w:vAlign w:val="bottom"/>
            <w:gridSpan w:val="20"/>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6"/>
        </w:trPr>
        <w:tc>
          <w:tcPr>
            <w:tcW w:w="1260" w:type="dxa"/>
            <w:vAlign w:val="bottom"/>
          </w:tcPr>
          <w:p>
            <w:pPr>
              <w:spacing w:after="0" w:line="196" w:lineRule="exact"/>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10.18</w:t>
              </w:r>
            </w:hyperlink>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Agreement</w:t>
              </w:r>
            </w:hyperlink>
          </w:p>
        </w:tc>
        <w:tc>
          <w:tcPr>
            <w:tcW w:w="1980" w:type="dxa"/>
            <w:vAlign w:val="bottom"/>
            <w:gridSpan w:val="22"/>
          </w:tcPr>
          <w:p>
            <w:pPr>
              <w:spacing w:after="0"/>
              <w:rPr>
                <w:sz w:val="17"/>
                <w:szCs w:val="17"/>
                <w:color w:val="auto"/>
              </w:rPr>
            </w:pPr>
          </w:p>
        </w:tc>
        <w:tc>
          <w:tcPr>
            <w:tcW w:w="960" w:type="dxa"/>
            <w:vAlign w:val="bottom"/>
          </w:tcPr>
          <w:p>
            <w:pPr>
              <w:ind w:left="240"/>
              <w:spacing w:after="0" w:line="196" w:lineRule="exact"/>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line="196" w:lineRule="exact"/>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line="196" w:lineRule="exact"/>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10.20</w:t>
              </w:r>
            </w:hyperlink>
          </w:p>
        </w:tc>
        <w:tc>
          <w:tcPr>
            <w:tcW w:w="2000" w:type="dxa"/>
            <w:vAlign w:val="bottom"/>
          </w:tcPr>
          <w:p>
            <w:pPr>
              <w:jc w:val="right"/>
              <w:ind w:right="850"/>
              <w:spacing w:after="0" w:line="196" w:lineRule="exact"/>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7/20/2020</w:t>
              </w:r>
            </w:hyperlink>
          </w:p>
        </w:tc>
      </w:tr>
      <w:tr>
        <w:trPr>
          <w:trHeight w:val="250"/>
        </w:trPr>
        <w:tc>
          <w:tcPr>
            <w:tcW w:w="1260" w:type="dxa"/>
            <w:vAlign w:val="bottom"/>
          </w:tcPr>
          <w:p>
            <w:pPr>
              <w:spacing w:after="0"/>
              <w:rPr>
                <w:sz w:val="21"/>
                <w:szCs w:val="21"/>
                <w:color w:val="auto"/>
              </w:rPr>
            </w:pPr>
          </w:p>
        </w:tc>
        <w:tc>
          <w:tcPr>
            <w:tcW w:w="19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Vertex, Inc. Non-Employee</w:t>
              </w:r>
            </w:hyperlink>
          </w:p>
        </w:tc>
        <w:tc>
          <w:tcPr>
            <w:tcW w:w="800" w:type="dxa"/>
            <w:vAlign w:val="bottom"/>
            <w:gridSpan w:val="18"/>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7"/>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10.19</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Director Compensation Program</w:t>
              </w:r>
            </w:hyperlink>
          </w:p>
        </w:tc>
        <w:tc>
          <w:tcPr>
            <w:tcW w:w="960" w:type="dxa"/>
            <w:vAlign w:val="bottom"/>
          </w:tcPr>
          <w:p>
            <w:pPr>
              <w:ind w:left="240"/>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10.22</w:t>
              </w:r>
            </w:hyperlink>
          </w:p>
        </w:tc>
        <w:tc>
          <w:tcPr>
            <w:tcW w:w="2000" w:type="dxa"/>
            <w:vAlign w:val="bottom"/>
          </w:tcPr>
          <w:p>
            <w:pPr>
              <w:jc w:val="right"/>
              <w:ind w:right="850"/>
              <w:spacing w:after="0"/>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7/20/2020</w:t>
              </w:r>
            </w:hyperlink>
          </w:p>
        </w:tc>
      </w:tr>
      <w:tr>
        <w:trPr>
          <w:trHeight w:val="229"/>
        </w:trPr>
        <w:tc>
          <w:tcPr>
            <w:tcW w:w="1260" w:type="dxa"/>
            <w:vAlign w:val="bottom"/>
          </w:tcPr>
          <w:p>
            <w:pPr>
              <w:spacing w:after="0"/>
              <w:rPr>
                <w:sz w:val="19"/>
                <w:szCs w:val="19"/>
                <w:color w:val="auto"/>
              </w:rPr>
            </w:pPr>
          </w:p>
        </w:tc>
        <w:tc>
          <w:tcPr>
            <w:tcW w:w="2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Vertex Inc. &amp; Subsidiaries 2010</w:t>
              </w:r>
            </w:hyperlink>
          </w:p>
        </w:tc>
        <w:tc>
          <w:tcPr>
            <w:tcW w:w="480" w:type="dxa"/>
            <w:vAlign w:val="bottom"/>
            <w:gridSpan w:val="9"/>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7"/>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10.20</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Long-Term Rewards Plan</w:t>
              </w:r>
            </w:hyperlink>
          </w:p>
        </w:tc>
        <w:tc>
          <w:tcPr>
            <w:tcW w:w="960" w:type="dxa"/>
            <w:vAlign w:val="bottom"/>
          </w:tcPr>
          <w:p>
            <w:pPr>
              <w:ind w:left="240"/>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10.10</w:t>
              </w:r>
            </w:hyperlink>
          </w:p>
        </w:tc>
        <w:tc>
          <w:tcPr>
            <w:tcW w:w="2000" w:type="dxa"/>
            <w:vAlign w:val="bottom"/>
          </w:tcPr>
          <w:p>
            <w:pPr>
              <w:jc w:val="right"/>
              <w:ind w:right="850"/>
              <w:spacing w:after="0"/>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7/20/2020</w:t>
              </w:r>
            </w:hyperlink>
          </w:p>
        </w:tc>
      </w:tr>
      <w:tr>
        <w:trPr>
          <w:trHeight w:val="230"/>
        </w:trPr>
        <w:tc>
          <w:tcPr>
            <w:tcW w:w="1260" w:type="dxa"/>
            <w:vAlign w:val="bottom"/>
          </w:tcPr>
          <w:p>
            <w:pPr>
              <w:spacing w:after="0"/>
              <w:rPr>
                <w:sz w:val="19"/>
                <w:szCs w:val="19"/>
                <w:color w:val="auto"/>
              </w:rPr>
            </w:pPr>
          </w:p>
        </w:tc>
        <w:tc>
          <w:tcPr>
            <w:tcW w:w="2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Vertex Inc. &amp; Subsidiaries 2018</w:t>
              </w:r>
            </w:hyperlink>
          </w:p>
        </w:tc>
        <w:tc>
          <w:tcPr>
            <w:tcW w:w="480" w:type="dxa"/>
            <w:vAlign w:val="bottom"/>
            <w:gridSpan w:val="9"/>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7"/>
        </w:trPr>
        <w:tc>
          <w:tcPr>
            <w:tcW w:w="1260" w:type="dxa"/>
            <w:vAlign w:val="bottom"/>
          </w:tcPr>
          <w:p>
            <w:pPr>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10.21</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Long-Term Rewards Plan</w:t>
              </w:r>
            </w:hyperlink>
          </w:p>
        </w:tc>
        <w:tc>
          <w:tcPr>
            <w:tcW w:w="960" w:type="dxa"/>
            <w:vAlign w:val="bottom"/>
          </w:tcPr>
          <w:p>
            <w:pPr>
              <w:ind w:left="24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S-1/A</w:t>
              </w:r>
            </w:hyperlink>
          </w:p>
        </w:tc>
        <w:tc>
          <w:tcPr>
            <w:tcW w:w="1460" w:type="dxa"/>
            <w:vAlign w:val="bottom"/>
          </w:tcPr>
          <w:p>
            <w:pPr>
              <w:jc w:val="right"/>
              <w:ind w:right="21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333-239644</w:t>
              </w:r>
            </w:hyperlink>
          </w:p>
        </w:tc>
        <w:tc>
          <w:tcPr>
            <w:tcW w:w="1020" w:type="dxa"/>
            <w:vAlign w:val="bottom"/>
          </w:tcPr>
          <w:p>
            <w:pPr>
              <w:jc w:val="right"/>
              <w:ind w:right="23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10.11</w:t>
              </w:r>
            </w:hyperlink>
          </w:p>
        </w:tc>
        <w:tc>
          <w:tcPr>
            <w:tcW w:w="2000" w:type="dxa"/>
            <w:vAlign w:val="bottom"/>
          </w:tcPr>
          <w:p>
            <w:pPr>
              <w:jc w:val="right"/>
              <w:ind w:right="85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7/20/2020</w:t>
              </w:r>
            </w:hyperlink>
          </w:p>
        </w:tc>
      </w:tr>
      <w:tr>
        <w:trPr>
          <w:trHeight w:val="229"/>
        </w:trPr>
        <w:tc>
          <w:tcPr>
            <w:tcW w:w="1260" w:type="dxa"/>
            <w:vAlign w:val="bottom"/>
          </w:tcPr>
          <w:p>
            <w:pPr>
              <w:spacing w:after="0"/>
              <w:rPr>
                <w:sz w:val="19"/>
                <w:szCs w:val="19"/>
                <w:color w:val="auto"/>
              </w:rPr>
            </w:pPr>
          </w:p>
        </w:tc>
        <w:tc>
          <w:tcPr>
            <w:tcW w:w="1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38">
              <w:r>
                <w:rPr>
                  <w:rFonts w:ascii="Times New Roman" w:cs="Times New Roman" w:eastAsia="Times New Roman" w:hAnsi="Times New Roman"/>
                  <w:sz w:val="18"/>
                  <w:szCs w:val="18"/>
                  <w:color w:val="0000EE"/>
                  <w:w w:val="98"/>
                </w:rPr>
                <w:t>Certification of Principal</w:t>
              </w:r>
            </w:hyperlink>
          </w:p>
        </w:tc>
        <w:tc>
          <w:tcPr>
            <w:tcW w:w="980" w:type="dxa"/>
            <w:vAlign w:val="bottom"/>
            <w:gridSpan w:val="19"/>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238">
              <w:r>
                <w:rPr>
                  <w:rFonts w:ascii="Times New Roman" w:cs="Times New Roman" w:eastAsia="Times New Roman" w:hAnsi="Times New Roman"/>
                  <w:sz w:val="18"/>
                  <w:szCs w:val="18"/>
                  <w:color w:val="0000EE"/>
                  <w:w w:val="98"/>
                </w:rPr>
                <w:t>Executive Officer Pursuant to</w:t>
              </w:r>
            </w:hyperlink>
          </w:p>
        </w:tc>
        <w:tc>
          <w:tcPr>
            <w:tcW w:w="64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2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38">
              <w:r>
                <w:rPr>
                  <w:rFonts w:ascii="Times New Roman" w:cs="Times New Roman" w:eastAsia="Times New Roman" w:hAnsi="Times New Roman"/>
                  <w:sz w:val="18"/>
                  <w:szCs w:val="18"/>
                  <w:color w:val="0000EE"/>
                  <w:w w:val="99"/>
                </w:rPr>
                <w:t>Rules 13a-14(a) and 15d-14(a)</w:t>
              </w:r>
            </w:hyperlink>
          </w:p>
        </w:tc>
        <w:tc>
          <w:tcPr>
            <w:tcW w:w="56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780" w:type="dxa"/>
            <w:vAlign w:val="bottom"/>
            <w:gridSpan w:val="24"/>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under the Securities Exchange Act</w:t>
              </w:r>
            </w:hyperlink>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238">
              <w:r>
                <w:rPr>
                  <w:rFonts w:ascii="Times New Roman" w:cs="Times New Roman" w:eastAsia="Times New Roman" w:hAnsi="Times New Roman"/>
                  <w:sz w:val="18"/>
                  <w:szCs w:val="18"/>
                  <w:color w:val="0000EE"/>
                  <w:w w:val="99"/>
                </w:rPr>
                <w:t>of 1934, as Adopted Pursuant to</w:t>
              </w:r>
            </w:hyperlink>
          </w:p>
        </w:tc>
        <w:tc>
          <w:tcPr>
            <w:tcW w:w="160" w:type="dxa"/>
            <w:vAlign w:val="bottom"/>
            <w:tcBorders>
              <w:top w:val="single" w:sz="8" w:color="0000EE"/>
            </w:tcBorders>
            <w:gridSpan w:val="5"/>
          </w:tcPr>
          <w:p>
            <w:pPr>
              <w:spacing w:after="0"/>
              <w:rPr>
                <w:sz w:val="17"/>
                <w:szCs w:val="17"/>
                <w:color w:val="auto"/>
              </w:rPr>
            </w:pPr>
          </w:p>
        </w:tc>
        <w:tc>
          <w:tcPr>
            <w:tcW w:w="3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260" w:type="dxa"/>
            <w:vAlign w:val="bottom"/>
          </w:tcPr>
          <w:p>
            <w:pPr>
              <w:spacing w:after="0"/>
              <w:rPr>
                <w:sz w:val="18"/>
                <w:szCs w:val="18"/>
                <w:color w:val="auto"/>
              </w:rPr>
            </w:pPr>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Section 302 of the Sarbanes-Oxley</w:t>
              </w:r>
            </w:hyperlink>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31.1</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Act of 2002</w:t>
              </w:r>
            </w:hyperlink>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jc w:val="right"/>
              <w:spacing w:after="0"/>
              <w:rPr>
                <w:rFonts w:ascii="Times New Roman" w:cs="Times New Roman" w:eastAsia="Times New Roman" w:hAnsi="Times New Roman"/>
                <w:sz w:val="18"/>
                <w:szCs w:val="18"/>
                <w:u w:val="single" w:color="auto"/>
                <w:color w:val="0000EE"/>
              </w:rPr>
            </w:pPr>
            <w:hyperlink w:anchor="page238">
              <w:r>
                <w:rPr>
                  <w:rFonts w:ascii="Times New Roman" w:cs="Times New Roman" w:eastAsia="Times New Roman" w:hAnsi="Times New Roman"/>
                  <w:sz w:val="18"/>
                  <w:szCs w:val="18"/>
                  <w:u w:val="single" w:color="auto"/>
                  <w:color w:val="0000EE"/>
                </w:rPr>
                <w:t>X</w:t>
              </w:r>
            </w:hyperlink>
          </w:p>
        </w:tc>
      </w:tr>
      <w:tr>
        <w:trPr>
          <w:trHeight w:val="229"/>
        </w:trPr>
        <w:tc>
          <w:tcPr>
            <w:tcW w:w="1260" w:type="dxa"/>
            <w:vAlign w:val="bottom"/>
          </w:tcPr>
          <w:p>
            <w:pPr>
              <w:spacing w:after="0"/>
              <w:rPr>
                <w:sz w:val="19"/>
                <w:szCs w:val="19"/>
                <w:color w:val="auto"/>
              </w:rPr>
            </w:pPr>
          </w:p>
        </w:tc>
        <w:tc>
          <w:tcPr>
            <w:tcW w:w="2780" w:type="dxa"/>
            <w:vAlign w:val="bottom"/>
            <w:gridSpan w:val="24"/>
          </w:tcPr>
          <w:p>
            <w:pPr>
              <w:spacing w:after="0"/>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Certification of Principal Financial</w:t>
              </w:r>
            </w:hyperlink>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39">
              <w:r>
                <w:rPr>
                  <w:rFonts w:ascii="Times New Roman" w:cs="Times New Roman" w:eastAsia="Times New Roman" w:hAnsi="Times New Roman"/>
                  <w:sz w:val="18"/>
                  <w:szCs w:val="18"/>
                  <w:color w:val="0000EE"/>
                  <w:w w:val="99"/>
                </w:rPr>
                <w:t>Officer Pursuant to Rules 13a-</w:t>
              </w:r>
            </w:hyperlink>
          </w:p>
        </w:tc>
        <w:tc>
          <w:tcPr>
            <w:tcW w:w="300" w:type="dxa"/>
            <w:vAlign w:val="bottom"/>
            <w:tcBorders>
              <w:top w:val="single" w:sz="8" w:color="0000EE"/>
            </w:tcBorders>
            <w:gridSpan w:val="10"/>
          </w:tcPr>
          <w:p>
            <w:pPr>
              <w:spacing w:after="0"/>
              <w:rPr>
                <w:sz w:val="17"/>
                <w:szCs w:val="17"/>
                <w:color w:val="auto"/>
              </w:rPr>
            </w:pPr>
          </w:p>
        </w:tc>
        <w:tc>
          <w:tcPr>
            <w:tcW w:w="2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39">
              <w:r>
                <w:rPr>
                  <w:rFonts w:ascii="Times New Roman" w:cs="Times New Roman" w:eastAsia="Times New Roman" w:hAnsi="Times New Roman"/>
                  <w:sz w:val="18"/>
                  <w:szCs w:val="18"/>
                  <w:color w:val="0000EE"/>
                  <w:w w:val="99"/>
                </w:rPr>
                <w:t>14(a) and 15d-14(a) under the</w:t>
              </w:r>
            </w:hyperlink>
          </w:p>
        </w:tc>
        <w:tc>
          <w:tcPr>
            <w:tcW w:w="620" w:type="dxa"/>
            <w:vAlign w:val="bottom"/>
            <w:gridSpan w:val="1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780" w:type="dxa"/>
            <w:vAlign w:val="bottom"/>
            <w:gridSpan w:val="24"/>
          </w:tcPr>
          <w:p>
            <w:pPr>
              <w:spacing w:after="0" w:line="19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Securities Exchange Act of 1934,</w:t>
              </w:r>
            </w:hyperlink>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239">
              <w:r>
                <w:rPr>
                  <w:rFonts w:ascii="Times New Roman" w:cs="Times New Roman" w:eastAsia="Times New Roman" w:hAnsi="Times New Roman"/>
                  <w:sz w:val="18"/>
                  <w:szCs w:val="18"/>
                  <w:color w:val="0000EE"/>
                  <w:w w:val="99"/>
                </w:rPr>
                <w:t>as Adopted Pursuant to Section</w:t>
              </w:r>
            </w:hyperlink>
          </w:p>
        </w:tc>
        <w:tc>
          <w:tcPr>
            <w:tcW w:w="140" w:type="dxa"/>
            <w:vAlign w:val="bottom"/>
            <w:tcBorders>
              <w:top w:val="single" w:sz="8" w:color="0000EE"/>
            </w:tcBorders>
            <w:gridSpan w:val="6"/>
          </w:tcPr>
          <w:p>
            <w:pPr>
              <w:spacing w:after="0"/>
              <w:rPr>
                <w:sz w:val="17"/>
                <w:szCs w:val="17"/>
                <w:color w:val="auto"/>
              </w:rPr>
            </w:pPr>
          </w:p>
        </w:tc>
        <w:tc>
          <w:tcPr>
            <w:tcW w:w="38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260" w:type="dxa"/>
            <w:vAlign w:val="bottom"/>
          </w:tcPr>
          <w:p>
            <w:pPr>
              <w:spacing w:after="0"/>
              <w:rPr>
                <w:sz w:val="18"/>
                <w:szCs w:val="18"/>
                <w:color w:val="auto"/>
              </w:rPr>
            </w:pPr>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302 of the Sarbanes-Oxley Act of</w:t>
              </w:r>
            </w:hyperlink>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31.2</w:t>
              </w:r>
            </w:hyperlink>
          </w:p>
        </w:tc>
        <w:tc>
          <w:tcPr>
            <w:tcW w:w="460" w:type="dxa"/>
            <w:vAlign w:val="bottom"/>
          </w:tcPr>
          <w:p>
            <w:pPr>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2002</w:t>
              </w:r>
            </w:hyperlink>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jc w:val="right"/>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X</w:t>
              </w:r>
            </w:hyperlink>
          </w:p>
        </w:tc>
      </w:tr>
      <w:tr>
        <w:trPr>
          <w:trHeight w:val="229"/>
        </w:trPr>
        <w:tc>
          <w:tcPr>
            <w:tcW w:w="1260" w:type="dxa"/>
            <w:vAlign w:val="bottom"/>
          </w:tcPr>
          <w:p>
            <w:pPr>
              <w:spacing w:after="0"/>
              <w:rPr>
                <w:sz w:val="19"/>
                <w:szCs w:val="19"/>
                <w:color w:val="auto"/>
              </w:rPr>
            </w:pPr>
          </w:p>
        </w:tc>
        <w:tc>
          <w:tcPr>
            <w:tcW w:w="1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40">
              <w:r>
                <w:rPr>
                  <w:rFonts w:ascii="Times New Roman" w:cs="Times New Roman" w:eastAsia="Times New Roman" w:hAnsi="Times New Roman"/>
                  <w:sz w:val="18"/>
                  <w:szCs w:val="18"/>
                  <w:color w:val="0000EE"/>
                  <w:w w:val="98"/>
                </w:rPr>
                <w:t>Certification of Principal</w:t>
              </w:r>
            </w:hyperlink>
          </w:p>
        </w:tc>
        <w:tc>
          <w:tcPr>
            <w:tcW w:w="980" w:type="dxa"/>
            <w:vAlign w:val="bottom"/>
            <w:gridSpan w:val="19"/>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2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w:anchor="page240">
              <w:r>
                <w:rPr>
                  <w:rFonts w:ascii="Times New Roman" w:cs="Times New Roman" w:eastAsia="Times New Roman" w:hAnsi="Times New Roman"/>
                  <w:sz w:val="18"/>
                  <w:szCs w:val="18"/>
                  <w:color w:val="0000EE"/>
                  <w:w w:val="98"/>
                </w:rPr>
                <w:t>Executive Officer Pursuant to 18</w:t>
              </w:r>
            </w:hyperlink>
          </w:p>
        </w:tc>
        <w:tc>
          <w:tcPr>
            <w:tcW w:w="42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240">
              <w:r>
                <w:rPr>
                  <w:rFonts w:ascii="Times New Roman" w:cs="Times New Roman" w:eastAsia="Times New Roman" w:hAnsi="Times New Roman"/>
                  <w:sz w:val="18"/>
                  <w:szCs w:val="18"/>
                  <w:color w:val="0000EE"/>
                  <w:w w:val="99"/>
                </w:rPr>
                <w:t>U.S.C. Section 1350, as Adopted</w:t>
              </w:r>
            </w:hyperlink>
          </w:p>
        </w:tc>
        <w:tc>
          <w:tcPr>
            <w:tcW w:w="40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260" w:type="dxa"/>
            <w:vAlign w:val="bottom"/>
          </w:tcPr>
          <w:p>
            <w:pPr>
              <w:spacing w:after="0"/>
              <w:rPr>
                <w:sz w:val="18"/>
                <w:szCs w:val="18"/>
                <w:color w:val="auto"/>
              </w:rPr>
            </w:pPr>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Pursuant to Section 906 of the</w:t>
              </w:r>
            </w:hyperlink>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32.1</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Sarbanes-Oxley Act of 2002</w:t>
              </w:r>
            </w:hyperlink>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9"/>
        </w:trPr>
        <w:tc>
          <w:tcPr>
            <w:tcW w:w="1260" w:type="dxa"/>
            <w:vAlign w:val="bottom"/>
          </w:tcPr>
          <w:p>
            <w:pPr>
              <w:spacing w:after="0"/>
              <w:rPr>
                <w:sz w:val="19"/>
                <w:szCs w:val="19"/>
                <w:color w:val="auto"/>
              </w:rPr>
            </w:pPr>
          </w:p>
        </w:tc>
        <w:tc>
          <w:tcPr>
            <w:tcW w:w="2780" w:type="dxa"/>
            <w:vAlign w:val="bottom"/>
            <w:gridSpan w:val="24"/>
          </w:tcPr>
          <w:p>
            <w:pPr>
              <w:spacing w:after="0"/>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Certification of Principal Financial</w:t>
              </w:r>
            </w:hyperlink>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25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241">
              <w:r>
                <w:rPr>
                  <w:rFonts w:ascii="Times New Roman" w:cs="Times New Roman" w:eastAsia="Times New Roman" w:hAnsi="Times New Roman"/>
                  <w:sz w:val="18"/>
                  <w:szCs w:val="18"/>
                  <w:color w:val="0000EE"/>
                </w:rPr>
                <w:t>Officer Pursuant to 18 U.S.C.</w:t>
              </w:r>
            </w:hyperlink>
          </w:p>
        </w:tc>
        <w:tc>
          <w:tcPr>
            <w:tcW w:w="2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8"/>
            <w:shd w:val="clear" w:color="auto" w:fill="0000EE"/>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25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w:anchor="page241">
              <w:r>
                <w:rPr>
                  <w:rFonts w:ascii="Times New Roman" w:cs="Times New Roman" w:eastAsia="Times New Roman" w:hAnsi="Times New Roman"/>
                  <w:sz w:val="18"/>
                  <w:szCs w:val="18"/>
                  <w:color w:val="0000EE"/>
                  <w:w w:val="98"/>
                </w:rPr>
                <w:t>Section 1350, as Adopted Pursuant</w:t>
              </w:r>
            </w:hyperlink>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18"/>
        </w:trPr>
        <w:tc>
          <w:tcPr>
            <w:tcW w:w="1260" w:type="dxa"/>
            <w:vAlign w:val="bottom"/>
          </w:tcPr>
          <w:p>
            <w:pPr>
              <w:spacing w:after="0"/>
              <w:rPr>
                <w:sz w:val="18"/>
                <w:szCs w:val="18"/>
                <w:color w:val="auto"/>
              </w:rPr>
            </w:pPr>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w:anchor="page241">
              <w:r>
                <w:rPr>
                  <w:rFonts w:ascii="Times New Roman" w:cs="Times New Roman" w:eastAsia="Times New Roman" w:hAnsi="Times New Roman"/>
                  <w:sz w:val="18"/>
                  <w:szCs w:val="18"/>
                  <w:u w:val="single" w:color="auto"/>
                  <w:color w:val="0000EE"/>
                </w:rPr>
                <w:t>to Section 906 of the Sarbanes-</w:t>
              </w:r>
            </w:hyperlink>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1260" w:type="dxa"/>
            <w:vAlign w:val="bottom"/>
          </w:tcPr>
          <w:p>
            <w:pPr>
              <w:spacing w:after="0"/>
              <w:rPr>
                <w:rFonts w:ascii="Times New Roman" w:cs="Times New Roman" w:eastAsia="Times New Roman" w:hAnsi="Times New Roman"/>
                <w:sz w:val="18"/>
                <w:szCs w:val="18"/>
                <w:u w:val="single" w:color="auto"/>
                <w:color w:val="0000EE"/>
              </w:rPr>
            </w:pPr>
            <w:hyperlink w:anchor="page241">
              <w:r>
                <w:rPr>
                  <w:rFonts w:ascii="Times New Roman" w:cs="Times New Roman" w:eastAsia="Times New Roman" w:hAnsi="Times New Roman"/>
                  <w:sz w:val="18"/>
                  <w:szCs w:val="18"/>
                  <w:u w:val="single" w:color="auto"/>
                  <w:color w:val="0000EE"/>
                </w:rPr>
                <w:t>32.2</w:t>
              </w:r>
            </w:hyperlink>
          </w:p>
        </w:tc>
        <w:tc>
          <w:tcPr>
            <w:tcW w:w="2780" w:type="dxa"/>
            <w:vAlign w:val="bottom"/>
            <w:gridSpan w:val="24"/>
          </w:tcPr>
          <w:p>
            <w:pPr>
              <w:spacing w:after="0"/>
              <w:rPr>
                <w:rFonts w:ascii="Times New Roman" w:cs="Times New Roman" w:eastAsia="Times New Roman" w:hAnsi="Times New Roman"/>
                <w:sz w:val="18"/>
                <w:szCs w:val="18"/>
                <w:u w:val="single" w:color="auto"/>
                <w:color w:val="0000EE"/>
              </w:rPr>
            </w:pPr>
            <w:hyperlink w:anchor="page241">
              <w:r>
                <w:rPr>
                  <w:rFonts w:ascii="Times New Roman" w:cs="Times New Roman" w:eastAsia="Times New Roman" w:hAnsi="Times New Roman"/>
                  <w:sz w:val="18"/>
                  <w:szCs w:val="18"/>
                  <w:u w:val="single" w:color="auto"/>
                  <w:color w:val="0000EE"/>
                </w:rPr>
                <w:t>Oxley Act of 2002</w:t>
              </w:r>
            </w:hyperlink>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52"/>
        </w:trPr>
        <w:tc>
          <w:tcPr>
            <w:tcW w:w="1260" w:type="dxa"/>
            <w:vAlign w:val="bottom"/>
          </w:tcPr>
          <w:p>
            <w:pPr>
              <w:spacing w:after="0"/>
              <w:rPr>
                <w:sz w:val="21"/>
                <w:szCs w:val="21"/>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2"/>
        </w:trPr>
        <w:tc>
          <w:tcPr>
            <w:tcW w:w="1260" w:type="dxa"/>
            <w:vAlign w:val="bottom"/>
          </w:tcPr>
          <w:p>
            <w:pPr>
              <w:spacing w:after="0"/>
              <w:rPr>
                <w:sz w:val="21"/>
                <w:szCs w:val="21"/>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7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41">
        <w:r>
          <w:rPr>
            <w:rFonts w:ascii="Times New Roman" w:cs="Times New Roman" w:eastAsia="Times New Roman" w:hAnsi="Times New Roman"/>
            <w:sz w:val="18"/>
            <w:szCs w:val="18"/>
            <w:u w:val="single" w:color="auto"/>
            <w:color w:val="0000EE"/>
          </w:rPr>
          <w:t>X</w:t>
        </w:r>
      </w:hyperlink>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9660" w:space="720"/>
            <w:col w:w="140"/>
          </w:cols>
          <w:pgMar w:left="360" w:top="918" w:right="1019" w:bottom="15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2020</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David DeStefano</w:t>
            </w:r>
          </w:p>
        </w:tc>
      </w:tr>
      <w:tr>
        <w:trPr>
          <w:trHeight w:val="189"/>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DeStefano</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Chairperson (principal executive</w:t>
            </w:r>
          </w:p>
        </w:tc>
      </w:tr>
      <w:tr>
        <w:trPr>
          <w:trHeight w:val="236"/>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2020</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89"/>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John Schwab</w:t>
            </w:r>
          </w:p>
        </w:tc>
      </w:tr>
      <w:tr>
        <w:trPr>
          <w:trHeight w:val="236"/>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tc>
      </w:tr>
      <w:tr>
        <w:trPr>
          <w:trHeight w:val="648"/>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Vertex,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w:t>
      </w:r>
    </w:p>
    <w:p>
      <w:pPr>
        <w:spacing w:after="0" w:line="225" w:lineRule="exact"/>
        <w:rPr>
          <w:sz w:val="20"/>
          <w:szCs w:val="20"/>
          <w:color w:val="auto"/>
        </w:rPr>
      </w:pPr>
    </w:p>
    <w:p>
      <w:pPr>
        <w:ind w:left="380" w:hanging="173"/>
        <w:spacing w:after="0"/>
        <w:tabs>
          <w:tab w:leader="none" w:pos="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Vertex, Inc. The date of the filing of its original certificate of incorporation with the Secretary of State of the State of</w:t>
      </w:r>
    </w:p>
    <w:p>
      <w:pPr>
        <w:spacing w:after="0" w:line="27" w:lineRule="exact"/>
        <w:rPr>
          <w:rFonts w:ascii="Times New Roman" w:cs="Times New Roman" w:eastAsia="Times New Roman" w:hAnsi="Times New Roman"/>
          <w:sz w:val="18"/>
          <w:szCs w:val="18"/>
          <w:color w:val="auto"/>
        </w:rPr>
      </w:pPr>
    </w:p>
    <w:p>
      <w:pPr>
        <w:ind w:left="4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was June 26, 2020.</w:t>
      </w:r>
    </w:p>
    <w:p>
      <w:pPr>
        <w:spacing w:after="0" w:line="206" w:lineRule="exact"/>
        <w:rPr>
          <w:rFonts w:ascii="Times New Roman" w:cs="Times New Roman" w:eastAsia="Times New Roman" w:hAnsi="Times New Roman"/>
          <w:sz w:val="18"/>
          <w:szCs w:val="18"/>
          <w:color w:val="auto"/>
        </w:rPr>
      </w:pPr>
    </w:p>
    <w:p>
      <w:pPr>
        <w:jc w:val="both"/>
        <w:ind w:left="40" w:right="20" w:hanging="21"/>
        <w:spacing w:after="0" w:line="272" w:lineRule="auto"/>
        <w:tabs>
          <w:tab w:leader="none" w:pos="20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(this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Section 228 of the DGCL.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“Vertex, Inc.” (hereinafter called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REGISTERED OFFICE AND AGENT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Wilmington, New Castle County, Delaware 19808.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PURPOSE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Authorized Shares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which the Corporation shall have authority to issue is 480,000,000 shares, consisting of 300,000,000 shares of Class A Common Stock, par value $0.001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150,000,000 shares of Class B Common Stock, par value $0.001 per share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30,000,000 shares of Preferred Stock, par value $0.001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Subject to the rights of the holders of any series of Preferred Stock, the number of authorized shares of Class A Common Stock, Class B Common Stock or Preferred Stock may be increased or decreased (but not below (i) the number of shares thereof then outstanding and (ii) with respect to the Class A Common Stock, the number of shares of Class A Common Stock reserved pursuant to Section 2(i)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9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Class A Common Stock and Class B 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preferences, privileges and rights, and the qualifications, limitations or restrictions thereof in respect of each class of Common Stock of the Corporation.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to “Sections” or “Subsections” in this Section 2 of this Article IV refer to sections and subsections of Section 2 of this Article IV.</w:t>
      </w:r>
    </w:p>
    <w:p>
      <w:pPr>
        <w:spacing w:after="0" w:line="162" w:lineRule="exact"/>
        <w:rPr>
          <w:sz w:val="20"/>
          <w:szCs w:val="20"/>
          <w:color w:val="auto"/>
        </w:rPr>
      </w:pPr>
    </w:p>
    <w:p>
      <w:pPr>
        <w:jc w:val="both"/>
        <w:ind w:firstLine="1304"/>
        <w:spacing w:after="0" w:line="256" w:lineRule="auto"/>
        <w:tabs>
          <w:tab w:leader="none" w:pos="20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Status; General</w:t>
      </w:r>
      <w:r>
        <w:rPr>
          <w:rFonts w:ascii="Times New Roman" w:cs="Times New Roman" w:eastAsia="Times New Roman" w:hAnsi="Times New Roman"/>
          <w:sz w:val="18"/>
          <w:szCs w:val="18"/>
          <w:color w:val="auto"/>
        </w:rPr>
        <w:t>. Except as otherwise provided in this Certificate of Incorporation or required by applicable law, shares of Class A Common Stock and Class B Common Stock shall have the same rights, privileges and powers, rank equally (including as to dividends and distributions, and upon any liquidation, dissolution, distribution of assets or winding up of the Corporation), share ratably and be identical in all respects and as to all matters. The voting, dividend, liquidation and other rights, powers and preferences of the holders of Class A Common Stock and Class B Common Stock are subject to, and qualified by, the rights, powers and preferences of the holders of the Preferred Stock of any series as may be designated by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upon any issuance of the Preferred Stock of any series.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and each holder of Class B Common Stock, as such, shall have the right to ten (10) votes per share of Class B Common Stock held of record by such holder. Except as otherwise required by applicable law or provided in this Certificate of Incorporation, the holders of shares of Class A Common Stock and Class B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entitled to vote upon such matters and in such manner as may be provided by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applicable law, holders of Class A Common Stock and Class B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9" w:name="page80"/>
    <w:bookmarkEnd w:id="79"/>
    <w:p>
      <w:pPr>
        <w:jc w:val="both"/>
        <w:ind w:firstLine="1304"/>
        <w:spacing w:after="0" w:line="253" w:lineRule="auto"/>
        <w:tabs>
          <w:tab w:leader="none" w:pos="22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dividends as may be declared and paid from time to time by the Board out of any assets of the Corporation legally available therefor;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dividend is paid in the form of shares of Class A Common Stock or Class B Common Stock (or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and holders of Class B Common Stock shall be entitled to receive shares of Class B Common Stock (or rights to acquire, or securities convertible into or exchangeable for, such shares, as the case may be), with holders of shares of Class A Common Stock and Class B Common Stock receiving, on a per share basis, an identical number of shares of Class A Common Stock or Class B Common Stock (or rights to acquire, or securities convertible into or exchangeable for, such shares, as the case may be), as applicable. Notwithstanding the foregoing, the Board may pay or make a disparate dividend per share of Class A Common Stock or Class B Common Stock (whether in the amount of such dividend payable per share, the form in which such dividend is payable, the timing of the payment, or otherwise) if such disparate dividend is approved by the affirmative vote of the holders of a majority of the outstanding shares of Class A Common Stock and Class B Common Stock, each voting separately as a class.</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Subdivisions, Combinations or Reclassifications</w:t>
      </w:r>
      <w:r>
        <w:rPr>
          <w:rFonts w:ascii="Times New Roman" w:cs="Times New Roman" w:eastAsia="Times New Roman" w:hAnsi="Times New Roman"/>
          <w:sz w:val="18"/>
          <w:szCs w:val="18"/>
          <w:color w:val="auto"/>
        </w:rPr>
        <w:t xml:space="preserve">. Shares of Class A Common Stock or Class B Common Stock may not be subdivided, combined or reclassified unless the shares of the other class is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and Class B Common Stock, each voting separately as a class.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2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Subject to the preferential or other rights of any holders of Preferred Stock then outstanding, upon the dissolution, distribution of assets, liquidation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and Class B Common Stock, each voting separately as a class.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0" w:name="page81"/>
    <w:bookmarkEnd w:id="80"/>
    <w:p>
      <w:pPr>
        <w:ind w:left="2020" w:hanging="716"/>
        <w:spacing w:after="0"/>
        <w:tabs>
          <w:tab w:leader="none" w:pos="2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9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Consolidation</w:t>
      </w:r>
      <w:r>
        <w:rPr>
          <w:rFonts w:ascii="Times New Roman" w:cs="Times New Roman" w:eastAsia="Times New Roman" w:hAnsi="Times New Roman"/>
          <w:sz w:val="18"/>
          <w:szCs w:val="18"/>
          <w:color w:val="auto"/>
        </w:rPr>
        <w:t xml:space="preserve">. In the case of any distribution or payment in respect of the shares of Class A Common Stock or Class B Common Stock, or any consideration into which such shares are converted, upon the consolidation or merger of the Corporation with or into any other entity, such distribution, payment or consideration that the holders of shares of Class A Common Stock or Class B Common Stock have the right to receive, or the right to elect to receive, shall be made ratably on a per share basis among the holders of the Class A Common Stock and Class B Common Stock as a single class;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such classes may receive, or have the right to elect to receive, different or disproportionate consideration in connection with such consolidation, merger or other transaction if (a) the only difference in the per share consideration to the holders of the Class A Common Stock and Class B Common Stock is that any securities distributed to the holder of, or issuable upon the conversion of, a share of Class B Common Stock have ten (10) times the voting power of any securities distributed to the holder of, or issuable upon the conversion of, a share of Class A Common Stock or (b) such different or disproportionate consideration is approved by the affirmative vote of the holders of a majority of the outstanding shares of Class A Common Stock and Class B Common Stock, each voting separately as a class.</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Tender or Exchange Offers</w:t>
      </w:r>
      <w:r>
        <w:rPr>
          <w:rFonts w:ascii="Times New Roman" w:cs="Times New Roman" w:eastAsia="Times New Roman" w:hAnsi="Times New Roman"/>
          <w:sz w:val="18"/>
          <w:szCs w:val="18"/>
          <w:color w:val="auto"/>
        </w:rPr>
        <w:t xml:space="preserve">. The Corporation may not enter into any agreement pursuant to which a third party may by tender or exchange offer acquire any shares of Class A Common Stock or Class B Common Stock unless the holders of (a) the Class A Common Stock shall have the right to receive, or the right to elect to receive, the same form of consideration and the same amount of consideration on a per share basis as the holders of the Class B Common Stock would receive, or have the right to elect to receive, and (b) the Class B Common Stock shall have the right to receive, or the right to elect to receive, the same form of consideration and the same amount of consideration on a per share basis as the holders of the Class A Common Stock would receive, or have the right to elect to receive;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shares of such classes may receive, or have the right to elect to receive, different or disproportionate consideration in connection with such tender or exchange offer if (a) the only difference in the per share consideration to the holders of the Class A Common Stock and Class B Common Stock is that any securities exchanged for a share of Class B Common Stock have ten (10) times the voting power of any securities exchanged for a share of Class A Common Stock or (b) such different or disproportionate consideration is approved by the affirmative vote of the holders of a majority of the outstanding shares of Class A Common Stock and Class B Common Stock, each voting separately as a class.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Approval Rights</w:t>
      </w:r>
      <w:r>
        <w:rPr>
          <w:rFonts w:ascii="Times New Roman" w:cs="Times New Roman" w:eastAsia="Times New Roman" w:hAnsi="Times New Roman"/>
          <w:sz w:val="18"/>
          <w:szCs w:val="18"/>
          <w:color w:val="auto"/>
        </w:rPr>
        <w:t>. Notwithstanding any other provision of this Certificate of Incorporation, so long as any shares of Class B Common Stock remain outstanding, the Corporation shall not, and shall cause all direct or indirect subsidiaries of the Corporation to not, take any of the following actions (whether by merger, consolidation or otherwise) without the prior affirmative vote of the holders of a majority of the outstanding shares of Class B Common Stock, voting as a separate class: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ind w:right="20" w:firstLine="1952"/>
        <w:spacing w:after="0" w:line="282" w:lineRule="auto"/>
        <w:tabs>
          <w:tab w:leader="none" w:pos="2963"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this Certificate of Incorporation, the Bylaws, or any other Organizational Documents of the Corporation in a manner adverse to the holders of Class B Common Stock; or</w:t>
      </w:r>
    </w:p>
    <w:p>
      <w:pPr>
        <w:spacing w:after="0" w:line="161"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Transaction.</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 of Class B Common Stock</w:t>
      </w:r>
      <w:r>
        <w:rPr>
          <w:rFonts w:ascii="Times New Roman" w:cs="Times New Roman" w:eastAsia="Times New Roman" w:hAnsi="Times New Roman"/>
          <w:sz w:val="18"/>
          <w:szCs w:val="18"/>
          <w:color w:val="auto"/>
        </w:rPr>
        <w:t>. Each share of Class B Common Stock shall be convertible into one</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nonassessable share of Class A Common Stock at the option of the holder thereof at any time upon written notice to the Corporation (an “</w:t>
      </w:r>
      <w:r>
        <w:rPr>
          <w:rFonts w:ascii="Times New Roman" w:cs="Times New Roman" w:eastAsia="Times New Roman" w:hAnsi="Times New Roman"/>
          <w:sz w:val="18"/>
          <w:szCs w:val="18"/>
          <w:u w:val="single" w:color="auto"/>
          <w:color w:val="auto"/>
        </w:rPr>
        <w:t>Optional Class B Conversion Event</w:t>
      </w:r>
      <w:r>
        <w:rPr>
          <w:rFonts w:ascii="Times New Roman" w:cs="Times New Roman" w:eastAsia="Times New Roman" w:hAnsi="Times New Roman"/>
          <w:sz w:val="18"/>
          <w:szCs w:val="18"/>
          <w:color w:val="auto"/>
        </w:rPr>
        <w:t>”). Before any holder of Class B Common Stock shall be entitled to convert any shares of Class B Common Stock into shares of Class A Common Stock pursuant to this Section 2(h)(1),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Any conversion made pursuant to this Section 2(h)(1) shall be deemed to be effective immediately prior to the close of business on the date of such surrender of the shares of Class B Common Stock to be converted following or contemporaneously with the provision of written notice of such conversion election as required by this Section 2(h)(1) (the “</w:t>
      </w:r>
      <w:r>
        <w:rPr>
          <w:rFonts w:ascii="Times New Roman" w:cs="Times New Roman" w:eastAsia="Times New Roman" w:hAnsi="Times New Roman"/>
          <w:sz w:val="18"/>
          <w:szCs w:val="18"/>
          <w:u w:val="single" w:color="auto"/>
          <w:color w:val="auto"/>
        </w:rPr>
        <w:t>Optional Conversion Effective Time</w:t>
      </w:r>
      <w:r>
        <w:rPr>
          <w:rFonts w:ascii="Times New Roman" w:cs="Times New Roman" w:eastAsia="Times New Roman" w:hAnsi="Times New Roman"/>
          <w:sz w:val="18"/>
          <w:szCs w:val="18"/>
          <w:color w:val="auto"/>
        </w:rPr>
        <w:t>”), the shares of Class A Common Stock issuable upon such conversion shall be deemed to be outstanding as of the Optional Conversion Effective Time, and the Person or Persons entitled to receive the shares of Class A Common Stock issuable upon such conversion shall be deemed to be the record holder or holders of such shares of Class A Common Stock as of the Optional Conversion Effective Time. Notwithstanding anything herein to the contrary, shares of Class B Common Stock represented by a lost, stolen or destroyed stock certificate may be converted pursuant to an Optional Class B Conversion Event if the holder thereof notifies the Corporation or its transfer agent that such certificate has been lost, stolen or destroyed and makes an affidavit of that fact acceptable to the Corporation and executes an agreement acceptable to the Corporation to indemnify the Corporation from any loss incurred by it in connection with such certificate. Each share of Class B Common Stock that is converted pursuant to this Section 2(h)(1) shall thereupon automatically be retired and shall not be available for reissuance.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jc w:val="both"/>
        <w:ind w:firstLine="1952"/>
        <w:spacing w:after="0" w:line="266" w:lineRule="auto"/>
        <w:tabs>
          <w:tab w:leader="none" w:pos="27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Conversion of Class B Common Stock</w:t>
      </w:r>
      <w:r>
        <w:rPr>
          <w:rFonts w:ascii="Times New Roman" w:cs="Times New Roman" w:eastAsia="Times New Roman" w:hAnsi="Times New Roman"/>
          <w:sz w:val="18"/>
          <w:szCs w:val="18"/>
          <w:color w:val="auto"/>
        </w:rPr>
        <w:t>. Each share of Class B Common Stock shall automatically convert into one (1) fully paid and nonassessable share of Class A Common Stock upon the occurrence of an event described below (a “</w:t>
      </w:r>
      <w:r>
        <w:rPr>
          <w:rFonts w:ascii="Times New Roman" w:cs="Times New Roman" w:eastAsia="Times New Roman" w:hAnsi="Times New Roman"/>
          <w:sz w:val="18"/>
          <w:szCs w:val="18"/>
          <w:u w:val="single" w:color="auto"/>
          <w:color w:val="auto"/>
        </w:rPr>
        <w:t>Mandatory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5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Grants of Voting Control</w:t>
      </w:r>
      <w:r>
        <w:rPr>
          <w:rFonts w:ascii="Times New Roman" w:cs="Times New Roman" w:eastAsia="Times New Roman" w:hAnsi="Times New Roman"/>
          <w:sz w:val="18"/>
          <w:szCs w:val="18"/>
          <w:color w:val="auto"/>
        </w:rPr>
        <w:t>. Each share of Class B Common Stock shall automatically, without further action by the Corporation or the holder thereof, convert into one (1) fully paid and nonassessable share of Class A Common Stock upon (i) the occurrence of a Transfer, other than a Permitted Transfer, of such share of Class B Common Stock; or (ii) the grant by a Qualified Stockholder of Voting Control to any Person other than a Qualified Person, a trustee of a Qualified Trust, or an Applicable Proxy.</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3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in Voting Power</w:t>
      </w:r>
      <w:r>
        <w:rPr>
          <w:rFonts w:ascii="Times New Roman" w:cs="Times New Roman" w:eastAsia="Times New Roman" w:hAnsi="Times New Roman"/>
          <w:sz w:val="18"/>
          <w:szCs w:val="18"/>
          <w:color w:val="auto"/>
        </w:rPr>
        <w:t>. Each outstanding share of Class B Common Stock shall automatically, without further action by the Corporation or the holder thereof, convert into one (1) fully paid and nonassessable share of Class A Common Stock upon the first date on which the voting power of all then-outstanding shares of Class B Common Stock represents less than ten percent (10%) of the combined voting power of all then-outstanding shares of Common Stock.</w:t>
      </w:r>
    </w:p>
    <w:p>
      <w:pPr>
        <w:spacing w:after="0" w:line="179" w:lineRule="exact"/>
        <w:rPr>
          <w:rFonts w:ascii="Times New Roman" w:cs="Times New Roman" w:eastAsia="Times New Roman" w:hAnsi="Times New Roman"/>
          <w:sz w:val="18"/>
          <w:szCs w:val="18"/>
          <w:color w:val="auto"/>
        </w:rPr>
      </w:pPr>
    </w:p>
    <w:p>
      <w:pPr>
        <w:jc w:val="both"/>
        <w:ind w:firstLine="2600"/>
        <w:spacing w:after="0" w:line="266" w:lineRule="auto"/>
        <w:tabs>
          <w:tab w:leader="none" w:pos="35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Affirmative Vote</w:t>
      </w:r>
      <w:r>
        <w:rPr>
          <w:rFonts w:ascii="Times New Roman" w:cs="Times New Roman" w:eastAsia="Times New Roman" w:hAnsi="Times New Roman"/>
          <w:sz w:val="18"/>
          <w:szCs w:val="18"/>
          <w:color w:val="auto"/>
        </w:rPr>
        <w:t>. Each outstanding share of Class B Common Stock shall automatically, without further action by the Corporation or the holder thereof, convert into one (1) fully paid and nonassessable share of Class A Common Stock upon the date specified by the holders of at least seventy-five percent (75%) of the then outstanding shares of Class B Common Stock, voting as a separate class.</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9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Each outstanding stock certificate (if shares are in certificated form) that, immediately prior to the occurrence of a Mandatory Class B Conversion Event, represented one or more shares of Class B Common Stock subject to such Mandatory Class B Conversion Event shall, upon such Mandatory Class B Conversion Event, be deemed to represent an equal number of shares of Class A Common Stock, without the need for surrender or exchange thereof. The Corporation shall, upon the request of any holder whose shares of Class B Common Stock have been converted into shares of Class A Common Stock as a result of a Mandatory Class B Conversion Event and upon surrender by such holder to the Corporation of the outstanding certificate(s) formerly representing such holder’s shares of Class B Common Stock, if any (or, in the case of any lost, stolen or destroyed certificate, upon such holder providing an affidavit of that fact acceptable to the Corporation and executing an agreement acceptable to the Corporation to indemnify the Corporation from any loss incurred by it in connection with such certificate), issue and deliver to such holder certificate(s) representing the shares of Class A Common Stock into which such holder’s shares of Class B Common Stock were converted as a result of such Mandatory Class B Conversion Event (if such shares are certificated) or, if such shares are uncertificated, register such shares in book-entry form. Each share of Class B Common Stock that is converted pursuant to this Section 2(h)(3) shall thereupon automatically be retired and shall not be available for reissuance.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3" w:name="page84"/>
    <w:bookmarkEnd w:id="83"/>
    <w:p>
      <w:pPr>
        <w:jc w:val="both"/>
        <w:ind w:firstLine="1952"/>
        <w:spacing w:after="0" w:line="252" w:lineRule="auto"/>
        <w:tabs>
          <w:tab w:leader="none" w:pos="289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Policies and Procedures</w:t>
      </w:r>
      <w:r>
        <w:rPr>
          <w:rFonts w:ascii="Times New Roman" w:cs="Times New Roman" w:eastAsia="Times New Roman" w:hAnsi="Times New Roman"/>
          <w:sz w:val="18"/>
          <w:szCs w:val="18"/>
          <w:color w:val="auto"/>
        </w:rPr>
        <w:t>. The Corporation may, from time to time, establish such policies and procedures, not in violation of applicable law or the other provisions of this Certificate of Incorporation or the Bylaws, relating to the conversion of the Class B Common Stock into Class A Common Stock, as it may deem necessary or advisable in connection therewith. If the Corporation has reason to believe that a Transfer, an Optional Class B Conversion Event or Mandatory Class B Conversion Event giving rise to a conversion of shares of Class B Common Stock into Class A Common Stock has occurred but has not theretofore been reflected on the books of the Corporation (or in book-entry as maintained by the transfer agent of the Corporation), the Corporation may request that the holder of such shares furnish affidavits or other evidence to the Corporation as the Corporation deems necessary to determine whether a conversion of shares of Class B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 (or in book-entry as maintained by the transfer agent of the Corporation). In connection with any action of stockholders taken at a meeting, the stock ledger of the Corporation (or in book-entry as maintained by the transfer agent of the Corporation) shall be presumptive evidence as to who are the stockholders entitled to vote in person or by proxy at any meeting of stockholders and the class or classes or series of shares held by each such stockholder and the number of shares of each class or classes or series held by such stockholder.</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Protective Provision</w:t>
      </w:r>
      <w:r>
        <w:rPr>
          <w:rFonts w:ascii="Times New Roman" w:cs="Times New Roman" w:eastAsia="Times New Roman" w:hAnsi="Times New Roman"/>
          <w:sz w:val="18"/>
          <w:szCs w:val="18"/>
          <w:color w:val="auto"/>
        </w:rPr>
        <w:t>. The Corporation shall not, whether by merger, consolidation or otherwise, amend, alter, repeal or waive any provision of Section 2 of this Article IV (or adopt any provision inconsistent therewith), unless such action is first approved by the affirmative vote (or written consent) of the holders of a majority of the then-outstanding shares of Class B Common Stock, voting as a separate class, in addition to any other vote required by applicable law, this Certificate of Incorporation or the Bylaws.</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IV:</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761"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2001 Trust</w:t>
      </w:r>
      <w:r>
        <w:rPr>
          <w:rFonts w:ascii="Times New Roman" w:cs="Times New Roman" w:eastAsia="Times New Roman" w:hAnsi="Times New Roman"/>
          <w:sz w:val="18"/>
          <w:szCs w:val="18"/>
          <w:color w:val="auto"/>
        </w:rPr>
        <w:t>” means each of (i) those two separate and distinct trusts for the respective primary benefit of Antoinette R. Radcliffe and Kailey A. Radcliffe under The Trust of Amanda W. Radcliffe dated October 5, 2001, and that certain trust known as the “Third Party Funded Special Needs Trust for Callum W. Radcliffe” dated May 15, 2015, (ii) those three separate and distinct trusts for the respective primary benefit of Anne Marie Westphal, Kyle R. Westphal and Jacob J. Westphal under The Trust of Jeffrey R. Westphal dated October 5, 2001, and (iii) those four separate and distinct trusts for the respective primary benefit of Andrea P. Schmerin (f/k/a Andrea P. Lucas), Melanie H. Lucas, Mackenzie S. Lucas and Samantha W. Lucas under The Trust of Stefanie W. Lucas dated October 5, 2001.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ind w:firstLine="1952"/>
        <w:spacing w:after="0" w:line="282" w:lineRule="auto"/>
        <w:tabs>
          <w:tab w:leader="none" w:pos="29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2009 Trust</w:t>
      </w:r>
      <w:r>
        <w:rPr>
          <w:rFonts w:ascii="Times New Roman" w:cs="Times New Roman" w:eastAsia="Times New Roman" w:hAnsi="Times New Roman"/>
          <w:sz w:val="18"/>
          <w:szCs w:val="18"/>
          <w:color w:val="auto"/>
        </w:rPr>
        <w:t>” means each of (i) The Amanda W. Radcliffe Generation-Skipping Trust, (ii) The 2009 Jeffrey R. Westphal Generation-Skipping Trust and (iii) The 2009 Stefanie W. Lucas Generation-Skipping Trust.</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Proxy</w:t>
      </w:r>
      <w:r>
        <w:rPr>
          <w:rFonts w:ascii="Times New Roman" w:cs="Times New Roman" w:eastAsia="Times New Roman" w:hAnsi="Times New Roman"/>
          <w:sz w:val="18"/>
          <w:szCs w:val="18"/>
          <w:color w:val="auto"/>
        </w:rPr>
        <w:t>” means the President of the Corporation and any other person designated by the Board, and each of them, whom a holder of Class B Common Stock (a “</w:t>
      </w:r>
      <w:r>
        <w:rPr>
          <w:rFonts w:ascii="Times New Roman" w:cs="Times New Roman" w:eastAsia="Times New Roman" w:hAnsi="Times New Roman"/>
          <w:sz w:val="18"/>
          <w:szCs w:val="18"/>
          <w:u w:val="single" w:color="auto"/>
          <w:color w:val="auto"/>
        </w:rPr>
        <w:t>Class B Stockholder</w:t>
      </w:r>
      <w:r>
        <w:rPr>
          <w:rFonts w:ascii="Times New Roman" w:cs="Times New Roman" w:eastAsia="Times New Roman" w:hAnsi="Times New Roman"/>
          <w:sz w:val="18"/>
          <w:szCs w:val="18"/>
          <w:color w:val="auto"/>
        </w:rPr>
        <w:t>”) has constituted and appointed as such Class B Stockholder’s true and lawful proxy and attorney-in-fact, with full power of substitution, to represent and vote all of such Class B Stockholder’s shares of Common Stock in accordance with the obligations of such Class B Stockholder to vote such Class B Stockholder’s shares of Common Stock pursuant to an agreement entered into with the Corporation and other Class B Stockholders (the “</w:t>
      </w:r>
      <w:r>
        <w:rPr>
          <w:rFonts w:ascii="Times New Roman" w:cs="Times New Roman" w:eastAsia="Times New Roman" w:hAnsi="Times New Roman"/>
          <w:sz w:val="18"/>
          <w:szCs w:val="18"/>
          <w:u w:val="single" w:color="auto"/>
          <w:color w:val="auto"/>
        </w:rPr>
        <w:t>Voting Obligations</w:t>
      </w:r>
      <w:r>
        <w:rPr>
          <w:rFonts w:ascii="Times New Roman" w:cs="Times New Roman" w:eastAsia="Times New Roman" w:hAnsi="Times New Roman"/>
          <w:sz w:val="18"/>
          <w:szCs w:val="18"/>
          <w:color w:val="auto"/>
        </w:rPr>
        <w:t>”), so long as:</w:t>
      </w:r>
    </w:p>
    <w:p>
      <w:pPr>
        <w:spacing w:after="0" w:line="183"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Proxy may exercise the irrevocable proxy granted to it at any time any Class B Stockholder fails to vote (including by failing to cause such Class B Stockholder’s shares to be present at the meeting) or attempts to vote (whether by proxy, in person or by written consent) in a manner that does not comply with the Voting Obligations;</w:t>
      </w:r>
    </w:p>
    <w:p>
      <w:pPr>
        <w:spacing w:after="0" w:line="17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9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proxies and powers granted by such Class B Stockholder to the Applicable Proxy shall be irrevocable until the termination of the agreement to which the Voting Obligations relate and shall, to the fullest extent permitted by law, survive the death, incompetency and disability of each such Class B Stockholder who is an individual and the existence of each such Class B Stockholder that is a trust or other entity; and</w:t>
      </w:r>
    </w:p>
    <w:p>
      <w:pPr>
        <w:spacing w:after="0" w:line="179" w:lineRule="exact"/>
        <w:rPr>
          <w:rFonts w:ascii="Times New Roman" w:cs="Times New Roman" w:eastAsia="Times New Roman" w:hAnsi="Times New Roman"/>
          <w:sz w:val="18"/>
          <w:szCs w:val="18"/>
          <w:color w:val="auto"/>
        </w:rPr>
      </w:pPr>
    </w:p>
    <w:p>
      <w:pPr>
        <w:jc w:val="both"/>
        <w:ind w:firstLine="2600"/>
        <w:spacing w:after="0" w:line="258" w:lineRule="auto"/>
        <w:tabs>
          <w:tab w:leader="none" w:pos="366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Proxy may not use such irrevocable proxy unless a Class B Stockholder fails to vote (including by failing to cause such Class B Stockholder’s shares to be present at the meeting) or attempts to vote (whether by proxy, in person or by written consent) in a manner that does not comply with the Voting Obligations and, to the extent the Applicable Proxy uses such irrevocable proxy, it will only vote such Class B Stockholder’s shares of Common Stock with respect to the matters specified in, and in accordance with the provisions of the Voting Obligations.</w:t>
      </w:r>
    </w:p>
    <w:p>
      <w:pPr>
        <w:spacing w:after="0" w:line="183" w:lineRule="exact"/>
        <w:rPr>
          <w:rFonts w:ascii="Times New Roman" w:cs="Times New Roman" w:eastAsia="Times New Roman" w:hAnsi="Times New Roman"/>
          <w:sz w:val="18"/>
          <w:szCs w:val="18"/>
          <w:color w:val="auto"/>
        </w:rPr>
      </w:pPr>
    </w:p>
    <w:p>
      <w:pPr>
        <w:ind w:right="60" w:firstLine="1952"/>
        <w:spacing w:after="0" w:line="282" w:lineRule="auto"/>
        <w:tabs>
          <w:tab w:leader="none" w:pos="26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in the City of New York on which banking institutions are authorized or required by applicable law or regulations to close.</w:t>
      </w:r>
    </w:p>
    <w:p>
      <w:pPr>
        <w:spacing w:after="0" w:line="161" w:lineRule="exact"/>
        <w:rPr>
          <w:rFonts w:ascii="Times New Roman" w:cs="Times New Roman" w:eastAsia="Times New Roman" w:hAnsi="Times New Roman"/>
          <w:sz w:val="18"/>
          <w:szCs w:val="18"/>
          <w:color w:val="auto"/>
        </w:rPr>
      </w:pPr>
    </w:p>
    <w:p>
      <w:pPr>
        <w:jc w:val="both"/>
        <w:ind w:firstLine="1952"/>
        <w:spacing w:after="0" w:line="267" w:lineRule="auto"/>
        <w:tabs>
          <w:tab w:leader="none" w:pos="295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 Transaction</w:t>
      </w:r>
      <w:r>
        <w:rPr>
          <w:rFonts w:ascii="Times New Roman" w:cs="Times New Roman" w:eastAsia="Times New Roman" w:hAnsi="Times New Roman"/>
          <w:sz w:val="17"/>
          <w:szCs w:val="17"/>
          <w:color w:val="auto"/>
        </w:rPr>
        <w:t xml:space="preserve">” means (i) the sale, lease,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sale, lease, exchange or other disposition of property or assets exclusively between or among the Corporation and any direct or indirect subsidiary or subsidiaries of the Corporation shall not be deemed a “</w:t>
      </w:r>
      <w:r>
        <w:rPr>
          <w:rFonts w:ascii="Times New Roman" w:cs="Times New Roman" w:eastAsia="Times New Roman" w:hAnsi="Times New Roman"/>
          <w:sz w:val="17"/>
          <w:szCs w:val="17"/>
          <w:u w:val="single" w:color="auto"/>
          <w:color w:val="auto"/>
        </w:rPr>
        <w:t>Change of Control Transaction</w:t>
      </w:r>
      <w:r>
        <w:rPr>
          <w:rFonts w:ascii="Times New Roman" w:cs="Times New Roman" w:eastAsia="Times New Roman" w:hAnsi="Times New Roman"/>
          <w:sz w:val="17"/>
          <w:szCs w:val="17"/>
          <w:color w:val="auto"/>
        </w:rPr>
        <w:t>”; (ii) the sale, lease,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assets of the Corporation (which shall for such purpose include the property and assets of any direct or indirect subsidiary of the Corporation) that generated at least fifty percent (50%) of the consolidated annual revenues of the Corporation and its direct and indirect subsidiaries, taken as a whole, as of the most recent audited annual income statement preceding the execution and delivery of an agreement to effect such sale, lease, exchange or other disposition; (iii)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(or of the surviving entity, or in the case that the Corporation or the surviving entity is a wholly owned subsidiary following the transaction, of its ultimate Parent) and more than fifty percent (50%) of the total number of outstanding shares of the Corporation’s (or the surviving entity’s, or in the case that the Corporation or the surviving entity is a wholly owned subsidiary following the transaction, of the ultimate Parent’s) capital stock, in each case as outstanding immediately after such merger, consolidation, business combination, or other similar transaction, and the stockholders of the Corporation immediately prior to the merger, consolidation, business combination, or other similar transaction continuing to own voting securities of the Corporation, the surviving entity or its Parent immediately following the merger, consolidation, business combination, or other similar transaction in substantially the same proportions (vis a vis each other) as such stockholders owned of the voting securities of the Corporation immediately prior to the transaction; and (iv) a recapitalization, liquidation, dissolution, or other similar transaction involving the Corporation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5" w:name="page86"/>
    <w:bookmarkEnd w:id="85"/>
    <w:p>
      <w:pPr>
        <w:jc w:val="both"/>
        <w:ind w:firstLine="1952"/>
        <w:spacing w:after="0" w:line="255" w:lineRule="auto"/>
        <w:tabs>
          <w:tab w:leader="none" w:pos="292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means, for any individual, (i) a lineal descendant of such individual by blood or adoption (a “</w:t>
      </w:r>
      <w:r>
        <w:rPr>
          <w:rFonts w:ascii="Times New Roman" w:cs="Times New Roman" w:eastAsia="Times New Roman" w:hAnsi="Times New Roman"/>
          <w:sz w:val="18"/>
          <w:szCs w:val="18"/>
          <w:u w:val="single" w:color="auto"/>
          <w:color w:val="auto"/>
        </w:rPr>
        <w:t>Descendant</w:t>
      </w:r>
      <w:r>
        <w:rPr>
          <w:rFonts w:ascii="Times New Roman" w:cs="Times New Roman" w:eastAsia="Times New Roman" w:hAnsi="Times New Roman"/>
          <w:sz w:val="18"/>
          <w:szCs w:val="18"/>
          <w:color w:val="auto"/>
        </w:rPr>
        <w:t>”), (ii) any spouse or widow or widower of such Descendant (but not a divorced former spouse or a spouse from whom such Descendant currently is, or at the time of his or her death was, legally separated) or (iii) any stepchild or lineal descendant by blood or adoption of a stepchild of such Descendant. Notwithstanding the foregoing, an adopted person whose adoption did not either occur during the adopted person’s minority or reflect an earlier parent-child relationship with the adopting parent that had existed during the adopted person’s minority, shall not be treated as the child of his or her adopted parent, and such adopted person and his or her lineal descendants shall not be treated as the lineal descendants of the adopted parent or of any ancestor of the adopted parent.</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9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Fiduciary</w:t>
      </w:r>
      <w:r>
        <w:rPr>
          <w:rFonts w:ascii="Times New Roman" w:cs="Times New Roman" w:eastAsia="Times New Roman" w:hAnsi="Times New Roman"/>
          <w:sz w:val="18"/>
          <w:szCs w:val="18"/>
          <w:color w:val="auto"/>
        </w:rPr>
        <w:t>” means a Person who (a) is an executor, personal representative, administrator, trustee, manager, managing member, general partner, director, officer or any other agent of a Person and (b) manages, controls or otherwise has decision-making authority with respect to such Person.</w:t>
      </w:r>
    </w:p>
    <w:p>
      <w:pPr>
        <w:spacing w:after="0" w:line="175" w:lineRule="exact"/>
        <w:rPr>
          <w:rFonts w:ascii="Times New Roman" w:cs="Times New Roman" w:eastAsia="Times New Roman" w:hAnsi="Times New Roman"/>
          <w:sz w:val="18"/>
          <w:szCs w:val="18"/>
          <w:color w:val="auto"/>
        </w:rPr>
      </w:pPr>
    </w:p>
    <w:p>
      <w:pPr>
        <w:ind w:left="2760" w:hanging="808"/>
        <w:spacing w:after="0"/>
        <w:tabs>
          <w:tab w:leader="none" w:pos="27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means Amanda W. Radcliffe, Jeffrey R. Westphal, or Stefanie W. Thompson (formerly known as Stefanie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Lucas).</w:t>
      </w:r>
    </w:p>
    <w:p>
      <w:pPr>
        <w:spacing w:after="0" w:line="206"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Qualified Stockholder</w:t>
      </w:r>
      <w:r>
        <w:rPr>
          <w:rFonts w:ascii="Times New Roman" w:cs="Times New Roman" w:eastAsia="Times New Roman" w:hAnsi="Times New Roman"/>
          <w:sz w:val="18"/>
          <w:szCs w:val="18"/>
          <w:color w:val="auto"/>
        </w:rPr>
        <w:t>” means a Qualified Stockholder who is also a Founder.</w:t>
      </w:r>
    </w:p>
    <w:p>
      <w:pPr>
        <w:spacing w:after="0" w:line="225"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Date</w:t>
      </w:r>
      <w:r>
        <w:rPr>
          <w:rFonts w:ascii="Times New Roman" w:cs="Times New Roman" w:eastAsia="Times New Roman" w:hAnsi="Times New Roman"/>
          <w:sz w:val="18"/>
          <w:szCs w:val="18"/>
          <w:color w:val="auto"/>
        </w:rPr>
        <w:t>” means the date of the consummation of the Corporation’s initial public offering of shares of its Class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9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 or any Change of Control Transaction.</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98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83" w:lineRule="exact"/>
        <w:rPr>
          <w:rFonts w:ascii="Times New Roman" w:cs="Times New Roman" w:eastAsia="Times New Roman" w:hAnsi="Times New Roman"/>
          <w:sz w:val="18"/>
          <w:szCs w:val="18"/>
          <w:color w:val="auto"/>
        </w:rPr>
      </w:pPr>
    </w:p>
    <w:p>
      <w:pPr>
        <w:ind w:left="2860" w:hanging="908"/>
        <w:spacing w:after="0"/>
        <w:tabs>
          <w:tab w:leader="none" w:pos="2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securities of such entity.</w:t>
      </w:r>
    </w:p>
    <w:p>
      <w:pPr>
        <w:spacing w:after="0" w:line="206"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Entity</w:t>
      </w:r>
      <w:r>
        <w:rPr>
          <w:rFonts w:ascii="Times New Roman" w:cs="Times New Roman" w:eastAsia="Times New Roman" w:hAnsi="Times New Roman"/>
          <w:sz w:val="18"/>
          <w:szCs w:val="18"/>
          <w:color w:val="auto"/>
        </w:rPr>
        <w:t>” means with respect to a Qualified Stockholder:</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Trust;</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Foundation;</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817"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partnership, limited partnership, limited liability company, corporation, public benefit corporation or other entity exclusively owned by (i) one or more Qualified Stockholders, (ii) one or more Family Members of such Qualified Stockholders and/or (iii) any other Permitted Entity of such Qualified Stockholders; or</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8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estate of a Qualified Stockholder upon the death of such Qualified Stockholder, including the executor or personal representative of such estate to the extent the executor or personal representative is acting in the capacity of executor or personal representative of such estate;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6" w:name="page87"/>
    <w:bookmarkEnd w:id="86"/>
    <w:p>
      <w:pPr>
        <w:ind w:right="20" w:firstLine="2592"/>
        <w:spacing w:after="0" w:line="282" w:lineRule="auto"/>
        <w:rPr>
          <w:sz w:val="20"/>
          <w:szCs w:val="20"/>
          <w:color w:val="auto"/>
        </w:rPr>
      </w:pPr>
      <w:r>
        <w:rPr>
          <w:rFonts w:ascii="Times New Roman" w:cs="Times New Roman" w:eastAsia="Times New Roman" w:hAnsi="Times New Roman"/>
          <w:sz w:val="18"/>
          <w:szCs w:val="18"/>
          <w:color w:val="auto"/>
        </w:rPr>
        <w:t>Except as explicitly provided for herein, a Permitted Entity of a Qualified Stockholder shall not cease to be a Permitted Entity of that Qualified Stockholder solely by reason of the death of that Qualified Stockholder.</w:t>
      </w:r>
    </w:p>
    <w:p>
      <w:pPr>
        <w:spacing w:after="0" w:line="162" w:lineRule="exact"/>
        <w:rPr>
          <w:sz w:val="20"/>
          <w:szCs w:val="20"/>
          <w:color w:val="auto"/>
        </w:rPr>
      </w:pPr>
    </w:p>
    <w:p>
      <w:pPr>
        <w:ind w:left="2800" w:hanging="848"/>
        <w:spacing w:after="0"/>
        <w:tabs>
          <w:tab w:leader="none" w:pos="28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53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Qualified Stockholder (or, in the case of a deceased Founder Qualified Stockholder, the executor or personal representative of the estate of such deceased Founder Qualified Stockholder) to (i) any other Qualified Stockholder or (ii) any Qualified Extended Family Member;</w:t>
      </w:r>
    </w:p>
    <w:p>
      <w:pPr>
        <w:spacing w:after="0" w:line="175" w:lineRule="exact"/>
        <w:rPr>
          <w:rFonts w:ascii="Times New Roman" w:cs="Times New Roman" w:eastAsia="Times New Roman" w:hAnsi="Times New Roman"/>
          <w:sz w:val="18"/>
          <w:szCs w:val="18"/>
          <w:color w:val="auto"/>
        </w:rPr>
      </w:pPr>
    </w:p>
    <w:p>
      <w:pPr>
        <w:jc w:val="both"/>
        <w:ind w:firstLine="2600"/>
        <w:spacing w:after="0" w:line="258" w:lineRule="auto"/>
        <w:tabs>
          <w:tab w:leader="none" w:pos="35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 Qualified Stockholder (or, in the case of a deceased Founder Qualified Stockholder, the executor or personal representative of the estate of such deceased Founder Qualified Stockholder) to any Permitted Entity of such Qualified Stockholder or of a Qualified Extended Family Member, </w:t>
      </w:r>
      <w:r>
        <w:rPr>
          <w:rFonts w:ascii="Times New Roman" w:cs="Times New Roman" w:eastAsia="Times New Roman" w:hAnsi="Times New Roman"/>
          <w:sz w:val="18"/>
          <w:szCs w:val="18"/>
          <w:i w:val="1"/>
          <w:iCs w:val="1"/>
          <w:color w:val="auto"/>
        </w:rPr>
        <w:t>so long as</w:t>
      </w:r>
      <w:r>
        <w:rPr>
          <w:rFonts w:ascii="Times New Roman" w:cs="Times New Roman" w:eastAsia="Times New Roman" w:hAnsi="Times New Roman"/>
          <w:sz w:val="18"/>
          <w:szCs w:val="18"/>
          <w:color w:val="auto"/>
        </w:rPr>
        <w:t xml:space="preserve"> Voting Control over such shares is exercised by (i) such Qualified Stockholder, (ii) a Founder or Qualified Extended Family Member, (iii) a trustee of a Qualified Trust, or (iv) a Fiduciary of such Permitted Entity who is selected by such Qualified Stockholder, and whom such Qualified Stockholder has the power to remove and replace with another Fiduciary selected by such Qualified Stockholder;</w:t>
      </w:r>
    </w:p>
    <w:p>
      <w:pPr>
        <w:spacing w:after="0" w:line="183" w:lineRule="exact"/>
        <w:rPr>
          <w:rFonts w:ascii="Times New Roman" w:cs="Times New Roman" w:eastAsia="Times New Roman" w:hAnsi="Times New Roman"/>
          <w:sz w:val="18"/>
          <w:szCs w:val="18"/>
          <w:color w:val="auto"/>
        </w:rPr>
      </w:pPr>
    </w:p>
    <w:p>
      <w:pPr>
        <w:jc w:val="both"/>
        <w:ind w:firstLine="2600"/>
        <w:spacing w:after="0" w:line="261" w:lineRule="auto"/>
        <w:tabs>
          <w:tab w:leader="none" w:pos="375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Permitted Entity of a Qualified Stockholder (or, in the case of a deceased Founder Qualified Stockholder, the executor or personal representative of the estate of such deceased Founder Qualified Stockholder) to (i) such Qualified Stockholder or one or more Qualified Extended Family Members, (ii) any other Permitted Entity of such Qualified Stockholder or (iii) any Permitted Entity of a Qualified Extended Family Member;</w:t>
      </w:r>
    </w:p>
    <w:p>
      <w:pPr>
        <w:spacing w:after="0" w:line="177" w:lineRule="exact"/>
        <w:rPr>
          <w:rFonts w:ascii="Times New Roman" w:cs="Times New Roman" w:eastAsia="Times New Roman" w:hAnsi="Times New Roman"/>
          <w:sz w:val="18"/>
          <w:szCs w:val="18"/>
          <w:color w:val="auto"/>
        </w:rPr>
      </w:pPr>
    </w:p>
    <w:p>
      <w:pPr>
        <w:ind w:left="3580" w:hanging="980"/>
        <w:spacing w:after="0"/>
        <w:tabs>
          <w:tab w:leader="none" w:pos="358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broker or other nominee;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transferor, immediately following such Transfer, retains</w:t>
      </w:r>
    </w:p>
    <w:p>
      <w:pPr>
        <w:spacing w:after="0" w:line="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Control, (ii) control over the disposition of such shares, and (iii) the economic consequences of ownership of such shares; or</w:t>
      </w:r>
    </w:p>
    <w:p>
      <w:pPr>
        <w:spacing w:after="0" w:line="206" w:lineRule="exact"/>
        <w:rPr>
          <w:rFonts w:ascii="Times New Roman" w:cs="Times New Roman" w:eastAsia="Times New Roman" w:hAnsi="Times New Roman"/>
          <w:sz w:val="18"/>
          <w:szCs w:val="18"/>
          <w:color w:val="auto"/>
        </w:rPr>
      </w:pPr>
    </w:p>
    <w:p>
      <w:pPr>
        <w:ind w:left="3440" w:hanging="840"/>
        <w:spacing w:after="0"/>
        <w:tabs>
          <w:tab w:leader="none" w:pos="344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advance by the Board, or a duly authorized committee of the Board, upon a determination that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consistent with the purposes of the foregoing provisions of this definition of “Permitted Transfer.”</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avoidance of doubt, (i) the direct Transfer of any share or shares of Class B Common Stock by a holder thereof to any other Person shall qualify as a “Permitted Transfer” within the meaning of this Section, if such Transfer could have been completed indirectly through one or more transactions involving more than one Transfer, so long as each Transfer in such transaction or transactions would otherwise have qualified as a “Permitted Transfer” within the meaning of this Section; and (ii) each of the foregoing clauses (A) through (E) constitutes a “Permitted Transfer” within the meaning of this Section without regard to any other clause of this Section (or any requirement of, or proviso in, any such clause) as may be applicable to such Transfer.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7" w:name="page88"/>
    <w:bookmarkEnd w:id="87"/>
    <w:p>
      <w:pPr>
        <w:ind w:left="2800" w:hanging="848"/>
        <w:spacing w:after="0"/>
        <w:tabs>
          <w:tab w:leader="none" w:pos="2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a transferee of shares of Class B Common Stock received in a Permitted Transfer.</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association, trust, estate, or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left="2800" w:hanging="848"/>
        <w:spacing w:after="0"/>
        <w:tabs>
          <w:tab w:leader="none" w:pos="2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Foundation</w:t>
      </w:r>
      <w:r>
        <w:rPr>
          <w:rFonts w:ascii="Times New Roman" w:cs="Times New Roman" w:eastAsia="Times New Roman" w:hAnsi="Times New Roman"/>
          <w:sz w:val="18"/>
          <w:szCs w:val="18"/>
          <w:color w:val="auto"/>
        </w:rPr>
        <w:t>” means any foundation that is primarily for the benefit of one or more Qualified Persons.</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Extended Family Member</w:t>
      </w:r>
      <w:r>
        <w:rPr>
          <w:rFonts w:ascii="Times New Roman" w:cs="Times New Roman" w:eastAsia="Times New Roman" w:hAnsi="Times New Roman"/>
          <w:sz w:val="18"/>
          <w:szCs w:val="18"/>
          <w:color w:val="auto"/>
        </w:rPr>
        <w:t>” means a Family Member of Rainer J. Westphal.</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Person</w:t>
      </w:r>
      <w:r>
        <w:rPr>
          <w:rFonts w:ascii="Times New Roman" w:cs="Times New Roman" w:eastAsia="Times New Roman" w:hAnsi="Times New Roman"/>
          <w:sz w:val="18"/>
          <w:szCs w:val="18"/>
          <w:color w:val="auto"/>
        </w:rPr>
        <w:t>” means (i) Rainer J. Westphal, (ii) a Founder, or (iii) any Qualified Extended Family Member.</w:t>
      </w:r>
    </w:p>
    <w:p>
      <w:pPr>
        <w:spacing w:after="0" w:line="22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Stockholder</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registered holder of a share of Class B Common Stock as of 11:59 p.m. Eastern Time on the IPO Date;</w:t>
      </w:r>
    </w:p>
    <w:p>
      <w:pPr>
        <w:spacing w:after="0" w:line="225" w:lineRule="exact"/>
        <w:rPr>
          <w:rFonts w:ascii="Times New Roman" w:cs="Times New Roman" w:eastAsia="Times New Roman" w:hAnsi="Times New Roman"/>
          <w:sz w:val="18"/>
          <w:szCs w:val="18"/>
          <w:color w:val="auto"/>
        </w:rPr>
      </w:pPr>
    </w:p>
    <w:p>
      <w:pPr>
        <w:ind w:left="3740" w:hanging="1140"/>
        <w:spacing w:after="0"/>
        <w:tabs>
          <w:tab w:leader="none" w:pos="37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record holder of any shares of Class B Common Stock that are originally issued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after the IPO Date upon the approval of the Board or the Compensation Committee of the Board;</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3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natural Person who Transferred shares of or equity awards for Class B Common Stock (including any option or warrant exercisable or convertible into, or any RSU or restricted stock that can be settled in shares of, Class B Common Stock) to a Permitted Entity;</w:t>
      </w:r>
    </w:p>
    <w:p>
      <w:pPr>
        <w:spacing w:after="0" w:line="17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Qualified Person; and</w:t>
      </w:r>
    </w:p>
    <w:p>
      <w:pPr>
        <w:spacing w:after="0" w:line="225" w:lineRule="exact"/>
        <w:rPr>
          <w:rFonts w:ascii="Times New Roman" w:cs="Times New Roman" w:eastAsia="Times New Roman" w:hAnsi="Times New Roman"/>
          <w:sz w:val="18"/>
          <w:szCs w:val="18"/>
          <w:color w:val="auto"/>
        </w:rPr>
      </w:pPr>
    </w:p>
    <w:p>
      <w:pPr>
        <w:ind w:left="3360" w:hanging="760"/>
        <w:spacing w:after="0"/>
        <w:tabs>
          <w:tab w:leader="none" w:pos="3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Transferee.</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Trust</w:t>
      </w:r>
      <w:r>
        <w:rPr>
          <w:rFonts w:ascii="Times New Roman" w:cs="Times New Roman" w:eastAsia="Times New Roman" w:hAnsi="Times New Roman"/>
          <w:sz w:val="18"/>
          <w:szCs w:val="18"/>
          <w:color w:val="auto"/>
        </w:rPr>
        <w:t>” means each 2009 Trust, each 2001 Trust and any other trust that (i) is primarily for the benefit of one or more Qualified Persons, and (ii) as to which no person other than a Qualified Person or another Qualified Trust is currently eligible or entitled to receive any distribution of income or principal from the trust. For avoidance of doubt, the mere possibility that, by reason of exercise of a power of appointment granted in the governing instrument or otherwise, Persons other than Qualified Persons or other Qualified Trusts might at some future date become eligible or entitled to receive distributions of income or principal from the trust shall not prevent a trust from being considered a Qualified Trust.</w:t>
      </w:r>
    </w:p>
    <w:p>
      <w:pPr>
        <w:spacing w:after="0" w:line="18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9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sale, exchange, gift, bequest, pledge, hypothecation, encumbrance, descent or distribution pursuant to intestacy laws or other operation of law, or any other direct or indirect disposition of Class B Common Stock which would change the legal or beneficial ownership thereof, including without limitation the creation of any form of common or joint ownership in Class B Common Stock between a holder of Class B Common Stock and one or more Persons. A Transfer shall also be deemed to have occurred with respect to a share of Class B Common Stock beneficially held by (x) an entity that is a Permitted Entity if there occurs any act or circumstance that causes such entity to no longer be a Permitted Entity or (y) an entity that is a Qualified Stockholder if there occurs a Transfer on a cumulative basis, from and after the IPO Date, of a majority of the voting power of the voting securities of such entity or any direct or indirect Parent of such entity. In addition, for the avoidance of doubt, a Transfer shall be deemed to have occurred if a holder that is a partnership, limited partnership, limited liability company or corporation distributes or otherwise transfers its shares of Class B Common Stock to its partners, stockholders, members or other equity owners. Notwithstanding the foregoing, none of the following (individually or in combination) shall be considered a Transfer: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8" w:name="page89"/>
    <w:bookmarkEnd w:id="88"/>
    <w:p>
      <w:pPr>
        <w:jc w:val="both"/>
        <w:ind w:firstLine="2600"/>
        <w:spacing w:after="0" w:line="266" w:lineRule="auto"/>
        <w:tabs>
          <w:tab w:leader="none" w:pos="338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revocable proxy to (i) an officer or director of the Corporation at the request of the Board in connection with actions to be taken at an annual or special meeting of stockholders or any other action of the stockholders permitted by this Certificate of Incorporation; (ii) a Qualified Person or (iii) the trustee of a Qualified Trust;</w:t>
      </w:r>
    </w:p>
    <w:p>
      <w:pPr>
        <w:spacing w:after="0" w:line="17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proxy to an Applicable Proxy;</w:t>
      </w:r>
    </w:p>
    <w:p>
      <w:pPr>
        <w:spacing w:after="0" w:line="225" w:lineRule="exact"/>
        <w:rPr>
          <w:rFonts w:ascii="Times New Roman" w:cs="Times New Roman" w:eastAsia="Times New Roman" w:hAnsi="Times New Roman"/>
          <w:sz w:val="18"/>
          <w:szCs w:val="18"/>
          <w:color w:val="auto"/>
        </w:rPr>
      </w:pPr>
    </w:p>
    <w:p>
      <w:pPr>
        <w:jc w:val="both"/>
        <w:ind w:firstLine="2600"/>
        <w:spacing w:after="0" w:line="261" w:lineRule="auto"/>
        <w:tabs>
          <w:tab w:leader="none" w:pos="364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which voting trust, agreement or arrangement does not involve any payment of cash, securities or other property to the holder of the shares subject thereto other than the mutual promise to vote shares in a designated manner; for the avoidance of doubt, any voting trust, agreement or arrangement entered into prior to the IPO Date shall not constitute a Transfer;</w:t>
      </w:r>
    </w:p>
    <w:p>
      <w:pPr>
        <w:spacing w:after="0" w:line="179" w:lineRule="exact"/>
        <w:rPr>
          <w:rFonts w:ascii="Times New Roman" w:cs="Times New Roman" w:eastAsia="Times New Roman" w:hAnsi="Times New Roman"/>
          <w:sz w:val="18"/>
          <w:szCs w:val="18"/>
          <w:color w:val="auto"/>
        </w:rPr>
      </w:pPr>
    </w:p>
    <w:p>
      <w:pPr>
        <w:jc w:val="both"/>
        <w:ind w:firstLine="2600"/>
        <w:spacing w:after="0" w:line="253" w:lineRule="auto"/>
        <w:tabs>
          <w:tab w:leader="none" w:pos="342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pledging, hypothecation or encumbrance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by a holder of Class B Common Stock (the “</w:t>
      </w:r>
      <w:r>
        <w:rPr>
          <w:rFonts w:ascii="Times New Roman" w:cs="Times New Roman" w:eastAsia="Times New Roman" w:hAnsi="Times New Roman"/>
          <w:sz w:val="18"/>
          <w:szCs w:val="18"/>
          <w:u w:val="single" w:color="auto"/>
          <w:color w:val="auto"/>
        </w:rPr>
        <w:t>Pledging Stockholder</w:t>
      </w:r>
      <w:r>
        <w:rPr>
          <w:rFonts w:ascii="Times New Roman" w:cs="Times New Roman" w:eastAsia="Times New Roman" w:hAnsi="Times New Roman"/>
          <w:sz w:val="18"/>
          <w:szCs w:val="18"/>
          <w:color w:val="auto"/>
        </w:rPr>
        <w:t>”) of shares of Class B Common Stock (the “</w:t>
      </w:r>
      <w:r>
        <w:rPr>
          <w:rFonts w:ascii="Times New Roman" w:cs="Times New Roman" w:eastAsia="Times New Roman" w:hAnsi="Times New Roman"/>
          <w:sz w:val="18"/>
          <w:szCs w:val="18"/>
          <w:u w:val="single" w:color="auto"/>
          <w:color w:val="auto"/>
        </w:rPr>
        <w:t>Pledged Interest</w:t>
      </w:r>
      <w:r>
        <w:rPr>
          <w:rFonts w:ascii="Times New Roman" w:cs="Times New Roman" w:eastAsia="Times New Roman" w:hAnsi="Times New Roman"/>
          <w:sz w:val="18"/>
          <w:szCs w:val="18"/>
          <w:color w:val="auto"/>
        </w:rPr>
        <w:t>”) to an individual or entity (the “</w:t>
      </w:r>
      <w:r>
        <w:rPr>
          <w:rFonts w:ascii="Times New Roman" w:cs="Times New Roman" w:eastAsia="Times New Roman" w:hAnsi="Times New Roman"/>
          <w:sz w:val="18"/>
          <w:szCs w:val="18"/>
          <w:u w:val="single" w:color="auto"/>
          <w:color w:val="auto"/>
        </w:rPr>
        <w:t>Pledgee</w:t>
      </w:r>
      <w:r>
        <w:rPr>
          <w:rFonts w:ascii="Times New Roman" w:cs="Times New Roman" w:eastAsia="Times New Roman" w:hAnsi="Times New Roman"/>
          <w:sz w:val="18"/>
          <w:szCs w:val="18"/>
          <w:color w:val="auto"/>
        </w:rPr>
        <w:t xml:space="preserve">”) for the purpose of securing the obligation of the Pledging Stockholder or any other Person to repay a loan or to render any other performance, so long as the Pledging Stockholder continues to exercise Voting Control over the Pledged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Pledge nor any related loan, obligation or other performance shall be conditioned upon or in any way related to the financial performance or position of the Corporation, or require a guarantee or other form of support by the Corporation or any other holder of Class B Common Stock, (ii) no Pledging Stockholder shall engage in any transaction (including a Pledge) with the Pledgee without first providing the Corporation with five (5) Business Days’ prior notice of the proposed transaction with the Pledgee, and</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Pledging Stockholder shall engage in any transaction (including a Pledge) with the Pledgee without first entering into an agreement (the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with the Pledgee that expressly requires that, should the Pledgee desire and if the Pledge Agreement otherwise permits, the Pledgee may take for itself or Transfer to any Person other than the Pledging Stockholder the title to the Pledged Interest only if, prior to so taking or Transferring the Pledged Interest, the Pledgee shall allow the Corporation or one or more holders of Class B Common Stock to assume the Pledging Stockholder’s obligations under the Pledge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 foreclosure on the Pledged Interest or other similar action by the Pledgee shall constitute a “Transfer” unless such foreclosure or similar action qualifies as a Permitted Transfer at such time;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89" w:name="page90"/>
    <w:bookmarkEnd w:id="89"/>
    <w:p>
      <w:pPr>
        <w:jc w:val="both"/>
        <w:ind w:firstLine="2600"/>
        <w:spacing w:after="0" w:line="261" w:lineRule="auto"/>
        <w:tabs>
          <w:tab w:leader="none" w:pos="35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trustee(s) or the Person(s) and/or entity(ies) having or exercising Voting Control over shares of Class B Common Stock of a Permitted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such change such Permitted Entity continues to be a Permitted Entity and a Founder, a Family Member of such Founder or a trustee of a Qualified Trust continues to have Voting Control over the shares of Class B Common Stock held by such Permitted Entity;</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Class B Common Stock pursuant to the terms of a planned trading program effected pursuant to Rule 10b5-1 under the Securities Exchange Act of 1934, as amended, that has been approved by at least a majority of the disinterest members of (i) the Board or (ii) a committee of the Board authorized to take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of such shares of Class B Common Stock pursuant to such plan shall constitute a “Transfer” at the time of such sale;</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4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 Transaction that has been approved by the Board, (1) the entering into a support, voting, tender or similar agreement or arrangement (with or without a proxy), (2) the granting of any proxy and/or (3) the tendering of any shares in any tender or exchange offer for all of the outstanding shares of Class A Common Stock and Class B Common Stock, in each case that has also been approved by the Board;</w:t>
      </w:r>
    </w:p>
    <w:p>
      <w:pPr>
        <w:spacing w:after="0" w:line="17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due to the fact that the spouse of any holder of shares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otherwise exempt from the definition of Transfer; and/or</w:t>
      </w:r>
    </w:p>
    <w:p>
      <w:pPr>
        <w:spacing w:after="0" w:line="187" w:lineRule="exact"/>
        <w:rPr>
          <w:rFonts w:ascii="Times New Roman" w:cs="Times New Roman" w:eastAsia="Times New Roman" w:hAnsi="Times New Roman"/>
          <w:sz w:val="18"/>
          <w:szCs w:val="18"/>
          <w:color w:val="auto"/>
        </w:rPr>
      </w:pPr>
    </w:p>
    <w:p>
      <w:pPr>
        <w:jc w:val="both"/>
        <w:ind w:firstLine="2600"/>
        <w:spacing w:after="0" w:line="256" w:lineRule="auto"/>
        <w:tabs>
          <w:tab w:leader="none" w:pos="35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Liquidation Event that has been approved by the Board, the entering into a support, voting, tender or similar agreement, arrangement or understanding (with or without granting a proxy) or consummating the actions or transactions contemplated therein (including, without limitation, tendering shares of Class B Common Stock in connection with a Liquidation Event, the consummation of a Liquidation Event or the sale, assignment, transfer, conveyance, hypothecation or other transfer or disposition of shares of Class B Common Stock or any legal or beneficial interest in shares of Class B Common Stock in connection with a Liquidation Event), in each case that has also been approved by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0" w:name="page91"/>
    <w:bookmarkEnd w:id="90"/>
    <w:p>
      <w:pPr>
        <w:jc w:val="both"/>
        <w:ind w:right="20" w:firstLine="1952"/>
        <w:spacing w:after="0" w:line="266" w:lineRule="auto"/>
        <w:tabs>
          <w:tab w:leader="none" w:pos="27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of such share by proxy, voting agreement or otherwise. Notwithstanding the foregoing, none of the following (individually or in combination) shall be considered a grant of Voting Control:</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revocable proxy to (1) an officer or director of the Corporation at the request of the Board in connection with actions to be taken at an annual or special meeting of stockholders or any other action of the stockholders permitted by this Certificate of Incorporation, (2) a Qualified Person or, (3) the trustee of a Qualified Trust;</w:t>
      </w:r>
    </w:p>
    <w:p>
      <w:pPr>
        <w:spacing w:after="0" w:line="175"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proxy to an Applicable Proxy;</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64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which voting trust, agreement or arrangement does not involve any payment of cash, securities or other property to the holder of the shares subject thereto other than the mutual promise to vote shares in a designated manner;</w:t>
      </w:r>
    </w:p>
    <w:p>
      <w:pPr>
        <w:spacing w:after="0" w:line="175" w:lineRule="exact"/>
        <w:rPr>
          <w:rFonts w:ascii="Times New Roman" w:cs="Times New Roman" w:eastAsia="Times New Roman" w:hAnsi="Times New Roman"/>
          <w:sz w:val="18"/>
          <w:szCs w:val="18"/>
          <w:color w:val="auto"/>
        </w:rPr>
      </w:pPr>
    </w:p>
    <w:p>
      <w:pPr>
        <w:jc w:val="both"/>
        <w:ind w:firstLine="2600"/>
        <w:spacing w:after="0" w:line="253" w:lineRule="auto"/>
        <w:tabs>
          <w:tab w:leader="none" w:pos="361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 by a Pledging Stockholder of Pledged Interest to a Pledgee for the purpose of securing the obligation of the Pledging Stockholder or any other Person to repay a loan or to render any other performance, so long as the Pledging Stockholder continues to exercise Voting Control over the Pledged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Pledge nor any related loan, obligation or other performance shall be conditioned upon or in any way related to the financial performance or position of the Corporation, or require a guarantee or other form of support by the Corporation or any other holder of Class B Common Stock, (ii) no Pledging Stockholder shall engage in any transaction (including a Pledge) with the Pledgee without first providing the Corporation with five (5) Business Days’ prior notice of the proposed transaction with the Pledgee, and (iii) no Pledging Stockholder shall engage in any transaction (including a Pledge) with the Pledgee without first entering into a Pledge Agreement with the Pledgee that expressly requires that, should the Pledgee desire and if the Pledge Agreement otherwise permits, the Pledgee may take for itself or Transfer to any Person other than the Pledging Stockholder the title to the Pledged Interest only if, prior to so taking or Transferring the Pledged Interest, the Pledgee shall allow the Corporation or one or more holders of Class B Common Stock to assume the Pledging Stockholder’s obligations under the Pledge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 foreclosure on the Pledged Interest or other similar action by the Pledgee shall constitute a grant of Voting Control unless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foreclosure or similar action qualifies as a Permitted Transfer at such time;</w:t>
      </w:r>
    </w:p>
    <w:p>
      <w:pPr>
        <w:spacing w:after="0" w:line="18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5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trustee(s) or the Person(s) and/or entity(ies) having or exercising Voting Control over shares of Class B Common Stock of a Permitted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such change such Permitted Entity continues to be a Permitted Entity and a Founder, a Family Member of such Founder or a trustee of a Qualified Trust continues to have Voting Control over the shares of Class B Common Stock held by such Permitted Entity;</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6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Class B Common Stock pursuant to the terms of a planned trading program effected pursuant to Rule 10b5-1 under the Securities Exchange Act of 1934, as amended, that has been approved by at least a majority of the disinterest members of (i) the Board or (ii) a committee of the Board authorized to take such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of such shares of Class B Common Stock pursuant to such plan shall constitute a grant of Voting Control at the time of such sale;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1" w:name="page92"/>
    <w:bookmarkEnd w:id="91"/>
    <w:p>
      <w:pPr>
        <w:jc w:val="both"/>
        <w:ind w:firstLine="2600"/>
        <w:spacing w:after="0" w:line="261" w:lineRule="auto"/>
        <w:tabs>
          <w:tab w:leader="none" w:pos="347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 Transaction that has been approved by the Board, (1) the entering into a support, voting, tender or similar agreement or arrangement (with or without a proxy), (2) the granting of any proxy and/or (3) the tendering of any shares in any tender or exchange offer for all of the outstanding shares of Class A Common Stock and Class B Common Stock, in each case that has also been approved by the Board;</w:t>
      </w:r>
    </w:p>
    <w:p>
      <w:pPr>
        <w:spacing w:after="0" w:line="179" w:lineRule="exact"/>
        <w:rPr>
          <w:rFonts w:ascii="Times New Roman" w:cs="Times New Roman" w:eastAsia="Times New Roman" w:hAnsi="Times New Roman"/>
          <w:sz w:val="18"/>
          <w:szCs w:val="18"/>
          <w:color w:val="auto"/>
        </w:rPr>
      </w:pPr>
    </w:p>
    <w:p>
      <w:pPr>
        <w:jc w:val="both"/>
        <w:ind w:firstLine="2600"/>
        <w:spacing w:after="0" w:line="256" w:lineRule="auto"/>
        <w:tabs>
          <w:tab w:leader="none" w:pos="35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due to the fact that the spouse of any holder of shares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of shares by any holder of shares of Class B Common Stock to such holder’s spouse, including a transfer in connection with a divorce proceeding, domestic relations order or similar legal requirement, shall constitute a grant of Voting Control of such shares of Class B Common Stock unless otherwise exempt from constituting a grant of Voting Control; and/or</w:t>
      </w:r>
    </w:p>
    <w:p>
      <w:pPr>
        <w:spacing w:after="0" w:line="187" w:lineRule="exact"/>
        <w:rPr>
          <w:rFonts w:ascii="Times New Roman" w:cs="Times New Roman" w:eastAsia="Times New Roman" w:hAnsi="Times New Roman"/>
          <w:sz w:val="18"/>
          <w:szCs w:val="18"/>
          <w:color w:val="auto"/>
        </w:rPr>
      </w:pPr>
    </w:p>
    <w:p>
      <w:pPr>
        <w:jc w:val="both"/>
        <w:ind w:firstLine="2600"/>
        <w:spacing w:after="0" w:line="256" w:lineRule="auto"/>
        <w:tabs>
          <w:tab w:leader="none" w:pos="34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Liquidation Event that has been approved by the Board, the entering into a support, voting, tender or similar agreement, arrangement or understanding (with or without granting a proxy) or consummating the actions or transactions contemplated therein (including, without limitation, tendering shares of Class B Common Stock in connection with a Liquidation Event, the consummation of a Liquidation Event or the sale, assignment, transfer, conveyance, hypothecation or other transfer or disposition of shares of Class B Common Stock or any legal or beneficial interest in shares of Class B Common Stock in connection with a Liquidation Event), in each case that has also been approved by the Board.</w:t>
      </w:r>
    </w:p>
    <w:p>
      <w:pPr>
        <w:spacing w:after="0" w:line="187"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each of such series to have such terms as stated or expressed herein and in the resolution or resolutions providing for the issue of such series adopted by the Board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Stock Split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Immediately upon the filing and effectiveness of this Certificate of Incorporation with the Secretary of State of the State of Delaware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a forward stock split of the Common Stock shall become effective, pursuant to which each share of Class A Common Stock outstanding and held of record by each stockholder of the Corporation or held by the Corporation in treasury immediately prior to the Effective Time shall automatically and without further action on the part of the Corporation or any holder thereof be reclassified and changed into three (3) validly issued, fully paid and non-assessable shares of Class A Common Stock and each share of Class B Common Stock outstanding and held of record by each stockholder of the Corporation or held by the Corporation in treasury immediately prior to the Effective Time shall automatically and without further action on the part of the Corporation or any holder thereof be reclassified and changed into three (3) validly issued, fully paid and non-assessable shares of Class B Common Stock (the “</w:t>
      </w:r>
      <w:r>
        <w:rPr>
          <w:rFonts w:ascii="Times New Roman" w:cs="Times New Roman" w:eastAsia="Times New Roman" w:hAnsi="Times New Roman"/>
          <w:sz w:val="18"/>
          <w:szCs w:val="18"/>
          <w:u w:val="single" w:color="auto"/>
          <w:color w:val="auto"/>
        </w:rPr>
        <w:t>Stock Split</w:t>
      </w:r>
      <w:r>
        <w:rPr>
          <w:rFonts w:ascii="Times New Roman" w:cs="Times New Roman" w:eastAsia="Times New Roman" w:hAnsi="Times New Roman"/>
          <w:sz w:val="18"/>
          <w:szCs w:val="18"/>
          <w:color w:val="auto"/>
        </w:rPr>
        <w:t>”). Each stock certificate representing shares of Class A Common Stock or Class B Common Stock that was issued prior to the Effective Time shall, after the Effective Time, automatically and without the necessity of presenting the same for exchange, be deemed to represent the number of shares of Class A Common Stock or Class B Common Stock, respectively, into which such shares were reclassified pursuant to the Stock Split, and the holders of record thereof shall be entitled to receive, upon surrender of such certificate to the Corporation, a new certificate evidencing and representing the applicable number of shares of Class A Common Stock or Class B Common Stock resulting from the Stock Split.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THE CERTIFICATE OF INCORPORATION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 other provision of this Certificate of Incorporation or any provision of law that might otherwise permit a lesser vote or no vote, but in addition to any vote of the holders of shares of any class or series of capital stock of the Corporation required by law or by this Certificate of Incorporation, the affirmative vote of the holders of a majority of the voting power of the then-outstanding shares of capital stock of the Corporation entitled to vote generally in the election of directors, voting together as a single class, shall be required to amend or repeal, or adopt any provision of this Certificate of Incorporation inconsistent with Articles IV, V, VI, VII, VIII, IX, X, XI and XII;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so long as any shares of Class B Common Stock remain outstanding, the Corporation shall not, without the prior affirmative vote of the holders of a majority of the outstanding shares of Class B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in a manner that is inconsistent with, or that otherwise alters or changes, any of the voting, conversion, dividend or liquidation provisions of the shares of Class B Common Stock or other rights, powers, preferences or privileges of the shares of Class B Common Stock;</w:t>
      </w:r>
    </w:p>
    <w:p>
      <w:pPr>
        <w:spacing w:after="0" w:line="2" w:lineRule="exact"/>
        <w:rPr>
          <w:sz w:val="20"/>
          <w:szCs w:val="20"/>
          <w:color w:val="auto"/>
        </w:rPr>
      </w:pPr>
    </w:p>
    <w:p>
      <w:pPr>
        <w:jc w:val="both"/>
        <w:ind w:firstLine="8"/>
        <w:spacing w:after="0" w:line="251" w:lineRule="auto"/>
        <w:tabs>
          <w:tab w:leader="none" w:pos="2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each share of Class A Common Stock to have more than one (1) vote per share or any rights to a separate class vote of the holders of shares of Class A Common Stock other than as provided by this Certificate of Incorporation or required by the DGCL; or (3) to otherwise adversely impact the rights, powers, preferences or privileges of the shares of Class B Common Stock in a manner that is disparate from the manner in which it affects the rights, powers, preferences or privileges of the shares of Class A Common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Class B Common Stock to have more than ten (10) votes per share or any rights to a separate class vote of the holders of shares of Class B Common Stock other than as provided by this Certificate of Incorporation or required by the DGCL. For the avoidance of doubt, nothing in the immediately preceding provisos shall limit the rights of the Board as specified in Section 3 of Article IV or in Article VI of this Certificate of Incorporation.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THE BYLAWS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OPPORTUNITIES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the Corporation renounces any interest or expectancy of the Corporation pursuant to Section 122(17) of the DGCL in, or in being offered an opportunity to participate in, any Excluded Opportunity. An “</w:t>
      </w: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is any matter, transaction, business opportunity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business opportunity or interest is presented to, or acquired, created or developed by, or otherwise comes into the possession of, a Covered Person expressly and solely in such Covered Person’s capacity as a director of the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9"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General Powers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and affairs of the Corporation shall be managed by or under the direction of the Board, except as otherwise provided by law.</w:t>
      </w:r>
    </w:p>
    <w:p>
      <w:pPr>
        <w:spacing w:after="0" w:line="225"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Number of Directors; Election of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elect directors, the number of the directors of the Corporation shall be fixed from time to time by resolution of the Board.</w:t>
      </w:r>
    </w:p>
    <w:p>
      <w:pPr>
        <w:spacing w:after="0" w:line="162"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Classes of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elect directors, the Board shall be divided into three classes, designated Class I, Class II and Class III. Each class shall consist, as nearly as may be possible, of one third of the total number of directors constituting the entire Board. The Board is authorized to assign members of the Board already in office to Class I, Class II or Class III at the time such classification becomes effective.</w:t>
      </w:r>
    </w:p>
    <w:p>
      <w:pPr>
        <w:spacing w:after="0" w:line="176"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Terms of Office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Subject to the rights of holders of any series of Preferred Stock to elect directors, each director shall serve for a term ending on the date of the third annual meeting of stockholders following the annual meeting of stockholders at which such director was elected;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director initially assigned to Class I shall serve for a term expiring at the Corporation’s first annual meeting of stockholders held following the time at which the initial classification of the Board becomes effective; each director initially assigned to Class II shall serve for a term expiring at the Corporation’s second annual meeting of stockholders held following the time at which the initial classification of the Board becomes effective; and each director initially assigned to Class III shall serve for a term expiring at the Corporation’s third annual meeting of stockholders held following the time at which the initial classification of the Board becomes effective;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term of each director shall continue until the election and qualification of his or her successor and be subject to his or her earlier death, disqualification, resignation or removal.</w:t>
      </w:r>
    </w:p>
    <w:p>
      <w:pPr>
        <w:spacing w:after="0" w:line="192"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Vacancies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any newly created directorship that results from an increase in the number of directors or any vacancy on the Board that results from the death, resignation, disqualification or removal of any director or from any other cause shall be filled solely by the affirmative vote of a majority of the total number of directors then in office, even if less than a quorum, or by a sole remaining director and shall not be filled by the stockholders. Any director elected to fill a newly created directorship or vacancy in accordance with the preceding sentence shall hold office until the next annual meeting of stockholders held to elect the class of directors to which such director is elected and until his or her successor shall be elected and qualified, subject to his or her earlier death, disqualification, resignation or removal.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5" w:name="page96"/>
    <w:bookmarkEnd w:id="95"/>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Removal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(i) for so long as the holders of Class B Common Stock hold at least a majority of the voting power of the outstanding shares of Common Stock of the Corporation, any director or the entire Board may be removed from office at any time, with or without cause, by the holders of a majority in voting power of the shares of capital stock of the Corporation then entitled to vote at an election of directors and (ii) if the holders of Class B Common Stock no longer hold at least a majority of the voting power of the outstanding shares of Common Stock of the Corporation, any director or the entire Board may be removed from office at any time, but only for cause, by the holders of a majority in voting power of the shares of capital stock of the Corporation then entitled to vote at an election of directors.</w:t>
      </w:r>
    </w:p>
    <w:p>
      <w:pPr>
        <w:spacing w:after="0" w:line="187"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Committees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Bylaws of the Corporation, the Board may establish one or more committees to which may be delegated any or all of the powers and duties of the Board to the full extent permitted by law.</w:t>
      </w:r>
    </w:p>
    <w:p>
      <w:pPr>
        <w:spacing w:after="0" w:line="162"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Stockholder Nominations and Introduction of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Advance notice of stockholder nominations for election of directors and other business to be brought by stockholders before a meeting of stockholders shall be given in the manner provided by the Bylaws.</w:t>
      </w:r>
    </w:p>
    <w:p>
      <w:pPr>
        <w:spacing w:after="0" w:line="162"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Preferred Stock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 terms of office of all such directors shall forthwith terminate and the total authorized number of directors of the Corporation shall be reduced accordingly.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ELECTION OF DIRECTORS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Unless and except to the extent that the Bylaws shall so require, the election of directors of the Corporation need not be by written ballot.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DIRECTOR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Article X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X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STOCKHOLDERS IN LIEU OF MEETING</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Subject to the terms of any series of Preferred Stock, (i) for so long as the holders of shares of Class B Common Stock hold at least a majority of the voting power of the outstanding shares of the Common Stock of the Corporation, any action required or permitted to be taken by the stockholders of the Corporation may be effected by consent in lieu of a meeting and (ii) if the holders of shares of Class B Common Stock no longer hold at least a majority of the voting power of the outstanding shares of the Common Stock of the Corporation, any action required or permitted to be taken by the stockholders of the Corporation must be effected at an annual or special meeting of the stockholders and may not be effected by consent in lieu of a meeting.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SPECIAL MEETING OF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Special meetings of stockholders for any purpose or purposes may be called at any time by (i) the Board, (ii) the Chairman of the Board, (iii) the Chief Executive Officer of the Corporation or (iv) for so long as any shares of Class B Common Stock remain outstanding, the holders of at least one third (1/3) of the outstanding shares of Class B Common Stock. Business transacted at any special meeting of stockholders shall be limited to matters relating to the purpose or purposes stated in the notice of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203</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shall not be governed by Section 203 of the DGCL (or any successor provision thereto) (“Section 203”), and the restrictions contained in Section 203 shall not apply to the Corporation, until immediately following the time at which both of the following conditions exist (if ever):</w:t>
      </w:r>
    </w:p>
    <w:p>
      <w:pPr>
        <w:jc w:val="both"/>
        <w:ind w:firstLine="8"/>
        <w:spacing w:after="0" w:line="253" w:lineRule="auto"/>
        <w:tabs>
          <w:tab w:leader="none" w:pos="25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by its terms would, but for the provisions of this Article XIV, apply to the Corporation; and (b) no holder of Class B Common Stock owns (as defined in Section 203) shares of capital stock of the Corporation representing at least fifteen percent (15%) of the voting power of all the then outstanding shares of capital stock of the Corporation, and the Corporation shall thereafter be governed by Section 203 if and for so long as Section 203 by its terms shall apply to the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FORUM SELECTION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shall, to the fullest extent permitted by law, be the sole and exclusive forum for (1) any derivative action or proceeding brought on behalf of the Corporation, (2) any action asserting a claim of breach of a fiduciary duty owed by, or any other wrongdoing by, any current or former director, officer, other employee or stockholder of the Corporation, (3) any action asserting a claim against the Corporation arising pursuant to any provision of the DGCL, this Certificate of Incorporation or the Bylaws or as to which the DGCL confers jurisdiction on the Chancery Court or (4) any action asserting a claim governed by the internal affairs doctrine, and (B) the federal district courts of the United States shall be the exclusive forum for the resolution of any complaint asserting a cause of action arising under the Securities Act of 1933, as amended. If any action the subject matter of which is within the scope of the preceding sentence is filed in a court other than a court located within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to the fullest extent permitted by applicable law,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 This provision will not apply to claims arising under the Securities Exchange Act of 1934, as amended,. Any Person or entity purchasing or otherwise acquiring or holding any interest in shares of capital stock of the Corporation shall be deemed to have notice of and consented to the provisions of this Article XV.</w:t>
      </w:r>
    </w:p>
    <w:p>
      <w:pPr>
        <w:spacing w:after="0" w:line="197" w:lineRule="exact"/>
        <w:rPr>
          <w:sz w:val="20"/>
          <w:szCs w:val="20"/>
          <w:color w:val="auto"/>
        </w:rPr>
      </w:pPr>
    </w:p>
    <w:p>
      <w:pPr>
        <w:jc w:val="center"/>
        <w:spacing w:after="0"/>
        <w:tabs>
          <w:tab w:leader="none" w:pos="340" w:val="left"/>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 xml:space="preserve">IN WITNESS WHEREOF, this Certificate of Incorporation has been executed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day of July, 2020.</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David DeStefano</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President, Chief Executive Officer and Chairperson</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Certificate of Incorporation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80"/>
          </w:cols>
          <w:pgMar w:left="980" w:top="904" w:right="1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942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114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3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Registered Office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Offices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 of Meetings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Meeting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2.4</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2.8</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2.9</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Adjourned Meeting; Notice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2.10</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2.11</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Voting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2.12</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2.13</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2.14</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2.15</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Inspectors of Election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2.16</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3.2</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Number of Directors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3.3</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3.4</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3.5</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3.6</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Regular Meetings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3.7</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Meetings; Notice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3.8</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3.9</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3.10</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Committees of Directors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4.2</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 Minutes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Subcommittees.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5.2</w:t>
            </w:r>
          </w:p>
        </w:tc>
        <w:tc>
          <w:tcPr>
            <w:tcW w:w="9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Appointment of Officers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 Officers</w:t>
            </w:r>
          </w:p>
        </w:tc>
        <w:tc>
          <w:tcPr>
            <w:tcW w:w="28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5.5</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Vacancies in Offices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5.6</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5.7</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5.8</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Certificates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Lost Certificates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7.5</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7.6</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7.7</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7.8</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7.9</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Seal</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7.10</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 of Stock</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Registered Stockholders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7.13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Notice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 of Expenses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Determination; Claim</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9.5</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Non-Exclusivity of Rights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9.6</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9.7</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Indemnification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9.8</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9.9</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Emergency Bylaws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11.1</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Emergency Bylaws.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11.2</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11.3</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Quorum.</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11.4</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11.5</w:t>
            </w:r>
          </w:p>
        </w:tc>
        <w:tc>
          <w:tcPr>
            <w:tcW w:w="6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6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8"/>
        </w:trPr>
        <w:tc>
          <w:tcPr>
            <w:tcW w:w="1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600" w:type="dxa"/>
            <w:vAlign w:val="bottom"/>
            <w:gridSpan w:val="2"/>
          </w:tcPr>
          <w:p>
            <w:pPr>
              <w:jc w:val="right"/>
              <w:ind w:right="5090"/>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392"/>
        </w:trPr>
        <w:tc>
          <w:tcPr>
            <w:tcW w:w="1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w:t>
            </w:r>
          </w:p>
        </w:tc>
        <w:tc>
          <w:tcPr>
            <w:tcW w:w="72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Repeal or Change.</w:t>
            </w:r>
          </w:p>
        </w:tc>
        <w:tc>
          <w:tcPr>
            <w:tcW w:w="7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Nonexclusivity.</w:t>
            </w:r>
          </w:p>
        </w:tc>
        <w:tc>
          <w:tcPr>
            <w:tcW w:w="7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 Definitions</w:t>
            </w:r>
          </w:p>
        </w:tc>
        <w:tc>
          <w:tcPr>
            <w:tcW w:w="7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142875</wp:posOffset>
            </wp:positionV>
            <wp:extent cx="2134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160020</wp:posOffset>
            </wp:positionV>
            <wp:extent cx="21342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Vertex,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meetings of the stockholders may be called only by such persons and only in such manner as set forth in the Certificate of Incorporation.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5" w:name="page106"/>
    <w:bookmarkEnd w:id="105"/>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3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the Board of Directors or (iii) otherwise properly brought before the meeting by a stockholder present in person who (A) (1)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2.6,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2.5 and Section 2.6 and this Section 2.4 shall not be applicable to nominations except as expressly provided in Section 2.5 and Section 2.6.</w:t>
      </w:r>
    </w:p>
    <w:p>
      <w:pPr>
        <w:spacing w:after="0" w:line="193" w:lineRule="exact"/>
        <w:rPr>
          <w:rFonts w:ascii="Times New Roman" w:cs="Times New Roman" w:eastAsia="Times New Roman" w:hAnsi="Times New Roman"/>
          <w:sz w:val="18"/>
          <w:szCs w:val="18"/>
          <w:color w:val="auto"/>
        </w:rPr>
      </w:pPr>
    </w:p>
    <w:p>
      <w:pPr>
        <w:jc w:val="both"/>
        <w:ind w:firstLine="656"/>
        <w:spacing w:after="0" w:line="254" w:lineRule="auto"/>
        <w:tabs>
          <w:tab w:leader="none" w:pos="14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initial underwritten public offering of common stock, the date of the preceding year’s annual meeting shall be deemed to be July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w:t>
      </w:r>
    </w:p>
    <w:p>
      <w:pPr>
        <w:jc w:val="both"/>
        <w:spacing w:after="0" w:line="227" w:lineRule="auto"/>
        <w:rPr>
          <w:sz w:val="20"/>
          <w:szCs w:val="20"/>
          <w:color w:val="auto"/>
        </w:rPr>
      </w:pPr>
      <w:r>
        <w:rPr>
          <w:rFonts w:ascii="Times New Roman" w:cs="Times New Roman" w:eastAsia="Times New Roman" w:hAnsi="Times New Roman"/>
          <w:sz w:val="18"/>
          <w:szCs w:val="18"/>
          <w:color w:val="auto"/>
        </w:rPr>
        <w:t>than the later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i w:val="1"/>
          <w:iCs w:val="1"/>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99" w:lineRule="exact"/>
        <w:rPr>
          <w:sz w:val="20"/>
          <w:szCs w:val="20"/>
          <w:color w:val="auto"/>
        </w:rPr>
      </w:pPr>
    </w:p>
    <w:p>
      <w:pPr>
        <w:ind w:left="5580" w:right="2140" w:hanging="4924"/>
        <w:spacing w:after="0" w:line="783" w:lineRule="auto"/>
        <w:tabs>
          <w:tab w:leader="none" w:pos="13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56"/>
        <w:spacing w:after="0" w:line="256" w:lineRule="auto"/>
        <w:tabs>
          <w:tab w:leader="none" w:pos="13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i w:val="1"/>
          <w:iCs w:val="1"/>
          <w:color w:val="auto"/>
        </w:rPr>
        <w:t>Stockholder Information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4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cs="Times New Roman" w:eastAsia="Times New Roman" w:hAnsi="Times New Roman"/>
          <w:sz w:val="18"/>
          <w:szCs w:val="18"/>
          <w:i w:val="1"/>
          <w:iCs w:val="1"/>
          <w:color w:val="auto"/>
        </w:rPr>
        <w:t>Synthetic Equity Position</w:t>
      </w:r>
      <w:r>
        <w:rPr>
          <w:rFonts w:ascii="Times New Roman" w:cs="Times New Roman" w:eastAsia="Times New Roman" w:hAnsi="Times New Roman"/>
          <w:sz w:val="18"/>
          <w:szCs w:val="18"/>
          <w:color w:val="auto"/>
        </w:rPr>
        <w:t>”) and that is, directly or indirectly, held or maintained by such Proposing Person with respect to any shares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cs="Times New Roman" w:eastAsia="Times New Roman" w:hAnsi="Times New Roman"/>
          <w:sz w:val="18"/>
          <w:szCs w:val="18"/>
          <w:i w:val="1"/>
          <w:iCs w:val="1"/>
          <w:color w:val="auto"/>
        </w:rPr>
        <w:t>Disclosable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dealer, commercial bank, trust company or other nominee who is a Proposing Person solely as a result of being the stockholder directed to prepare and submit the notice required by these Bylaws on behalf of a beneficial owner;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56"/>
        <w:spacing w:after="0" w:line="253" w:lineRule="auto"/>
        <w:tabs>
          <w:tab w:leader="none" w:pos="156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any other person or entity (including their names) in connection with the proposal of such business by such stockholder;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i w:val="1"/>
          <w:iCs w:val="1"/>
          <w:color w:val="auto"/>
        </w:rPr>
        <w:t>Proposing Person”</w:t>
      </w:r>
      <w:r>
        <w:rPr>
          <w:rFonts w:ascii="Times New Roman" w:cs="Times New Roman" w:eastAsia="Times New Roman" w:hAnsi="Times New Roman"/>
          <w:sz w:val="18"/>
          <w:szCs w:val="18"/>
          <w:color w:val="auto"/>
        </w:rPr>
        <w:t xml:space="preserve">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2" w:lineRule="exact"/>
        <w:rPr>
          <w:sz w:val="20"/>
          <w:szCs w:val="20"/>
          <w:color w:val="auto"/>
        </w:rPr>
      </w:pPr>
    </w:p>
    <w:p>
      <w:pPr>
        <w:jc w:val="both"/>
        <w:ind w:firstLine="656"/>
        <w:spacing w:after="0" w:line="253" w:lineRule="auto"/>
        <w:tabs>
          <w:tab w:leader="none" w:pos="14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5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20" w:firstLine="656"/>
        <w:spacing w:after="0" w:line="258" w:lineRule="auto"/>
        <w:tabs>
          <w:tab w:leader="none" w:pos="14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81" w:lineRule="exact"/>
        <w:rPr>
          <w:rFonts w:ascii="Times New Roman" w:cs="Times New Roman" w:eastAsia="Times New Roman" w:hAnsi="Times New Roman"/>
          <w:sz w:val="18"/>
          <w:szCs w:val="18"/>
          <w:color w:val="auto"/>
        </w:rPr>
      </w:pPr>
    </w:p>
    <w:p>
      <w:pPr>
        <w:ind w:left="-20" w:firstLine="656"/>
        <w:spacing w:after="0" w:line="284" w:lineRule="auto"/>
        <w:tabs>
          <w:tab w:leader="none" w:pos="14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i w:val="1"/>
          <w:iCs w:val="1"/>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60"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Notice of Nominations for 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56"/>
        <w:spacing w:after="0" w:line="253" w:lineRule="auto"/>
        <w:tabs>
          <w:tab w:leader="none" w:pos="13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making the nomination,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spacing w:after="0" w:line="191"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46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of Directors at an annual meeting, the stockholder must (1) provide Timely Notice (as defined in Section 2.4) thereof in writing and in proper form to the Secretary of the 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left="-20" w:firstLine="656"/>
        <w:spacing w:after="0" w:line="246" w:lineRule="auto"/>
        <w:tabs>
          <w:tab w:leader="none" w:pos="8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special meeting and not later than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special meeting or, if later,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disclosure (as defined in Section 2.4) of the date of such special meeting was first made.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09" w:name="page110"/>
    <w:bookmarkEnd w:id="109"/>
    <w:p>
      <w:pPr>
        <w:ind w:right="20" w:firstLine="656"/>
        <w:spacing w:after="0" w:line="282" w:lineRule="auto"/>
        <w:tabs>
          <w:tab w:leader="none" w:pos="9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provide Timely Notice with respect to a greater number of director candidates than are subject to election by stockholders at the applicable meeting. If the Corporation shall, subsequent to such notice, increase the number of directors subject to election at the meeting, such notice but only with respect to any additional nominees shall be due on the later of (i) the conclusion of the time period for Timely Notice for annual meetings or the date set forth in Section 2.5(b)(ii) for special meetings or (ii) the tenth day following the date of public disclosure (as defined in Section 2.4) of such increase.</w:t>
      </w:r>
    </w:p>
    <w:p>
      <w:pPr>
        <w:spacing w:after="0" w:line="183" w:lineRule="exact"/>
        <w:rPr>
          <w:sz w:val="20"/>
          <w:szCs w:val="20"/>
          <w:color w:val="auto"/>
        </w:rPr>
      </w:pPr>
    </w:p>
    <w:p>
      <w:pPr>
        <w:ind w:left="1400" w:hanging="744"/>
        <w:spacing w:after="0"/>
        <w:tabs>
          <w:tab w:leader="none" w:pos="1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225" w:lineRule="exact"/>
        <w:rPr>
          <w:sz w:val="20"/>
          <w:szCs w:val="20"/>
          <w:color w:val="auto"/>
        </w:rPr>
      </w:pPr>
    </w:p>
    <w:p>
      <w:pPr>
        <w:ind w:firstLine="656"/>
        <w:spacing w:after="0" w:line="282" w:lineRule="auto"/>
        <w:tabs>
          <w:tab w:leader="none" w:pos="13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2.4(c)(i), except that for purposes of this Section 2.5 the term “Nominating Person” shall be substituted for the term “Proposing Person” in all places it appears in Section 2.4(c)(i));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of persons for election to the Board at the meeting); and</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5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18"/>
          <w:szCs w:val="18"/>
          <w:i w:val="1"/>
          <w:iCs w:val="1"/>
          <w:color w:val="auto"/>
        </w:rPr>
        <w:t>Nominee Information</w:t>
      </w:r>
      <w:r>
        <w:rPr>
          <w:rFonts w:ascii="Times New Roman" w:cs="Times New Roman" w:eastAsia="Times New Roman" w:hAnsi="Times New Roman"/>
          <w:sz w:val="18"/>
          <w:szCs w:val="18"/>
          <w:color w:val="auto"/>
        </w:rPr>
        <w:t>”), and (D) a completed and signed questionnaire, representation and agreement as provided in Section 2.6(a).</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i w:val="1"/>
          <w:iCs w:val="1"/>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other participant (as defined in paragraphs (a)(ii)-(vi) of Instruction 3 to Item 4 of Schedule 14A) with such stockholder in such solicitation.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304"/>
        <w:spacing w:after="0" w:line="253" w:lineRule="auto"/>
        <w:tabs>
          <w:tab w:leader="none" w:pos="20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2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2" w:lineRule="auto"/>
        <w:tabs>
          <w:tab w:leader="none" w:pos="15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of Directors or by a stockholder of record, must have previously delivered (with respect to nominations by stockholders pursuant to Section 2.5, within the time period for delivery of the stockholder’s notice pursuant to Section 2.5), to the Secretary at the principal executive offices of the Corporation, (i) a completed written questionnaire (in a form provided by the Corporation upon request) with respect to the background, qualifications, stock ownership and independence of such proposed nominee, and such additional information with respect to such proposed nominee as would be required to be provided by the Corporation pursuant to Schedule 14A if such proposed nominee were a participant in the solicitation of proxies by the Corporation in connection with such annual or special meeting and (ii) a written representation and agreement (in form provided by the Corporation upon request)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that has not been disclosed to the Corporation (a “</w:t>
      </w:r>
      <w:r>
        <w:rPr>
          <w:rFonts w:ascii="Times New Roman" w:cs="Times New Roman" w:eastAsia="Times New Roman" w:hAnsi="Times New Roman"/>
          <w:sz w:val="18"/>
          <w:szCs w:val="18"/>
          <w:i w:val="1"/>
          <w:iCs w:val="1"/>
          <w:color w:val="auto"/>
        </w:rPr>
        <w:t>Voting Commitment</w:t>
      </w:r>
      <w:r>
        <w:rPr>
          <w:rFonts w:ascii="Times New Roman" w:cs="Times New Roman" w:eastAsia="Times New Roman" w:hAnsi="Times New Roman"/>
          <w:sz w:val="18"/>
          <w:szCs w:val="18"/>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(D) if elected as director of the Corporation, intends to serve the entire term until the next meeting at which such candidate would face re-election and (E) consents to being named as a nominee in the Corporation’s proxy statement pursuant to Rule 14a-4(d) under the Exchange Act and any associated proxy card of the Corporation and agrees to serve if elected as a director.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56"/>
        <w:spacing w:after="0" w:line="266" w:lineRule="auto"/>
        <w:tabs>
          <w:tab w:leader="none" w:pos="14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53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shall be eligible for nomination as a director of the Corporation unless such nomination was made in accordance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in accordance with Section 2.5 and this Section 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present in person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 At any adjourned meeting at which a quorum is present or represented, any business may be transacted that might have been transacted at the meeting as originally noticed.</w:t>
      </w:r>
    </w:p>
    <w:p>
      <w:pPr>
        <w:spacing w:after="0" w:line="19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w:t>
      </w:r>
    </w:p>
    <w:p>
      <w:pPr>
        <w:spacing w:after="0" w:line="3" w:lineRule="exact"/>
        <w:rPr>
          <w:sz w:val="20"/>
          <w:szCs w:val="20"/>
          <w:color w:val="auto"/>
        </w:rPr>
      </w:pPr>
    </w:p>
    <w:p>
      <w:pPr>
        <w:jc w:val="both"/>
        <w:ind w:firstLine="8"/>
        <w:spacing w:after="0" w:line="251" w:lineRule="auto"/>
        <w:tabs>
          <w:tab w:leader="none" w:pos="2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2"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each stockholder shall be entitled to one (1) vote for each share of capital stock held by such stockholder.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which do not count as votes cast) on such matter.</w:t>
      </w:r>
    </w:p>
    <w:p>
      <w:pPr>
        <w:spacing w:after="0" w:line="18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Record Date for Stockholder Meetings and Other Purposes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Inspectors of Election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firstLine="1304"/>
        <w:spacing w:after="0" w:line="282" w:lineRule="auto"/>
        <w:tabs>
          <w:tab w:leader="none" w:pos="204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ballots.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76"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u w:val="single" w:color="auto"/>
          <w:color w:val="auto"/>
        </w:rPr>
        <w:t>Delivery to the Corporation.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Number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Election, Qualification and Term of Office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Place of Meetings; Meetings by Telephone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Special Meetings; 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2020" w:hanging="716"/>
        <w:spacing w:after="0"/>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Board Action without a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line="113"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u w:val="single" w:color="auto"/>
          <w:color w:val="auto"/>
        </w:rPr>
        <w:t>Fees and Compensation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Committees of Directors.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applicable law or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88"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Committee Minutes.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Meetings and Actions of Committees.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2340" w:hanging="712"/>
        <w:spacing w:after="0"/>
        <w:tabs>
          <w:tab w:leader="none" w:pos="2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260" w:hanging="956"/>
        <w:spacing w:after="0"/>
        <w:tabs>
          <w:tab w:leader="none" w:pos="2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w:t>
      </w:r>
    </w:p>
    <w:p>
      <w:pPr>
        <w:spacing w:after="0" w:line="207" w:lineRule="exact"/>
        <w:rPr>
          <w:sz w:val="20"/>
          <w:szCs w:val="20"/>
          <w:color w:val="auto"/>
        </w:rPr>
      </w:pPr>
    </w:p>
    <w:p>
      <w:pPr>
        <w:ind w:left="2100" w:hanging="796"/>
        <w:spacing w:after="0"/>
        <w:tabs>
          <w:tab w:leader="none" w:pos="21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20" w:firstLine="1304"/>
        <w:spacing w:after="0" w:line="282" w:lineRule="auto"/>
        <w:tabs>
          <w:tab w:leader="none" w:pos="21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Subcommittees.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Appointment of Officers.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Subordinate Officers.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Removal and Resignation of Officers.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officer may resign at any time by giving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Vacancies in Offices.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Representation of Shares of Other Corporations.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Authority and Duties of Officers.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officer of the Corporation shall not be prevented from receiving compensation by reason of the fact that he or she is also a director of the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4500"/>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Execution of Corporate Contracts and Instruments.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Stock Certificates.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Special Designation of Certificates.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Lost Certificates.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Shares Without Certificates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u w:val="single" w:color="auto"/>
          <w:color w:val="auto"/>
        </w:rPr>
        <w:t>Construction; Definitions.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u w:val="single" w:color="auto"/>
          <w:color w:val="auto"/>
        </w:rPr>
        <w:t>Dividends.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Seal.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u w:val="single" w:color="auto"/>
          <w:color w:val="auto"/>
        </w:rPr>
        <w:t>Transfer of Stock.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u w:val="single" w:color="auto"/>
          <w:color w:val="auto"/>
        </w:rPr>
        <w:t>Stock Transfer Agreements.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Registered Stockholders.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right="20" w:firstLine="1304"/>
        <w:spacing w:after="0" w:line="282" w:lineRule="auto"/>
        <w:tabs>
          <w:tab w:leader="none" w:pos="20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u w:val="single" w:color="auto"/>
          <w:color w:val="auto"/>
        </w:rPr>
        <w:t>Waiver of Notice.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Delivery of Notice; Notice by Electronic Transmission.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1960" w:hanging="656"/>
        <w:spacing w:after="0"/>
        <w:tabs>
          <w:tab w:leader="none" w:pos="1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Indemnification of Directors and 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(a “covered person”)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Indemnification of Others.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Prepayment of Expenses.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payment of expenses in advance of the final disposition of the Proceeding shall be made only upon receipt of an undertaking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person to repay all amounts advanced if it should be ultimately determined that the person is not entitled to be indemnified under this Article IX or otherwise.</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Determination; Claim.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Non-Exclusivity of Rights.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Insurance.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u w:val="single" w:color="auto"/>
          <w:color w:val="auto"/>
        </w:rPr>
        <w:t>Other Indemnification.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auto"/>
        </w:rPr>
        <w:t>Continuation of Indemnification.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u w:val="single" w:color="auto"/>
          <w:color w:val="auto"/>
        </w:rPr>
        <w:t>Amendment or Repeal; Interpretation.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action by stockholders shall require, in addition to any other vote required by the Certificate of Incorporation or applicable law, the affirmative vote of the holders of at least a majority of the voting power of all the then-outstanding shares of voting stock of the Corporation with the power to vote generally in an election of directors, voting together as a single class.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Emergency Bylaws</w:t>
      </w:r>
    </w:p>
    <w:p>
      <w:pPr>
        <w:spacing w:after="0" w:line="229"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auto"/>
        </w:rPr>
        <w:t>Emergency Bylaws.</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This Article XI shall be operative during any emergency, resulting from an attack on the United States or on a locality in which the Corporation conducts its business or customarily holds meetings of its Board or its stockholders, or during any nuclear or atomic disaster or during the existence of any catastrophe, including, but not limited to, an epidemic or pandemic, and a declaration of a national emergency by the United States government, or other similar emergency condition, irrespective of whether a quorum of the Board or a standing committee thereof can readily be convened for action (an “Emergency”), notwithstanding any different or conflicting provision in the these Bylaws, the Certificate of Incorporation or the General Corporation Law of the State of Delaware. To the extent not inconsistent with the provisions of this Article XI, the other provisions of these Bylaws and the Certificate of Incorporation shall remain in effect during such Emergency, and upon termination of such Emergency, the provisions of this Article XI shall cease to be operative.</w:t>
      </w:r>
    </w:p>
    <w:p>
      <w:pPr>
        <w:spacing w:after="0" w:line="192"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Notice.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any Emergency, a meeting of the Board or a committee thereof may be called by any director or officer, and notice of the place and time of any such meeting of the Board or any committee may be given only to such directors as it may be feasible to reach at the time and by such means as may be feasible at the time. Such notice shall be given at such time in advance of the meeting as, in the judgment of the person calling the meeting, circumstances permit. No notice of such meeting need be given to the Designated Officers (as defined below) or to the officers.</w:t>
      </w:r>
    </w:p>
    <w:p>
      <w:pPr>
        <w:spacing w:after="0" w:line="180"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Quorum.</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At any meeting of the Board or any committee thereof, called in accordance with Section 2, the director or directors in attendance at the meeting shall constitute a quorum. Vacancies on the Board, or any committee thereof, may be filled by a majority vote of the directors in attendance at the meeting. In the event that no directors are able to attend the meeting of the Board, then the Designated Officers in attendance shall serve as directors for the meeting, without any additional quorum requirement and will have full powers to act as directors of the Corporation for such meeting. For purposes of this Article XI, “Designated Officers” means a list of officers of the Corporation who shall be deemed to be directors of the Corporation for purposes of obtaining a quorum during an Emergency if a quorum of directors cannot otherwise be obtained during such Emergency, which officers have been designated by the Board or a committee thereof, as the case may be, from time to time but in any event prior to such time or times as an Emergency may have occurred. If the Board or a committee thereof has not approved a list of Designated Officers prior to the Emergency, then the officers of the Corporation in attendance shall serve as directors for the meeting, without any additional quorum requirement and will have full powers to act as directors of the Corporation for such meeting.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Liability.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officer, director or employee acting in accordance with this Article XI shall be liable except for willful misconduct.</w:t>
      </w:r>
    </w:p>
    <w:p>
      <w:pPr>
        <w:spacing w:after="0" w:line="225"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Powers.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Board, either before or during any Emergency, may, effective in the Emergency, change the principal executive office or designate several alternative principal executive offices or regional offices, or authorize the officers so to do. Without limiting any powers or emergency actions that the Board may take during an Emergency, during an Emergency, the Board may take any action that it determines to be practical and necessary to address the circumstances of the Emergency including, without limitation, taking the actions with respect to stockholder meetings and dividends as provided in Section 110(i) of the General Corporation Law of the State of Delaware.</w:t>
      </w:r>
    </w:p>
    <w:p>
      <w:pPr>
        <w:spacing w:after="0" w:line="183"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u w:val="single" w:color="auto"/>
          <w:color w:val="auto"/>
        </w:rPr>
        <w:t>Amendments.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At any meeting called in accordance with Section 2, the Board may modify, amend or add to the provisions of this Article XI so as to make any provision that may be practical or necessary for the circumstances of the Emergency.</w:t>
      </w:r>
    </w:p>
    <w:p>
      <w:pPr>
        <w:spacing w:after="0" w:line="162"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Repeal or Change.</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Article XI shall be subject to repeal or change by further action of the Board or by action of the stockholders, but no such repeal or change shall modify the provisions of Section 4 with regard to action taken prior to the time of such repeal or change.</w:t>
      </w:r>
    </w:p>
    <w:p>
      <w:pPr>
        <w:spacing w:after="0" w:line="162" w:lineRule="exact"/>
        <w:rPr>
          <w:sz w:val="20"/>
          <w:szCs w:val="20"/>
          <w:color w:val="auto"/>
        </w:rPr>
      </w:pPr>
    </w:p>
    <w:p>
      <w:pPr>
        <w:ind w:left="660"/>
        <w:spacing w:after="0"/>
        <w:tabs>
          <w:tab w:leader="none" w:pos="14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u w:val="single" w:color="auto"/>
          <w:color w:val="auto"/>
        </w:rPr>
        <w:t>Nonexclusivity.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in this Article XI shall be deemed exclusive of any other provisions for emergency powers consistent with other sections of the General Corporation Law of the State of Delaware which have been or may be adopted by corporations created under the General Corporation Law of the State of Delaware.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Article XII -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elected, qualified, and acting Secretary of Vertex, Inc.,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that the foregoing Bylaws were approved on July 19, 2020, effective as of July 31, 2020 by the Corporation’s board of directors.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hereunto set his hand this 31 day of July, 2020.</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RYAN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Bryan Rowland</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AMENDED AND RESTATED STOCKHOLDERS’ AGREEMENT</w:t>
      </w:r>
    </w:p>
    <w:p>
      <w:pPr>
        <w:spacing w:after="0" w:line="22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Third Amended and Restated 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as of 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July, 2020 by, between and among Vertex,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Person identified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and any other Person who becomes a party to this Agreement pursuant to the provisions hereof (each such Person, individually,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16, 2020, the Company converted from a Pennsylvania corporation (the “</w:t>
      </w:r>
      <w:r>
        <w:rPr>
          <w:rFonts w:ascii="Times New Roman" w:cs="Times New Roman" w:eastAsia="Times New Roman" w:hAnsi="Times New Roman"/>
          <w:sz w:val="18"/>
          <w:szCs w:val="18"/>
          <w:u w:val="single" w:color="auto"/>
          <w:color w:val="auto"/>
        </w:rPr>
        <w:t>Pennsylvania Company</w:t>
      </w:r>
      <w:r>
        <w:rPr>
          <w:rFonts w:ascii="Times New Roman" w:cs="Times New Roman" w:eastAsia="Times New Roman" w:hAnsi="Times New Roman"/>
          <w:sz w:val="18"/>
          <w:szCs w:val="18"/>
          <w:color w:val="auto"/>
        </w:rPr>
        <w:t>”) to a Delaware corporation by virtue of a merger of the Pennsylvania Company with and into the Company, with the Company continuing as the surviving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 shares of Class A common stock, par value $0.001 per share, and 99,800,000 shares of Class B common stock, par value $0.001 per share, of which 49,000 shares of Class A common stock and 40,147,500 shares of Class B common stock are presently issued and outstanding.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Pennsylvania Company and the Stockholders, in their capacities as stockholders of the Pennsylvania Company, have been parties to that certain Second Amended and Restated Shareholders’ Agreement dated February 28, 2014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The Company and each of the Stockholders desire to amend and restate the Prior Agreement in its entirety in accordance with the terms thereof and to continue to impose certain restrictions and obligations on themselves and to provide for an arrangement governing certain dispositions of shares of Common Stock.</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the mutual promises herein, and intending to be legally bound hereby, the parties hereto agree as follows:</w:t>
      </w:r>
    </w:p>
    <w:p>
      <w:pPr>
        <w:spacing w:after="0" w:line="162" w:lineRule="exact"/>
        <w:rPr>
          <w:sz w:val="20"/>
          <w:szCs w:val="20"/>
          <w:color w:val="auto"/>
        </w:rPr>
      </w:pPr>
    </w:p>
    <w:p>
      <w:pPr>
        <w:ind w:left="720" w:hanging="712"/>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terms defined elsewhere in this Agreement, the following definitions shall apply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2001 Trusts</w:t>
      </w:r>
      <w:r>
        <w:rPr>
          <w:rFonts w:ascii="Times New Roman" w:cs="Times New Roman" w:eastAsia="Times New Roman" w:hAnsi="Times New Roman"/>
          <w:sz w:val="18"/>
          <w:szCs w:val="18"/>
          <w:color w:val="auto"/>
        </w:rPr>
        <w:t>” means, collectively, the AWR 2001 Trusts, the JRW 2001 Trusts, and the SWT 2001 Trusts (each, individually, a “</w:t>
      </w:r>
      <w:r>
        <w:rPr>
          <w:rFonts w:ascii="Times New Roman" w:cs="Times New Roman" w:eastAsia="Times New Roman" w:hAnsi="Times New Roman"/>
          <w:sz w:val="18"/>
          <w:szCs w:val="18"/>
          <w:u w:val="single" w:color="auto"/>
          <w:color w:val="auto"/>
        </w:rPr>
        <w:t>2001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2009 Trusts</w:t>
      </w:r>
      <w:r>
        <w:rPr>
          <w:rFonts w:ascii="Times New Roman" w:cs="Times New Roman" w:eastAsia="Times New Roman" w:hAnsi="Times New Roman"/>
          <w:sz w:val="18"/>
          <w:szCs w:val="18"/>
          <w:color w:val="auto"/>
        </w:rPr>
        <w:t>” means, collectively, the AWR 2009 Trust, the JRW 2009 Trust, and the SWT 2009 Trust (each, individually, a “</w:t>
      </w:r>
      <w:r>
        <w:rPr>
          <w:rFonts w:ascii="Times New Roman" w:cs="Times New Roman" w:eastAsia="Times New Roman" w:hAnsi="Times New Roman"/>
          <w:sz w:val="18"/>
          <w:szCs w:val="18"/>
          <w:u w:val="single" w:color="auto"/>
          <w:color w:val="auto"/>
        </w:rPr>
        <w:t>2009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directly or indirectly controlling or controlled by or under direct or indirect common control with such specified Person. For purposes of this definition only,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Market Value</w:t>
      </w:r>
      <w:r>
        <w:rPr>
          <w:rFonts w:ascii="Times New Roman" w:cs="Times New Roman" w:eastAsia="Times New Roman" w:hAnsi="Times New Roman"/>
          <w:sz w:val="18"/>
          <w:szCs w:val="18"/>
          <w:color w:val="auto"/>
        </w:rPr>
        <w:t>” means the average of the Closing Price per share of Class A Stock on each of the ten (10) consecutive Trading Days ending on the Trading Day immediately preceding the relevant date of determination, provided that if the Class A Stock is not listed or regularly traded on any national or regional securities exchange or association or traded on the over-the-counter market, the Applicable Market Value shall be the Fair Market Value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AWR</w:t>
      </w:r>
      <w:r>
        <w:rPr>
          <w:rFonts w:ascii="Times New Roman" w:cs="Times New Roman" w:eastAsia="Times New Roman" w:hAnsi="Times New Roman"/>
          <w:sz w:val="18"/>
          <w:szCs w:val="18"/>
          <w:color w:val="auto"/>
        </w:rPr>
        <w:t>” means Amanda W. Radcliffe, a Stockholder hereto, as identified in Schedule 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AWR 2001 Trusts</w:t>
      </w:r>
      <w:r>
        <w:rPr>
          <w:rFonts w:ascii="Times New Roman" w:cs="Times New Roman" w:eastAsia="Times New Roman" w:hAnsi="Times New Roman"/>
          <w:sz w:val="18"/>
          <w:szCs w:val="18"/>
          <w:color w:val="auto"/>
        </w:rPr>
        <w:t>” means those two separate and distinct trusts for the respective primary benefit of Antoinette R. Radcliffe and Kailey A. Radcliffe under The Trust of Amanda W. Radcliffe dated October 5, 2001, and that certain trust known as the “Third Party Funded Special Needs Trust for Callum W. Radcliffe” dated May 15, 2015, each a Stockholder hereto, as identified in Schedule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AWR 2009 Trust</w:t>
      </w:r>
      <w:r>
        <w:rPr>
          <w:rFonts w:ascii="Times New Roman" w:cs="Times New Roman" w:eastAsia="Times New Roman" w:hAnsi="Times New Roman"/>
          <w:sz w:val="18"/>
          <w:szCs w:val="18"/>
          <w:color w:val="auto"/>
        </w:rPr>
        <w:t>” means The Amanda W. Radcliffe Generation-Skipping Trust, a Stockholder hereto, as identified in Schedule 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in the City of New York on which banking institutions are authorized or required by applicable law or regulations to close.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Stock</w:t>
      </w:r>
      <w:r>
        <w:rPr>
          <w:rFonts w:ascii="Times New Roman" w:cs="Times New Roman" w:eastAsia="Times New Roman" w:hAnsi="Times New Roman"/>
          <w:sz w:val="18"/>
          <w:szCs w:val="18"/>
          <w:color w:val="auto"/>
        </w:rPr>
        <w:t>” means the Class A common stock, par value $0.0001 per share, of the Company which is now or hereafter owned or held by any Stockholder.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Stock</w:t>
      </w:r>
      <w:r>
        <w:rPr>
          <w:rFonts w:ascii="Times New Roman" w:cs="Times New Roman" w:eastAsia="Times New Roman" w:hAnsi="Times New Roman"/>
          <w:sz w:val="18"/>
          <w:szCs w:val="18"/>
          <w:color w:val="auto"/>
        </w:rPr>
        <w:t>” means the Class B common stock, par value $0.0001 per share, of the Company which is now or hereafter owned or held by any Stockholder.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xml:space="preserve">” means, on any date of determination, (i) if the Class A Stock is listed on one or more National Securities Exchanges, each share of Class A Stock shall be valued at the closing price of a share of Class A Stock on the principal exchange on which the shares are then trading on the most recent Trading Day preceding such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deems reliable, or (ii) if the Class A Stock is not traded on a National Securities Exchange but is quoted on a national market or other quotation system, each share of Class A Stock shall be valued at the last sales price on the most recent Trading Day preceding such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Board deems reliable, or (iii) if the Class A Stock is not publicly traded on a National Securities Exchange and is not quoted on a national market or other quotation system, each share of Class A Stock shall be valued at the Fair Market Value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 and any successor agency performing comparable functions.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Stock and Class B Stock.</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price per share of the Class A Stock or Class B Stock, as applicable, as determined as of a Relevant Date by a valuation prepared by a regionally or nationally recognized investment banking or valuation firm, which valuation shall be done on a minority, non-marketable basis (if applicable to the price being determined). The investment banking or valuation firm that had most recently been engaged by the Company shall be used to determine Fair Market Value per share under this Agreement unless such firm is unavailable or the Company and the affected Stockholders agree otherwise on a replacement firm. If such existing firm is not available and the parties do not agree on a replacement firm, the investment banking or valuation firm shall be selected by the independent directors of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regional, federal, state or local legislative, executive or judicial body or agency, any court of competent jurisdiction, any department, political subdivision or other governmental authority or instrumentality, or any arbitral authority, in each case, whether domestic or foreign.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Individual Stockholders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Siblings</w:t>
      </w:r>
      <w:r>
        <w:rPr>
          <w:rFonts w:ascii="Times New Roman" w:cs="Times New Roman" w:eastAsia="Times New Roman" w:hAnsi="Times New Roman"/>
          <w:sz w:val="17"/>
          <w:szCs w:val="17"/>
          <w:color w:val="auto"/>
        </w:rPr>
        <w:t>” means, collectively, AWR, JRW, and SWT (each, individually, an “</w:t>
      </w:r>
      <w:r>
        <w:rPr>
          <w:rFonts w:ascii="Times New Roman" w:cs="Times New Roman" w:eastAsia="Times New Roman" w:hAnsi="Times New Roman"/>
          <w:sz w:val="17"/>
          <w:szCs w:val="17"/>
          <w:u w:val="single" w:color="auto"/>
          <w:color w:val="auto"/>
        </w:rPr>
        <w:t>Individual Stockholder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Sibling</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the Company of Class A Stock pursuant to the Company’s registration statement on Form S-1 (File No. 333-239644) filed with and declared effective by the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JRW</w:t>
      </w:r>
      <w:r>
        <w:rPr>
          <w:rFonts w:ascii="Times New Roman" w:cs="Times New Roman" w:eastAsia="Times New Roman" w:hAnsi="Times New Roman"/>
          <w:sz w:val="18"/>
          <w:szCs w:val="18"/>
          <w:color w:val="auto"/>
        </w:rPr>
        <w:t>” means Jeffrey R. Westphal, a Stockholder hereto, as identified in Schedule 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JRW 2001 Trusts</w:t>
      </w:r>
      <w:r>
        <w:rPr>
          <w:rFonts w:ascii="Times New Roman" w:cs="Times New Roman" w:eastAsia="Times New Roman" w:hAnsi="Times New Roman"/>
          <w:sz w:val="18"/>
          <w:szCs w:val="18"/>
          <w:color w:val="auto"/>
        </w:rPr>
        <w:t>” means those three separate and distinct trusts for the respective primary benefit of Anne Marie Westphal, Kyle R. Westphal and Jacob J. Westphal under The Trust of Jeffrey R. Westphal dated October 5, 2001, each a Stockholder hereto, as identified in Schedule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JRW 2009 Trust</w:t>
      </w:r>
      <w:r>
        <w:rPr>
          <w:rFonts w:ascii="Times New Roman" w:cs="Times New Roman" w:eastAsia="Times New Roman" w:hAnsi="Times New Roman"/>
          <w:sz w:val="18"/>
          <w:szCs w:val="18"/>
          <w:color w:val="auto"/>
        </w:rPr>
        <w:t>” means The 2009 Jeffrey R. Westphal Generation-Skipping Trust, a Stockholder hereto, as identified in Schedule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Securities Exchange</w:t>
      </w:r>
      <w:r>
        <w:rPr>
          <w:rFonts w:ascii="Times New Roman" w:cs="Times New Roman" w:eastAsia="Times New Roman" w:hAnsi="Times New Roman"/>
          <w:sz w:val="18"/>
          <w:szCs w:val="18"/>
          <w:color w:val="auto"/>
        </w:rPr>
        <w:t>” means a national securities exchange registered under Section 6(a) of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association, trust, estate, or other entity.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Proportionate Share</w:t>
      </w:r>
      <w:r>
        <w:rPr>
          <w:rFonts w:ascii="Times New Roman" w:cs="Times New Roman" w:eastAsia="Times New Roman" w:hAnsi="Times New Roman"/>
          <w:sz w:val="18"/>
          <w:szCs w:val="18"/>
          <w:color w:val="auto"/>
        </w:rPr>
        <w:t>” means, with respect to a Stockholder who is then eligible to participate in a transaction involving Class A Stock or Class B Stock pursuant to this Agreement, the percentage determined by the fraction, the numerator of which is the number of shares of the Class A Stock or Class B Stock, as applicable, held by that Stockholder and the denominator of which is the total number of shares of Class A Stock or Class B Stock, as applicable held by all Stockholders who are then eligible to participate in such transaction involving Class A Stock or Class B Stock, as applicable, pursuant to this Agreement; provided, however, that for purposes of making such determination as to a Stockholder who is an Individual Stockholder, such Stockholder may elect to include the shares of Class B Stock held by any trust which such Stockholder established or of which such Stockholder is a primary beneficiary in the numerator, and the Stockholder may elect to apply the percentage resulting from such numerator to (i) the Individual Stockholder alone, (ii) any such trust alone, or (iii) a combination thereof in such proportions as the Stockholder may elect.</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Extended Family Member</w:t>
      </w:r>
      <w:r>
        <w:rPr>
          <w:rFonts w:ascii="Times New Roman" w:cs="Times New Roman" w:eastAsia="Times New Roman" w:hAnsi="Times New Roman"/>
          <w:sz w:val="18"/>
          <w:szCs w:val="18"/>
          <w:color w:val="auto"/>
        </w:rPr>
        <w:t>” means a Qualified Family Member of Rainer J. Westphal.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Family Member</w:t>
      </w:r>
      <w:r>
        <w:rPr>
          <w:rFonts w:ascii="Times New Roman" w:cs="Times New Roman" w:eastAsia="Times New Roman" w:hAnsi="Times New Roman"/>
          <w:sz w:val="18"/>
          <w:szCs w:val="18"/>
          <w:color w:val="auto"/>
        </w:rPr>
        <w:t>” means, for any individual, (i) a lineal descendant of such individual by blood or adoption (a “</w:t>
      </w:r>
      <w:r>
        <w:rPr>
          <w:rFonts w:ascii="Times New Roman" w:cs="Times New Roman" w:eastAsia="Times New Roman" w:hAnsi="Times New Roman"/>
          <w:sz w:val="18"/>
          <w:szCs w:val="18"/>
          <w:u w:val="single" w:color="auto"/>
          <w:color w:val="auto"/>
        </w:rPr>
        <w:t>Descendant</w:t>
      </w:r>
      <w:r>
        <w:rPr>
          <w:rFonts w:ascii="Times New Roman" w:cs="Times New Roman" w:eastAsia="Times New Roman" w:hAnsi="Times New Roman"/>
          <w:sz w:val="18"/>
          <w:szCs w:val="18"/>
          <w:color w:val="auto"/>
        </w:rPr>
        <w:t>”), (ii) any spouse or widow or widower of such Descendant (but not a divorced former spouse or a spouse from whom such Descendant currently is, or at the time of his or her death was, legally separated), or (iii) any stepchild or lineal descendant by blood or adoption of a stepchild of such Descendant. Notwithstanding the foregoing, an adopted person whose adoption did not either occur during the adopted person’s minority or reflect an earlier parent-child relationship with the adopting parent that had existed during the adopted person’s minority, shall not be treated as the child of his or her adopted parent, and such adopted person and his or her lineal descendants shall not be treated as the lineal descendants of the adopted parent or of any ancestor of the adopted parent.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Foundation</w:t>
      </w:r>
      <w:r>
        <w:rPr>
          <w:rFonts w:ascii="Times New Roman" w:cs="Times New Roman" w:eastAsia="Times New Roman" w:hAnsi="Times New Roman"/>
          <w:sz w:val="18"/>
          <w:szCs w:val="18"/>
          <w:color w:val="auto"/>
        </w:rPr>
        <w:t>” means any foundation that is (i) primarily for the benefit of one or more Qualified Persons or (ii) a donor-advised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Person</w:t>
      </w:r>
      <w:r>
        <w:rPr>
          <w:rFonts w:ascii="Times New Roman" w:cs="Times New Roman" w:eastAsia="Times New Roman" w:hAnsi="Times New Roman"/>
          <w:sz w:val="18"/>
          <w:szCs w:val="18"/>
          <w:color w:val="auto"/>
        </w:rPr>
        <w:t>” means (i) Rainer J. Westphal, (ii) an Individual Stockholder, or (iii) any Qualified Extended Family Member.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Sibling Family Member</w:t>
      </w:r>
      <w:r>
        <w:rPr>
          <w:rFonts w:ascii="Times New Roman" w:cs="Times New Roman" w:eastAsia="Times New Roman" w:hAnsi="Times New Roman"/>
          <w:sz w:val="18"/>
          <w:szCs w:val="18"/>
          <w:color w:val="auto"/>
        </w:rPr>
        <w:t>” means, for each Sibling, a Qualified Family Member of such Sibling.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Trust</w:t>
      </w:r>
      <w:r>
        <w:rPr>
          <w:rFonts w:ascii="Times New Roman" w:cs="Times New Roman" w:eastAsia="Times New Roman" w:hAnsi="Times New Roman"/>
          <w:sz w:val="18"/>
          <w:szCs w:val="18"/>
          <w:color w:val="auto"/>
        </w:rPr>
        <w:t>” means each 2009 Trust, each 2001 Trust and any other trust that (i) is primarily for the benefit of one or more Qualified Persons, and (ii) as to which no Person other than a Qualified Person or another Qualified Trust is currently eligible or entitled to receive any distribution of income or principal from the trust. For avoidance of doubt, the mere possibility that, by reason of exercise of a power of appointment granted in the governing instrument or otherwise, Persons other than Qualified Persons or other Qualified Trusts might at some future date become eligible or entitled to receive distributions of income or principal from the trust shall not prevent a trust from being considered a Qualified Trust.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any of the following owned by any Stockholder: (i) any Class B Stock or other equity securities of the Company into which the Class B Stock then outstanding shall be reclassified or changed, including by reason of a merger, consolidation, reorganization, recapitalization or statutory conversion, and (ii) any equity securities of the Company then outstanding which were issued as, or were issued directly or indirectly upon the conversion, exchange or exercise of other equity securities issued or issuable as a dividend, stock split or other distribution with respect to or in replacement of any equity securities referred to in clause (i) of this definition, provided, however, that Registrable Securities shall not include any equity securities that (a) have been registered or sold in a registered offering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 have been sold pursuant to Rule 144 or (c) are eligible for resale by the Stockholder under Rule 144 in any single ninety-day period without volume or manner-of-sale restrictions, as determined by the Company in its discretion after consultation with Company counsel.</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5" w:name="page136"/>
    <w:bookmarkEnd w:id="135"/>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Date</w:t>
      </w:r>
      <w:r>
        <w:rPr>
          <w:rFonts w:ascii="Times New Roman" w:cs="Times New Roman" w:eastAsia="Times New Roman" w:hAnsi="Times New Roman"/>
          <w:sz w:val="18"/>
          <w:szCs w:val="18"/>
          <w:color w:val="auto"/>
        </w:rPr>
        <w:t>” means the last day of the month in which an event occurs giving rise to the necessity for determining the Fair Market Value hereunder, including, a deemed Offer under Section 6, death under Section 7, a deemed Offer under Section 8, or the notice of intent to sell under Section 9, as the case may be.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Stockholders</w:t>
      </w:r>
      <w:r>
        <w:rPr>
          <w:rFonts w:ascii="Times New Roman" w:cs="Times New Roman" w:eastAsia="Times New Roman" w:hAnsi="Times New Roman"/>
          <w:sz w:val="18"/>
          <w:szCs w:val="18"/>
          <w:color w:val="auto"/>
        </w:rPr>
        <w:t>” means the Stockholders other than, in the case of an Offer under Section 6 hereof, the Offeree, in the case of the death of a Stockholder under Section 7 hereof, the Decedent and his or her estate, in the case of a bankruptcy or insolvency under Section 8 hereof and the bankrupt or insolvent Stockholder. “Remaining Stockholders” shall not include any Stockholder who is not a Qualified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Sibling Affiliated Group</w:t>
      </w:r>
      <w:r>
        <w:rPr>
          <w:rFonts w:ascii="Times New Roman" w:cs="Times New Roman" w:eastAsia="Times New Roman" w:hAnsi="Times New Roman"/>
          <w:sz w:val="18"/>
          <w:szCs w:val="18"/>
          <w:color w:val="auto"/>
        </w:rPr>
        <w:t>” means the associated Sibling Affiliated Stockholders of a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Sibling Affiliated Stockholders</w:t>
      </w:r>
      <w:r>
        <w:rPr>
          <w:rFonts w:ascii="Times New Roman" w:cs="Times New Roman" w:eastAsia="Times New Roman" w:hAnsi="Times New Roman"/>
          <w:sz w:val="18"/>
          <w:szCs w:val="18"/>
          <w:color w:val="auto"/>
        </w:rPr>
        <w:t>” means, for each Sibling, (i) such Sibling, (ii) such Sibling’s Qualified Sibling Family Members, (iii) such Sibling’s Affiliates (other than the other Siblings), and (iv) any Qualified Trust relating to, and holding shares of Class B Stock on behalf of, such Sibling or such Sibling’s Qualified Sibling Family Members for the primary benefit of, or other entity holding on behalf of, any one or more of such Sibling and his or her Qualified Sibling Family Members.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trust or other form of legal entity, of which (a) such first Person directly or indirectly owns or controls at least a majority of the securities or other interests having by their terms voting power to elect a majority of the board of directors or others performing similar functions, or (b) such first Person is a general partner or managing member (excluding partnerships in which such Person or any Subsidiary thereof does not have a majority of the voting interests in such partnership).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SWT</w:t>
      </w:r>
      <w:r>
        <w:rPr>
          <w:rFonts w:ascii="Times New Roman" w:cs="Times New Roman" w:eastAsia="Times New Roman" w:hAnsi="Times New Roman"/>
          <w:sz w:val="18"/>
          <w:szCs w:val="18"/>
          <w:color w:val="auto"/>
        </w:rPr>
        <w:t>” means Stefanie W. Thompson (formerly known as Stefanie W. Lucas), a Stockholder hereto, as identified in Schedule 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SWT 2001 Trusts</w:t>
      </w:r>
      <w:r>
        <w:rPr>
          <w:rFonts w:ascii="Times New Roman" w:cs="Times New Roman" w:eastAsia="Times New Roman" w:hAnsi="Times New Roman"/>
          <w:sz w:val="18"/>
          <w:szCs w:val="18"/>
          <w:color w:val="auto"/>
        </w:rPr>
        <w:t>” means those four separate and distinct trusts for the respective primary benefit of Andrea P. Schmerin (f/k/a Andrea P. Lucas), Melanie H. Lucas, Mackenzie S. Lucas and Samantha W. Lucas under The Trust of Stefanie W. Lucas dated October 5, 2001, each a Stockholder hereto, as identified in Schedule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SWT 2009 Trust</w:t>
      </w:r>
      <w:r>
        <w:rPr>
          <w:rFonts w:ascii="Times New Roman" w:cs="Times New Roman" w:eastAsia="Times New Roman" w:hAnsi="Times New Roman"/>
          <w:sz w:val="18"/>
          <w:szCs w:val="18"/>
          <w:color w:val="auto"/>
        </w:rPr>
        <w:t>” means The 2009 Stefanie W. Lucas Generation-Skipping Trust, a Stockholder hereto, as identified in Schedule 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Class A Stock is traded on a National Securities Exchange, or, if the Class A Stock is not traded on a National Securities Exchange, then on the principal securities exchange or securities market on which the Class A Stock is then traded.</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6" w:name="page137"/>
    <w:bookmarkEnd w:id="136"/>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sale, exchange, gift, bequest, pledge, hypothecation, encumbrance, descent or distribution pursuant to intestacy laws or other operation of law, or any other direct or indirect disposition of Class B Stock which would change the legal or beneficial ownership thereof, including without limitation the creation of any form of common or joint ownership in Class B Stock between a Stockholder and one or more Persons.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means a testamentary document including an individual’s last Will and a so-called “living” (or “revocable”) trust that is revocable by the individual during his or her lifetime and becomes irrevocable upon his or her death;</w:t>
      </w:r>
    </w:p>
    <w:p>
      <w:pPr>
        <w:spacing w:after="0" w:line="162" w:lineRule="exact"/>
        <w:rPr>
          <w:sz w:val="20"/>
          <w:szCs w:val="20"/>
          <w:color w:val="auto"/>
        </w:rPr>
      </w:pPr>
    </w:p>
    <w:p>
      <w:pPr>
        <w:jc w:val="both"/>
        <w:ind w:firstLine="8"/>
        <w:spacing w:after="0" w:line="255" w:lineRule="auto"/>
        <w:tabs>
          <w:tab w:leader="none" w:pos="80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and Issue of Class B Stock</w:t>
      </w:r>
      <w:r>
        <w:rPr>
          <w:rFonts w:ascii="Times New Roman" w:cs="Times New Roman" w:eastAsia="Times New Roman" w:hAnsi="Times New Roman"/>
          <w:sz w:val="18"/>
          <w:szCs w:val="18"/>
          <w:color w:val="auto"/>
        </w:rPr>
        <w:t>. All shares of Class B Stock now owned or hereafter acquired by the Stockholders shall be issued, held and Transferred under and subject to the terms and provisions of this Agreement. Except as otherwise expressly provided herein, the Stockholders shall not Transfer any shares of Class B Stock, and any Transfer or attempt to Transfer shares of Class B Stock shall be null and void and shall be given no effect by the Company until the applicable terms and conditions of this Agreement are complied with. The Company shall not record the Transfer or attempted Transfer of any Class B Stock not made in accordance with the terms and conditions of this Agreement on the books and records of the Company. For the avoidance of doubt, in no event shall Class B Stock be owned or held by anyone who is not a Qualified Person or a Sibling Affiliated Stockholder.</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97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Transfers</w:t>
      </w:r>
      <w:r>
        <w:rPr>
          <w:rFonts w:ascii="Times New Roman" w:cs="Times New Roman" w:eastAsia="Times New Roman" w:hAnsi="Times New Roman"/>
          <w:sz w:val="18"/>
          <w:szCs w:val="18"/>
          <w:color w:val="auto"/>
        </w:rPr>
        <w:t>. Notwithstanding anything to the contrary in this Agreement, including Sections 2, 4, 6, 7 and 8 hereof, each of the Transfers described in paragraphs (a), (b) and (d) of this Section 3 are expressly authorized under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4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Transfer all or a portion of such Stockholder’s shares of Class B Stock to (i) any other Stockholder, (ii) any Qualified Extended Family Member, (iii) any Qualified Trust, or (iv) any Qualified Foundation.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52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Transfer all or a portion of such Stockholder’s shares of Class B Stock (i) to the Company, (ii) to underwriters pursuant to the terms of an underwriting agreement, including in connection with the exercise of any over-allotment option granted to the underwriters in the IPO, or with the prior written consent of the lead underwriter on behalf of the underwriters in an offering by the Company and/or other selling stockholders of securities pursuant to an effective registration statement under the Securities Act, or in a private placement by the Company and/or other selling stockholders of securities that has been approved by at least a majority of the disinterested members of the Board, (iii) pursuant to the terms of any planned trading program effected pursuant to Rule 10b5-1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has been approved by at least a majority of the disinterested members of (A) the Board or (B) a committee of the Board authorized to take such action, or (iv) as otherwise permitted by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56"/>
        <w:spacing w:after="0" w:line="255" w:lineRule="auto"/>
        <w:tabs>
          <w:tab w:leader="none" w:pos="13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shares of Class B Stock are Transferred to a Person (including, without limitation, any Affiliate of any Stockholder) in accordance with the terms of this Agreement who is not already a party to and bound by this Agreement, such Person shall, as a condition precedent to the consummation of such Transfer, execute and deliver to the Company a joinder agreement to this Agreement, as may further be amended from time to time, substantially in the form of Exhibit A attached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and such Person shall thereupon be deemed to be a Stockholder hereunder. The Transfer of shares of Class B Stock to such Person shall not be given effect and shall not be recorded on the books and records of the Company until such Person executes and delivers to the Company a Joinder Agreement, and any Transfer or attempted Transfer in violation thereof shall be null and void.</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9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Transfers of shares of Common Stock pursuant to those certain Share Purchase Agreements, dated July 20, 2020, by and among the Company and the parties named therein (the “</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are expressly authorized under this Agreement.</w:t>
      </w:r>
    </w:p>
    <w:p>
      <w:pPr>
        <w:spacing w:after="0" w:line="161" w:lineRule="exact"/>
        <w:rPr>
          <w:rFonts w:ascii="Times New Roman" w:cs="Times New Roman" w:eastAsia="Times New Roman" w:hAnsi="Times New Roman"/>
          <w:sz w:val="18"/>
          <w:szCs w:val="18"/>
          <w:color w:val="auto"/>
        </w:rPr>
      </w:pPr>
    </w:p>
    <w:p>
      <w:pPr>
        <w:jc w:val="both"/>
        <w:ind w:firstLine="8"/>
        <w:spacing w:after="0" w:line="257" w:lineRule="auto"/>
        <w:tabs>
          <w:tab w:leader="none" w:pos="8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Pledges</w:t>
      </w:r>
      <w:r>
        <w:rPr>
          <w:rFonts w:ascii="Times New Roman" w:cs="Times New Roman" w:eastAsia="Times New Roman" w:hAnsi="Times New Roman"/>
          <w:sz w:val="18"/>
          <w:szCs w:val="18"/>
          <w:color w:val="auto"/>
        </w:rPr>
        <w:t>. Any Stockholder (the “</w:t>
      </w:r>
      <w:r>
        <w:rPr>
          <w:rFonts w:ascii="Times New Roman" w:cs="Times New Roman" w:eastAsia="Times New Roman" w:hAnsi="Times New Roman"/>
          <w:sz w:val="18"/>
          <w:szCs w:val="18"/>
          <w:u w:val="single" w:color="auto"/>
          <w:color w:val="auto"/>
        </w:rPr>
        <w:t>Pledging Stockholder</w:t>
      </w:r>
      <w:r>
        <w:rPr>
          <w:rFonts w:ascii="Times New Roman" w:cs="Times New Roman" w:eastAsia="Times New Roman" w:hAnsi="Times New Roman"/>
          <w:sz w:val="18"/>
          <w:szCs w:val="18"/>
          <w:color w:val="auto"/>
        </w:rPr>
        <w:t>”) may assign, Transfer, pledge, hypothecate or encumber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any of his or her shares of Class B Stock (the “</w:t>
      </w:r>
      <w:r>
        <w:rPr>
          <w:rFonts w:ascii="Times New Roman" w:cs="Times New Roman" w:eastAsia="Times New Roman" w:hAnsi="Times New Roman"/>
          <w:sz w:val="18"/>
          <w:szCs w:val="18"/>
          <w:u w:val="single" w:color="auto"/>
          <w:color w:val="auto"/>
        </w:rPr>
        <w:t>Pledged Interest</w:t>
      </w:r>
      <w:r>
        <w:rPr>
          <w:rFonts w:ascii="Times New Roman" w:cs="Times New Roman" w:eastAsia="Times New Roman" w:hAnsi="Times New Roman"/>
          <w:sz w:val="18"/>
          <w:szCs w:val="18"/>
          <w:color w:val="auto"/>
        </w:rPr>
        <w:t>”) to an individual or entity (the “</w:t>
      </w:r>
      <w:r>
        <w:rPr>
          <w:rFonts w:ascii="Times New Roman" w:cs="Times New Roman" w:eastAsia="Times New Roman" w:hAnsi="Times New Roman"/>
          <w:sz w:val="18"/>
          <w:szCs w:val="18"/>
          <w:u w:val="single" w:color="auto"/>
          <w:color w:val="auto"/>
        </w:rPr>
        <w:t>Pledgee</w:t>
      </w:r>
      <w:r>
        <w:rPr>
          <w:rFonts w:ascii="Times New Roman" w:cs="Times New Roman" w:eastAsia="Times New Roman" w:hAnsi="Times New Roman"/>
          <w:sz w:val="18"/>
          <w:szCs w:val="18"/>
          <w:color w:val="auto"/>
        </w:rPr>
        <w:t>”) for the purpose of securing the obligation of the Pledging Stockholder or any other Person to repay a loan or to render any other performance, subject to each of the requirements set forth in paragraphs (a) through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of this Section 4:</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third anniversary of this Agreement, no Stockholder may so Pledge to a Pledgee who is not a Stockholder without the prior consent of Stockholders holding at least a majority of the outstanding shares of Class B Stock if the Pledged Interest exceeds thirty percent (30%) of the shares held by such Stockholder and his or her Sibling Affiliated Group.</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Pledge made pursuant to this Section 4, nor any related loan, obligation or other performance, shall be conditioned upon or in any way related to the financial performance or position of the Company, or require a guarantee or other form of support by the Company or any other Stockholder.</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4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Pledging Stockholder shall engage in any transaction (including a Pledge) with the Pledgee without first providing the Company with five (5) Business Days’ prior notice of the proposed transaction with the Pledgee.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Pledging Stockholder shall engage in any transaction (including a Pledge) with the Pledgee without first entering into an agreement (the “</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with the Pledgee that expressly requires that, should the Pledgee desire and if the Pledge Agreement otherwise permits, the Pledgee may take for itself or Transfer to any Person other than the Pledging Stockholder the title to the Pledged Interest only if, prior to so taking or Transferring the Pledged Interest, the following conditions are met:</w:t>
      </w:r>
    </w:p>
    <w:p>
      <w:pPr>
        <w:spacing w:after="0" w:line="179" w:lineRule="exact"/>
        <w:rPr>
          <w:rFonts w:ascii="Times New Roman" w:cs="Times New Roman" w:eastAsia="Times New Roman" w:hAnsi="Times New Roman"/>
          <w:sz w:val="18"/>
          <w:szCs w:val="18"/>
          <w:color w:val="auto"/>
        </w:rPr>
      </w:pPr>
    </w:p>
    <w:p>
      <w:pPr>
        <w:ind w:left="1300" w:firstLine="4"/>
        <w:spacing w:after="0" w:line="282" w:lineRule="auto"/>
        <w:tabs>
          <w:tab w:leader="none" w:pos="2145"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shall allow the Company or one or more Sibling Affiliated Stockholders to assume the Pledging Stockholder’s obligations under the Pledge Agreement; and</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56" w:lineRule="auto"/>
        <w:tabs>
          <w:tab w:leader="none" w:pos="2068"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the Company nor any Sibling Affiliated Stockholders elects to assume the Pledging Stockholder’s obligations under the Pledge Agreement, the Pledged Interest shall be deemed Offered Stock, the Pledging Stockholder shall be deemed an Offeree, the Pledgee shall be deemed a Third Party to whom the Offeree desires to Transfer such Offered Stock, and the Remaining Stockholders and/or the Company shall have the opportunity to purchase shares of Offered Stock through the procedures under Sections 6(a) through 6(d) hereof, provided that if the Remaining Stockholders and/or the Company do not elect to purchase all of the Offered Stock, the Offeree shall be obligated to Transfer the remaining balance of the Offered Stock as required under the Pledge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8"/>
        <w:spacing w:after="0" w:line="266"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 on Registrable Securities</w:t>
      </w:r>
      <w:r>
        <w:rPr>
          <w:rFonts w:ascii="Times New Roman" w:cs="Times New Roman" w:eastAsia="Times New Roman" w:hAnsi="Times New Roman"/>
          <w:sz w:val="18"/>
          <w:szCs w:val="18"/>
          <w:color w:val="auto"/>
        </w:rPr>
        <w:t>. Each certificate or other documents representing Registrable Securities now owned or hereafter acquired by the Stockholders shall have the following legend endorsed thereon until such time as the Registrable Securities represented thereby are no longer subject to the provisions hereof or such legend is no longer applicable (as determined by the Company in its sole discretion):</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NOR UNDER ANY STATE SECURITIES LAWS, AND MAY NOT BE SOLD, TRANSFERRED, ENCUMBERED OR OTHERWISE DISPOSED OF IN THE ABSENCE OF SUCH REGISTRATION OR AN EXEMPTION THEREFROM UNDER SAID ACT OR SUCH LAWS AND THE RULES AND REGULATIONS THEREUNDER.</w:t>
      </w:r>
    </w:p>
    <w:p>
      <w:pPr>
        <w:spacing w:after="0" w:line="180"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VOTING, SALE, TRANSFER, ENCUMBRANCE OR OTHER DISPOSITION OF THE SECURITIES REPRESENTED BY THIS</w:t>
      </w: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CERTIFICATE IS SUBJECT TO THE TERMS AND CONDITIONS OF A STOCKHOLDERS’ AGREEMENT, DATED AS OF JULY 28, 2020, AMONG VERTEX, INC. AND CERTAIN HOLDERS OF ITS CLASS B STOCK (AS THE SAME MAY BE AMENDED, MODIFIED, SUPPLEMENTED OR RESTATED FROM TIME TO TIME), A COPY OF WHICH MAY BE OBTAINED AT NO COST BY WRITTEN REQUEST MADE BY THE HOLDER OF RECORD OF THIS CERTIFICATE TO THE SECRETARY OF VERTEX, INC.”</w:t>
      </w:r>
    </w:p>
    <w:p>
      <w:pPr>
        <w:spacing w:after="0" w:line="187" w:lineRule="exact"/>
        <w:rPr>
          <w:sz w:val="20"/>
          <w:szCs w:val="20"/>
          <w:color w:val="auto"/>
        </w:rPr>
      </w:pPr>
    </w:p>
    <w:p>
      <w:pPr>
        <w:ind w:left="720" w:hanging="712"/>
        <w:spacing w:after="0"/>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First Offer/Refusal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5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(the “</w:t>
      </w:r>
      <w:r>
        <w:rPr>
          <w:rFonts w:ascii="Times New Roman" w:cs="Times New Roman" w:eastAsia="Times New Roman" w:hAnsi="Times New Roman"/>
          <w:sz w:val="18"/>
          <w:szCs w:val="18"/>
          <w:u w:val="single" w:color="auto"/>
          <w:color w:val="auto"/>
        </w:rPr>
        <w:t>Offeree</w:t>
      </w:r>
      <w:r>
        <w:rPr>
          <w:rFonts w:ascii="Times New Roman" w:cs="Times New Roman" w:eastAsia="Times New Roman" w:hAnsi="Times New Roman"/>
          <w:sz w:val="18"/>
          <w:szCs w:val="18"/>
          <w:color w:val="auto"/>
        </w:rPr>
        <w:t>”) desires to Transfer all or any part of Offeree’s shares of Class B Stock (the “</w:t>
      </w:r>
      <w:r>
        <w:rPr>
          <w:rFonts w:ascii="Times New Roman" w:cs="Times New Roman" w:eastAsia="Times New Roman" w:hAnsi="Times New Roman"/>
          <w:sz w:val="18"/>
          <w:szCs w:val="18"/>
          <w:u w:val="single" w:color="auto"/>
          <w:color w:val="auto"/>
        </w:rPr>
        <w:t>Offered Stock</w:t>
      </w:r>
      <w:r>
        <w:rPr>
          <w:rFonts w:ascii="Times New Roman" w:cs="Times New Roman" w:eastAsia="Times New Roman" w:hAnsi="Times New Roman"/>
          <w:sz w:val="18"/>
          <w:szCs w:val="18"/>
          <w:color w:val="auto"/>
        </w:rPr>
        <w:t>”) to an unrelated third party that is not a Sibling Affiliated Stockholder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other than as permitted under Section 3 hereto (in which case, for the avoidance of doubt, this Section 6 will not apply), prior to soliciting an offer to buy the Offered Stock from or entering into any discussions or negotiations with any such Third Party, the Offeree shall first give notice of such desire to sell the Offered Stock to the Sibling to whom the Offeree is a Sibling Affiliated Stockholder (the “</w:t>
      </w:r>
      <w:r>
        <w:rPr>
          <w:rFonts w:ascii="Times New Roman" w:cs="Times New Roman" w:eastAsia="Times New Roman" w:hAnsi="Times New Roman"/>
          <w:sz w:val="18"/>
          <w:szCs w:val="18"/>
          <w:u w:val="single" w:color="auto"/>
          <w:color w:val="auto"/>
        </w:rPr>
        <w:t>Sibling Notice</w:t>
      </w:r>
      <w:r>
        <w:rPr>
          <w:rFonts w:ascii="Times New Roman" w:cs="Times New Roman" w:eastAsia="Times New Roman" w:hAnsi="Times New Roman"/>
          <w:sz w:val="18"/>
          <w:szCs w:val="18"/>
          <w:color w:val="auto"/>
        </w:rPr>
        <w:t>”), provided that if the Offeree is Rainer J. Westphal or a Sibling, no such Sibling Notice nor Sibling Election Period shall be required, and the Offeree may instead proceed to give the Initial Notice through the provisions of Section 6(b) hereof. Upon receipt of the Sibling Notice, the Sibling shall have the right, but not the obligation, to elect to purchase all or part of the Offered Stock (the “</w:t>
      </w:r>
      <w:r>
        <w:rPr>
          <w:rFonts w:ascii="Times New Roman" w:cs="Times New Roman" w:eastAsia="Times New Roman" w:hAnsi="Times New Roman"/>
          <w:sz w:val="18"/>
          <w:szCs w:val="18"/>
          <w:u w:val="single" w:color="auto"/>
          <w:color w:val="auto"/>
        </w:rPr>
        <w:t>Sibling Election Right</w:t>
      </w:r>
      <w:r>
        <w:rPr>
          <w:rFonts w:ascii="Times New Roman" w:cs="Times New Roman" w:eastAsia="Times New Roman" w:hAnsi="Times New Roman"/>
          <w:sz w:val="18"/>
          <w:szCs w:val="18"/>
          <w:color w:val="auto"/>
        </w:rPr>
        <w:t>”) or to extend the Sibling Election Right to such other of his or her Sibling Affiliated Stockholders in such proportions as the Sibling may elect in his or her sole discretion. Any such election by the Sibling or by one or more of his or her Sibling Affiliated Stockholders shall be made by giving notice of such election to the Offeree and each other Stockholder having the Sibling Election Right within ten (10) days from the Sibling’s receipt of the Sibling Notice (the “</w:t>
      </w:r>
      <w:r>
        <w:rPr>
          <w:rFonts w:ascii="Times New Roman" w:cs="Times New Roman" w:eastAsia="Times New Roman" w:hAnsi="Times New Roman"/>
          <w:sz w:val="18"/>
          <w:szCs w:val="18"/>
          <w:u w:val="single" w:color="auto"/>
          <w:color w:val="auto"/>
        </w:rPr>
        <w:t>Sibling Election Period</w:t>
      </w:r>
      <w:r>
        <w:rPr>
          <w:rFonts w:ascii="Times New Roman" w:cs="Times New Roman" w:eastAsia="Times New Roman" w:hAnsi="Times New Roman"/>
          <w:sz w:val="18"/>
          <w:szCs w:val="18"/>
          <w:color w:val="auto"/>
        </w:rPr>
        <w:t>”). In the event that any Stockholder does not exercise his, her or its Sibling Election Right within the Sibling Election Period, then such Stockholder shall be deemed to have irrevocably waived his, her or its right to elect to purchase shares of Offered Stock during the Sibling Election Period and during the subsequent Initial Election Period and Secondary Election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656"/>
        <w:spacing w:after="0" w:line="253" w:lineRule="auto"/>
        <w:tabs>
          <w:tab w:leader="none" w:pos="14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date that is the earlier of the conclusion of the election period or the receipt by the Offeree of a notice of election or express notice in writing rejecting the offer to purchase Offered Stock from each Stockholder having an election right associated with such election period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related to the Sibling Election Period, if there remains any Offered Stock that has not yet been elected to be purchased (the “</w:t>
      </w:r>
      <w:r>
        <w:rPr>
          <w:rFonts w:ascii="Times New Roman" w:cs="Times New Roman" w:eastAsia="Times New Roman" w:hAnsi="Times New Roman"/>
          <w:sz w:val="18"/>
          <w:szCs w:val="18"/>
          <w:u w:val="single" w:color="auto"/>
          <w:color w:val="auto"/>
        </w:rPr>
        <w:t>Remaining Offered Stock</w:t>
      </w:r>
      <w:r>
        <w:rPr>
          <w:rFonts w:ascii="Times New Roman" w:cs="Times New Roman" w:eastAsia="Times New Roman" w:hAnsi="Times New Roman"/>
          <w:sz w:val="18"/>
          <w:szCs w:val="18"/>
          <w:color w:val="auto"/>
        </w:rPr>
        <w:t>”), the Offeree shall give notice to the Remaining Stockholders who have not previously waived their right to elect to purchase shares of Offered Stock (the “</w:t>
      </w:r>
      <w:r>
        <w:rPr>
          <w:rFonts w:ascii="Times New Roman" w:cs="Times New Roman" w:eastAsia="Times New Roman" w:hAnsi="Times New Roman"/>
          <w:sz w:val="18"/>
          <w:szCs w:val="18"/>
          <w:u w:val="single" w:color="auto"/>
          <w:color w:val="auto"/>
        </w:rPr>
        <w:t>Eligible Remaining Stockholders</w:t>
      </w:r>
      <w:r>
        <w:rPr>
          <w:rFonts w:ascii="Times New Roman" w:cs="Times New Roman" w:eastAsia="Times New Roman" w:hAnsi="Times New Roman"/>
          <w:sz w:val="18"/>
          <w:szCs w:val="18"/>
          <w:color w:val="auto"/>
        </w:rPr>
        <w:t>”) and to the Company (the “</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Upon receipt of the Initial Notice from the Offeree, the Eligible Remaining Stockholders shall each have the right, but not the obligation, to elect to purchase a number of shares, up to each Eligible Remaining Stockholder’s Proportionate Share, of the Remaining Offered Stock (the “</w:t>
      </w:r>
      <w:r>
        <w:rPr>
          <w:rFonts w:ascii="Times New Roman" w:cs="Times New Roman" w:eastAsia="Times New Roman" w:hAnsi="Times New Roman"/>
          <w:sz w:val="18"/>
          <w:szCs w:val="18"/>
          <w:u w:val="single" w:color="auto"/>
          <w:color w:val="auto"/>
        </w:rPr>
        <w:t>Initial Election Right</w:t>
      </w:r>
      <w:r>
        <w:rPr>
          <w:rFonts w:ascii="Times New Roman" w:cs="Times New Roman" w:eastAsia="Times New Roman" w:hAnsi="Times New Roman"/>
          <w:sz w:val="18"/>
          <w:szCs w:val="18"/>
          <w:color w:val="auto"/>
        </w:rPr>
        <w:t>”), by giving notice of such election to the Offeree and each other Stockholder having the Initial Election Right (the “</w:t>
      </w:r>
      <w:r>
        <w:rPr>
          <w:rFonts w:ascii="Times New Roman" w:cs="Times New Roman" w:eastAsia="Times New Roman" w:hAnsi="Times New Roman"/>
          <w:sz w:val="18"/>
          <w:szCs w:val="18"/>
          <w:u w:val="single" w:color="auto"/>
          <w:color w:val="auto"/>
        </w:rPr>
        <w:t>Initial Notice of Election</w:t>
      </w:r>
      <w:r>
        <w:rPr>
          <w:rFonts w:ascii="Times New Roman" w:cs="Times New Roman" w:eastAsia="Times New Roman" w:hAnsi="Times New Roman"/>
          <w:sz w:val="18"/>
          <w:szCs w:val="18"/>
          <w:color w:val="auto"/>
        </w:rPr>
        <w:t>”) within thirty (30) days from the receipt of the Initial Notice (the “</w:t>
      </w:r>
      <w:r>
        <w:rPr>
          <w:rFonts w:ascii="Times New Roman" w:cs="Times New Roman" w:eastAsia="Times New Roman" w:hAnsi="Times New Roman"/>
          <w:sz w:val="18"/>
          <w:szCs w:val="18"/>
          <w:u w:val="single" w:color="auto"/>
          <w:color w:val="auto"/>
        </w:rPr>
        <w:t>Initial Election Period</w:t>
      </w:r>
      <w:r>
        <w:rPr>
          <w:rFonts w:ascii="Times New Roman" w:cs="Times New Roman" w:eastAsia="Times New Roman" w:hAnsi="Times New Roman"/>
          <w:sz w:val="18"/>
          <w:szCs w:val="18"/>
          <w:color w:val="auto"/>
        </w:rPr>
        <w:t>”). In the event that any Eligible Remaining Stockholder does not exercise his, her or its Initial Election Right within the Initial Election Period, then such Eligible Remaining Stockholder shall be deemed to have irrevocably waived his, her or its right to elect to purchase shares of Remaining Offered Stock during the Initial Election Period and during the subsequent Secondary Election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47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related to the Initial Election Period, if there exists any Remaining Offered Stock, the Offeree shall give notice of the Remaining Offered Stock to the Eligible Remaining Stockholders and to the Company (the “</w:t>
      </w:r>
      <w:r>
        <w:rPr>
          <w:rFonts w:ascii="Times New Roman" w:cs="Times New Roman" w:eastAsia="Times New Roman" w:hAnsi="Times New Roman"/>
          <w:sz w:val="18"/>
          <w:szCs w:val="18"/>
          <w:u w:val="single" w:color="auto"/>
          <w:color w:val="auto"/>
        </w:rPr>
        <w:t>Secondary Notice</w:t>
      </w:r>
      <w:r>
        <w:rPr>
          <w:rFonts w:ascii="Times New Roman" w:cs="Times New Roman" w:eastAsia="Times New Roman" w:hAnsi="Times New Roman"/>
          <w:sz w:val="18"/>
          <w:szCs w:val="18"/>
          <w:color w:val="auto"/>
        </w:rPr>
        <w:t>”). Upon receipt of the Secondary Notice, the Eligible Remaining Stockholders shall each have the right, but not the obligation, to elect to purchase a number of shares up to each Eligible Remaining Stockholder’s Proportionate Share, of the Remaining Offered Stock plus any or all Remaining Offered Stock that the other Eligible Remaining Stockholders do not elect to purchase, (the “</w:t>
      </w:r>
      <w:r>
        <w:rPr>
          <w:rFonts w:ascii="Times New Roman" w:cs="Times New Roman" w:eastAsia="Times New Roman" w:hAnsi="Times New Roman"/>
          <w:sz w:val="18"/>
          <w:szCs w:val="18"/>
          <w:u w:val="single" w:color="auto"/>
          <w:color w:val="auto"/>
        </w:rPr>
        <w:t>Secondary Election Right</w:t>
      </w:r>
      <w:r>
        <w:rPr>
          <w:rFonts w:ascii="Times New Roman" w:cs="Times New Roman" w:eastAsia="Times New Roman" w:hAnsi="Times New Roman"/>
          <w:sz w:val="18"/>
          <w:szCs w:val="18"/>
          <w:color w:val="auto"/>
        </w:rPr>
        <w:t>”), by giving notice of such election to the Offeree and each other Stockholder having the Secondary Election Right (the “</w:t>
      </w:r>
      <w:r>
        <w:rPr>
          <w:rFonts w:ascii="Times New Roman" w:cs="Times New Roman" w:eastAsia="Times New Roman" w:hAnsi="Times New Roman"/>
          <w:sz w:val="18"/>
          <w:szCs w:val="18"/>
          <w:u w:val="single" w:color="auto"/>
          <w:color w:val="auto"/>
        </w:rPr>
        <w:t>Secondary Notice of Election</w:t>
      </w:r>
      <w:r>
        <w:rPr>
          <w:rFonts w:ascii="Times New Roman" w:cs="Times New Roman" w:eastAsia="Times New Roman" w:hAnsi="Times New Roman"/>
          <w:sz w:val="18"/>
          <w:szCs w:val="18"/>
          <w:color w:val="auto"/>
        </w:rPr>
        <w:t>”) within ten (10) days from the receipt of the Secondary Notice. If any Remaining Offered Stock is over-subscribed by the Eligible Remaining Stockholders at the conclusion of such ten (10) days, any Eligible Remaining Stockholders who have previously given a Secondary Notice of Election shall each be permitted to elect to purchase their Proportionate Share, or such other amount to which such subscribing Eligible Remaining Stockholders all agree, of the over-subscribed Remaining Offered Stock, by giving an updated Secondary Notice of Election within fifteen (15) days from the receipt of the Secondary Notice (the “</w:t>
      </w:r>
      <w:r>
        <w:rPr>
          <w:rFonts w:ascii="Times New Roman" w:cs="Times New Roman" w:eastAsia="Times New Roman" w:hAnsi="Times New Roman"/>
          <w:sz w:val="18"/>
          <w:szCs w:val="18"/>
          <w:u w:val="single" w:color="auto"/>
          <w:color w:val="auto"/>
        </w:rPr>
        <w:t>Secondary Election Period</w:t>
      </w:r>
      <w:r>
        <w:rPr>
          <w:rFonts w:ascii="Times New Roman" w:cs="Times New Roman" w:eastAsia="Times New Roman" w:hAnsi="Times New Roman"/>
          <w:sz w:val="18"/>
          <w:szCs w:val="18"/>
          <w:color w:val="auto"/>
        </w:rPr>
        <w:t>”). In the event that any Stockholder does not exercise his, her or its Secondary Election Right within the Secondary Election Period, then such Stockholder shall be deemed to have irrevocably waived his, her or its right to elect to purchase shares of Offered Stock during the Secondary Election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56"/>
        <w:spacing w:after="0" w:line="254" w:lineRule="auto"/>
        <w:tabs>
          <w:tab w:leader="none" w:pos="13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related to the Secondary Election Period, if there exists any Remaining Offered Stock, the Offeree shall give notice of the Remaining Offered Stock to the Company (the “</w:t>
      </w:r>
      <w:r>
        <w:rPr>
          <w:rFonts w:ascii="Times New Roman" w:cs="Times New Roman" w:eastAsia="Times New Roman" w:hAnsi="Times New Roman"/>
          <w:sz w:val="18"/>
          <w:szCs w:val="18"/>
          <w:u w:val="single" w:color="auto"/>
          <w:color w:val="auto"/>
        </w:rPr>
        <w:t>Company Notice</w:t>
      </w:r>
      <w:r>
        <w:rPr>
          <w:rFonts w:ascii="Times New Roman" w:cs="Times New Roman" w:eastAsia="Times New Roman" w:hAnsi="Times New Roman"/>
          <w:sz w:val="18"/>
          <w:szCs w:val="18"/>
          <w:color w:val="auto"/>
        </w:rPr>
        <w:t>”). Upon receipt of the Company Notice, the Company shall have the right, but not the obligation, to elect to purchase all, but not less than all, of the Remaining Offered Stock, (the “</w:t>
      </w:r>
      <w:r>
        <w:rPr>
          <w:rFonts w:ascii="Times New Roman" w:cs="Times New Roman" w:eastAsia="Times New Roman" w:hAnsi="Times New Roman"/>
          <w:sz w:val="18"/>
          <w:szCs w:val="18"/>
          <w:u w:val="single" w:color="auto"/>
          <w:color w:val="auto"/>
        </w:rPr>
        <w:t>Company Election Right</w:t>
      </w:r>
      <w:r>
        <w:rPr>
          <w:rFonts w:ascii="Times New Roman" w:cs="Times New Roman" w:eastAsia="Times New Roman" w:hAnsi="Times New Roman"/>
          <w:sz w:val="18"/>
          <w:szCs w:val="18"/>
          <w:color w:val="auto"/>
        </w:rPr>
        <w:t>”), by giving notice of such election to the Offeree within fifteen (15) days from the receipt of the Company Notice (the “</w:t>
      </w:r>
      <w:r>
        <w:rPr>
          <w:rFonts w:ascii="Times New Roman" w:cs="Times New Roman" w:eastAsia="Times New Roman" w:hAnsi="Times New Roman"/>
          <w:sz w:val="18"/>
          <w:szCs w:val="18"/>
          <w:u w:val="single" w:color="auto"/>
          <w:color w:val="auto"/>
        </w:rPr>
        <w:t>Company Election Period</w:t>
      </w:r>
      <w:r>
        <w:rPr>
          <w:rFonts w:ascii="Times New Roman" w:cs="Times New Roman" w:eastAsia="Times New Roman" w:hAnsi="Times New Roman"/>
          <w:sz w:val="18"/>
          <w:szCs w:val="18"/>
          <w:color w:val="auto"/>
        </w:rPr>
        <w:t>”). In determining whether or not the Company shall purchase the Remaining Offered Stock, the Offeree (as a member of the Board, Stockholder or otherwise) shall not participate in the Company’s decision-making process. In the event that the Company does not exercise its Company Election Right within the Company Election Period, then the Company shall be deemed to have irrevocably waived its right to elect to purchase the Remaining Offered Stock during the Company Election Period.</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3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related to the Company Election Period, if there exists any Remaining Offered Stock, then the Offeree may seek a bona fide offer in writing from a Third Party (an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the Remaining Offered Stock.</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5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Stockholder (whether or not an Offeree) receives an Offer to purchase all or any part of the Stockholder’s Class B Stock, the Stockholder shall promptly forward the Offer to the Board. In the event that the Offer relates to Class B Stock that has not previously been offered to the Sibling to whom the Offeree is a Sibling Affiliated Stockholder, the Remaining Stockholders and Company, as applicable through the procedures of Sections 6(a) through 6(d) hereto, and the Stockholder desires to accept the Offer, the Stockholder’s Class B Stock that is subject to the Offer shall be deemed Offered Stock, the Stockholder shall be deemed an Offeree under this Agreement and the Sibling to whom the Offeree is a Sibling Affiliated Stockholder, the Remaining Stockholders and the Company, as applicable, shall have the opportunity to purchase such shares of Offered Stock through the procedures under Sections 6(a) through 6(d) hereof. If all of the Offered Stock is not purchased through the procedures under Sections 6(a) through 6(d) hereof by the Sibling to whom the Offeree is a Sibling Affiliated Stockholder, the Remaining Stockholders or the Company, as applicable, then any Remaining Offered Stock may be sold by the Offeree to the Third Party, and any Remaining Offered Stock so sold to the Third Party shall automatically convert into Class A Stock in accordance with the Company’s Certificate of Incorporation, as it may be amended and restated from time to time.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Termination Date related to any Company Election Period there exists any Remaining Offered Stock, and all such Remaining Offered Stock is not Transferred to a Third Party within fifteen (15) days of such Termination Date, such Offer shall be deemed to have expired and any Remaining Offered Stock must be reoffered to the Sibling to whom the Offeree is a Sibling Affiliated Stockholder, the Remaining Stockholders and the Company, as applicable, through the procedures of Sections 6(a) through 6(d) hereof before it may be Transferred to any Third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ind w:right="20" w:firstLine="656"/>
        <w:spacing w:after="0" w:line="282" w:lineRule="auto"/>
        <w:tabs>
          <w:tab w:leader="none" w:pos="1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purchases and sales of shares of Class B Stock pursuant to this Section 6 shall occur at a sale price equal to the Applicable Market Value and shall be settled:</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private placement, within three (3) Business Days; and</w:t>
      </w:r>
    </w:p>
    <w:p>
      <w:pPr>
        <w:spacing w:after="0" w:line="22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public offering pursuant to a registration, within the number of Business Days specified in the applicable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w:t>
      </w:r>
    </w:p>
    <w:p>
      <w:pPr>
        <w:spacing w:after="0" w:line="206"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an Individual Stockholder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death of an Individual Stockholder (the “</w:t>
      </w:r>
      <w:r>
        <w:rPr>
          <w:rFonts w:ascii="Times New Roman" w:cs="Times New Roman" w:eastAsia="Times New Roman" w:hAnsi="Times New Roman"/>
          <w:sz w:val="18"/>
          <w:szCs w:val="18"/>
          <w:u w:val="single" w:color="auto"/>
          <w:color w:val="auto"/>
        </w:rPr>
        <w:t>Decedent</w:t>
      </w:r>
      <w:r>
        <w:rPr>
          <w:rFonts w:ascii="Times New Roman" w:cs="Times New Roman" w:eastAsia="Times New Roman" w:hAnsi="Times New Roman"/>
          <w:sz w:val="18"/>
          <w:szCs w:val="18"/>
          <w:color w:val="auto"/>
        </w:rPr>
        <w:t>”), upon the subsequent occurrence of any attempt to Transfer any of Decedent’s Class B Stock other than as permitted under Section 3(a) (such attempted Transfer, the “</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the shares of Decedent’s Class B Stock subject to such attempted Transfer shall be deemed Offered Stock and the Decedent’s estate shall be deemed an Offeree for purposes of this Section 7.</w:t>
      </w:r>
    </w:p>
    <w:p>
      <w:pPr>
        <w:spacing w:after="0" w:line="179" w:lineRule="exact"/>
        <w:rPr>
          <w:rFonts w:ascii="Times New Roman" w:cs="Times New Roman" w:eastAsia="Times New Roman" w:hAnsi="Times New Roman"/>
          <w:sz w:val="18"/>
          <w:szCs w:val="18"/>
          <w:color w:val="auto"/>
        </w:rPr>
      </w:pPr>
    </w:p>
    <w:p>
      <w:pPr>
        <w:ind w:firstLine="656"/>
        <w:spacing w:after="0" w:line="261" w:lineRule="auto"/>
        <w:tabs>
          <w:tab w:leader="none" w:pos="140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2009 Trust for the benefit of the Offeree shall have the right, but not the obligation, to elect to purchase some or all of the Offered Stock (the “</w:t>
      </w:r>
      <w:r>
        <w:rPr>
          <w:rFonts w:ascii="Times New Roman" w:cs="Times New Roman" w:eastAsia="Times New Roman" w:hAnsi="Times New Roman"/>
          <w:sz w:val="18"/>
          <w:szCs w:val="18"/>
          <w:u w:val="single" w:color="auto"/>
          <w:color w:val="auto"/>
        </w:rPr>
        <w:t>2009 Trust Election Right</w:t>
      </w:r>
      <w:r>
        <w:rPr>
          <w:rFonts w:ascii="Times New Roman" w:cs="Times New Roman" w:eastAsia="Times New Roman" w:hAnsi="Times New Roman"/>
          <w:sz w:val="18"/>
          <w:szCs w:val="18"/>
          <w:color w:val="auto"/>
        </w:rPr>
        <w:t>”) by giving notice of such election to the Offeree (the “</w:t>
      </w:r>
      <w:r>
        <w:rPr>
          <w:rFonts w:ascii="Times New Roman" w:cs="Times New Roman" w:eastAsia="Times New Roman" w:hAnsi="Times New Roman"/>
          <w:sz w:val="18"/>
          <w:szCs w:val="18"/>
          <w:u w:val="single" w:color="auto"/>
          <w:color w:val="auto"/>
        </w:rPr>
        <w:t>2009 Trust Notice of Election</w:t>
      </w:r>
      <w:r>
        <w:rPr>
          <w:rFonts w:ascii="Times New Roman" w:cs="Times New Roman" w:eastAsia="Times New Roman" w:hAnsi="Times New Roman"/>
          <w:sz w:val="18"/>
          <w:szCs w:val="18"/>
          <w:color w:val="auto"/>
        </w:rPr>
        <w:t>”) within twenty</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days from the Triggering Event (the “</w:t>
      </w:r>
      <w:r>
        <w:rPr>
          <w:rFonts w:ascii="Times New Roman" w:cs="Times New Roman" w:eastAsia="Times New Roman" w:hAnsi="Times New Roman"/>
          <w:sz w:val="18"/>
          <w:szCs w:val="18"/>
          <w:u w:val="single" w:color="auto"/>
          <w:color w:val="auto"/>
        </w:rPr>
        <w:t>2009 Trust Election Period</w:t>
      </w:r>
      <w:r>
        <w:rPr>
          <w:rFonts w:ascii="Times New Roman" w:cs="Times New Roman" w:eastAsia="Times New Roman" w:hAnsi="Times New Roman"/>
          <w:sz w:val="18"/>
          <w:szCs w:val="18"/>
          <w:color w:val="auto"/>
        </w:rPr>
        <w:t>”). In the event that such 2009 Trust does not exercise its 2009 Trust Election Right within the 2009 Trust Election Period, then such 2009 Trust shall be deemed to have irrevocably waived its right to elect to purchase shares of Offered Stock during the 2009 Trust Election Period.</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47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related to the 2009 Trust Election Period, the Offeree shall notify or cause such 2009 Trust to notify the Company and the Remaining Stockholders of the decision of such 2009 Trust as to the extent to which it will exercise its 2009 Trust Election Right (the “</w:t>
      </w:r>
      <w:r>
        <w:rPr>
          <w:rFonts w:ascii="Times New Roman" w:cs="Times New Roman" w:eastAsia="Times New Roman" w:hAnsi="Times New Roman"/>
          <w:sz w:val="18"/>
          <w:szCs w:val="18"/>
          <w:u w:val="single" w:color="auto"/>
          <w:color w:val="auto"/>
        </w:rPr>
        <w:t>2009 Trust Notice</w:t>
      </w:r>
      <w:r>
        <w:rPr>
          <w:rFonts w:ascii="Times New Roman" w:cs="Times New Roman" w:eastAsia="Times New Roman" w:hAnsi="Times New Roman"/>
          <w:sz w:val="18"/>
          <w:szCs w:val="18"/>
          <w:color w:val="auto"/>
        </w:rPr>
        <w:t>”). If there exists any Remaining Offered Stock, the 2001 Trusts established by the Decedent shall then have the right, but not the obligation, to elect to purchase (in equal shares, or in such other proportions as such 2001 Trusts shall agree among themselves) some or all of the Remaining Offered Stock (the “</w:t>
      </w:r>
      <w:r>
        <w:rPr>
          <w:rFonts w:ascii="Times New Roman" w:cs="Times New Roman" w:eastAsia="Times New Roman" w:hAnsi="Times New Roman"/>
          <w:sz w:val="18"/>
          <w:szCs w:val="18"/>
          <w:u w:val="single" w:color="auto"/>
          <w:color w:val="auto"/>
        </w:rPr>
        <w:t>2001 Trust Election Right</w:t>
      </w:r>
      <w:r>
        <w:rPr>
          <w:rFonts w:ascii="Times New Roman" w:cs="Times New Roman" w:eastAsia="Times New Roman" w:hAnsi="Times New Roman"/>
          <w:sz w:val="18"/>
          <w:szCs w:val="18"/>
          <w:color w:val="auto"/>
        </w:rPr>
        <w:t>”) by giving notice of such election to the Offeree, the Remaining Stockholders and the Company (the “</w:t>
      </w:r>
      <w:r>
        <w:rPr>
          <w:rFonts w:ascii="Times New Roman" w:cs="Times New Roman" w:eastAsia="Times New Roman" w:hAnsi="Times New Roman"/>
          <w:sz w:val="18"/>
          <w:szCs w:val="18"/>
          <w:u w:val="single" w:color="auto"/>
          <w:color w:val="auto"/>
        </w:rPr>
        <w:t>2001 Trust Notice of Election</w:t>
      </w:r>
      <w:r>
        <w:rPr>
          <w:rFonts w:ascii="Times New Roman" w:cs="Times New Roman" w:eastAsia="Times New Roman" w:hAnsi="Times New Roman"/>
          <w:sz w:val="18"/>
          <w:szCs w:val="18"/>
          <w:color w:val="auto"/>
        </w:rPr>
        <w:t>”) within twenty (20) days of the receipt of the 2009 Trust Notice (the “</w:t>
      </w:r>
      <w:r>
        <w:rPr>
          <w:rFonts w:ascii="Times New Roman" w:cs="Times New Roman" w:eastAsia="Times New Roman" w:hAnsi="Times New Roman"/>
          <w:sz w:val="18"/>
          <w:szCs w:val="18"/>
          <w:u w:val="single" w:color="auto"/>
          <w:color w:val="auto"/>
        </w:rPr>
        <w:t>2001 Trust Election Period</w:t>
      </w:r>
      <w:r>
        <w:rPr>
          <w:rFonts w:ascii="Times New Roman" w:cs="Times New Roman" w:eastAsia="Times New Roman" w:hAnsi="Times New Roman"/>
          <w:sz w:val="18"/>
          <w:szCs w:val="18"/>
          <w:color w:val="auto"/>
        </w:rPr>
        <w:t>”). In the event that any such 2001 Trust does not exercise its 2001 Trust Election Right within the 2001 Trust Election Period, then such 2001 Trust shall be deemed to have irrevocably waived its right to elect to purchase shares of Offered Stock during the 2001 Trust Election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related to the 2001 Trust Election Period, the Offeree shall notify or cause such 2001 Trusts to notify the Company and the Remaining Stockholders of the decision of such 2001 Trusts as to the extent to which they will exercise their 2001 Trust Election Right (the “</w:t>
      </w:r>
      <w:r>
        <w:rPr>
          <w:rFonts w:ascii="Times New Roman" w:cs="Times New Roman" w:eastAsia="Times New Roman" w:hAnsi="Times New Roman"/>
          <w:sz w:val="18"/>
          <w:szCs w:val="18"/>
          <w:u w:val="single" w:color="auto"/>
          <w:color w:val="auto"/>
        </w:rPr>
        <w:t>2001 Trust Notice</w:t>
      </w:r>
      <w:r>
        <w:rPr>
          <w:rFonts w:ascii="Times New Roman" w:cs="Times New Roman" w:eastAsia="Times New Roman" w:hAnsi="Times New Roman"/>
          <w:sz w:val="18"/>
          <w:szCs w:val="18"/>
          <w:color w:val="auto"/>
        </w:rPr>
        <w:t>”). If there exists any Remaining Offered Stock, such Remaining Offered Stock shall be deemed Offered Stock and the Offeree shall be deemed an Offeree for purposes of Section 6 hereof, and the Sibling to whom the Offeree is a Sibling Affiliated Stockholder, the Remaining Stockholders and the Company, as applicable, shall have the opportunity to purchase shares of Offered Stock through the procedures under Sections 6(a) through 6(d) hereof, after which, the Offeree shall have the opportunity to seek the Transfer of any Remaining Offered Stock to a Third Party through the procedures under Sections 6(e) through 6(g) hereof.</w:t>
      </w:r>
    </w:p>
    <w:p>
      <w:pPr>
        <w:spacing w:after="0" w:line="188"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purchases and sales of shares of Class B Stock pursuant to this Section 7 shall be upon the sale terms set forth in Section 6(h)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720" w:hanging="712"/>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or Insolvency of a Stockholder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petition in bankruptcy is filed by or against a Stockholder and not dismissed within sixty (60) days from the date of filing, a Stockholder makes an assignment for the benefit of creditors, or all or substantially all of the real or personal property of a Stockholder is levied upon or sold in any judicial proceedings, any such event shall be deemed a Triggering Event, such Stockholder’s shares of Class B Stock shall be deemed Offered Stock and such Stockholder shall be deemed an Offeree for the purposes of Section 7 hereof and such Stockholder shall give prompt notice thereof to the Remaining Stockholders and the Company. The Remaining Stockholders and the Company shall then have the opportunity to purchase shares of Offered Stock</w:t>
      </w:r>
    </w:p>
    <w:p>
      <w:pPr>
        <w:spacing w:after="0" w:line="5"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procedures set forth in Sections 7(b) through 7(d) hereof, except that (i) references to the 2009 Trust in Sections 7(b) through 7(d) shall be deemed to refer to the 2009 Trust for the benefit of the Sibling to whom the Offeree is a Sibling Affiliated Stockholder and (ii) references to the 2001 Trusts shall be deemed to refer to the 2001 Trusts established by the Sibling to whom the Offeree is a Sibling Affiliated Stockholder.</w:t>
      </w:r>
    </w:p>
    <w:p>
      <w:pPr>
        <w:spacing w:after="0" w:line="185" w:lineRule="exact"/>
        <w:rPr>
          <w:rFonts w:ascii="Times New Roman" w:cs="Times New Roman" w:eastAsia="Times New Roman" w:hAnsi="Times New Roman"/>
          <w:sz w:val="18"/>
          <w:szCs w:val="18"/>
          <w:color w:val="auto"/>
        </w:rPr>
      </w:pPr>
    </w:p>
    <w:p>
      <w:pPr>
        <w:ind w:left="1820" w:hanging="1164"/>
        <w:spacing w:after="0"/>
        <w:tabs>
          <w:tab w:leader="none" w:pos="18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purchases and sales of shares of Class B Stock pursuant to this Section 8 shall be upon the sales terms set forth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6(h) hereof.</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purported Transfer of such bankrupt or insolvent Stockholder’s shares of Class B Stock other than through this Section 8, whether involuntary or otherwise, shall not be given effect, shall be null and void, and the Company shall not be required to record such Transfer on its books and records.</w:t>
      </w:r>
    </w:p>
    <w:p>
      <w:pPr>
        <w:spacing w:after="0" w:line="17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140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desires to issue, in a transaction exempt from registration under the Securities Act, any new shares of Class A Stock (or any securities convertible into, exercisable for, or exchangeable for Class A Stock) other than securities issued to any director, employee or consultant of or to the Company or any of its Subsidiaries pursuant to an equity-incentive plan approved by the Board and securities issued in connection with stock splits, stock dividends, in-kind equity distributions, recapitalizations and stockholders’ rights plans (collectively,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and, deemed for purposes of this Section 9, Offered Stock), the Company shall first provide written notice of such desire to issue the Offered Stock to each Stockholder at least ten (10) days prior to such proposed issuance, which notice shall set forth a description of the Offered Stock, the price and terms upon which the Company proposes to issue the Offered Stock, the number of shares of Offered Stock equal to such Stockholder’s Proportionate Share and the aggregate purchase price therefor (the “</w:t>
      </w:r>
      <w:r>
        <w:rPr>
          <w:rFonts w:ascii="Times New Roman" w:cs="Times New Roman" w:eastAsia="Times New Roman" w:hAnsi="Times New Roman"/>
          <w:sz w:val="18"/>
          <w:szCs w:val="18"/>
          <w:u w:val="single" w:color="auto"/>
          <w:color w:val="auto"/>
        </w:rPr>
        <w:t>New Securities Initial Notice</w:t>
      </w:r>
      <w:r>
        <w:rPr>
          <w:rFonts w:ascii="Times New Roman" w:cs="Times New Roman" w:eastAsia="Times New Roman" w:hAnsi="Times New Roman"/>
          <w:sz w:val="18"/>
          <w:szCs w:val="18"/>
          <w:color w:val="auto"/>
        </w:rPr>
        <w:t>”). Upon receipt of the New Securities Initial Notice, the Stockholders shall each have the right, but not the obligation, to elect to purchase a number of shares, up to each Stockholder’s Proportionate Share, of the Offered Stock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Initial Election Right</w:t>
      </w:r>
      <w:r>
        <w:rPr>
          <w:rFonts w:ascii="Times New Roman" w:cs="Times New Roman" w:eastAsia="Times New Roman" w:hAnsi="Times New Roman"/>
          <w:sz w:val="18"/>
          <w:szCs w:val="18"/>
          <w:color w:val="auto"/>
        </w:rPr>
        <w:t>”), by giving notice of such election to the Company and each other Stockholder within five (5) days from the receipt of the New Securities Initial Notice (the “</w:t>
      </w:r>
      <w:r>
        <w:rPr>
          <w:rFonts w:ascii="Times New Roman" w:cs="Times New Roman" w:eastAsia="Times New Roman" w:hAnsi="Times New Roman"/>
          <w:sz w:val="18"/>
          <w:szCs w:val="18"/>
          <w:u w:val="single" w:color="auto"/>
          <w:color w:val="auto"/>
        </w:rPr>
        <w:t>New Securities Initial Election Period</w:t>
      </w:r>
      <w:r>
        <w:rPr>
          <w:rFonts w:ascii="Times New Roman" w:cs="Times New Roman" w:eastAsia="Times New Roman" w:hAnsi="Times New Roman"/>
          <w:sz w:val="18"/>
          <w:szCs w:val="18"/>
          <w:color w:val="auto"/>
        </w:rPr>
        <w:t>”). In the event that any Stockholder does not exercise his, her or its New Securities Initial Election Right within the New Securities Initial Election Period, then such Stockholder shall be deemed to have irrevocably waived his, her or its right to elect to purchase shares of Offered Stock during the New Securities Initial Election Period and during the subsequent New Securities Secondary Election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656"/>
        <w:spacing w:after="0" w:line="253" w:lineRule="auto"/>
        <w:tabs>
          <w:tab w:leader="none" w:pos="14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of the New Securities Initial Election Period, if there exists any Remaining Offered Stock, the Company shall give notice of the Remaining Offered Stock to the Eligible Remaining Stockholders (the “</w:t>
      </w:r>
      <w:r>
        <w:rPr>
          <w:rFonts w:ascii="Times New Roman" w:cs="Times New Roman" w:eastAsia="Times New Roman" w:hAnsi="Times New Roman"/>
          <w:sz w:val="18"/>
          <w:szCs w:val="18"/>
          <w:u w:val="single" w:color="auto"/>
          <w:color w:val="auto"/>
        </w:rPr>
        <w:t>New Securities Secondary Notice</w:t>
      </w:r>
      <w:r>
        <w:rPr>
          <w:rFonts w:ascii="Times New Roman" w:cs="Times New Roman" w:eastAsia="Times New Roman" w:hAnsi="Times New Roman"/>
          <w:sz w:val="18"/>
          <w:szCs w:val="18"/>
          <w:color w:val="auto"/>
        </w:rPr>
        <w:t>”). Upon receipt of the New Securities Secondary Notice, the Eligible Remaining Stockholders shall each have the right, but not the obligation, to elect to purchase a number of shares up to each Eligible Remaining Stockholder’s Proportionate Share, of the Remaining Offered Stock plus any or all Remaining Offered Stock that the other Eligible Remaining Stockholders do not elect to purchase (the “</w:t>
      </w:r>
      <w:r>
        <w:rPr>
          <w:rFonts w:ascii="Times New Roman" w:cs="Times New Roman" w:eastAsia="Times New Roman" w:hAnsi="Times New Roman"/>
          <w:sz w:val="18"/>
          <w:szCs w:val="18"/>
          <w:u w:val="single" w:color="auto"/>
          <w:color w:val="auto"/>
        </w:rPr>
        <w:t>New Securities Secondary Election Right</w:t>
      </w:r>
      <w:r>
        <w:rPr>
          <w:rFonts w:ascii="Times New Roman" w:cs="Times New Roman" w:eastAsia="Times New Roman" w:hAnsi="Times New Roman"/>
          <w:sz w:val="18"/>
          <w:szCs w:val="18"/>
          <w:color w:val="auto"/>
        </w:rPr>
        <w:t>”), by giving notice of such election to the Company and each other Eligible Remaining Stockholder (the “</w:t>
      </w:r>
      <w:r>
        <w:rPr>
          <w:rFonts w:ascii="Times New Roman" w:cs="Times New Roman" w:eastAsia="Times New Roman" w:hAnsi="Times New Roman"/>
          <w:sz w:val="18"/>
          <w:szCs w:val="18"/>
          <w:u w:val="single" w:color="auto"/>
          <w:color w:val="auto"/>
        </w:rPr>
        <w:t>New Securities Secondary Notice of Election</w:t>
      </w:r>
      <w:r>
        <w:rPr>
          <w:rFonts w:ascii="Times New Roman" w:cs="Times New Roman" w:eastAsia="Times New Roman" w:hAnsi="Times New Roman"/>
          <w:sz w:val="18"/>
          <w:szCs w:val="18"/>
          <w:color w:val="auto"/>
        </w:rPr>
        <w:t>”) within three (3) days from the receipt of the New Securities Secondary Notice. If any Remaining Offered Stock is over-subscribed by the Eligible Remaining Stockholders exercising their New Securities Secondary Election Right, any Eligible Remaining Stockholders who have previously given a New Securities Secondary Notice of Election shall each be permitted to elect to purchase their Proportionate Share, or such other amount to which such subscribing Eligible Remaining Stockholders all agree, of the over-subscribed Remaining Offered Stock, by giving an updated New Securities Secondary Notice of Election within two (2) days from the receipt of the New Securities Secondary Notice (the “</w:t>
      </w:r>
      <w:r>
        <w:rPr>
          <w:rFonts w:ascii="Times New Roman" w:cs="Times New Roman" w:eastAsia="Times New Roman" w:hAnsi="Times New Roman"/>
          <w:sz w:val="18"/>
          <w:szCs w:val="18"/>
          <w:u w:val="single" w:color="auto"/>
          <w:color w:val="auto"/>
        </w:rPr>
        <w:t>New Securities Secondary Election Period</w:t>
      </w:r>
      <w:r>
        <w:rPr>
          <w:rFonts w:ascii="Times New Roman" w:cs="Times New Roman" w:eastAsia="Times New Roman" w:hAnsi="Times New Roman"/>
          <w:sz w:val="18"/>
          <w:szCs w:val="18"/>
          <w:color w:val="auto"/>
        </w:rPr>
        <w:t>”). In the event that any Stockholder does not exercise his, her or its New Securities Secondary Election Right within the New Securities Secondary Election Period, then such Stockholder shall be deemed to have irrevocably waived his, her or its right to elect to purchase shares of Offered Stock during the New Securities Secondary Election Period.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1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purchases and sales of shares of New Securities pursuant to Sections 9(a) and 9(b) hereof shall occur at the sale price and upon the other terms specified in the New Securities Initial Notice and shall be settled:</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private placement, within three (3) Business Days; and</w:t>
      </w:r>
    </w:p>
    <w:p>
      <w:pPr>
        <w:spacing w:after="0" w:line="22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public offering pursuant to a registration, within the number of Business Days specified in the applicable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Date of the New Securities Secondary Election Period, if there exists any Remaining Offered Stock, the Company shall have seventy five (75) days thereafter (the “</w:t>
      </w:r>
      <w:r>
        <w:rPr>
          <w:rFonts w:ascii="Times New Roman" w:cs="Times New Roman" w:eastAsia="Times New Roman" w:hAnsi="Times New Roman"/>
          <w:sz w:val="18"/>
          <w:szCs w:val="18"/>
          <w:u w:val="single" w:color="auto"/>
          <w:color w:val="auto"/>
        </w:rPr>
        <w:t>New Securities Issuance Period</w:t>
      </w:r>
      <w:r>
        <w:rPr>
          <w:rFonts w:ascii="Times New Roman" w:cs="Times New Roman" w:eastAsia="Times New Roman" w:hAnsi="Times New Roman"/>
          <w:sz w:val="18"/>
          <w:szCs w:val="18"/>
          <w:color w:val="auto"/>
        </w:rPr>
        <w:t>”) to issue and sell the Remaining Offered Stock to one or more Third Parties at a price and upon such other terms no more favorable to the purchasers thereof than those specified in New Securities Initial Notice.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conclusion of the New Securities Issuance Period, if there exists any Remaining Offered Stock, such Remaining Offered Stock must be reoffered to the Stockholders through the procedures of Sections 9(a) through 9(b) hereof before the Company may issue and sell it to one or more Third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ind w:firstLine="656"/>
        <w:spacing w:after="0" w:line="282" w:lineRule="auto"/>
        <w:tabs>
          <w:tab w:leader="none" w:pos="158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rights granted by this Section 9 shall be exercisable only by “accredited investors” as defined under Section 501 of Regulation D of the Securities Act.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non-exercise of the rights of Stockholders under this Section 9 shall not adversely affect their rights to participate in subsequent offerings of New Securities subject to Section 9.</w:t>
      </w:r>
    </w:p>
    <w:p>
      <w:pPr>
        <w:spacing w:after="0" w:line="161"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Seats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 Individual Stockholder, together with his or her Sibling Affiliated Stockholders, holds at least five percent (5%) of all issued and outstanding shares of Common Stock, such Individual Stockholder shall have the right to designate one (1) individual (a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for nomination to the Board. The Company shall include, and shall use its best efforts to cause the Board (subject to the Board’s fiduciary duties), whether acting through the nominating and corporate governance committee or otherwise, to include, such Nominee, in the slate of nominees recommended to the Company’s stockholders for election as a director at the next annual or special meeting of stockholders at or by which directors of the Company are to be elected.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death of an Individual Stockholder, so long as the Sibling Affiliated Stockholders of such Individual Stockholder hold at least five percent (5%) of all issued and outstanding Common Stock, the Qualified Family Members of such Individual Stockholder shall collectively assume the right to designate a Nominee previously held by such Individual Stockholder pursuant to Section 10(a) hereof, which right shall be exercised in such Qualified Family Members’ discretion.</w:t>
      </w:r>
    </w:p>
    <w:p>
      <w:pPr>
        <w:spacing w:after="0" w:line="179"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elsewhere in this Agreement, control over the voting rights of any shares of Class B Stock held by Stockholders may be exercised only by Qualified Person(s) or the trustees of a Qualified Trust. Such Persons may exercise such voting rights</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person, (ii) by proxy, but only if the proxy holder is a Qualified Person, the trustee of a Qualified Trust, or an Applicable Proxy under Section 11(d) hereof, (iii) by written consent, or (iv) in any other matter permitted by applicable law, but only if the Person exercising such voting rights is a Qualified Person, the trustee of a Qualified Trust, or an Applicable Proxy under Section 11(d) hereof.</w:t>
      </w:r>
    </w:p>
    <w:p>
      <w:pPr>
        <w:spacing w:after="0" w:line="185" w:lineRule="exact"/>
        <w:rPr>
          <w:rFonts w:ascii="Times New Roman" w:cs="Times New Roman" w:eastAsia="Times New Roman" w:hAnsi="Times New Roman"/>
          <w:sz w:val="18"/>
          <w:szCs w:val="18"/>
          <w:color w:val="auto"/>
        </w:rPr>
      </w:pPr>
    </w:p>
    <w:p>
      <w:pPr>
        <w:ind w:right="20" w:firstLine="656"/>
        <w:spacing w:after="0" w:line="282" w:lineRule="auto"/>
        <w:tabs>
          <w:tab w:leader="none" w:pos="151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annual or special meeting of the stockholders of the Company involving the election of directors, each Stockholder shall be required to vote, or provide written consent on behalf of, all of his, her or its shares of Common Stock in favor of each Nominee to serve on the Board.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matters other than the election of directors, voting shall be discretionary at the option of each Stockholder.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656"/>
        <w:spacing w:after="0" w:line="252" w:lineRule="auto"/>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each Stockholder’s obligation to vote its, his or her shares in accordance with the provisions of Section 11(b) hereof (the “</w:t>
      </w:r>
      <w:r>
        <w:rPr>
          <w:rFonts w:ascii="Times New Roman" w:cs="Times New Roman" w:eastAsia="Times New Roman" w:hAnsi="Times New Roman"/>
          <w:sz w:val="18"/>
          <w:szCs w:val="18"/>
          <w:u w:val="single" w:color="auto"/>
          <w:color w:val="auto"/>
        </w:rPr>
        <w:t>Voting Obligations</w:t>
      </w:r>
      <w:r>
        <w:rPr>
          <w:rFonts w:ascii="Times New Roman" w:cs="Times New Roman" w:eastAsia="Times New Roman" w:hAnsi="Times New Roman"/>
          <w:sz w:val="18"/>
          <w:szCs w:val="18"/>
          <w:color w:val="auto"/>
        </w:rPr>
        <w:t>”), each Stockholder hereby constitutes and appoints, in connection with each vote pursuant to Section 11(b), the President of the Company and any other person designated by the Board, and each of them (the “</w:t>
      </w:r>
      <w:r>
        <w:rPr>
          <w:rFonts w:ascii="Times New Roman" w:cs="Times New Roman" w:eastAsia="Times New Roman" w:hAnsi="Times New Roman"/>
          <w:sz w:val="18"/>
          <w:szCs w:val="18"/>
          <w:u w:val="single" w:color="auto"/>
          <w:color w:val="auto"/>
        </w:rPr>
        <w:t>Applicable Proxy</w:t>
      </w:r>
      <w:r>
        <w:rPr>
          <w:rFonts w:ascii="Times New Roman" w:cs="Times New Roman" w:eastAsia="Times New Roman" w:hAnsi="Times New Roman"/>
          <w:sz w:val="18"/>
          <w:szCs w:val="18"/>
          <w:color w:val="auto"/>
        </w:rPr>
        <w:t>”) as his, her or its true and lawful proxy and attorney-in-fact, with full power of substitution, to represent and vote all of such Stockholder’s shares of Common Stock in accordance with such Stockholder’s Voting Obligations. The Applicable Proxy may exercise the irrevocable proxy granted to it hereunder at any time any Stockholder fails to vote (including by failing to cause such Stockholder’s shares to be present at the meeting) or attempts to vote (whether by proxy, in person or by written consent) in a manner that does not comply with the Voting Obligations. The proxies and powers granted by each Stockholder pursuant to this Section 11(d) are coupled with an interest and are given to secure the performance of the obligations under this Agreement. Such proxies and powers shall be irrevocable until the termination of this Agreement and shall, to the fullest extent permitted by law, survive the death, incompetency and disability of each such Stockholder who is an individual and the existence of each such Stockholder that is a trust or other entity. It is understood and agreed that the Applicable Proxy will not use such irrevocable proxy unless a Stockholder fails to vote (including by failing to cause such Stockholder’s shares to be present at the meeting) or attempts to vote (whether by proxy, in person or by written consent) in a manner that does not comply with the Voting Obligations and that, to the extent the Applicable Proxy uses such irrevocable proxy, it will only vote such Stockholder’s shares of Common Stock with respect to the matters specified in, and in accordance with the provisions of, Section 11(b). Except as otherwise permitted by this Agreement or by the Company’s Certificate of Incorporation, as it may be amended and restated from time to time, each Stockholder hereby revokes any and all previous proxies or powers of attorney with respect to such Stockholder’s shares and shall not hereafter, until the termination of this Agreement, grant, or purport to grant, any other proxy or power of attorney with respect to such shares, deposit any of such shares into a voting trust or enter into any agreement (other than this Agreement), arrangement or understanding with any person, directly or indirectly, to vote, grant any proxy or power of attorney or give instructions with respect to the voting of any of such shares, in each case, with respect to the Voting Obligations.</w:t>
      </w:r>
    </w:p>
    <w:p>
      <w:pPr>
        <w:spacing w:after="0" w:line="190"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Stockholder owns shares of Class B Stock, such Stockholder agrees that he, she or it shall not (in his, her or its capacity as a Stockholder), unless previously consented to by each member of the Board and the Stockholders holding at least a majority of the outstanding shares of Class B Stock, or otherwise permitted under this Agreement, effect, seek, offer or propose (whether publicly or otherwise) to effect, or announce any intention to effect or cause or participate in or in any way assist, facilitate or encourage any other Person to effect or seek, offer or propose (whether publicly or otherwise) to effect or participate in:</w:t>
      </w:r>
    </w:p>
    <w:p>
      <w:pPr>
        <w:spacing w:after="0" w:line="183"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201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any securities (or beneficial ownership thereof) of the Company or any of its Subsidiaries (except through the proper exercise of purchase rights granted hereunder), or rights or options to acquire any securities (or beneficial ownership thereof), other than through:</w:t>
      </w:r>
    </w:p>
    <w:p>
      <w:pPr>
        <w:spacing w:after="0" w:line="175" w:lineRule="exact"/>
        <w:rPr>
          <w:rFonts w:ascii="Times New Roman" w:cs="Times New Roman" w:eastAsia="Times New Roman" w:hAnsi="Times New Roman"/>
          <w:sz w:val="18"/>
          <w:szCs w:val="18"/>
          <w:color w:val="auto"/>
        </w:rPr>
      </w:pPr>
    </w:p>
    <w:p>
      <w:pPr>
        <w:ind w:left="1960" w:right="80" w:hanging="8"/>
        <w:spacing w:after="0" w:line="282" w:lineRule="auto"/>
        <w:tabs>
          <w:tab w:leader="none" w:pos="2630" w:val="left"/>
        </w:tabs>
        <w:numPr>
          <w:ilvl w:val="3"/>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purchases of up to an aggregate of two percent (2%) of issued and outstanding equity of the Company in any twelve (12) month period;</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3"/>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conversion of outstanding securities; or</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3"/>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from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left="1300" w:firstLine="4"/>
        <w:spacing w:after="0" w:line="266" w:lineRule="auto"/>
        <w:tabs>
          <w:tab w:leader="none" w:pos="2316"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or exchange offer, merger or other business combination involving the Company, any of the Subsidiaries or Affiliates or assets of the Company or the Subsidiaries or Affiliates constituting a significant portion of the consolidated assets of the Company and its Subsidiaries or Affiliates;</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2128"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restructuring, liquidation, dissolution or other extraordinary transaction with respect to the Company or any of its Subsidiaries or Affiliates; or</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2158"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“solicitation” of a “proxy” (as such terms are defined in Rule 14a-1 under the Exchange Act) or written consents with respect to any voting securities of the Company or any of its Affiliates.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further agrees that, if at any time during such period, such Stockholder is approached by any Person seeking such Stockholder’s participation in a matter of one of the types addressed in this Section 12, such Stockholder will promptly inform the Board of the nature of the matter and the parties involved.</w:t>
      </w:r>
    </w:p>
    <w:p>
      <w:pPr>
        <w:spacing w:after="0" w:line="175"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206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at any time at least one hundred and eighty (180) days following the consummation of the IPO, each Individual Stockholder, together with his or her Sibling Affiliated Group, shall be entitled to make up to ten requests to the Company for registration under and in accordance with the provisions of the Securities Act of all or part of their Registrable Securities (any such registration,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provided, however, that with respect to any Demand Registration:</w:t>
      </w:r>
    </w:p>
    <w:p>
      <w:pPr>
        <w:spacing w:after="0" w:line="179" w:lineRule="exact"/>
        <w:rPr>
          <w:rFonts w:ascii="Times New Roman" w:cs="Times New Roman" w:eastAsia="Times New Roman" w:hAnsi="Times New Roman"/>
          <w:sz w:val="18"/>
          <w:szCs w:val="18"/>
          <w:color w:val="auto"/>
        </w:rPr>
      </w:pPr>
    </w:p>
    <w:p>
      <w:pPr>
        <w:ind w:left="1960" w:right="420" w:hanging="8"/>
        <w:spacing w:after="0" w:line="282" w:lineRule="auto"/>
        <w:tabs>
          <w:tab w:leader="none" w:pos="2630" w:val="left"/>
        </w:tabs>
        <w:numPr>
          <w:ilvl w:val="3"/>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aggregate offering amount of the Registrable Securities covered by any Demand Registration shall exceed $50,000,000 (net of underwriting discounts and commissions); and</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3"/>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Sibling Affiliated Group shall be limited to one (1) such Demand Registration during each calendar year;</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6" w:lineRule="auto"/>
        <w:tabs>
          <w:tab w:leader="none" w:pos="2041"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days after receipt of any written request pursuant to this Section 13(a), the Company will give written notice of such request to all other holders of Registrable Securities and will use its reasonable best efforts to include in such registration all Registrable Securities (in accordance with the priorities set forth in Section 13(a)(iii) below) with respect to which the Company has received written requests for inclusion specifying the number of equity securities desired to be registered within ten (10) days after delivery of the Company’s notice, and, thereupon the Company will use its reasonable best efforts to effect, at the earliest possible date, the registration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left="644" w:firstLine="4"/>
        <w:spacing w:after="0" w:line="255" w:lineRule="auto"/>
        <w:tabs>
          <w:tab w:leader="none" w:pos="143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underwriters with respect to a Demand Registration advise the Company in writing that, in their opinion, the inclusion of the number of Registrable Securities and other securities requested to be included creates a substantial risk that the price per share of securities proposed to be included in the offering will be reduced due to the inclusion of such securities in the offering, the Company will include in such Demand Registration, prior to the inclusion of any securities which are not Registrable Securities, the number of such Registrable Securities that in the opinion of such underwriters can be sold without creating such a risk, pro rata among the respective holders of such Registrable Securities on the basis of the number of such Registrable Securities requested by such holders to be included in the applicable Demand Registration.</w:t>
      </w:r>
    </w:p>
    <w:p>
      <w:pPr>
        <w:spacing w:after="0" w:line="188" w:lineRule="exact"/>
        <w:rPr>
          <w:rFonts w:ascii="Times New Roman" w:cs="Times New Roman" w:eastAsia="Times New Roman" w:hAnsi="Times New Roman"/>
          <w:sz w:val="18"/>
          <w:szCs w:val="18"/>
          <w:color w:val="auto"/>
        </w:rPr>
      </w:pPr>
    </w:p>
    <w:p>
      <w:pPr>
        <w:jc w:val="both"/>
        <w:ind w:left="644" w:firstLine="4"/>
        <w:spacing w:after="0" w:line="255" w:lineRule="auto"/>
        <w:tabs>
          <w:tab w:leader="none" w:pos="158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Demand Registration, if the Board determines in good faith that such filing (i) would be materially detrimental to the Company, (ii) would require a disclosure of a material fact that might reasonably be expected to have a material adverse effect on the Company or any plan or proposal by the Company or any of its Subsidiaries to engage in any acquisition or disposition of assets or equity securities or any merger, consolidation, tender offer, material financing or other significant transaction,</w:t>
      </w:r>
    </w:p>
    <w:p>
      <w:pPr>
        <w:spacing w:after="0" w:line="2" w:lineRule="exact"/>
        <w:rPr>
          <w:rFonts w:ascii="Times New Roman" w:cs="Times New Roman" w:eastAsia="Times New Roman" w:hAnsi="Times New Roman"/>
          <w:sz w:val="18"/>
          <w:szCs w:val="18"/>
          <w:color w:val="auto"/>
        </w:rPr>
      </w:pPr>
    </w:p>
    <w:p>
      <w:pPr>
        <w:jc w:val="both"/>
        <w:ind w:left="644" w:firstLine="4"/>
        <w:spacing w:after="0" w:line="251" w:lineRule="auto"/>
        <w:tabs>
          <w:tab w:leader="none" w:pos="96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inadvisable because the Company is planning to prepare and file a registration statement for a primary offering by the Company of its securities (which determination by the Board shall be certified in writing by an executive officer of the Company to the holders of Registrable Securities who have requested a Demand Registration) or (iv) would require the Company to prepare audited financial statements as of a date other than its fiscal year end, then the Company may postpone for up to one hundred twenty (120) days the filing or the effectiveness of a registration statement for a Demand Registration; provided, that the Company may not on any of the foregoing grounds postpone the filing or effectiveness of a registration statement for a Demand Registration for more than one hundred twenty (120) days during any twelve (12) month period (unless the holders of a majority of the unsold Registrable Securities included in such registration statement and not previously sold thereunder consent in writing to a longer postponement of the filing or effectiveness of such registration statement).</w:t>
      </w:r>
    </w:p>
    <w:p>
      <w:pPr>
        <w:spacing w:after="0" w:line="191"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135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at least one hundred eighty (180) days following the consummation of the IPO, whenever the Company proposes to register any shares of Registrable Securities under the Securities Act for its own account or otherwise, including in response to a Demand Registration made through the procedures of Section 13(a) hereof, and the registration form to be used may be used for the registration of Registrable Securities (each,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(except for the registrations on Form S-8 or Form S-4 or any successor form thereto), the Company will give written notice, at least ten (10) days prior to the proposed filing of such registration statement, to the Stockholders, of its intention to effect such a registration and will use reasonable best efforts to include in such registration all Registrable Securities (in accordance with the priorities set forth in Sections 13(b)(ii) and 13(b)(iii) below) with respect to which the Company has received written requests from Stockholders for inclusion specifying the number of equity securities desired to be registered, which request shall be delivered within ten (10) days after the delivery of the Company’s notice. The Company may postpone or withdraw the filing or the effectiveness of a Piggyback Registration at any time in its sole discretion.</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8" w:name="page149"/>
    <w:bookmarkEnd w:id="148"/>
    <w:p>
      <w:pPr>
        <w:jc w:val="both"/>
        <w:ind w:left="644" w:firstLine="4"/>
        <w:spacing w:after="0" w:line="254" w:lineRule="auto"/>
        <w:tabs>
          <w:tab w:leader="none" w:pos="156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Piggyback Registration is an underwritten primary offering on behalf of the Company and the managing underwriters advise the Company in writing that in their opinion the number of Registrable Securities requested to be included in the registration creates a substantial risk that the price per share of the Registrable Securities proposed to be sold in the offering will be reduced due to the inclusion of such securities in the offering, then the managing underwriter and the Company may exclude securities (including Registrable Securities) from the registration and the underwriting, and the number of securities that may be included in such registration and underwriting shall include: (a) first, any securities that the Company proposed to sell, and (b) second, any Registrable Securities requested by Stockholders to be included in such registration pursuant to this Section 13, pro rata among the holders of such Registrable Securities on the basis of the total number of Registrable Securities which are requested by such holders to be included in such registration.</w:t>
      </w:r>
    </w:p>
    <w:p>
      <w:pPr>
        <w:spacing w:after="0" w:line="188" w:lineRule="exact"/>
        <w:rPr>
          <w:rFonts w:ascii="Times New Roman" w:cs="Times New Roman" w:eastAsia="Times New Roman" w:hAnsi="Times New Roman"/>
          <w:sz w:val="18"/>
          <w:szCs w:val="18"/>
          <w:color w:val="auto"/>
        </w:rPr>
      </w:pPr>
    </w:p>
    <w:p>
      <w:pPr>
        <w:ind w:left="644" w:firstLine="4"/>
        <w:spacing w:after="0" w:line="282" w:lineRule="auto"/>
        <w:tabs>
          <w:tab w:leader="none" w:pos="157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Piggyback Registration, the Company will have such right to select the managing underwriter(s) in respect of such offering in its sole discretion.</w:t>
      </w:r>
    </w:p>
    <w:p>
      <w:pPr>
        <w:spacing w:after="0" w:line="159" w:lineRule="exact"/>
        <w:rPr>
          <w:rFonts w:ascii="Times New Roman" w:cs="Times New Roman" w:eastAsia="Times New Roman" w:hAnsi="Times New Roman"/>
          <w:sz w:val="18"/>
          <w:szCs w:val="18"/>
          <w:color w:val="auto"/>
        </w:rPr>
      </w:pPr>
    </w:p>
    <w:p>
      <w:pPr>
        <w:ind w:left="744" w:hanging="744"/>
        <w:spacing w:after="0"/>
        <w:tabs>
          <w:tab w:leader="none" w:pos="7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44" w:firstLine="4"/>
        <w:spacing w:after="0" w:line="256" w:lineRule="auto"/>
        <w:tabs>
          <w:tab w:leader="none" w:pos="13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commencing on the date on which the Company becomes eligible to register securities issued by it in the IPO on a registration statement on Form S-3 or similar short-form registration, the Company shall use its reasonable best efforts to effect, as expeditiously as possible, the filing of a shelf registration statement on Form S-3 pursuant to Rule 415 with respect to the Registrable Securities (including the prospectus, amendments and supplements to the shelf registration statement or prospectus, including pre- and post-effective amendments, all exhibits thereto and all material incorporated by reference or deemed incorporated by reference, if any, in such shelf registration statement, the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44" w:firstLine="4"/>
        <w:spacing w:after="0" w:line="255" w:lineRule="auto"/>
        <w:tabs>
          <w:tab w:leader="none" w:pos="15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cause the Shelf Registration Statement to be declared effective by the Commission as soon as practicable after such filing, and shall use its reasonable best efforts to keep the Shelf Registration Statement effective and updated, from the date such Shelf Registration Statement is declared effective until the first date as of which all of the shares of Registrable Securities included in the Shelf Registration Statement have been sold. If the Shelf Registration Statement has been outstanding at least three years, at the end of the third year, if any securities registered under the previous Shelf Registration Statement remain unsold, the Company shall use its reasonable best efforts to promptly refile a new shelf registration statement on Form S-3 pursuant to Rule 415 covering the Registrable Securities.</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149" w:name="page150"/>
    <w:bookmarkEnd w:id="149"/>
    <w:p>
      <w:pPr>
        <w:jc w:val="both"/>
        <w:ind w:firstLine="656"/>
        <w:spacing w:after="0" w:line="267" w:lineRule="auto"/>
        <w:tabs>
          <w:tab w:leader="none" w:pos="15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 Whenever the holders of Registrable Securities have requested that any Registrable Securities be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Section 13, the Company will use its reasonable best efforts to effect the registration of such Registrable Securities in accordance with the intended method of disposition thereof and, pursuant thereto, the Company will as expeditiously as reasonably possible: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54" w:lineRule="auto"/>
        <w:tabs>
          <w:tab w:leader="none" w:pos="222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as soon as practicable after the end of the period within which requests for registration may be given to the Company, file with the Commission a registration statement with respect to such Registrable Securities and use its reasonable best efforts to cause such registration statement to become effective (provided that before filing a registration statement or prospectus, or any amendments or supplements thereto, the Company will furnish copies of all such documents proposed to be filed to one counsel designated by holders of a majority of the Registrable Securities covered by such registration statement and to the extent practicable under the circumstances, provide such counsel an opportunity to comment on any information pertaining to the holders of Registrable Securities covered by such registration statement contained therein; and the Company shall consider in good faith any corrections reasonably requested by such counsel with respect to such information);</w:t>
      </w:r>
    </w:p>
    <w:p>
      <w:pPr>
        <w:spacing w:after="0" w:line="191"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208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supplements to such registration statement and the prospectus(es) used in connection therewith as may be necessary to keep such registration statement effective for a period of not less than the earlier of</w:t>
      </w:r>
    </w:p>
    <w:p>
      <w:pPr>
        <w:jc w:val="both"/>
        <w:ind w:left="1300" w:firstLine="4"/>
        <w:spacing w:after="0" w:line="255" w:lineRule="auto"/>
        <w:tabs>
          <w:tab w:leader="none" w:pos="154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and (ii) the date that all of the securities covered by the registration statement have been sold,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8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225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filing of any registration statement or prospectus or amendment or supplement thereto, cause such document (i) to comply in all material respects with the requirements of the Securities Act and the rules and regulations of the Commission thereunder and (ii) to not contain any untrue statement of a material fact or omit to state a material fact required to be stated therein or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223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seller of Registrable Securities, without charge, such number of copies of such registration statement, each amendment and supplement thereto, the prospectus(es) included in such registration statement (including each preliminary prospectus) and such other documents as such seller may reasonably request in order to facilitate the disposition of the Registrable Securities owned by such seller;</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207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register or qualify such Registrable Securities under such securities or blue sky laws of such jurisdictions as the Stockholders reasonably request, keep each such registration or qualification effective during the period the associated registration statement is required to be kept effective, and do any and all other acts and things which may be reasonably necessary or advisable to enable such seller to consummate the disposition in such jurisdictions of the Registrable Securities owned by such seller (provided that the Company will not be required to qualify generally to do business, consent to general service of process, or subject itself or any of its Affiliates to taxation, in any jurisdiction where it would not otherwise be required to do so but for this subparagraph);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0" w:name="page151"/>
    <w:bookmarkEnd w:id="150"/>
    <w:p>
      <w:pPr>
        <w:ind w:left="180" w:firstLine="4"/>
        <w:spacing w:after="0" w:line="282" w:lineRule="auto"/>
        <w:tabs>
          <w:tab w:leader="none" w:pos="126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seller of such Registrable Securities and, if requested by such seller, confirm in writing, when a registration statement has become effective and when any post-effective amendments and supplements thereto become effective;</w:t>
      </w:r>
    </w:p>
    <w:p>
      <w:pPr>
        <w:spacing w:after="0" w:line="161" w:lineRule="exact"/>
        <w:rPr>
          <w:rFonts w:ascii="Times New Roman" w:cs="Times New Roman" w:eastAsia="Times New Roman" w:hAnsi="Times New Roman"/>
          <w:sz w:val="18"/>
          <w:szCs w:val="18"/>
          <w:color w:val="auto"/>
        </w:rPr>
      </w:pPr>
    </w:p>
    <w:p>
      <w:pPr>
        <w:jc w:val="both"/>
        <w:ind w:left="180" w:firstLine="4"/>
        <w:spacing w:after="0" w:line="256" w:lineRule="auto"/>
        <w:tabs>
          <w:tab w:leader="none" w:pos="11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seller of such Registrable Securities,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the Company will prepare a supplement or amendment to such prospectus so that, as thereafter delivered to the purchasers of such Registrable Securities, such prospectus will not contain any untrue statement of a material fact or omit to state any fact necessary to make the statements therein not misleading;</w:t>
      </w:r>
    </w:p>
    <w:p>
      <w:pPr>
        <w:spacing w:after="0" w:line="187"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12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such Registrable Securities to be listed on each securities exchange on which similar securities issued by the Company are then listed, or if no such securities are then listed, on a National Securities Exchange selected by the Company;</w:t>
      </w:r>
    </w:p>
    <w:p>
      <w:pPr>
        <w:spacing w:after="0" w:line="175" w:lineRule="exact"/>
        <w:rPr>
          <w:rFonts w:ascii="Times New Roman" w:cs="Times New Roman" w:eastAsia="Times New Roman" w:hAnsi="Times New Roman"/>
          <w:sz w:val="18"/>
          <w:szCs w:val="18"/>
          <w:color w:val="auto"/>
        </w:rPr>
      </w:pPr>
    </w:p>
    <w:p>
      <w:pPr>
        <w:ind w:left="180" w:firstLine="4"/>
        <w:spacing w:after="0" w:line="282" w:lineRule="auto"/>
        <w:tabs>
          <w:tab w:leader="none" w:pos="110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registrar and CUSIP number for all such Registrable Securities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12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customary agreements (including underwriting agreements in customary form) and take all such other customary actions as the holders of a majority of the Registrable Securities being sold or the underwriters, if any, reasonably request in order to expedite or facilitate the disposition of such Registrable Securities;</w:t>
      </w:r>
    </w:p>
    <w:p>
      <w:pPr>
        <w:spacing w:after="0" w:line="175" w:lineRule="exact"/>
        <w:rPr>
          <w:rFonts w:ascii="Times New Roman" w:cs="Times New Roman" w:eastAsia="Times New Roman" w:hAnsi="Times New Roman"/>
          <w:sz w:val="18"/>
          <w:szCs w:val="18"/>
          <w:color w:val="auto"/>
        </w:rPr>
      </w:pPr>
    </w:p>
    <w:p>
      <w:pPr>
        <w:jc w:val="both"/>
        <w:ind w:left="180" w:firstLine="4"/>
        <w:spacing w:after="0" w:line="258" w:lineRule="auto"/>
        <w:tabs>
          <w:tab w:leader="none" w:pos="11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cooperate with each seller and the underwriter or managing underwriter, if any, to facilitate the timely preparation and delivery of certificates representing Registrable Securities to be sold and not bearing any restrictive legends; and enable such Registrable Securities to be in such denominations (consistent with the provisions of the governing documents thereof) and registered in such names as each seller or the underwriter or managing underwriter, if any, may reasonably request at least three Business Days prior to any sale of Registrable Securities;</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1" w:name="page152"/>
    <w:bookmarkEnd w:id="151"/>
    <w:p>
      <w:pPr>
        <w:jc w:val="both"/>
        <w:ind w:left="180" w:firstLine="4"/>
        <w:spacing w:after="0" w:line="272" w:lineRule="auto"/>
        <w:tabs>
          <w:tab w:leader="none" w:pos="102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confidentiality agreements in form and substance acceptable to the Company, make available for inspection, at such place and in such manner as determined by the Company in its sole discretion, by any seller of Registrable Securities, any underwriter participating in any disposition pursuant to such registration statement, and any attorney, accountant or other agent retained by any such seller or underwriter, financial and other records, pertinent corporate documents and properties of the Company reasonably requested by any such seller, underwriter, attorney, accountant or agent in connection with such registration statement, and cause the Company’s officers, directors, employees and independent accountants to supply all information reasonably requested by any such seller, underwriter, attorney, accountant or agent in connection with such registration statement; provided, however, that any records, information or documents that are furnished by the Company and that are non-public shall be used only in connection with such registration;</w:t>
      </w:r>
    </w:p>
    <w:p>
      <w:pPr>
        <w:spacing w:after="0" w:line="171" w:lineRule="exact"/>
        <w:rPr>
          <w:rFonts w:ascii="Times New Roman" w:cs="Times New Roman" w:eastAsia="Times New Roman" w:hAnsi="Times New Roman"/>
          <w:sz w:val="17"/>
          <w:szCs w:val="17"/>
          <w:color w:val="auto"/>
        </w:rPr>
      </w:pPr>
    </w:p>
    <w:p>
      <w:pPr>
        <w:jc w:val="both"/>
        <w:ind w:left="180" w:firstLine="4"/>
        <w:spacing w:after="0" w:line="261" w:lineRule="auto"/>
        <w:tabs>
          <w:tab w:leader="none" w:pos="118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79" w:lineRule="exact"/>
        <w:rPr>
          <w:rFonts w:ascii="Times New Roman" w:cs="Times New Roman" w:eastAsia="Times New Roman" w:hAnsi="Times New Roman"/>
          <w:sz w:val="18"/>
          <w:szCs w:val="18"/>
          <w:color w:val="auto"/>
        </w:rPr>
      </w:pPr>
    </w:p>
    <w:p>
      <w:pPr>
        <w:ind w:left="180" w:firstLine="4"/>
        <w:spacing w:after="0" w:line="282" w:lineRule="auto"/>
        <w:tabs>
          <w:tab w:leader="none" w:pos="113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its security holders, as soon as reasonably practicable, an earnings statement (which need not be audited) covering at least twelve (12) months which shall satisfy the provisions of Section 11(a) of the Securities Act and Rule 158 thereunder;</w:t>
      </w:r>
    </w:p>
    <w:p>
      <w:pPr>
        <w:spacing w:after="0" w:line="161" w:lineRule="exact"/>
        <w:rPr>
          <w:rFonts w:ascii="Times New Roman" w:cs="Times New Roman" w:eastAsia="Times New Roman" w:hAnsi="Times New Roman"/>
          <w:sz w:val="18"/>
          <w:szCs w:val="18"/>
          <w:color w:val="auto"/>
        </w:rPr>
      </w:pPr>
    </w:p>
    <w:p>
      <w:pPr>
        <w:ind w:left="1020" w:hanging="836"/>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assist in any filing required to be made with the Financial Industry Regulatory Authority (FINRA);</w:t>
      </w:r>
    </w:p>
    <w:p>
      <w:pPr>
        <w:spacing w:after="0" w:line="225"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11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any seller of such Registrable Securities in connection with an underwritten offering, furnish on the date or dates provided for in the underwriting agreement a letter or letters from the independent certified public accountants of the Company addressed to the underwriters and the sellers of Registrable Securities, covering such matters as such accountants, underwriters and sellers may reasonably agree upon, in which letter(s) such accountants shall state, without limiting the generality of the foregoing, that they are an independent registered public accounting firm within the meaning of the Securities Act and that in their opinion the financial statements and other financial data of the Company included in the registration statement, the prospectus(es), or any amendment or supplement thereto, comply in all material respects with the applicable accounting requirements of the Securities Act; and</w:t>
      </w:r>
    </w:p>
    <w:p>
      <w:pPr>
        <w:spacing w:after="0" w:line="188" w:lineRule="exact"/>
        <w:rPr>
          <w:rFonts w:ascii="Times New Roman" w:cs="Times New Roman" w:eastAsia="Times New Roman" w:hAnsi="Times New Roman"/>
          <w:sz w:val="18"/>
          <w:szCs w:val="18"/>
          <w:color w:val="auto"/>
        </w:rPr>
      </w:pPr>
    </w:p>
    <w:p>
      <w:pPr>
        <w:jc w:val="both"/>
        <w:ind w:left="180" w:firstLine="4"/>
        <w:spacing w:after="0" w:line="266" w:lineRule="auto"/>
        <w:tabs>
          <w:tab w:leader="none" w:pos="140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Demand Registration, make senior executives of the Company reasonably available to assist the underwriters with respect to, and participate in, the so-called “road show” in connection with the marketing efforts for, and the distribution and sale of Registrable Securities pursuant to a registration statement.</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2" w:name="page153"/>
    <w:bookmarkEnd w:id="152"/>
    <w:p>
      <w:pPr>
        <w:ind w:left="744" w:hanging="744"/>
        <w:spacing w:after="0"/>
        <w:tabs>
          <w:tab w:leader="none" w:pos="7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44" w:firstLine="4"/>
        <w:spacing w:after="0" w:line="252" w:lineRule="auto"/>
        <w:tabs>
          <w:tab w:leader="none" w:pos="142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incident to the Company’s performance of or compliance with this Section 13, including, but not limited to: all registration and filing fees; fees and expenses of compliance with securities or blue sky laws; printing expenses; messenger and delivery expenses; and fees and disbursements of counsel for the Company; reasonable fees and disbursements of one counsel chosen by the holders of a majority of the Registrable Securities to be included in such registration to represent all holders of Registrable Securities to be included in the registration; fees and disbursements of the Company’s registered public accounting firm; and reasonable fees and disbursements of all other Persons retained by the Company (all such expenses being herein called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provided, however, that, as between the Company and holders of Registrable Securities, all underwriting discounts and commissions and transfer taxes relating to the Registrable Securities will be borne pro rata by the holders of such Registrable Securities sold in any offering hereunder. In addition, the Company will pay its internal expenses (including, but not limited to, all salaries and expenses of its officers and employees performing legal or accounting duties), the expense of any annual audit or quarterly review, the expense of any liability insurance obtained by the Company and the expenses and fees for listing the securities to be registered on each securities exchange; provided, however, that if a Demand Registration is subsequently withdrawn at the request of a majority of the Stockholders initiating such request, the holders of Registrable Securities subject to such withdrawn registration shall forfeit such registration unless the holders of Registrable Securities to be registered pay (or reimburse the Company) for all of the Registration Expenses with respect to such withdrawn registration.</w:t>
      </w:r>
    </w:p>
    <w:p>
      <w:pPr>
        <w:spacing w:after="0" w:line="195" w:lineRule="exact"/>
        <w:rPr>
          <w:rFonts w:ascii="Times New Roman" w:cs="Times New Roman" w:eastAsia="Times New Roman" w:hAnsi="Times New Roman"/>
          <w:sz w:val="18"/>
          <w:szCs w:val="18"/>
          <w:color w:val="auto"/>
        </w:rPr>
      </w:pPr>
    </w:p>
    <w:p>
      <w:pPr>
        <w:jc w:val="both"/>
        <w:ind w:left="644" w:firstLine="4"/>
        <w:spacing w:after="0" w:line="258" w:lineRule="auto"/>
        <w:tabs>
          <w:tab w:leader="none" w:pos="163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expenses incident to any registration are not required to be paid by the Company, each holder of Registrable Securities included in a registration will pay all such expenses which are clearly and solely attributable to the registration of such holder’s Registrable Securities so included in such registration, and any other expenses not so attributable to one holder will be borne and paid by all sellers of securities included in such registration in proportion to the number of securities so included by each such seller.</w:t>
      </w:r>
    </w:p>
    <w:p>
      <w:pPr>
        <w:spacing w:after="0" w:line="181" w:lineRule="exact"/>
        <w:rPr>
          <w:rFonts w:ascii="Times New Roman" w:cs="Times New Roman" w:eastAsia="Times New Roman" w:hAnsi="Times New Roman"/>
          <w:sz w:val="18"/>
          <w:szCs w:val="18"/>
          <w:color w:val="auto"/>
        </w:rPr>
      </w:pPr>
    </w:p>
    <w:p>
      <w:pPr>
        <w:ind w:left="724" w:hanging="724"/>
        <w:spacing w:after="0"/>
        <w:tabs>
          <w:tab w:leader="none" w:pos="7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135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to the extent permitted by law, each holder of Registrable Securities and, as applicable, each of its trustees, stockholders, members, directors, managers, partners, officers and employees, and each Person who controls such holder (within the meaning of the Securities Act), against all losses, claims, damages, liabilities and expenses (including, but not limited to, attorneys’ fees and expenses) caused by any untrue or alleged untrue statement of material fact contained in any registration statement, prospectus or preliminary prospectus, or any amendment thereof or supplement thereto (including, in each case, all documents incorporated therein by reference),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or by such holder’s failure to deliver a copy of the prospectus or any amendments or supplements thereto after the Company has furnished such holder with a sufficient number of copies of the same.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holders of Registrable Securities. The payments required by this Section 13(f)(i) will be made periodically during the course of the investigation or defense, as and when bills are received or expenses incurred.</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53" w:name="page154"/>
    <w:bookmarkEnd w:id="153"/>
    <w:p>
      <w:pPr>
        <w:jc w:val="both"/>
        <w:ind w:left="180" w:firstLine="4"/>
        <w:spacing w:after="0" w:line="253" w:lineRule="auto"/>
        <w:tabs>
          <w:tab w:leader="none" w:pos="9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registration statement in which a holder of Registrable Securities is participating, each such holder will furnish to the Company in writing such information relating to such holder as is reasonably necessary for use in connection with any such registration statement or prospectus and, to the extent permitted by law, will indemnify the Company and, as applicable, each of its directors, employees and officers and each Person who controls the Company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(including, in each case, all documents incorporated therein by reference), or any omission or alleged omission of a material fact required to be stated therein or necessary to make the statements therein not misleading, but only to the extent that such untrue statement or omission is contained in or omitted from any information furnished in writing by such holder for the acknowledged purpose of inclusion in such registration statement, prospectus or preliminary prospectus; provided, however, that the obligation to indemnify will be several, not joint and several, among such holders of Registrable Securities and the liability of each such holder of Registrable Securities will be in proportion to and limited to the net amount received by such holder from the sale of Registrable Securities pursuant to such registration statement, unless such loss, claim, damage, liability or expense resulted from such holder’s intentionally fraudulent conduct.</w:t>
      </w:r>
    </w:p>
    <w:p>
      <w:pPr>
        <w:spacing w:after="0" w:line="187"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103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entitled to indemnification under this Section 13(f)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give written notice to the party required to provide indemnification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after such Indemnified Party has received written notice of any claim as to which indemnity may be sought, and shall permit the Indemnifying Party to assume the defense of any such claim or any litigation resulting therefrom, provided that the counsel for the Indemnifying Party who is to conduct the defense of such claim or litigation is reasonably satisfactory to the Indemnified Party (whose approval shall not be unreasonably withheld or delayed). The Indemnified Party may participate in such defense at such Indemnified Party’s expense; provided, however, that the Indemnifying Party shall bear the expense of such defense of the Indemnified Party if (i) the Indemnifying Party has agreed in writing to pay such expenses,</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4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have failed to assume the defense of such claim or to employ counsel reasonably satisfactory to the Indemnified Party, or (iii) in the reasonable judgment of the Indemnified Party, based upon the written advice of such Indemnified Party’s counsel, representation of both parties by the same counsel would be inappropriate due to actual or potential conflicts of interest; provided, however, that in no event shall the Indemnifying Party be liable for the fees and expenses of more than one counsel (excluding one local counsel per jurisdiction as necessary) for all Indemnified Parties in connection with any one action or separate but similar or related actions in the same jurisdiction arising out of the same event, allegations or circumstances. The Indemnified Party shall not make any settlement without the prior written consent of the Indemnifying Party, which consent shall not be unreasonably withheld or delayed. The failure of any Indemnified Party to give notice as provided herein shall relieve the Indemnifying Party of its obligations under this Section 13(f) only to the extent that such failure to give notice shall materially prejudice the Indemnifying Party in the defense of any such claim or any such litigation. No Indemnifying Party, in the defense of any such claim or litigation, shall, except with the prior written consent of each Indemnified Party, consent to entry of any judgment or enter into any settlement (a) that does not include as an unconditional term thereof the giving by the claimant or plaintiff to such Indemnified Party of a release from all liability in respect to such claim or litigation in form and substance reasonably satisfactory to such Indemnified Party or (b) that includes an admission of fault, culpability or a failure to act, by or on behalf of any Indemnified Party.</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4" w:name="page155"/>
    <w:bookmarkEnd w:id="154"/>
    <w:p>
      <w:pPr>
        <w:jc w:val="both"/>
        <w:ind w:left="1300" w:firstLine="4"/>
        <w:spacing w:after="0" w:line="266" w:lineRule="auto"/>
        <w:tabs>
          <w:tab w:leader="none" w:pos="219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contribution provisions in Section 13(g) below)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7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0" w:firstLine="4"/>
        <w:spacing w:after="0" w:line="252" w:lineRule="auto"/>
        <w:tabs>
          <w:tab w:leader="none" w:pos="2185"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Section 13(f) from the Indemnifying Party is unavailable to or unenforceable by the Indemnified Party in respect to any costs, fines, penalties, losses, claims, damages, liabilities or expenses referred to herein, then the Indemnifying Party, in lieu of indemnifying such Indemnified Party, shall contribute to the amount paid or payable by such Indemnified Party as a result of such costs, fines, penalties,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 opportunity to correct or prevent such action. The amount paid or payable by a party as a result of the costs, fines, penalties, losses, claims, damages, liabilities and expenses referred to above shall be deemed to include, subject to the limitations set forth in Section 13(f), any legal or other fees or expenses reasonably incurred by such party in connection with any investigation or proceeding. Notwithstanding this Section 13(g), an indemnifying holder who is a Sibling Affiliated Stockholder shall not be required to contribute any amount in excess of the amount by which (a) the total price at which the Registrable Securities sold by such holder exceeds (b) the amount of any damages which such indemnifying holder has otherwise been required to pay by reason of the untrue or alleged untrue statement or omission or alleged omission giving rise to such payments, unless such loss, claim, damage, liability or expense in respect of which contribution is required resulted from such holder’s intentionally fraudulent conduct.</w:t>
      </w:r>
    </w:p>
    <w:p>
      <w:pPr>
        <w:spacing w:after="0" w:line="193" w:lineRule="exact"/>
        <w:rPr>
          <w:rFonts w:ascii="Times New Roman" w:cs="Times New Roman" w:eastAsia="Times New Roman" w:hAnsi="Times New Roman"/>
          <w:sz w:val="18"/>
          <w:szCs w:val="18"/>
          <w:color w:val="auto"/>
        </w:rPr>
      </w:pPr>
    </w:p>
    <w:p>
      <w:pPr>
        <w:jc w:val="both"/>
        <w:ind w:left="1300" w:firstLine="4"/>
        <w:spacing w:after="0" w:line="258" w:lineRule="auto"/>
        <w:tabs>
          <w:tab w:leader="none" w:pos="2087"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holders of Registrable Securities agree that it would not be just and equitable if contribution pursuant to this Section 13(g) were determined by pro rata allocation or by any other method of allocation which does not take into account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83"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any holder of Registrable Securities who proposes to sell securities in compliance with Rule 144, the Company will</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forthwith furnish to such holder a written statement of compliance with the filing requirements of the Commission as set forth in Rule 144, and (ii) make available to the public and such holders such information, and take such action as is reasonably necessary, to enable the holders of Registrable Securities to make sales pursuant to Rule 144.</w:t>
      </w:r>
    </w:p>
    <w:p>
      <w:pPr>
        <w:spacing w:after="0" w:line="18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may participate in any registration pursuant to this Section 13 which is underwritten unless such Person (i) agrees to sell its securities on the basis provided in any underwriting arrangements approved by such Person or Persons entitled hereunder to approve such arrangements and (ii) completes and executes all questionnaires, powers of attorney, custody agreements, indemnities, underwriting agreements and other documents reasonably required under the terms of such underwriting arrangements.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firstLine="656"/>
        <w:spacing w:after="0" w:line="282" w:lineRule="auto"/>
        <w:tabs>
          <w:tab w:leader="none" w:pos="141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(including, without limitation, Sections 9 and 12 and this Section 13), nothing in this Agreement shall be interpreted to preclude or otherwise restrict any Stockholder from:</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shares of Class A Stock in the open market or otherwise;</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or selling shares of Common Stock pursuant to the Share Purchase Agreement; or</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211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shares of Class A Stock in connection with (A) the exercise of any over-allotment option granted to the underwriters in the IPO or (B) any follow-on offering of Class A Stock. In connection with the exercise of any over-allotment option granted to the underwriters in the IPO to purchase additional shares of Class A Stock (such shares, the “</w:t>
      </w:r>
      <w:r>
        <w:rPr>
          <w:rFonts w:ascii="Times New Roman" w:cs="Times New Roman" w:eastAsia="Times New Roman" w:hAnsi="Times New Roman"/>
          <w:sz w:val="18"/>
          <w:szCs w:val="18"/>
          <w:u w:val="single" w:color="auto"/>
          <w:color w:val="auto"/>
        </w:rPr>
        <w:t>Over-Allotment Shares</w:t>
      </w:r>
      <w:r>
        <w:rPr>
          <w:rFonts w:ascii="Times New Roman" w:cs="Times New Roman" w:eastAsia="Times New Roman" w:hAnsi="Times New Roman"/>
          <w:sz w:val="18"/>
          <w:szCs w:val="18"/>
          <w:color w:val="auto"/>
        </w:rPr>
        <w:t>”), each Stockholder shall have the right, but not the obligation, to elect to transfer to the underwriters shares of such Stockholder’s Class B Stock in an amount equal to or less than such Stockholder’s Proportionate Share of the Over-Allotment Shares; provided, however, if a Stockholder elects not to transfer shares to the underwriters, the option to transfer a number of shares equal to such Stockholder’s Proportionate Share of the Over-Allotment Shares shall be offered to the electing Stockholders.</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8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All provisions of this Agreement are distinct and severable and if any clause shall be held to be invalid, illegal or against public policy, the validity or the legality of the remainder of this Agreement shall not be affected thereby.</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8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regard to conflicts of laws principles.</w:t>
      </w:r>
    </w:p>
    <w:p>
      <w:pPr>
        <w:spacing w:after="0" w:line="161" w:lineRule="exact"/>
        <w:rPr>
          <w:rFonts w:ascii="Times New Roman" w:cs="Times New Roman" w:eastAsia="Times New Roman" w:hAnsi="Times New Roman"/>
          <w:sz w:val="18"/>
          <w:szCs w:val="18"/>
          <w:color w:val="auto"/>
        </w:rPr>
      </w:pPr>
    </w:p>
    <w:p>
      <w:pPr>
        <w:jc w:val="both"/>
        <w:ind w:firstLine="8"/>
        <w:spacing w:after="0" w:line="253" w:lineRule="auto"/>
        <w:tabs>
          <w:tab w:leader="none" w:pos="8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in the event, but only in the event, that such court does not have subject matter jurisdiction over such action or proceeding, the Superior Court of the State of Delaware (Complex Commercial Division) or, if subject matter jurisdiction over the action or proceeding is vested exclusively in the federal courts of the United States of America, the United States District Court for the District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8"/>
        <w:spacing w:after="0" w:line="266" w:lineRule="auto"/>
        <w:tabs>
          <w:tab w:leader="none" w:pos="9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IRREVOCABLY WAIVES ANY AND ALL RIGHT TO TRIAL BY JURY IN ANY LEGAL PROCEEDING ARISING OUT OF OR RELATED TO THIS AGREEMENT OR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10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offers, acceptances, refusals, payments, agreements, requests or other communications given or required to be given hereunder shall be made in writing and shall be deemed duly given and effective, if (a) delivered in person or sent by electronic mail or facsimile, on the date received, and, (b) mailed, on the second Business Day after mailing by certified mail, postage prepaid, return receipt requested, to a Stockholder at such Stockholder’s last known address as it appears on the books and records of the Company, or to the Company at its then principal place of business.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76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their respective heirs, successors and assigns. This Agreement cannot be assigned without the written consent of all of the parties hereto.</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92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w:t>
      </w:r>
      <w:r>
        <w:rPr>
          <w:rFonts w:ascii="Times New Roman" w:cs="Times New Roman" w:eastAsia="Times New Roman" w:hAnsi="Times New Roman"/>
          <w:sz w:val="18"/>
          <w:szCs w:val="18"/>
          <w:color w:val="auto"/>
        </w:rPr>
        <w:t>. This Agreement expresses the entire and final understandings of the parties hereto and supersedes all prior agreements with reference to the subject matter hereof, including, without limitation, the Prior Agreement. Each of the parties hereto hereby irrevocably waives any and all claims and rights under all prior agreements with reference to the subject matter hereof, including, without limitation, any and all claims and rights under the Prior Agreement relating to transactions contemplated under this Agreement, including those pursuant to the Share Purchase Agreement. This Agreement may neither be altered nor modified except by a writing duly signed by the Company and a majority of the Stockholders.</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8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Each party to this Agreement agrees to perform any and all further acts, and to execute and deliver any and all documents and instruments that may be reasonably necessary and appropriate to carry out the terms and conditions and to further the intent of this Agreement. As required by the context, the singular shall be construed to include the plural and vice versa, and the use of any gender shall be construed to include all genders. This Agreement may be executed in one or more counterparts, each of which shall be deemed an original but all of which together will constitute one and the same instrument, and may be delivered by facsimile or emailed document scan.</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76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be of no further force and effect on the later to occur of (i) the first date when the Stockholders, taken together, hold less than two percent (2%) of all issued and outstanding shares of Common Stock and (ii) the first date when no party to this Agreement continues to hold any Registrable Securities.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Stockholders have executed this Agreement, and the Company has caused this Agreement to be executed by a duly authorized officer of the Company as of the date first above written.</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DeStefano</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Chief Executive Officer and Chairperson</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EFFREY</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Jeffrey R. Westphal</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Stefanie W. Thompson</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MANDA</w:t>
      </w:r>
      <w:r>
        <w:rPr>
          <w:rFonts w:ascii="Times New Roman" w:cs="Times New Roman" w:eastAsia="Times New Roman" w:hAnsi="Times New Roman"/>
          <w:sz w:val="18"/>
          <w:szCs w:val="18"/>
          <w:color w:val="auto"/>
        </w:rPr>
        <w:t xml:space="preserve"> W.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Amanda W. Radcliffe</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J.J.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Conrad J. J. Radcliffe</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J.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Christopher J. Thompson</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ENJAMIN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CHMERIN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Schmerin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IRREVOCABLE TRUST FBO KAILEY RADCLIFFE u/a of AMANDA W RADCLIFFE dated 10/05/2001</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J.J.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Conrad J. J. Radcliffe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w:t>
      </w:r>
      <w:r>
        <w:rPr>
          <w:rFonts w:ascii="Times New Roman" w:cs="Times New Roman" w:eastAsia="Times New Roman" w:hAnsi="Times New Roman"/>
          <w:sz w:val="12"/>
          <w:szCs w:val="12"/>
          <w:color w:val="auto"/>
        </w:rPr>
        <w:t>AILEY</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Kailey A. Radcliffe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ITEM SECOND IRREVOCABLE TRUST FBO ANTOINETTE R.</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RADCLIFFE u/a of AMANDA W RADCLIFFE dated 10/05/2001</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J.J.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Conrad J. J. Radcliffe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w:t>
      </w:r>
      <w:r>
        <w:rPr>
          <w:rFonts w:ascii="Times New Roman" w:cs="Times New Roman" w:eastAsia="Times New Roman" w:hAnsi="Times New Roman"/>
          <w:sz w:val="12"/>
          <w:szCs w:val="12"/>
          <w:color w:val="auto"/>
        </w:rPr>
        <w:t>NTOINETTE</w:t>
      </w:r>
      <w:r>
        <w:rPr>
          <w:rFonts w:ascii="Times New Roman" w:cs="Times New Roman" w:eastAsia="Times New Roman" w:hAnsi="Times New Roman"/>
          <w:sz w:val="18"/>
          <w:szCs w:val="18"/>
          <w:color w:val="auto"/>
        </w:rPr>
        <w:t xml:space="preserve"> R.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Antoinette R. Radcliffe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4520" w:right="60"/>
        <w:spacing w:after="0" w:line="317" w:lineRule="auto"/>
        <w:rPr>
          <w:sz w:val="20"/>
          <w:szCs w:val="20"/>
          <w:color w:val="auto"/>
        </w:rPr>
      </w:pPr>
      <w:r>
        <w:rPr>
          <w:rFonts w:ascii="Times New Roman" w:cs="Times New Roman" w:eastAsia="Times New Roman" w:hAnsi="Times New Roman"/>
          <w:sz w:val="17"/>
          <w:szCs w:val="17"/>
          <w:b w:val="1"/>
          <w:bCs w:val="1"/>
          <w:color w:val="auto"/>
        </w:rPr>
        <w:t>THIRD PARTY FUNDED SPECIAL NEEDS TRUST FOR CALLUM W. RADCLIFFE u/a of AMANDA W RADCLIFFE dated May 15, 2015</w:t>
      </w:r>
    </w:p>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J.J.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Conrad J. J. Radcliffe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w:t>
      </w:r>
      <w:r>
        <w:rPr>
          <w:rFonts w:ascii="Times New Roman" w:cs="Times New Roman" w:eastAsia="Times New Roman" w:hAnsi="Times New Roman"/>
          <w:sz w:val="12"/>
          <w:szCs w:val="12"/>
          <w:color w:val="auto"/>
        </w:rPr>
        <w:t>NOINETTE</w:t>
      </w:r>
      <w:r>
        <w:rPr>
          <w:rFonts w:ascii="Times New Roman" w:cs="Times New Roman" w:eastAsia="Times New Roman" w:hAnsi="Times New Roman"/>
          <w:sz w:val="18"/>
          <w:szCs w:val="18"/>
          <w:color w:val="auto"/>
        </w:rPr>
        <w:t xml:space="preserve"> R.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Antoinette R. Radcliffe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w:t>
      </w:r>
      <w:r>
        <w:rPr>
          <w:rFonts w:ascii="Times New Roman" w:cs="Times New Roman" w:eastAsia="Times New Roman" w:hAnsi="Times New Roman"/>
          <w:sz w:val="12"/>
          <w:szCs w:val="12"/>
          <w:color w:val="auto"/>
        </w:rPr>
        <w:t>AILEY</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Kailey A. Radcliffe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0" w:right="379" w:bottom="1440" w:gutter="0" w:footer="0" w:header="0"/>
        </w:sectPr>
      </w:pPr>
    </w:p>
    <w:bookmarkStart w:id="159" w:name="page160"/>
    <w:bookmarkEnd w:id="159"/>
    <w:p>
      <w:pPr>
        <w:ind w:left="5640"/>
        <w:spacing w:after="0"/>
        <w:rPr>
          <w:sz w:val="20"/>
          <w:szCs w:val="20"/>
          <w:color w:val="auto"/>
        </w:rPr>
      </w:pPr>
      <w:r>
        <w:rPr>
          <w:rFonts w:ascii="Times New Roman" w:cs="Times New Roman" w:eastAsia="Times New Roman" w:hAnsi="Times New Roman"/>
          <w:sz w:val="18"/>
          <w:szCs w:val="18"/>
          <w:b w:val="1"/>
          <w:bCs w:val="1"/>
          <w:color w:val="auto"/>
        </w:rPr>
        <w:t>ITEM SECOND IRR. TRUST FBO ANNE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MARIE WESTPHAL u/a of JEFFREY 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WESTPHAL dated October 5, 2001</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NNE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ARIE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ESTPHAL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Anne Marie Westphal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R.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REAT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 Treat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ITEM SECOND IRR. TRUST FBO KYLE R. WESTPHAL u/a of</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JEFFREY R. WESTPHAL dated October 5, 2001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YLE</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Kyle R. Westphal</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R. Levine</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REAT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 Treat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648"/>
        </w:trPr>
        <w:tc>
          <w:tcPr>
            <w:tcW w:w="62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160" w:name="page161"/>
    <w:bookmarkEnd w:id="160"/>
    <w:p>
      <w:pPr>
        <w:ind w:left="5640"/>
        <w:spacing w:after="0"/>
        <w:rPr>
          <w:sz w:val="20"/>
          <w:szCs w:val="20"/>
          <w:color w:val="auto"/>
        </w:rPr>
      </w:pPr>
      <w:r>
        <w:rPr>
          <w:rFonts w:ascii="Times New Roman" w:cs="Times New Roman" w:eastAsia="Times New Roman" w:hAnsi="Times New Roman"/>
          <w:sz w:val="18"/>
          <w:szCs w:val="18"/>
          <w:b w:val="1"/>
          <w:bCs w:val="1"/>
          <w:color w:val="auto"/>
        </w:rPr>
        <w:t>ITEM SECOND IRR. TRUST FBO JACOB J. WESTPHAL u/a of</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JEFFREY R. WESTPHAL dated October 5, 2001</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ACOB</w:t>
            </w:r>
            <w:r>
              <w:rPr>
                <w:rFonts w:ascii="Times New Roman" w:cs="Times New Roman" w:eastAsia="Times New Roman" w:hAnsi="Times New Roman"/>
                <w:sz w:val="18"/>
                <w:szCs w:val="18"/>
                <w:color w:val="auto"/>
              </w:rPr>
              <w:t xml:space="preserve"> J. W</w:t>
            </w:r>
            <w:r>
              <w:rPr>
                <w:rFonts w:ascii="Times New Roman" w:cs="Times New Roman" w:eastAsia="Times New Roman" w:hAnsi="Times New Roman"/>
                <w:sz w:val="12"/>
                <w:szCs w:val="12"/>
                <w:color w:val="auto"/>
              </w:rPr>
              <w:t>ESTPHAL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Jacob J. Westphal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R. Levine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REAT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 Treat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ITEM SECOND IRR. TRUST FBO MELANIE H. LUCAS u/a of</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STEFANIE W. LUCAS dated October 5, 2001</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ELANIE</w:t>
            </w:r>
            <w:r>
              <w:rPr>
                <w:rFonts w:ascii="Times New Roman" w:cs="Times New Roman" w:eastAsia="Times New Roman" w:hAnsi="Times New Roman"/>
                <w:sz w:val="18"/>
                <w:szCs w:val="18"/>
                <w:color w:val="auto"/>
              </w:rPr>
              <w:t xml:space="preserve"> H. L</w:t>
            </w:r>
            <w:r>
              <w:rPr>
                <w:rFonts w:ascii="Times New Roman" w:cs="Times New Roman" w:eastAsia="Times New Roman" w:hAnsi="Times New Roman"/>
                <w:sz w:val="12"/>
                <w:szCs w:val="12"/>
                <w:color w:val="auto"/>
              </w:rPr>
              <w:t>UCAS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Melanie H. Lucas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ITEM SECOND IRR. TRUST FBO SAMANTHA W. LUCAS u/a of</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STEFANIE W. LUCAS dated October 5, 2001</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AMANTHA</w:t>
            </w:r>
            <w:r>
              <w:rPr>
                <w:rFonts w:ascii="Times New Roman" w:cs="Times New Roman" w:eastAsia="Times New Roman" w:hAnsi="Times New Roman"/>
                <w:sz w:val="18"/>
                <w:szCs w:val="18"/>
                <w:color w:val="auto"/>
              </w:rPr>
              <w:t xml:space="preserve"> W. L</w:t>
            </w:r>
            <w:r>
              <w:rPr>
                <w:rFonts w:ascii="Times New Roman" w:cs="Times New Roman" w:eastAsia="Times New Roman" w:hAnsi="Times New Roman"/>
                <w:sz w:val="12"/>
                <w:szCs w:val="12"/>
                <w:color w:val="auto"/>
              </w:rPr>
              <w:t>UCAS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Samantha W. Lucas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ITEM SECOND IRR. TRUST FBO MACKENZIE S. LUCAS u/a of</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STEFANIE W. LUCAS dated October 5, 2001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ACKENZIE</w:t>
            </w:r>
            <w:r>
              <w:rPr>
                <w:rFonts w:ascii="Times New Roman" w:cs="Times New Roman" w:eastAsia="Times New Roman" w:hAnsi="Times New Roman"/>
                <w:sz w:val="18"/>
                <w:szCs w:val="18"/>
                <w:color w:val="auto"/>
              </w:rPr>
              <w:t xml:space="preserve"> S. L</w:t>
            </w:r>
            <w:r>
              <w:rPr>
                <w:rFonts w:ascii="Times New Roman" w:cs="Times New Roman" w:eastAsia="Times New Roman" w:hAnsi="Times New Roman"/>
                <w:sz w:val="12"/>
                <w:szCs w:val="12"/>
                <w:color w:val="auto"/>
              </w:rPr>
              <w:t>UCAS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Mackenzie S. Lucas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648"/>
        </w:trPr>
        <w:tc>
          <w:tcPr>
            <w:tcW w:w="6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1" w:name="page162"/>
    <w:bookmarkEnd w:id="161"/>
    <w:p>
      <w:pPr>
        <w:ind w:left="4520"/>
        <w:spacing w:after="0"/>
        <w:rPr>
          <w:sz w:val="20"/>
          <w:szCs w:val="20"/>
          <w:color w:val="auto"/>
        </w:rPr>
      </w:pPr>
      <w:r>
        <w:rPr>
          <w:rFonts w:ascii="Times New Roman" w:cs="Times New Roman" w:eastAsia="Times New Roman" w:hAnsi="Times New Roman"/>
          <w:sz w:val="18"/>
          <w:szCs w:val="18"/>
          <w:b w:val="1"/>
          <w:bCs w:val="1"/>
          <w:color w:val="auto"/>
        </w:rPr>
        <w:t>ITEM SECOND IRR. TRUST FBO ANDREA P. LUCAS u/a of</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STEFANIE W. LUCAS dated October 5, 2001</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NDREA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CHMERIN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Andrea P. Schmerin (f/k/a Andrea P. Lucas)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2009 Jeffrey R. Westphal Generation Skipping Trust</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EFFREY</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R. Westphal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The 2009 Stefanie Lucas Generation Skipping Trust</w:t>
            </w:r>
          </w:p>
        </w:tc>
      </w:tr>
      <w:tr>
        <w:trPr>
          <w:trHeight w:val="42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Stefanie W. Thompson (f/k/a Stefanie W. Lucas)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2009 Amanda W. Radcliffe Generation Skipping Trust</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MANDA</w:t>
            </w:r>
            <w:r>
              <w:rPr>
                <w:rFonts w:ascii="Times New Roman" w:cs="Times New Roman" w:eastAsia="Times New Roman" w:hAnsi="Times New Roman"/>
                <w:sz w:val="18"/>
                <w:szCs w:val="18"/>
                <w:color w:val="auto"/>
              </w:rPr>
              <w:t xml:space="preserve"> W. R</w:t>
            </w:r>
            <w:r>
              <w:rPr>
                <w:rFonts w:ascii="Times New Roman" w:cs="Times New Roman" w:eastAsia="Times New Roman" w:hAnsi="Times New Roman"/>
                <w:sz w:val="12"/>
                <w:szCs w:val="12"/>
                <w:color w:val="auto"/>
              </w:rPr>
              <w:t>ADCLIFFE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Amanda W. Radcliffe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2" w:name="page163"/>
    <w:bookmarkEnd w:id="162"/>
    <w:p>
      <w:pPr>
        <w:ind w:left="5640"/>
        <w:spacing w:after="0"/>
        <w:rPr>
          <w:sz w:val="20"/>
          <w:szCs w:val="20"/>
          <w:color w:val="auto"/>
        </w:rPr>
      </w:pPr>
      <w:r>
        <w:rPr>
          <w:rFonts w:ascii="Times New Roman" w:cs="Times New Roman" w:eastAsia="Times New Roman" w:hAnsi="Times New Roman"/>
          <w:sz w:val="18"/>
          <w:szCs w:val="18"/>
          <w:b w:val="1"/>
          <w:bCs w:val="1"/>
          <w:color w:val="auto"/>
        </w:rPr>
        <w:t>The Irrevocable Deed of Trust of Antoinette M. Westphal, dated</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March 31, 1987, Stefanie W. Thompson and Sterling Trustees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Trustees</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Stefanie W. Thompson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9"/>
              </w:rPr>
              <w:t>Trustee</w:t>
            </w:r>
          </w:p>
        </w:tc>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TERLING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RUSTEES</w:t>
            </w:r>
            <w:r>
              <w:rPr>
                <w:rFonts w:ascii="Times New Roman" w:cs="Times New Roman" w:eastAsia="Times New Roman" w:hAnsi="Times New Roman"/>
                <w:sz w:val="18"/>
                <w:szCs w:val="18"/>
                <w:color w:val="auto"/>
              </w:rPr>
              <w:t xml:space="preserve"> LLC</w:t>
            </w: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Trustee</w:t>
            </w:r>
          </w:p>
        </w:tc>
        <w:tc>
          <w:tcPr>
            <w:tcW w:w="1140" w:type="dxa"/>
            <w:vAlign w:val="bottom"/>
            <w:tcBorders>
              <w:top w:val="single" w:sz="8" w:color="auto"/>
            </w:tcBorders>
          </w:tcPr>
          <w:p>
            <w:pPr>
              <w:spacing w:after="0"/>
              <w:rPr>
                <w:sz w:val="20"/>
                <w:szCs w:val="20"/>
                <w:color w:val="auto"/>
              </w:rPr>
            </w:pPr>
          </w:p>
        </w:tc>
        <w:tc>
          <w:tcPr>
            <w:tcW w:w="33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NTHONY</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OFFE</w:t>
            </w:r>
          </w:p>
        </w:tc>
      </w:tr>
      <w:tr>
        <w:trPr>
          <w:trHeight w:val="191"/>
        </w:trPr>
        <w:tc>
          <w:tcPr>
            <w:tcW w:w="5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Anthony Joffe</w:t>
            </w:r>
          </w:p>
        </w:tc>
      </w:tr>
      <w:tr>
        <w:trPr>
          <w:trHeight w:val="234"/>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Irrevocable Trust of Rainer J. Westphal, Settlor, dated July 19, 2007 –</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Separate Trust for Benefit of Stefanie W. Lucas</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Stefanie W. Thompson (f/k/a Stefanie W. Lucas)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Irrevocable Trust of Rainer J. Westphal, Settlor, dated July 19, 2007 –</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Separate Trust for Benefit of Amanda W. Radcliffe</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MANDA</w:t>
            </w:r>
            <w:r>
              <w:rPr>
                <w:rFonts w:ascii="Times New Roman" w:cs="Times New Roman" w:eastAsia="Times New Roman" w:hAnsi="Times New Roman"/>
                <w:sz w:val="18"/>
                <w:szCs w:val="18"/>
                <w:color w:val="auto"/>
              </w:rPr>
              <w:t xml:space="preserve"> W. R</w:t>
            </w:r>
            <w:r>
              <w:rPr>
                <w:rFonts w:ascii="Times New Roman" w:cs="Times New Roman" w:eastAsia="Times New Roman" w:hAnsi="Times New Roman"/>
                <w:sz w:val="12"/>
                <w:szCs w:val="12"/>
                <w:color w:val="auto"/>
              </w:rPr>
              <w:t>ADCLIFFE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Amanda W. Radcliffe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Irrevocable Trust of Rainer J. Westphal, Settlor, dated July 19, 2007 –</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Separate Trust for Benefit of Jeffrey Westphal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EFFREY</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R. Westphal</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648"/>
        </w:trPr>
        <w:tc>
          <w:tcPr>
            <w:tcW w:w="6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3" w:name="page164"/>
    <w:bookmarkEnd w:id="163"/>
    <w:p>
      <w:pPr>
        <w:ind w:left="5640"/>
        <w:spacing w:after="0"/>
        <w:rPr>
          <w:sz w:val="20"/>
          <w:szCs w:val="20"/>
          <w:color w:val="auto"/>
        </w:rPr>
      </w:pPr>
      <w:r>
        <w:rPr>
          <w:rFonts w:ascii="Times New Roman" w:cs="Times New Roman" w:eastAsia="Times New Roman" w:hAnsi="Times New Roman"/>
          <w:sz w:val="18"/>
          <w:szCs w:val="18"/>
          <w:b w:val="1"/>
          <w:bCs w:val="1"/>
          <w:color w:val="auto"/>
        </w:rPr>
        <w:t>2020 IRREVOCABLE TRUST FOR BENEFIT OF CONSTANCE 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THOMPSON</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ONSTANCE</w:t>
            </w:r>
            <w:r>
              <w:rPr>
                <w:rFonts w:ascii="Times New Roman" w:cs="Times New Roman" w:eastAsia="Times New Roman" w:hAnsi="Times New Roman"/>
                <w:sz w:val="18"/>
                <w:szCs w:val="18"/>
                <w:color w:val="auto"/>
              </w:rPr>
              <w:t xml:space="preserve"> A. T</w:t>
            </w:r>
            <w:r>
              <w:rPr>
                <w:rFonts w:ascii="Times New Roman" w:cs="Times New Roman" w:eastAsia="Times New Roman" w:hAnsi="Times New Roman"/>
                <w:sz w:val="12"/>
                <w:szCs w:val="12"/>
                <w:color w:val="auto"/>
              </w:rPr>
              <w:t>HOMPSON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Constance A. Thompson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J. T</w:t>
            </w:r>
            <w:r>
              <w:rPr>
                <w:rFonts w:ascii="Times New Roman" w:cs="Times New Roman" w:eastAsia="Times New Roman" w:hAnsi="Times New Roman"/>
                <w:sz w:val="12"/>
                <w:szCs w:val="12"/>
                <w:color w:val="auto"/>
              </w:rPr>
              <w:t>HOMPSON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J. Thompson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2020 IRREVOCABLE TRUST FOR BENEFIT OF NICHOLAS 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SHUHAN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ICHOLAS</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2"/>
                <w:szCs w:val="12"/>
                <w:color w:val="auto"/>
              </w:rPr>
              <w:t>HUHAN</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Nicholas A. Shuhan</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R. Levine</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TEPHEN</w:t>
            </w:r>
            <w:r>
              <w:rPr>
                <w:rFonts w:ascii="Times New Roman" w:cs="Times New Roman" w:eastAsia="Times New Roman" w:hAnsi="Times New Roman"/>
                <w:sz w:val="18"/>
                <w:szCs w:val="18"/>
                <w:color w:val="auto"/>
              </w:rPr>
              <w:t xml:space="preserve"> R. T</w:t>
            </w:r>
            <w:r>
              <w:rPr>
                <w:rFonts w:ascii="Times New Roman" w:cs="Times New Roman" w:eastAsia="Times New Roman" w:hAnsi="Times New Roman"/>
                <w:sz w:val="12"/>
                <w:szCs w:val="12"/>
                <w:color w:val="auto"/>
              </w:rPr>
              <w:t>REAT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R. Treat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648"/>
        </w:trPr>
        <w:tc>
          <w:tcPr>
            <w:tcW w:w="62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520" w:type="dxa"/>
            <w:vAlign w:val="bottom"/>
            <w:gridSpan w:val="5"/>
          </w:tcPr>
          <w:p>
            <w:pPr>
              <w:jc w:val="center"/>
              <w:ind w:right="472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410"/>
        </w:trPr>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20" w:type="dxa"/>
            <w:vAlign w:val="bottom"/>
            <w:gridSpan w:val="2"/>
          </w:tcPr>
          <w:p>
            <w:pPr>
              <w:ind w:left="3880"/>
              <w:spacing w:after="0"/>
              <w:rPr>
                <w:sz w:val="20"/>
                <w:szCs w:val="20"/>
                <w:color w:val="auto"/>
              </w:rPr>
            </w:pPr>
            <w:r>
              <w:rPr>
                <w:rFonts w:ascii="Times New Roman" w:cs="Times New Roman" w:eastAsia="Times New Roman" w:hAnsi="Times New Roman"/>
                <w:sz w:val="18"/>
                <w:szCs w:val="18"/>
                <w:b w:val="1"/>
                <w:bCs w:val="1"/>
                <w:color w:val="auto"/>
                <w:w w:val="97"/>
              </w:rPr>
              <w:t>Exhibit 4.2</w:t>
            </w:r>
          </w:p>
        </w:tc>
      </w:tr>
      <w:tr>
        <w:trPr>
          <w:trHeight w:val="198"/>
        </w:trPr>
        <w:tc>
          <w:tcPr>
            <w:tcW w:w="4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520" w:type="dxa"/>
            <w:vAlign w:val="bottom"/>
            <w:gridSpan w:val="5"/>
          </w:tcPr>
          <w:p>
            <w:pPr>
              <w:jc w:val="center"/>
              <w:ind w:right="47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Index of Defined Terms</w:t>
            </w:r>
          </w:p>
        </w:tc>
      </w:tr>
      <w:tr>
        <w:trPr>
          <w:trHeight w:val="46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w:t>
            </w: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2001</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Trust Election Period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7(c)</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w:t>
            </w: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Election Right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7(c)</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2001</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Trust Notice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7(d)</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w:t>
            </w: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Notice of Election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7(c)</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2001</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Trusts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Trust Election Period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7(b)</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Election Right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7(b)</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Trust Notice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7(c)</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Notice of Election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7(b)</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Trusts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Applicable Market Value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Proxy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11(d)</w:t>
            </w: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AWR</w:t>
            </w:r>
          </w:p>
        </w:tc>
        <w:tc>
          <w:tcPr>
            <w:tcW w:w="4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AWR 2001 Trusts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AWR 2009 Trust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Stock</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Stock</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Price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Election Period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6(d)</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Election Right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6(d)</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Notice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6(d)</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Decedent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7(a)</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Registration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13(a)(i)</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Descendant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Eligible Remaining Stockholders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6(b)</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3(b)</w:t>
            </w: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Market Value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630"/>
        </w:trPr>
        <w:tc>
          <w:tcPr>
            <w:tcW w:w="4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34</w:t>
            </w:r>
          </w:p>
        </w:tc>
        <w:tc>
          <w:tcPr>
            <w:tcW w:w="6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Authority</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13(f)(iii)</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13(f)(iii)</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Individual Stockholder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Stockholders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Initial Election Period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6(b)</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Election Right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6(b)</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Initial Notice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6(b)</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Notice of Election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6(b)</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IPO</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Joinder Agreement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3(c)</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JRW</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JRW 2001 Trusts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JRW 2009 Trust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Securities Exchange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New Securities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Securities Initial Election Period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New Securities Initial Election Right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Securities Initial Notice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9(a)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New Securities Issuance Period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9(d)</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Securities Secondary Election Period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9(b)</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New Securities Secondary Election Right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9(b)</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Securities Secondary Notice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9(b)</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New Securities Secondary Notice of Election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9(b)</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Nominee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10(a)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Offer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6(e)</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Offered Stock</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6(a)</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Offeree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6(a)</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Over-Allotment Shares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13(j)(iii)</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Company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Piggyback Registration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13(b)(i)</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Pledge Agreement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4(d)</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Interest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Pledgee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4</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Pledging Stockholder</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Prior Agreement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Recital</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Proportionate Share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Qualified Extended Family Member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Qualified Family Member</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Qualified Foundation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Qualified Person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Qualified Sibling Family Member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Qualified Trust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648"/>
        </w:trPr>
        <w:tc>
          <w:tcPr>
            <w:tcW w:w="4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5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Registrable Securities</w:t>
            </w:r>
          </w:p>
        </w:tc>
        <w:tc>
          <w:tcPr>
            <w:tcW w:w="1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Expenses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13(e)(i)</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Relevant Date</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Remaining Offered Stock</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6(b)</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Stockholders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Secondary Election Period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6(c)</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Election Right</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6(c)</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Secondary Notice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6(c)</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Notice of Election</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6(c)</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Purchase Agreement</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3(d)</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13(c)(i)</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Sibling</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Sibling Affiliated Group</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Sibling Affiliated Stockholders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Sibling Election Period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6(a)</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Sibling Election Right</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6(a)</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Sibling Notice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6(a)</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Siblings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SWT 2001 Trusts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2009 Trust</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6(b)</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6(a)</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Trading Day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Triggering Event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7(a)</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Obligations</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Section 11(d)</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Will</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Section 1</w:t>
            </w:r>
          </w:p>
        </w:tc>
      </w:tr>
      <w:tr>
        <w:trPr>
          <w:trHeight w:val="630"/>
        </w:trPr>
        <w:tc>
          <w:tcPr>
            <w:tcW w:w="39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5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167" w:name="page168"/>
    <w:bookmarkEnd w:id="167"/>
    <w:p>
      <w:pPr>
        <w:ind w:left="5060"/>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Stefanie W. Thompson (formerly known as Stefanie W. Lucas)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Amanda W. Radcliffe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J. Thompson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Conrad J. J. Radcliffe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Benjamin Schmerin</w:t>
      </w:r>
    </w:p>
    <w:p>
      <w:pPr>
        <w:spacing w:after="0" w:line="225" w:lineRule="exact"/>
        <w:rPr>
          <w:sz w:val="20"/>
          <w:szCs w:val="20"/>
          <w:color w:val="auto"/>
        </w:rPr>
      </w:pPr>
    </w:p>
    <w:p>
      <w:pPr>
        <w:ind w:right="20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Irrevocable Trust fbo Kailey A. Radcliffe u/a of Amanda W. Radcliffe, dated October 5, 2001 </w:t>
      </w: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Conrad J. J. Radcliffe and Kailey A. Radcliffe</w:t>
      </w:r>
    </w:p>
    <w:p>
      <w:pPr>
        <w:spacing w:after="0" w:line="155" w:lineRule="exact"/>
        <w:rPr>
          <w:sz w:val="20"/>
          <w:szCs w:val="20"/>
          <w:color w:val="auto"/>
        </w:rPr>
      </w:pPr>
    </w:p>
    <w:p>
      <w:pPr>
        <w:ind w:right="17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Irrevocable Trust fbo Antoinette R. Radcliffe u/a of Amanda W. Radcliffe, dated October 5, 2001 </w:t>
      </w: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Conrad J. J. Radcliffe and Antoinette R. Radcliffe</w:t>
      </w:r>
    </w:p>
    <w:p>
      <w:pPr>
        <w:spacing w:after="0" w:line="155" w:lineRule="exact"/>
        <w:rPr>
          <w:sz w:val="20"/>
          <w:szCs w:val="20"/>
          <w:color w:val="auto"/>
        </w:rPr>
      </w:pPr>
    </w:p>
    <w:p>
      <w:pPr>
        <w:ind w:right="12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Party Funded Special Needs Trust for Callum W. Radcliffe u/a Of Amanda W. Radcliffe, dated May 15, 2015 </w:t>
      </w: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Conrad J. J. Radcliffe</w:t>
      </w:r>
    </w:p>
    <w:p>
      <w:pPr>
        <w:spacing w:after="0" w:line="155" w:lineRule="exact"/>
        <w:rPr>
          <w:sz w:val="20"/>
          <w:szCs w:val="20"/>
          <w:color w:val="auto"/>
        </w:rPr>
      </w:pPr>
    </w:p>
    <w:p>
      <w:pPr>
        <w:ind w:right="25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 Trust fbo Anne Marie Westphal u/a of Jeffrey R. Westphal, dated October 5, 2001 </w:t>
      </w: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Anne Marie Westphal, Joshua R. Levine and Steve Treat</w:t>
      </w:r>
    </w:p>
    <w:p>
      <w:pPr>
        <w:spacing w:after="0" w:line="155" w:lineRule="exact"/>
        <w:rPr>
          <w:sz w:val="20"/>
          <w:szCs w:val="20"/>
          <w:color w:val="auto"/>
        </w:rPr>
      </w:pPr>
    </w:p>
    <w:p>
      <w:pPr>
        <w:ind w:right="28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 Trust fbo Kyle R. Westphal u/a of Jeffrey R. Westphal, dated October 5, 2001 </w:t>
      </w: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Kyle R. Westphal, Joshua R. Levine and Steve Treat</w:t>
      </w:r>
    </w:p>
    <w:p>
      <w:pPr>
        <w:spacing w:after="0" w:line="155" w:lineRule="exact"/>
        <w:rPr>
          <w:sz w:val="20"/>
          <w:szCs w:val="20"/>
          <w:color w:val="auto"/>
        </w:rPr>
      </w:pPr>
    </w:p>
    <w:p>
      <w:pPr>
        <w:ind w:right="28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 Trust fbo Jacob J. Westphal u/a of Jeffrey R. Westphal, dated October 5, 2001 </w:t>
      </w: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Jacob J. Westphal, Joshua R. Levine and Steve Treat</w:t>
      </w:r>
    </w:p>
    <w:p>
      <w:pPr>
        <w:spacing w:after="0" w:line="3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8" w:name="page169"/>
    <w:bookmarkEnd w:id="168"/>
    <w:p>
      <w:pPr>
        <w:ind w:right="30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 Trust fbo Melanie H. Lucas u/a of Stefanie W. Lucas, dated October 5, 2001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Melanie H. Lucas</w:t>
      </w:r>
    </w:p>
    <w:p>
      <w:pPr>
        <w:spacing w:after="0" w:line="155" w:lineRule="exact"/>
        <w:rPr>
          <w:sz w:val="20"/>
          <w:szCs w:val="20"/>
          <w:color w:val="auto"/>
        </w:rPr>
      </w:pPr>
    </w:p>
    <w:p>
      <w:pPr>
        <w:ind w:right="28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 Trust fbo Samantha W. Lucas u/a of Stefanie W. Lucas, dated October 5, 2001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Samantha W. Lucas</w:t>
      </w:r>
    </w:p>
    <w:p>
      <w:pPr>
        <w:spacing w:after="0" w:line="155" w:lineRule="exact"/>
        <w:rPr>
          <w:sz w:val="20"/>
          <w:szCs w:val="20"/>
          <w:color w:val="auto"/>
        </w:rPr>
      </w:pPr>
    </w:p>
    <w:p>
      <w:pPr>
        <w:ind w:right="28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 Trust fbo Mackenzie S. Lucas u/a of Stefanie W. Lucas, dated October 5, 2001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Mackenzie S. Lucas</w:t>
      </w:r>
    </w:p>
    <w:p>
      <w:pPr>
        <w:spacing w:after="0" w:line="155" w:lineRule="exact"/>
        <w:rPr>
          <w:sz w:val="20"/>
          <w:szCs w:val="20"/>
          <w:color w:val="auto"/>
        </w:rPr>
      </w:pPr>
    </w:p>
    <w:p>
      <w:pPr>
        <w:ind w:right="31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Second Irr. Trust fbo Andrea P. Lucas u/a of Stefanie W. Lucas, dated October 5, 2001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Andrea P. Schmerin (f/k/a Andrea P. Lucas)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2009 Jeffrey R. Westphal Generation-Skipping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Jeffrey R. Westphal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2009 Stefanie W. Lucas Generation-Skipping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Stefanie W. Thompson (f/k/a Stefanie W. Lucas)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2009 Amanda W. Radcliffe Generation-Skipping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Amanda R. Radcliffe</w:t>
      </w:r>
    </w:p>
    <w:p>
      <w:pPr>
        <w:spacing w:after="0" w:line="203" w:lineRule="exact"/>
        <w:rPr>
          <w:sz w:val="20"/>
          <w:szCs w:val="20"/>
          <w:color w:val="auto"/>
        </w:rPr>
      </w:pPr>
    </w:p>
    <w:p>
      <w:pPr>
        <w:ind w:right="39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Irrevocable Deed of Trust of Antoinette M. Westphal, dated March 31, 1987 </w:t>
      </w: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Stefanie W. Thompson and Sterling Trustees LLC</w:t>
      </w:r>
    </w:p>
    <w:p>
      <w:pPr>
        <w:spacing w:after="0" w:line="155" w:lineRule="exact"/>
        <w:rPr>
          <w:sz w:val="20"/>
          <w:szCs w:val="20"/>
          <w:color w:val="auto"/>
        </w:rPr>
      </w:pPr>
    </w:p>
    <w:p>
      <w:pPr>
        <w:ind w:right="10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Irrevocable Trust of Rainer J. Westphal, Settlor, dated July 19, 2007 – Separate Trust for Benefit of Stefanie W. Lucas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Stefanie W. Thompson (f/k/a Stefanie W. Lucas)</w:t>
      </w:r>
    </w:p>
    <w:p>
      <w:pPr>
        <w:spacing w:after="0" w:line="155" w:lineRule="exact"/>
        <w:rPr>
          <w:sz w:val="20"/>
          <w:szCs w:val="20"/>
          <w:color w:val="auto"/>
        </w:rPr>
      </w:pPr>
    </w:p>
    <w:p>
      <w:pPr>
        <w:ind w:right="8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Irrevocable Trust of Rainer J. Westphal, Settlor, dated July 19, 2007 – Separate Trust for Benefit of Amanda W. Radcliffe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Amanda R. Radcliffe</w:t>
      </w:r>
    </w:p>
    <w:p>
      <w:pPr>
        <w:spacing w:after="0" w:line="155" w:lineRule="exact"/>
        <w:rPr>
          <w:sz w:val="20"/>
          <w:szCs w:val="20"/>
          <w:color w:val="auto"/>
        </w:rPr>
      </w:pPr>
    </w:p>
    <w:p>
      <w:pPr>
        <w:ind w:right="11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Irrevocable Trust of Rainer J. Westphal, Settlor, dated July 19, 2007 – Separate Trust for Benefit of Jeffrey Westphal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Jeffrey R. Westphal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Irrevocable Trust fbo Constance A. Thompson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Christopher J. Thompson, Constance A. Thompson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Irrevocable Trust fbo Nicholas A. Shuhan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Trustees</w:t>
      </w:r>
      <w:r>
        <w:rPr>
          <w:rFonts w:ascii="Times New Roman" w:cs="Times New Roman" w:eastAsia="Times New Roman" w:hAnsi="Times New Roman"/>
          <w:sz w:val="18"/>
          <w:szCs w:val="18"/>
          <w:color w:val="auto"/>
        </w:rPr>
        <w:t>: Nicholas A. Shuhan, Joshua R. Levine and Stephen R. Treat</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JOINDER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JOINDER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This JOINDER AGREEMENT to the Third Amended and Restated Stockholders’ Agreement (the “</w:t>
      </w:r>
      <w:r>
        <w:rPr>
          <w:rFonts w:ascii="Times New Roman" w:cs="Times New Roman" w:eastAsia="Times New Roman" w:hAnsi="Times New Roman"/>
          <w:sz w:val="17"/>
          <w:szCs w:val="17"/>
          <w:u w:val="single" w:color="auto"/>
          <w:color w:val="auto"/>
        </w:rPr>
        <w:t>Joinder Agreement</w:t>
      </w:r>
      <w:r>
        <w:rPr>
          <w:rFonts w:ascii="Times New Roman" w:cs="Times New Roman" w:eastAsia="Times New Roman" w:hAnsi="Times New Roman"/>
          <w:sz w:val="17"/>
          <w:szCs w:val="17"/>
          <w:color w:val="auto"/>
        </w:rPr>
        <w:t>”) is made and entered into as of _______, ____, by and among Vertex,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undersigned (the “</w:t>
      </w:r>
      <w:r>
        <w:rPr>
          <w:rFonts w:ascii="Times New Roman" w:cs="Times New Roman" w:eastAsia="Times New Roman" w:hAnsi="Times New Roman"/>
          <w:sz w:val="17"/>
          <w:szCs w:val="17"/>
          <w:u w:val="single" w:color="auto"/>
          <w:color w:val="auto"/>
        </w:rPr>
        <w:t>Joining Stockholders</w:t>
      </w:r>
      <w:r>
        <w:rPr>
          <w:rFonts w:ascii="Times New Roman" w:cs="Times New Roman" w:eastAsia="Times New Roman" w:hAnsi="Times New Roman"/>
          <w:sz w:val="17"/>
          <w:szCs w:val="17"/>
          <w:color w:val="auto"/>
        </w:rPr>
        <w:t>”), and relates to</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that certain Third Amended and Restated Stockholders’ Agreement, dated as of July 28, 2020 (as amended from time to time,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each Person set forth on Schedule 2 to the Stockholders’ Agreement and any other Person who becomes a party to the Stockholders’ Agreement pursuant to the provisions of the Stockholders’ Agreement (each such Person, individually,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Capitalized terms used and not defined herein shall have the meanings ascribed to such terms in the Stockholders’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Joining Stockholders are acquiring as transferees shares of Class B Stock, par value $0.0001 per share, of the Company and, in connection therewith, have agreed to become a party to the Stockholders’ Agreement on the terms set forth herein.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parties hereto agree as follows:</w:t>
      </w:r>
    </w:p>
    <w:p>
      <w:pPr>
        <w:spacing w:after="0" w:line="162" w:lineRule="exact"/>
        <w:rPr>
          <w:sz w:val="20"/>
          <w:szCs w:val="20"/>
          <w:color w:val="auto"/>
        </w:rPr>
      </w:pPr>
    </w:p>
    <w:p>
      <w:pPr>
        <w:jc w:val="both"/>
        <w:ind w:firstLine="656"/>
        <w:spacing w:after="0" w:line="266" w:lineRule="auto"/>
        <w:tabs>
          <w:tab w:leader="none" w:pos="8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be Bound</w:t>
      </w:r>
      <w:r>
        <w:rPr>
          <w:rFonts w:ascii="Times New Roman" w:cs="Times New Roman" w:eastAsia="Times New Roman" w:hAnsi="Times New Roman"/>
          <w:sz w:val="18"/>
          <w:szCs w:val="18"/>
          <w:color w:val="auto"/>
        </w:rPr>
        <w:t>. Each Joining Stockholder agrees that, upon the execution of this Joinder Agreement, such Joining Stockholder shall become a party to the Stockholders’ Agreement and shall be fully bound by, and subject to, all of the covenants, terms and conditions of the Stockholders’ Agreement and such Joining Stockholder shall be deemed a “Stockholder” thereunder for all purposes.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Joinder Agreement shall be binding upon and shall inure to the benefit of, and be enforceable by, the Company, the Stockholders and the Joining Stockholders and their respective heirs, personal representatives, successors and assigns.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8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Joinder Agreement (or any portion thereof) or the application of any such provision (or any portion thereof) to any Person or circumstance shall be held invalid, illegal or unenforceable in any respect by a Governmental Authority, such invalidity, illegality or unenforceability shall not affect any other provision hereof (or the remaining portion thereof) or the application of such provision to any other Persons or circumstances. Upon such determination that any provision of this Joinder Agreement (or any portion thereof) or the application of any such provision (or any portion thereof) to any Person or circumstance is invalid, illegal or unenforceable, the parties hereto shall negotiate in good faith to modify this Joinder Agreement so as to effect the original intent of the parties hereto as closely as possible in an acceptable manner to the end that the transactions contemplated hereby are fulfilled to the extent possible.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w:t>
      </w:r>
      <w:r>
        <w:rPr>
          <w:rFonts w:ascii="Times New Roman" w:cs="Times New Roman" w:eastAsia="Times New Roman" w:hAnsi="Times New Roman"/>
          <w:sz w:val="18"/>
          <w:szCs w:val="18"/>
          <w:color w:val="auto"/>
        </w:rPr>
        <w:t>. The parties hereto shall use commercially reasonable efforts to do and perform or cause to be done and performed all such further acts and things and shall execute and deliver all such other agreements, certificates, instruments or documents as any other party may reasonably request in order to carry out the intent and purposes of this Joinder Agreement and to consummate the transactions contemplated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ind w:left="-20" w:right="20" w:firstLine="656"/>
        <w:spacing w:after="0" w:line="282" w:lineRule="auto"/>
        <w:tabs>
          <w:tab w:leader="none" w:pos="82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of this Joinder Agreement have been inserted for convenience of reference only and shall not be deemed a part of this Joinder Agreement.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Joinder Agreement may be executed in one or more counterparts, each of which shall be deemed to constitute an original, but all such respective counterparts shall together constitute one and the same instrument. Delivery of an executed counterpart of a signature page of this Joinder Agreement by facsimile or other electronic image scan shall be effective as delivery of a manually executed counterpart of this Agreement.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8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JOINDER AGREEMENT SHALL BE GOVERNED BY AND INTERPRETED AND CONSTRUED IN ACCORDANCE WITH THE LAWS OF THE STATE OF DELAWARE WITHOUT REFERENCE TO ITS INTERNAL CONFLICTS OF LAWS PRINCIPLES.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Joinder Agreement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[NAME(S) OF JOINING STOCKHOLDER(S)]</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and restated)</w:t>
      </w:r>
    </w:p>
    <w:p>
      <w:pPr>
        <w:spacing w:after="0" w:line="207"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July 20, 2020 by and between VERTEX,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offices at 2301 Renaissance Boulevard, King of Prussia, PA 19406, and Lisa A. Butler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w:t>
      </w:r>
    </w:p>
    <w:p>
      <w:pPr>
        <w:spacing w:after="0" w:line="225"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WHEREAS, Executive is currently employed by the Company as Chief Accounting Officer, pursuant to an Employment Agreement dated February 12, 2015, as amended from time to time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WHEREAS, in the course of its business, the Company has invested and will continue to invest substantial time, effort, money and other resources in the creation, development, maintenance and protection of confidential and proprietary business methods, Documents (as defined herein) and information, as well as substantial and ongoing customer and industry relationships, all of which gain for the Company a substantial advantage in the marketplace and represent assets of great value to the Company and all of which will continue to be disclosed to Executive in the course of Executive’s employment with the Company;</w:t>
      </w:r>
    </w:p>
    <w:p>
      <w:pPr>
        <w:spacing w:after="0" w:line="183"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recognize the Company's legitimate business interest in protecting its confidential and proprietary business methods, Documents and information, as well as its substantial and ongoing customer and industry relationships; and</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WHEREAS, Executive and the Company desire to enter into this Agreement to set out the terms and conditions for the continued employment relationship of Executive with the Company effective as of the date of consummation of the initial public offering of the Company’s Class A common stock pursuant to an effective registration statement filed under the Securities Act of 1933, as amended,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specifically, in consideration of the Company’s continued employment of Executive and Executive’s resulting access to the Company’s confidential and proprietary business methods, Documents and information as well as to its substantial and ongoing customer and industry relationships, the Company and Executive agree as follows:</w:t>
      </w:r>
    </w:p>
    <w:p>
      <w:pPr>
        <w:spacing w:after="0" w:line="176" w:lineRule="exact"/>
        <w:rPr>
          <w:sz w:val="20"/>
          <w:szCs w:val="20"/>
          <w:color w:val="auto"/>
        </w:rPr>
      </w:pPr>
    </w:p>
    <w:p>
      <w:pPr>
        <w:ind w:right="100" w:firstLine="1304"/>
        <w:spacing w:after="0" w:line="256" w:lineRule="auto"/>
        <w:tabs>
          <w:tab w:leader="none" w:pos="206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 The Company shall continue to employ Executive in the position of Chief Accounting Officer of the Company reporting to the Chief Financial Officer of the Company, and Executive hereby accepts such continued employment. Executive shall perform duties incident to this position, as well as any other duties that may be assigned to Executive from time to time by the Chief Financial Officer and/or the Chief Executive Officer of the Company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or his or her designee, that are not inconsistent with service as an officer of the Company, including duties for any Company subsidiary or affiliate. Executive shall abide by the Company’s Code of Ethics and Business Conduct (“</w:t>
      </w:r>
      <w:r>
        <w:rPr>
          <w:rFonts w:ascii="Times New Roman" w:cs="Times New Roman" w:eastAsia="Times New Roman" w:hAnsi="Times New Roman"/>
          <w:sz w:val="18"/>
          <w:szCs w:val="18"/>
          <w:u w:val="single" w:color="auto"/>
          <w:color w:val="auto"/>
        </w:rPr>
        <w:t>Code of Conduct</w:t>
      </w:r>
      <w:r>
        <w:rPr>
          <w:rFonts w:ascii="Times New Roman" w:cs="Times New Roman" w:eastAsia="Times New Roman" w:hAnsi="Times New Roman"/>
          <w:sz w:val="18"/>
          <w:szCs w:val="18"/>
          <w:color w:val="auto"/>
        </w:rPr>
        <w:t>”), policies, practices, procedures, and rules.</w:t>
      </w:r>
    </w:p>
    <w:p>
      <w:pPr>
        <w:spacing w:after="0" w:line="187"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304"/>
        <w:spacing w:after="0" w:line="282" w:lineRule="auto"/>
        <w:tabs>
          <w:tab w:leader="none" w:pos="203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14, Executive’s employment under this Agreement shall remain in effect until terminated in accordance with the provisions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4" w:name="page175"/>
    <w:bookmarkEnd w:id="174"/>
    <w:p>
      <w:pPr>
        <w:ind w:left="940" w:hanging="756"/>
        <w:spacing w:after="0"/>
        <w:tabs>
          <w:tab w:leader="none" w:pos="9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may be terminated hereunder as follows:</w:t>
      </w:r>
    </w:p>
    <w:p>
      <w:pPr>
        <w:spacing w:after="0" w:line="225" w:lineRule="exact"/>
        <w:rPr>
          <w:rFonts w:ascii="Times New Roman" w:cs="Times New Roman" w:eastAsia="Times New Roman" w:hAnsi="Times New Roman"/>
          <w:sz w:val="18"/>
          <w:szCs w:val="18"/>
          <w:color w:val="auto"/>
        </w:rPr>
      </w:pPr>
    </w:p>
    <w:p>
      <w:pPr>
        <w:ind w:left="-1120" w:firstLine="1952"/>
        <w:spacing w:after="0" w:line="256" w:lineRule="auto"/>
        <w:tabs>
          <w:tab w:leader="none" w:pos="171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shall terminate automatically upon Executive’s death and may be terminated at any time, in the Company’s sole discretion, upon Executive’s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purposes of this Agreement, “Disability” shall mean that because of physical or mental illness or incapacity Executive is unable to substantially perform all of the essential functions of Executive’s position on a full-time basis with or without reasonable accommodation, for a period of 90 consecutive days or in excess of 180 days in any one-year period. This provision does not limit Executive’s access to and use of benefits made available to Executive by the Company pursuant to this Agreement. Further, this provision is not intended to replace or supersede any applicable laws.</w:t>
      </w:r>
    </w:p>
    <w:p>
      <w:pPr>
        <w:spacing w:after="0" w:line="187" w:lineRule="exact"/>
        <w:rPr>
          <w:rFonts w:ascii="Times New Roman" w:cs="Times New Roman" w:eastAsia="Times New Roman" w:hAnsi="Times New Roman"/>
          <w:sz w:val="18"/>
          <w:szCs w:val="18"/>
          <w:color w:val="auto"/>
        </w:rPr>
      </w:pPr>
    </w:p>
    <w:p>
      <w:pPr>
        <w:ind w:left="-1120" w:firstLine="1952"/>
        <w:spacing w:after="0" w:line="253" w:lineRule="auto"/>
        <w:tabs>
          <w:tab w:leader="none" w:pos="171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for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without advance notice and with no other continuing obligations of the Company to Executive under this Agreement.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Executive’s material breach of this Agreement (including but not limited to Sections 6, 7, or 8 hereof); (B) Executive’s repeated failure to perform Executive’s duties or obligations to the Company or any corporation or other legal entity of which the Company has at least 51% equity ownership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(C) Executive’s willful misconduct that is materially injurious to the Company or any Subsidiary; (D) dishonesty, unethical, fraudulent or similar misconduct on the part of Executive in connection with Executive’s employment by, or performance of services for, the Company or any Subsidiary; (E) Executive’s use of non-prescription controlled substances, misuse of prescription drugs, or habitual intoxication during work hours; (F) Executive’s conviction (which includes a guilty plea or plea of nolo contendere) of a felony or any other crime involving fraud, dishonesty or moral turpitude; (G) Executive’s material violation of any policy of the Company or of any Subsidiary for which Executive performs services; or (H) Executive’s refusal to follow any directions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any other person at the Company or any Subsidiary to whom Executive reports that are reasonable, lawful and consistent with the Company’s Code of Conduct, policies, practices, procedures, and rules. Notwithstanding the foregoing, the parties agree that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does not include any act of Executive covered by (A), (B), (G) or (H) of the foregoing sentence, that in the sole discretion of the CEO or his or her designee, is capable of cure and is cured by Executive within thirty (30) days after written notice thereof has been provided to Executive.</w:t>
      </w:r>
    </w:p>
    <w:p>
      <w:pPr>
        <w:spacing w:after="0" w:line="187" w:lineRule="exact"/>
        <w:rPr>
          <w:rFonts w:ascii="Times New Roman" w:cs="Times New Roman" w:eastAsia="Times New Roman" w:hAnsi="Times New Roman"/>
          <w:sz w:val="18"/>
          <w:szCs w:val="18"/>
          <w:color w:val="auto"/>
        </w:rPr>
      </w:pPr>
    </w:p>
    <w:p>
      <w:pPr>
        <w:ind w:left="-1120" w:right="20" w:firstLine="1952"/>
        <w:spacing w:after="0" w:line="253" w:lineRule="auto"/>
        <w:tabs>
          <w:tab w:leader="none" w:pos="172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without Cause upon thirty (30) days’ written notice to Executive (or, at the Company's option, the Company may provide Executive a maximum of thirty (30) days’ pay in lieu of such notice). In the event of (x) any termination by the Company without Cause pursuant to this subparagraph 2(b)(iii), or (y) any termination by Executive for Good Reason (as defined below) pursuant to subparagraph 2(b)(vi), provided, in any case, Executive first signs a general separation agreement and release of claims against the Company, its Subsidiaries and affiliates, in form to be provided by the Company that is substantially similar to the sample form attached hereto as Appendix A (“Release”), and further provided that Executive remains in compliance with Executive’s continuing obligations under paragraphs 6 and 7 of this Agreement, Executive will be entitled to the following: (a) payment of Executive’s Base Salary (as defined below) under Section 3(a) at the rate in effect on the date of termination of employment for a period of twelve (12) months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and (b) if Executive timely elects continuation coverage under COBRA, payment of insurance premiums in order to continue Executive’s then-existing health insurance coverage for a period of eighteen (18) months, or, at the Company’s option, payment to Executive as additional severance pay in an amount equal to the premium payments for such continuation coverage. The health insurance continuation (or equivalent payment as additional severance) shall be at the Company’s expense, but shall in all events terminate on the date Executive becomes eligible for health insurance coverage under the medical plan of a new employer.</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75" w:name="page176"/>
    <w:bookmarkEnd w:id="175"/>
    <w:p>
      <w:pPr>
        <w:ind w:left="-1120" w:right="20" w:firstLine="1952"/>
        <w:spacing w:after="0" w:line="266" w:lineRule="auto"/>
        <w:tabs>
          <w:tab w:leader="none" w:pos="171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terminate Executive’s employment for any reason or no reason upon at least thirty (30) days’ written notice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such notice of termination, the Company may, at its option, select a shorter notice period and earlier termination date than Executive provided, without incurring liability hereunder or changing the nature of Executive’s termination.</w:t>
      </w:r>
    </w:p>
    <w:p>
      <w:pPr>
        <w:spacing w:after="0" w:line="175" w:lineRule="exact"/>
        <w:rPr>
          <w:rFonts w:ascii="Times New Roman" w:cs="Times New Roman" w:eastAsia="Times New Roman" w:hAnsi="Times New Roman"/>
          <w:sz w:val="18"/>
          <w:szCs w:val="18"/>
          <w:color w:val="auto"/>
        </w:rPr>
      </w:pPr>
    </w:p>
    <w:p>
      <w:pPr>
        <w:ind w:left="-1120" w:firstLine="1952"/>
        <w:spacing w:after="0" w:line="253" w:lineRule="auto"/>
        <w:tabs>
          <w:tab w:leader="none" w:pos="170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subparagraph 2(b)(iii), in the event of termination of employment for any reason, Executive (or Executive’s estate, as applicable) shall be entitled to no payments or benefits following the date of termination other than payment of (i) accrued but unpaid Base Salary earned through the termination date; (ii) the unpaid portion of incentive compensation, if any, earned by Executive with respect to the calendar year preceding the calendar year in which the date of termination occurs, subject to the terms and conditions of any plan governing such incentive compensation; (iii) expenses reimbursable under Section 5 incurred but not yet reimbursed to Executive prior to the termination date; and (iv) any vested benefits or amounts through the date of termination due and owing to Executive under the terms of any plan, program, or arrangement of the Company, less any amounts then owed by Executive to the Company. For the avoidance of doubt, if Executive’s employment shall terminate as a result of Executive’s death or Disability pursuant to Section 2(b)(i), pursuant to Section 2(b)(ii) for Cause, or pursuant to Section 2(b)(iv) for Executive’s resignation from the Company without Good Reason or for no reason, then Executive shall not be entitled to any payments or benefits, except for those payments and benefits provided in clauses (i), (ii), (iii) and (iv) of this Section 2(b)(v).</w:t>
      </w:r>
    </w:p>
    <w:p>
      <w:pPr>
        <w:spacing w:after="0" w:line="194" w:lineRule="exact"/>
        <w:rPr>
          <w:rFonts w:ascii="Times New Roman" w:cs="Times New Roman" w:eastAsia="Times New Roman" w:hAnsi="Times New Roman"/>
          <w:sz w:val="18"/>
          <w:szCs w:val="18"/>
          <w:color w:val="auto"/>
        </w:rPr>
      </w:pPr>
    </w:p>
    <w:p>
      <w:pPr>
        <w:ind w:left="-1120" w:firstLine="1952"/>
        <w:spacing w:after="0" w:line="255" w:lineRule="auto"/>
        <w:tabs>
          <w:tab w:leader="none" w:pos="171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may terminate Executive’s employment for Good Reason. “Good Reason” means, unless otherwise consented to by Executive, any action taken by the Company that causes (i) a material breach of this Agreement, (ii) the material diminution of Executive’s duties, (iii) a material decrease in Base Salary or (iv) any relocation of Executive’s principal office to a location more than fifty (50) miles from Executive’s then current office. Before resigning for Good Reason, Executive shall provide written notice to the Company of the ground giving rise to Good Reason. The notice shall be provided within sixty (60) days of the occurrence of the event giving rise to Good Reason. The Company shall then have thirty (30) days within which to cure such event. If the Company fails to cure, Executive shall have the right to resign for Good Reason, provided the resignation occurs no later than one hundred and twenty (120) days from the date of the occurrence of the event giving rise to Good Reason.</w:t>
      </w:r>
    </w:p>
    <w:p>
      <w:pPr>
        <w:spacing w:after="0" w:line="188" w:lineRule="exact"/>
        <w:rPr>
          <w:rFonts w:ascii="Times New Roman" w:cs="Times New Roman" w:eastAsia="Times New Roman" w:hAnsi="Times New Roman"/>
          <w:sz w:val="18"/>
          <w:szCs w:val="18"/>
          <w:color w:val="auto"/>
        </w:rPr>
      </w:pPr>
    </w:p>
    <w:p>
      <w:pPr>
        <w:ind w:left="-1120" w:firstLine="1304"/>
        <w:spacing w:after="0" w:line="253" w:lineRule="auto"/>
        <w:tabs>
          <w:tab w:leader="none" w:pos="9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under this Agreement that are subject to Executive’s execution of the Release shall commence on the sixtieth day after Executive’s separation from service. Executive shall not be entitled to any such payments unless Executive executes the Release within forty-five days of the later of the date Executive receives the Release or Executive’s separation from service, and does not revoke the Release; provided, however, that in no event shall the Company provide such Release to Executive later than five (5) business days after Executive’s separation from service. Any amounts payable under this Agreement as an uninterrupted continuation of Executive’s Base Salary or health insurance coverage that are delayed pending Executive’s execution of a Release shall be paid in an aggregate lump sum upon such sixtieth day; provided, however, that Executive shall be responsible for paying any premiums that are due and necessary for the continuation of Executive’s health insurance coverage prior to such sixtieth day, subject to reimbursement of such amounts to Executive by the Company upon the lapse of such sixty-day period. In the event Executive commits a material breach of Section 6 or Section 7 that, in the sole discretion of the CEO or his or her designee, is not capable of cure, or is not cured by Executive within thirty (30) days after notice thereof to Executive, then, without limiting the availability to the Company of any other relief or remedy, Executive shall no longer be entitled to any severance compensation or benefits provided for above in subparagraph 2(b)(iii) that have not yet been paid, and shall be required to repay to the Company any amounts theretofore paid under such subsection.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76" w:name="page177"/>
    <w:bookmarkEnd w:id="176"/>
    <w:p>
      <w:pPr>
        <w:ind w:right="20" w:firstLine="1304"/>
        <w:spacing w:after="0" w:line="256" w:lineRule="auto"/>
        <w:tabs>
          <w:tab w:leader="none" w:pos="204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following any termination of employment, (i) Executive shall not disparage the professional or personal reputation of the Company, its Subsidiaries and affiliates or any of their officers, shareholders, directors, management, or employees or any products or services of the Company, its Subsidiaries and affiliates (other than good faith statements made in the performance of Executive’s duties during Executive’s employment); and (ii) the Board shall not disparage the professional or personal reputation of Executive (other than good faith statements made during Executive’s employment). Nothing in this paragraph shall preclude any party from making truthful statements that are reasonably necessary to comply with applicable law, regulation or legal process, or to defend or enforce a party’s rights under this Agreement.</w:t>
      </w:r>
    </w:p>
    <w:p>
      <w:pPr>
        <w:spacing w:after="0" w:line="187" w:lineRule="exact"/>
        <w:rPr>
          <w:rFonts w:ascii="Times New Roman" w:cs="Times New Roman" w:eastAsia="Times New Roman" w:hAnsi="Times New Roman"/>
          <w:sz w:val="18"/>
          <w:szCs w:val="18"/>
          <w:color w:val="auto"/>
        </w:rPr>
      </w:pPr>
    </w:p>
    <w:p>
      <w:pPr>
        <w:ind w:right="420" w:firstLine="1304"/>
        <w:spacing w:after="0" w:line="266" w:lineRule="auto"/>
        <w:tabs>
          <w:tab w:leader="none" w:pos="203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event of termination of Executive’s employment for any reason, Executive shall be deemed to have resigned from each position Executive holds as an officer or director of the Company and any Subsidiary or affiliate of the Company effective as of no later than the termination date.</w:t>
      </w:r>
    </w:p>
    <w:p>
      <w:pPr>
        <w:spacing w:after="0" w:line="176" w:lineRule="exact"/>
        <w:rPr>
          <w:sz w:val="20"/>
          <w:szCs w:val="20"/>
          <w:color w:val="auto"/>
        </w:rPr>
      </w:pPr>
    </w:p>
    <w:p>
      <w:pPr>
        <w:ind w:left="2060" w:hanging="756"/>
        <w:spacing w:after="0"/>
        <w:tabs>
          <w:tab w:leader="none" w:pos="20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61" w:lineRule="auto"/>
        <w:tabs>
          <w:tab w:leader="none" w:pos="203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Beginning on the Effective Date, Executive’s annual base salary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be three hundred two thousand six hundred seventy-nine dollars ($302,679), payable in accordance with the Company’s generally applicable payroll practices and subject to any payroll or other deductions required by law, government or court order, or by agreement with, or consent of, Executive. The Base Salary may be increased from time to time in the discretion of the Board or the CEO or his or her designee.</w:t>
      </w:r>
    </w:p>
    <w:p>
      <w:pPr>
        <w:spacing w:after="0" w:line="179" w:lineRule="exact"/>
        <w:rPr>
          <w:rFonts w:ascii="Times New Roman" w:cs="Times New Roman" w:eastAsia="Times New Roman" w:hAnsi="Times New Roman"/>
          <w:sz w:val="18"/>
          <w:szCs w:val="18"/>
          <w:color w:val="auto"/>
        </w:rPr>
      </w:pPr>
    </w:p>
    <w:p>
      <w:pPr>
        <w:ind w:right="220" w:firstLine="1304"/>
        <w:spacing w:after="0" w:line="258" w:lineRule="auto"/>
        <w:tabs>
          <w:tab w:leader="none" w:pos="20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Executive shall continue to be eligible to participate in the incentive compensation plans the Company may implement from time to time. The target bonus amounts and performance targets for Executive shall be established at the same time such amounts and targets are established for other executive officers of the Company, shall be as determined by the Board, and shall be payable only upon the Company’s achievement of established targets as determined by the Board. Notwithstanding the foregoing, the Company and Executive agree that Executive’s target annual bonus will equal forty percent (40%) of Executive’s Base Salary.</w:t>
      </w:r>
    </w:p>
    <w:p>
      <w:pPr>
        <w:spacing w:after="0" w:line="183"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Executive shall be eligible to receive a bonus in the amount of seventy-five thousand dollars ($75,000)</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subject to the Company’s generally applicable payroll practices and any payroll or other deductions required by law, upon the earlier to occur of the following: (i) the filing of the Company’s first quarterly public company financial statement during calendar year 2020, (ii) the date the Board makes a determination to terminate the pursuit of the filing of a registration statement on Form S-1 during calendar year 2020, or (iii) December 31, 2020. Payment of the Performance Bonus by the Company is to occur no later than thirty (30) days from the date of the event giving rise to the obligation for such Performance Bonus. Executive must remain actively employed and in compliance with the Company’s policies and directives concerning job performance and conduct to receive the Performance Bonus.</w:t>
      </w:r>
    </w:p>
    <w:p>
      <w:pPr>
        <w:spacing w:after="0" w:line="190" w:lineRule="exact"/>
        <w:rPr>
          <w:sz w:val="20"/>
          <w:szCs w:val="20"/>
          <w:color w:val="auto"/>
        </w:rPr>
      </w:pPr>
    </w:p>
    <w:p>
      <w:pPr>
        <w:ind w:right="60" w:firstLine="1304"/>
        <w:spacing w:after="0" w:line="258" w:lineRule="auto"/>
        <w:tabs>
          <w:tab w:leader="none" w:pos="204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Termination</w:t>
      </w:r>
      <w:r>
        <w:rPr>
          <w:rFonts w:ascii="Times New Roman" w:cs="Times New Roman" w:eastAsia="Times New Roman" w:hAnsi="Times New Roman"/>
          <w:sz w:val="18"/>
          <w:szCs w:val="18"/>
          <w:color w:val="auto"/>
        </w:rPr>
        <w:t>. Within six (6) months of (i) the timely filing of the Company’s first quarterly public company financial statement during calendar year 2020, (ii) the date the Board makes a determination to terminate the pursuit of the filing of a registration statement on Form S-1 during calendar year 2020, or (iii) December 31, 2020, the Company and Executive may mutually agree that Executive and the Company should terminate this Agreement and Executive would be entitled to the severance payments and benefits set forth in Section 2(b)(iii), subject to the terms and conditions of that section.</w:t>
      </w:r>
    </w:p>
    <w:p>
      <w:pPr>
        <w:spacing w:after="0" w:line="399"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7" w:name="page178"/>
    <w:bookmarkEnd w:id="177"/>
    <w:p>
      <w:pPr>
        <w:ind w:left="-1120" w:right="20" w:firstLine="1304"/>
        <w:spacing w:after="0" w:line="254" w:lineRule="auto"/>
        <w:tabs>
          <w:tab w:leader="none" w:pos="9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MBA</w:t>
      </w:r>
      <w:r>
        <w:rPr>
          <w:rFonts w:ascii="Times New Roman" w:cs="Times New Roman" w:eastAsia="Times New Roman" w:hAnsi="Times New Roman"/>
          <w:sz w:val="18"/>
          <w:szCs w:val="18"/>
          <w:color w:val="auto"/>
        </w:rPr>
        <w:t>. The Company agrees to reimburse Executive for a maximum of $75,000 in tuition and tuition related expenses for an accredited executive master’s degree in business administration (“</w:t>
      </w:r>
      <w:r>
        <w:rPr>
          <w:rFonts w:ascii="Times New Roman" w:cs="Times New Roman" w:eastAsia="Times New Roman" w:hAnsi="Times New Roman"/>
          <w:sz w:val="18"/>
          <w:szCs w:val="18"/>
          <w:u w:val="single" w:color="auto"/>
          <w:color w:val="auto"/>
        </w:rPr>
        <w:t>EMBA</w:t>
      </w:r>
      <w:r>
        <w:rPr>
          <w:rFonts w:ascii="Times New Roman" w:cs="Times New Roman" w:eastAsia="Times New Roman" w:hAnsi="Times New Roman"/>
          <w:sz w:val="18"/>
          <w:szCs w:val="18"/>
          <w:color w:val="auto"/>
        </w:rPr>
        <w:t>”) program located in the United States. Executive shall submit (i) tuition costs to the Company for approval prior to incurring these expenses and (ii) any tuition-related expenses, including books and travel, after they have been incurred in accordance with the Company’s expense reimbursement policy. To the extent such reimbursement is determined to be treated as taxable compensation to the Executive, the Company shall reimburse Executive or pay such amounts directly (through payroll gross up). If Executive voluntarily terminates this Agreement within one (1) year from completion of the EMBA, Executive shall reimburse the Company for the $75,000 in its entirety (excluding any payroll tax payments or reimbursements) within forty-five (45) days of such termination and Executive authorizes the Company to deduct (in compliance with federal and state laws) from any amounts then owed to Executive by the Company, all amounts owed to the Company under this Section (3)(e).</w:t>
      </w:r>
    </w:p>
    <w:p>
      <w:pPr>
        <w:spacing w:after="0" w:line="188" w:lineRule="exact"/>
        <w:rPr>
          <w:sz w:val="20"/>
          <w:szCs w:val="20"/>
          <w:color w:val="auto"/>
        </w:rPr>
      </w:pPr>
    </w:p>
    <w:p>
      <w:pPr>
        <w:ind w:left="940" w:hanging="756"/>
        <w:spacing w:after="0"/>
        <w:tabs>
          <w:tab w:leader="none" w:pos="9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Executive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60" w:firstLine="1304"/>
        <w:spacing w:after="0" w:line="266" w:lineRule="auto"/>
        <w:tabs>
          <w:tab w:leader="none" w:pos="9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in accordance with the Company’s standard PTO policy, as well as five (5) days PTO in addition to what is provided under the Company’s standard PTO policy; provided, that Executive will use Executive’s reasonable discretion, taking into account the Company’s needs, when determining the time to take vacation.</w:t>
      </w:r>
    </w:p>
    <w:p>
      <w:pPr>
        <w:spacing w:after="0" w:line="175" w:lineRule="exact"/>
        <w:rPr>
          <w:rFonts w:ascii="Times New Roman" w:cs="Times New Roman" w:eastAsia="Times New Roman" w:hAnsi="Times New Roman"/>
          <w:sz w:val="18"/>
          <w:szCs w:val="18"/>
          <w:color w:val="auto"/>
        </w:rPr>
      </w:pPr>
    </w:p>
    <w:p>
      <w:pPr>
        <w:ind w:left="-1120" w:firstLine="1304"/>
        <w:spacing w:after="0" w:line="261" w:lineRule="auto"/>
        <w:tabs>
          <w:tab w:leader="none" w:pos="92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participate in the same manner and under the same terms and conditions as similarly-situated executives of the Company, in the Company’s medical insurance, retirement plans, and other fringe benefit programs, including, for the avoidance of doubt, any group life and/or long-term disability insurance plans or programs adopted by the Company after the Effective Date, with Executive's rights and responsibilities under these programs governed by the terms of those plans and programs as they may be in effect and modified from time-to-time.</w:t>
      </w:r>
    </w:p>
    <w:p>
      <w:pPr>
        <w:spacing w:after="0" w:line="180" w:lineRule="exact"/>
        <w:rPr>
          <w:sz w:val="20"/>
          <w:szCs w:val="20"/>
          <w:color w:val="auto"/>
        </w:rPr>
      </w:pPr>
    </w:p>
    <w:p>
      <w:pPr>
        <w:ind w:left="-1120" w:right="60" w:firstLine="1304"/>
        <w:spacing w:after="0" w:line="266" w:lineRule="auto"/>
        <w:tabs>
          <w:tab w:leader="none" w:pos="9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reimburse Executive for all reasonable and substantiated ordinary and necessary business expenses incurred in performing Executive’s duties under this Agreement, provided that Executive shall comply with all Company requirements relating to the submission and documentation of such expenses.</w:t>
      </w:r>
    </w:p>
    <w:p>
      <w:pPr>
        <w:spacing w:after="0" w:line="175"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Loyalty, Best Efforts, Non-Competition,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firstLine="1304"/>
        <w:spacing w:after="0" w:line="258" w:lineRule="auto"/>
        <w:tabs>
          <w:tab w:leader="none" w:pos="91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while employed by the Company, devote all of Executive’s full time and best efforts and, during work hours, all of Executive’s attention, to the business of the Company, its Subsidiaries and affiliates and to the performance of Executive’s duties. Further, Executive will not, without the advance, written permission of the CEO or his or her designee, engage in any activity that would in any way or to any extent, interfere with the performance of Executive’s duties, including, without limitation, engaging to any extent in any other employment or occupation, whether or not for compensation, or undertaking any financial or other investment.</w:t>
      </w:r>
    </w:p>
    <w:p>
      <w:pPr>
        <w:spacing w:after="0" w:line="183" w:lineRule="exact"/>
        <w:rPr>
          <w:rFonts w:ascii="Times New Roman" w:cs="Times New Roman" w:eastAsia="Times New Roman" w:hAnsi="Times New Roman"/>
          <w:sz w:val="18"/>
          <w:szCs w:val="18"/>
          <w:color w:val="auto"/>
        </w:rPr>
      </w:pPr>
    </w:p>
    <w:p>
      <w:pPr>
        <w:ind w:left="-1120" w:right="60" w:firstLine="1304"/>
        <w:spacing w:after="0" w:line="253" w:lineRule="auto"/>
        <w:tabs>
          <w:tab w:leader="none" w:pos="9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agrees that during Executive’s employment with the Company and for the period of twelve (12) months after termination of employment for any reason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will not, without the advance, written permission of the CEO or his or her designee, engage in Competition (as defined below) with the Company. Executive shall be deemed to be engaging in “</w:t>
      </w:r>
      <w:r>
        <w:rPr>
          <w:rFonts w:ascii="Times New Roman" w:cs="Times New Roman" w:eastAsia="Times New Roman" w:hAnsi="Times New Roman"/>
          <w:sz w:val="18"/>
          <w:szCs w:val="18"/>
          <w:u w:val="single" w:color="auto"/>
          <w:color w:val="auto"/>
        </w:rPr>
        <w:t>Competition</w:t>
      </w:r>
      <w:r>
        <w:rPr>
          <w:rFonts w:ascii="Times New Roman" w:cs="Times New Roman" w:eastAsia="Times New Roman" w:hAnsi="Times New Roman"/>
          <w:sz w:val="18"/>
          <w:szCs w:val="18"/>
          <w:color w:val="auto"/>
        </w:rPr>
        <w:t>” if Executive (A) engages anywhere within the United States of America or any other place where the Company, its Subsidiaries or affiliates are engaged during Executive’s employment or actively preparing to be engaged in business (the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in any business in which the Company, any of its Subsidiaries or affiliates is engaged or has invested material funds in development at the time of such termination of employment, and/or (B) owns, in whole or in part, is employed by, provides financing to, consults with or otherwise renders services to any person or entity who is engaged in any business (or proposes to engage in any business) in which the Company, any of its Subsidiaries or affiliates is engaged or has invested material funds in development at the time of such termination of employment anywhere within the Restricted Territory (for avoidance of doubt, such persons or entities include, but are not limited to, any of the following entities or their successors: Thomson Reuters, CCH/Wolters Kluwer, Avalara, Longview Solutions, MLM CorpTax, Taxware). Notwithstanding anything herein to the contrary, Executive may make passive investments in any enterprise the shares of which are publicly traded if such investment constitutes less than two percent (2%) of the equity of such enterprise.</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8" w:name="page179"/>
    <w:bookmarkEnd w:id="178"/>
    <w:p>
      <w:pPr>
        <w:ind w:left="-1120" w:right="180" w:firstLine="1304"/>
        <w:spacing w:after="0" w:line="258" w:lineRule="auto"/>
        <w:tabs>
          <w:tab w:leader="none" w:pos="9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will not, directly or indirectly, (i) hire or assist any other person or entity to hire any current or former employee of the Company, its Subsidiaries or its affiliates, or (ii) recruit, solicit or induce, or assist any other person or entity to recruit, solicit or induce, any current or former employee to leave the employment of the Company, its Subsidiaries or its affiliates. For purposes of this subparagraph (c), “former employee” shall mean an individual who was employed by the Company, any of its Subsidiaries or any of its affiliates at any time within the twelve months prior to this prohibited activity.</w:t>
      </w:r>
    </w:p>
    <w:p>
      <w:pPr>
        <w:spacing w:after="0" w:line="183" w:lineRule="exact"/>
        <w:rPr>
          <w:rFonts w:ascii="Times New Roman" w:cs="Times New Roman" w:eastAsia="Times New Roman" w:hAnsi="Times New Roman"/>
          <w:sz w:val="18"/>
          <w:szCs w:val="18"/>
          <w:color w:val="auto"/>
        </w:rPr>
      </w:pPr>
    </w:p>
    <w:p>
      <w:pPr>
        <w:ind w:left="-1120" w:right="60" w:firstLine="1304"/>
        <w:spacing w:after="0" w:line="258" w:lineRule="auto"/>
        <w:tabs>
          <w:tab w:leader="none" w:pos="9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will not, directly or indirectly, solicit, induce, or attempt to induce any customer, client, or prospect of the Company, its Subsidiaries or its affiliates, to stop doing business in whole or in part with or through the Company, its Subsidiaries or affiliates, or to do business with any person or entity that competes with the Company. For the purposes of this subparagraph (d), “prospect” means any person or entity which the Company, its Subsidiaries or its affiliates had solicited for business within one year prior to the termination of Executive’s employment.</w:t>
      </w:r>
    </w:p>
    <w:p>
      <w:pPr>
        <w:spacing w:after="0" w:line="183" w:lineRule="exact"/>
        <w:rPr>
          <w:rFonts w:ascii="Times New Roman" w:cs="Times New Roman" w:eastAsia="Times New Roman" w:hAnsi="Times New Roman"/>
          <w:sz w:val="18"/>
          <w:szCs w:val="18"/>
          <w:color w:val="auto"/>
        </w:rPr>
      </w:pPr>
    </w:p>
    <w:p>
      <w:pPr>
        <w:ind w:left="-1120" w:right="60" w:firstLine="1304"/>
        <w:spacing w:after="0" w:line="261" w:lineRule="auto"/>
        <w:tabs>
          <w:tab w:leader="none" w:pos="9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Executive will promptly disclose to the Company any and all direct contacts, solicitations, inquiries or other actual or potential business opportunities of which Executive may become aware and which relate to the business of the Company or any of its Subsidiaries or affiliates;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disclosure obligation under this paragraph shall apply only to such contacts, solicitations, inquiries, and opportunities of which Executive became aware during Executive’s employment with the Company.</w:t>
      </w:r>
    </w:p>
    <w:p>
      <w:pPr>
        <w:spacing w:after="0" w:line="179" w:lineRule="exact"/>
        <w:rPr>
          <w:rFonts w:ascii="Times New Roman" w:cs="Times New Roman" w:eastAsia="Times New Roman" w:hAnsi="Times New Roman"/>
          <w:sz w:val="18"/>
          <w:szCs w:val="18"/>
          <w:color w:val="auto"/>
        </w:rPr>
      </w:pPr>
    </w:p>
    <w:p>
      <w:pPr>
        <w:ind w:left="-1120" w:firstLine="1304"/>
        <w:spacing w:after="0" w:line="254" w:lineRule="auto"/>
        <w:tabs>
          <w:tab w:leader="none" w:pos="9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the restrictions imposed by this Paragraph 6 are a condition of Executive’s employment with the Company; are fair and reasonably required for the protection of the Company; and will not preclude Executive from becoming gainfully employed following the termination of employment with the Company, regardless of reason. Executive further acknowledges and agrees that Executive provides and/or will provide unique services to the Company and that this Agreement has unique, substantial, and immeasurable value to the Company. If the Company seeks enforcement based on a breach of the provisions of this Section 6, the Company shall be entitled to reimbursement for the reasonable attorney’s fees and expenses incurred by the Company in that effort if the Company prevails in whole or in substantial part in its action. In the event of any breach of subparagraphs (b) through (e) above, the time periods set forth in those paragraphs shall be extended by the length of time Executive is in breach. In the event that the provisions of this Paragraph 6 should ever be deemed to exceed the limitations permitted by applicable laws, Executive and the Company agree that such provisions shall be reformed to the maximum limitations permitted by the applicable laws.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79" w:name="page180"/>
    <w:bookmarkEnd w:id="179"/>
    <w:p>
      <w:pPr>
        <w:ind w:left="940" w:hanging="756"/>
        <w:spacing w:after="0"/>
        <w:tabs>
          <w:tab w:leader="none" w:pos="9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Ownership of Documents, Methods and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firstLine="1304"/>
        <w:spacing w:after="0" w:line="254" w:lineRule="auto"/>
        <w:tabs>
          <w:tab w:leader="none" w:pos="9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both during employment with the Company and thereafter, Executive will treat the business affairs of the Company, its Subsidiaries and its affiliates as confidential and will not discuss or disclose any Confidential Information (as hereafter defined) of the Company, its Subsidiaries or its affiliates with or to any third party, except (i) as required in connection with the performance of duties on behalf of the Company or (ii) as authorized in advance by the CEO or his or her designee, and in each such case only after ensuring that the recipient has agreed in writing to appropriate confidentiality obligations, unless Executive has been otherwise instructed by the CEO or his or her designee. Further, Executive shall take reasonable steps and security precautions to prevent the unauthorized disclosure of Confidential Information and all components thereof, and to maintain the confidentiality of the Company’s intellectual property. Notwithstanding the foregoing, Executive may disclose Confidential Information to the extent required by law or regulation; provided that Executive promptly notifies the Company of the disclosure request and, at the Company’s request, provides reasonable assistance in any effort to prevent or limit such disclosure.</w:t>
      </w:r>
    </w:p>
    <w:p>
      <w:pPr>
        <w:spacing w:after="0" w:line="188" w:lineRule="exact"/>
        <w:rPr>
          <w:rFonts w:ascii="Times New Roman" w:cs="Times New Roman" w:eastAsia="Times New Roman" w:hAnsi="Times New Roman"/>
          <w:sz w:val="18"/>
          <w:szCs w:val="18"/>
          <w:color w:val="auto"/>
        </w:rPr>
      </w:pPr>
    </w:p>
    <w:p>
      <w:pPr>
        <w:ind w:left="-1120" w:right="20" w:firstLine="1304"/>
        <w:spacing w:after="0" w:line="251" w:lineRule="auto"/>
        <w:tabs>
          <w:tab w:leader="none" w:pos="92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all Confidential Information, Documents, materials, business methods and other information created by, disclosed to or otherwise acquired by Executive in the course of employment with the Company (collectively, “Works”) are and remain the exclusive property of the Company and are “works made for hire” for the Company under the copyright laws; that Executive will not retain, copy or otherwise appropriate any Work for Executive’s own use or purposes or the use or purposes of any third party and that, upon the termination of employment, Executive will return all Works, including all copies or multiple versions thereof, to the Company and, in the case of Confidential Information, will destroy all electronic versions Executive may have on any device in Executive’s possession or under Executive’s control and in any format or media, and all excerpts and references that may be in any items Executive may have created, and, to the extent that Executive is not able to destroy all such copies, excerpts and references shall continue to hold them as the confidential and proprietary property of the Company and not disclose them or use them for any purpose. Further, in return for good and valuable consideration including Executive’s employment relationship with the Company, Executive hereby assigns to the Company Executive’s entire right, title and interest in and to all Works. Executive also agrees, at the Company’s request and expense, to execute specific assignments to the Works, and execute, acknowledge and deliver such other documents and take such further action as the Company may require, at any time during or subsequent to the period of Executive’s employment with the Company, to vest title in such Works in the Company and to obtain and defend copyright registrations in any and all countries. In addition, all inventions conceived and/or reduced to practice during Executive’s employment with the Company and which relate to the business of the Company are hereby assigned to the Company, in return for good and valuable consideration including Executive’s employment relationship with the Company. Executive agrees, at the Company’s request and expense, to execute specific assignments to any inventions and to execute, acknowledge and deliver such other documents and take such further action as the Company may require, at any time during or subsequent to the period of Executive’s employment with the Company, to vest title in all such inventions in the Company in any and all countries; to obtain patents covering such inventions in any and all countries; and to vest title in such patents in the Company. Executive also agrees that an invention disclosed by Executive to a third person or described in a patent application filed by or on Executive’s behalf within twelve months following termination of Executive’s employment with the Company for any reason shall be presumed to have been conceived or made by Executive during the period of employment, unless proved to have been conceived or made by Executive following the termination of Executive’s employment with the Company. Executive hereby assigns Executive’s entire right, title and interest in and to such inventions to the Company, and agrees to execute and deliver any documents or take any such actions as requested by the Company to vest title in such inventions exclusively in the Company.</w:t>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0" w:name="page181"/>
    <w:bookmarkEnd w:id="180"/>
    <w:p>
      <w:pPr>
        <w:jc w:val="both"/>
        <w:ind w:left="-1120" w:firstLine="1304"/>
        <w:spacing w:after="0" w:line="261" w:lineRule="auto"/>
        <w:tabs>
          <w:tab w:leader="none" w:pos="9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hereby notified that the requirements of paragraph (b) above do not apply to an invention for which no equipment, supplies, facility or Confidential Information of the Company was used and which was developed entirely on Executive’s own time, unless (i) the invention relates to (A) the business of the Company, its Subsidiaries or its affiliates, or (B) the Company’s actual or demonstrably anticipated research or development, or (ii) the invention results from any work performed by Executive for the Company.</w:t>
      </w:r>
    </w:p>
    <w:p>
      <w:pPr>
        <w:spacing w:after="0" w:line="179" w:lineRule="exact"/>
        <w:rPr>
          <w:rFonts w:ascii="Times New Roman" w:cs="Times New Roman" w:eastAsia="Times New Roman" w:hAnsi="Times New Roman"/>
          <w:sz w:val="18"/>
          <w:szCs w:val="18"/>
          <w:color w:val="auto"/>
        </w:rPr>
      </w:pPr>
    </w:p>
    <w:p>
      <w:pPr>
        <w:ind w:left="-1120" w:right="20" w:firstLine="1304"/>
        <w:spacing w:after="0" w:line="253" w:lineRule="auto"/>
        <w:tabs>
          <w:tab w:leader="none" w:pos="9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shall include correspondence, email, other written communications, data processing and storage units, computer software, tapes, contracts, agreements, notes, memoranda, telephone messages, analyses, projections, indices, work papers, studies, surveys, diaries, calendars, films, photographs, minutes of meetings, management or sales proposals, operations manuals or any other writing, including copies of any of the foregoing, in any format or media, past, current or future, including, without limitation, written, printed, typed, recorded or graphic matter or electronic media, however produced or reproduced. For the purposes of this Agreement the term “Confidential Information” means information (i) developed by, disclosed to or known by Executive as a consequence of Executive’s employment with the Company, (ii) not generally known to others outside the Company, and (iii) which relates to the business of the Company, its Subsidiaries and its affiliates. Confidential Information includes but is not limited to the trade secrets, equipment, equipment configuration, research, development efforts, methodologies, testing, engineering, manufacturing, marketing, sales, finances, operations, processes, formulas, methods, techniques, devices, software programs, projections, strategies and plans, personnel information, and customer information, including customer needs, contacts, particular projects, lists, and pricing of the Company, its Subsidiaries and its affiliates. Confidential Information shall not include any information which has been published in a form generally available to the public prior to the date upon which Executive either wrongfully discloses or proposes to disclose such information.</w:t>
      </w:r>
    </w:p>
    <w:p>
      <w:pPr>
        <w:spacing w:after="0" w:line="189" w:lineRule="exact"/>
        <w:rPr>
          <w:rFonts w:ascii="Times New Roman" w:cs="Times New Roman" w:eastAsia="Times New Roman" w:hAnsi="Times New Roman"/>
          <w:sz w:val="18"/>
          <w:szCs w:val="18"/>
          <w:color w:val="auto"/>
        </w:rPr>
      </w:pPr>
    </w:p>
    <w:p>
      <w:pPr>
        <w:ind w:left="-1120" w:right="60" w:firstLine="1304"/>
        <w:spacing w:after="0" w:line="253" w:lineRule="auto"/>
        <w:tabs>
          <w:tab w:leader="none" w:pos="9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92" w:lineRule="exact"/>
        <w:rPr>
          <w:sz w:val="20"/>
          <w:szCs w:val="20"/>
          <w:color w:val="auto"/>
        </w:rPr>
      </w:pPr>
    </w:p>
    <w:p>
      <w:pPr>
        <w:ind w:left="-1120" w:right="60" w:firstLine="1304"/>
        <w:spacing w:after="0" w:line="258" w:lineRule="auto"/>
        <w:tabs>
          <w:tab w:leader="none" w:pos="94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of Interest; Avoiding the Appearance of Impropriety</w:t>
      </w:r>
      <w:r>
        <w:rPr>
          <w:rFonts w:ascii="Times New Roman" w:cs="Times New Roman" w:eastAsia="Times New Roman" w:hAnsi="Times New Roman"/>
          <w:sz w:val="18"/>
          <w:szCs w:val="18"/>
          <w:color w:val="auto"/>
        </w:rPr>
        <w:t>. Executive agrees that Executive’s duty of loyalty to the Company requires both complete fidelity to the interests of the Company in fact and the avoidance of any appearance of impropriety, favoritism, personal benefit or aggrandizement or confusion between Executive’s personal and business activities. Executive further agrees that Executive’s conduct must be consistent with the Company’s Code of Conduct. To that end, while an executive officer of the Company, Executive shall not, without the advance, written approval of the CEO or his or her designee:</w:t>
      </w:r>
    </w:p>
    <w:p>
      <w:pPr>
        <w:spacing w:after="0" w:line="183" w:lineRule="exact"/>
        <w:rPr>
          <w:sz w:val="20"/>
          <w:szCs w:val="20"/>
          <w:color w:val="auto"/>
        </w:rPr>
      </w:pPr>
    </w:p>
    <w:p>
      <w:pPr>
        <w:ind w:left="-1120" w:right="100" w:firstLine="1304"/>
        <w:spacing w:after="0" w:line="266" w:lineRule="auto"/>
        <w:tabs>
          <w:tab w:leader="none" w:pos="9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gifts, gratuities or favors of more than nominal value from any person or organization doing business or seeking to do business with the Company, its Subsidiaries or its affiliates, or from any employee of the Company with whom Executive has a direct or indirect reporting relationship;</w:t>
      </w:r>
    </w:p>
    <w:p>
      <w:pPr>
        <w:spacing w:after="0" w:line="391"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81" w:name="page182"/>
    <w:bookmarkEnd w:id="181"/>
    <w:p>
      <w:pPr>
        <w:ind w:left="-1120" w:right="180" w:firstLine="1304"/>
        <w:spacing w:after="0" w:line="261" w:lineRule="auto"/>
        <w:tabs>
          <w:tab w:leader="none" w:pos="92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or provide any gift, gratuity or favor of more than nominal value to any person or organization with whom or which the Company, any of its Subsidiaries or any of its affiliates is doing business or seeking to do business or take any other action in respect of such person or organization, specifically including but not limited to, any public entity, officer thereof or federal, state or local government employee or officeholder, suggestive of any intent or effort to influence such individual or organization in the performance of their or its duties; or</w:t>
      </w:r>
    </w:p>
    <w:p>
      <w:pPr>
        <w:spacing w:after="0" w:line="179" w:lineRule="exact"/>
        <w:rPr>
          <w:rFonts w:ascii="Times New Roman" w:cs="Times New Roman" w:eastAsia="Times New Roman" w:hAnsi="Times New Roman"/>
          <w:sz w:val="18"/>
          <w:szCs w:val="18"/>
          <w:color w:val="auto"/>
        </w:rPr>
      </w:pPr>
    </w:p>
    <w:p>
      <w:pPr>
        <w:ind w:left="-1120" w:right="400" w:firstLine="1304"/>
        <w:spacing w:after="0" w:line="266" w:lineRule="auto"/>
        <w:tabs>
          <w:tab w:leader="none" w:pos="9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use of Executive’s job title or affiliation with the Company in connection with participation in outside organizations (with the exception of professional and industry organizations relating to Executive’s job duties) or support of political, legal or other causes or organizations.</w:t>
      </w:r>
    </w:p>
    <w:p>
      <w:pPr>
        <w:spacing w:after="0" w:line="176" w:lineRule="exact"/>
        <w:rPr>
          <w:sz w:val="20"/>
          <w:szCs w:val="20"/>
          <w:color w:val="auto"/>
        </w:rPr>
      </w:pPr>
    </w:p>
    <w:p>
      <w:pPr>
        <w:ind w:left="-1120" w:right="20" w:firstLine="1304"/>
        <w:spacing w:after="0" w:line="258" w:lineRule="auto"/>
        <w:tabs>
          <w:tab w:leader="none" w:pos="94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Subject to the provisions of Paragraph 10, the Company will, in addition to other remedies provided by law, have the right to injunctive relief in court to the extent such relief may be available at law or in equity. Executive acknowledges that any breach or threatened breach of the provisions of this Agreement, including but not limited to the provisions of Paragraphs 6 and 7, will cause irreparable damage to the Company for which monetary damages will not provide an adequate remedy. Nothing contained herein will be construed as prohibiting the parties from pursuing any other remedies available to them for such breach or threatened breach, including any recovery of damages.</w:t>
      </w:r>
    </w:p>
    <w:p>
      <w:pPr>
        <w:spacing w:after="0" w:line="183" w:lineRule="exact"/>
        <w:rPr>
          <w:rFonts w:ascii="Times New Roman" w:cs="Times New Roman" w:eastAsia="Times New Roman" w:hAnsi="Times New Roman"/>
          <w:sz w:val="18"/>
          <w:szCs w:val="18"/>
          <w:color w:val="auto"/>
        </w:rPr>
      </w:pPr>
    </w:p>
    <w:p>
      <w:pPr>
        <w:ind w:left="-1120" w:firstLine="1304"/>
        <w:spacing w:after="0" w:line="253" w:lineRule="auto"/>
        <w:tabs>
          <w:tab w:leader="none" w:pos="94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With the specific exception only of the Company’s right at any time to seek equitable relief to enforce the provisions of Paragraphs 6 and 7 of this Agreement in the courts, in the event of any dispute between the Company and Executive, whether arising out of or relating to this Agreement, the breach of this Agreement, or Executive’s employment with the Company, Executive and the Company hereby agree that, after making a good-faith effort to resolve any dispute, such dispute shall be resolved by final and binding arbitration in Chester County, Pennsylvania, administered by the American Arbitration Association (“AAA”) in accordance with its Commercial Arbitration Rules then in effect, and judgment on the award rendered by the arbitrator may be entered in any court having jurisdiction thereof, subject to the provisions of subparagraph 16(b). Any arbitration shall be held before a single arbitrator who shall be selected by mutual agreement of the Company and Executive, unless the parties are unable to agree to an arbitrator, in which case the arbitrator will be selected under the procedures of the AAA. The arbitrator shall have the authority to award any remedy or relief that a court of competent jurisdiction could order or grant, including, without limitation, the issuance of an injunction, and the parties hereby agree to the emergency procedures of the AAA. Issues of arbitrability are to be decided by the arbitrator. A demand for arbitration under this paragraph must be made in writing to the other party within the time limit set by law for bringing that claim in court, or that claim shall be forever barred. The prevailing party shall be entitled to an award which shall include all costs of arbitration, including reasonable attorneys’ fees, unless the arbitrator determines that to do so would be inconsistent with applicable law.</w:t>
      </w:r>
    </w:p>
    <w:p>
      <w:pPr>
        <w:spacing w:after="0" w:line="187" w:lineRule="exact"/>
        <w:rPr>
          <w:rFonts w:ascii="Times New Roman" w:cs="Times New Roman" w:eastAsia="Times New Roman" w:hAnsi="Times New Roman"/>
          <w:sz w:val="18"/>
          <w:szCs w:val="18"/>
          <w:color w:val="auto"/>
        </w:rPr>
      </w:pPr>
    </w:p>
    <w:p>
      <w:pPr>
        <w:ind w:left="-1120" w:right="180" w:firstLine="1304"/>
        <w:spacing w:after="0" w:line="255" w:lineRule="auto"/>
        <w:tabs>
          <w:tab w:leader="none" w:pos="93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demand, or other communication required to be given pursuant to the provisions of this Agreement shall be in writing and shall be personally delivered to the other party in person or at their place of business or to Executive at Executive’s residence, delivered by a nationally recognized overnight delivery service, or sent by certified mail, email or other electronic means, return receipt requested, postage prepaid (as applicable), addressed to the respective addresses last given by each party to the other, and such notice shall be deemed to have been given upon personal delivery, if personally delivered, as of the close of the third business day following the date of mailing if mailed (except that notice of change of address shall be effective only upon receipt), or on the next business day in the case of overnight delivery service, email or other electronic means. Any notice to the Company shall be addressed to the attention of the General Counsel.</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82" w:name="page183"/>
    <w:bookmarkEnd w:id="182"/>
    <w:p>
      <w:pPr>
        <w:ind w:firstLine="1304"/>
        <w:spacing w:after="0" w:line="256" w:lineRule="auto"/>
        <w:tabs>
          <w:tab w:leader="none" w:pos="206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w:t>
      </w:r>
      <w:r>
        <w:rPr>
          <w:rFonts w:ascii="Times New Roman" w:cs="Times New Roman" w:eastAsia="Times New Roman" w:hAnsi="Times New Roman"/>
          <w:sz w:val="18"/>
          <w:szCs w:val="18"/>
          <w:color w:val="auto"/>
        </w:rPr>
        <w:t>. This Agreement represents the entire agreement between the parties with respect to its subject matter and supersedes all prior agreements and understandings, oral or written, between them, with respect to its subject matter, including the Prior Agreement. This Agreement may not be modified or amended except by a writing signed by both parties; provided, however, that this paragraph shall not limit the right of the Company to promulgate nor excuse Executive from compliance with, such workplace rules, policies and procedures as it may, from time-to-time, deem appropriate or to alter, amend, modify or terminate any employee benefit plan (whether or not referenced in this Agreement) in accordance with the terms of such plan.</w:t>
      </w:r>
    </w:p>
    <w:p>
      <w:pPr>
        <w:spacing w:after="0" w:line="187" w:lineRule="exact"/>
        <w:rPr>
          <w:rFonts w:ascii="Times New Roman" w:cs="Times New Roman" w:eastAsia="Times New Roman" w:hAnsi="Times New Roman"/>
          <w:sz w:val="18"/>
          <w:szCs w:val="18"/>
          <w:color w:val="auto"/>
        </w:rPr>
      </w:pPr>
    </w:p>
    <w:p>
      <w:pPr>
        <w:ind w:firstLine="1304"/>
        <w:spacing w:after="0" w:line="258" w:lineRule="auto"/>
        <w:tabs>
          <w:tab w:leader="none" w:pos="206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the Company’s successors and permitted assigns. Executive’s rights and obligations under this Agreement are personal and not assignable or delegable by Executive in any manner or to any extent. Executive agrees that the Company can assign this Agreement to an entity that is a successor to the Company by statutory merger or otherwise, or that has purchased substantially all of the assets of the Company, without the consent or approval of Executive. As used in this Agreement, the term “Company” shall include any successor to the Company’s business and/or assets which assumes and agrees to perform this Agreement by operation of law or otherwise.</w:t>
      </w:r>
    </w:p>
    <w:p>
      <w:pPr>
        <w:spacing w:after="0" w:line="183" w:lineRule="exact"/>
        <w:rPr>
          <w:rFonts w:ascii="Times New Roman" w:cs="Times New Roman" w:eastAsia="Times New Roman" w:hAnsi="Times New Roman"/>
          <w:sz w:val="18"/>
          <w:szCs w:val="18"/>
          <w:color w:val="auto"/>
        </w:rPr>
      </w:pPr>
    </w:p>
    <w:p>
      <w:pPr>
        <w:jc w:val="both"/>
        <w:ind w:right="400" w:firstLine="1304"/>
        <w:spacing w:after="0" w:line="312" w:lineRule="auto"/>
        <w:tabs>
          <w:tab w:leader="none" w:pos="2061"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Survivability</w:t>
      </w:r>
      <w:r>
        <w:rPr>
          <w:rFonts w:ascii="Times New Roman" w:cs="Times New Roman" w:eastAsia="Times New Roman" w:hAnsi="Times New Roman"/>
          <w:sz w:val="17"/>
          <w:szCs w:val="17"/>
          <w:color w:val="auto"/>
        </w:rPr>
        <w:t>. This Agreement shall terminate upon the termination of Executive’s employment with the Company; provided, however, that the provisions of Paragraphs 2 and 6 through 20 shall survive the termination and any expiration of the Agreement.</w:t>
      </w:r>
    </w:p>
    <w:p>
      <w:pPr>
        <w:spacing w:after="0" w:line="139" w:lineRule="exact"/>
        <w:rPr>
          <w:rFonts w:ascii="Times New Roman" w:cs="Times New Roman" w:eastAsia="Times New Roman" w:hAnsi="Times New Roman"/>
          <w:sz w:val="17"/>
          <w:szCs w:val="17"/>
          <w:color w:val="auto"/>
        </w:rPr>
      </w:pPr>
    </w:p>
    <w:p>
      <w:pPr>
        <w:ind w:right="400" w:firstLine="1304"/>
        <w:spacing w:after="0" w:line="282" w:lineRule="auto"/>
        <w:tabs>
          <w:tab w:leader="none" w:pos="206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waiver by any party of a breach of any provision of this Agreement by any other party shall not operate or be construed as a waiver of any subsequent breach.</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Choice of Forum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1304"/>
        <w:spacing w:after="0" w:line="282" w:lineRule="auto"/>
        <w:tabs>
          <w:tab w:leader="none" w:pos="203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and enforced in accordance with the laws of the Commonwealth of Pennsylvania (and United States federal law, to the extent applicable), without giving effect to otherwise applicable principles of conflicts of law.</w:t>
      </w:r>
    </w:p>
    <w:p>
      <w:pPr>
        <w:spacing w:after="0" w:line="161" w:lineRule="exact"/>
        <w:rPr>
          <w:rFonts w:ascii="Times New Roman" w:cs="Times New Roman" w:eastAsia="Times New Roman" w:hAnsi="Times New Roman"/>
          <w:sz w:val="18"/>
          <w:szCs w:val="18"/>
          <w:color w:val="auto"/>
        </w:rPr>
      </w:pPr>
    </w:p>
    <w:p>
      <w:pPr>
        <w:ind w:right="180" w:firstLine="1304"/>
        <w:spacing w:after="0" w:line="261" w:lineRule="auto"/>
        <w:tabs>
          <w:tab w:leader="none" w:pos="204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in any way the Company’s right to enforce the provisions of Paragraphs 6, 7 &amp; 8 of this Agreement, any action to enforce the decision or award of the arbitrator under Paragraph 10 hereof may be brought and maintained only in the Court of Common Pleas of Chester County, Pennsylvania or the United States District Court for the Eastern District of Pennsylvania (to the extent that the latter court may have jurisdiction over the subject matter).</w:t>
      </w:r>
    </w:p>
    <w:p>
      <w:pPr>
        <w:spacing w:after="0" w:line="180" w:lineRule="exact"/>
        <w:rPr>
          <w:sz w:val="20"/>
          <w:szCs w:val="20"/>
          <w:color w:val="auto"/>
        </w:rPr>
      </w:pPr>
    </w:p>
    <w:p>
      <w:pPr>
        <w:ind w:left="2060" w:hanging="756"/>
        <w:spacing w:after="0"/>
        <w:tabs>
          <w:tab w:leader="none" w:pos="20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herein are for convenience of reference only and shall not affect the interpretation of any term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hereof.</w:t>
      </w:r>
    </w:p>
    <w:p>
      <w:pPr>
        <w:spacing w:after="0" w:line="207" w:lineRule="exact"/>
        <w:rPr>
          <w:sz w:val="20"/>
          <w:szCs w:val="20"/>
          <w:color w:val="auto"/>
        </w:rPr>
      </w:pPr>
    </w:p>
    <w:p>
      <w:pPr>
        <w:ind w:firstLine="1304"/>
        <w:spacing w:after="0" w:line="258" w:lineRule="auto"/>
        <w:tabs>
          <w:tab w:leader="none" w:pos="206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found invalid or unenforceable for any reason, in whole or in part, then such provision shall be deemed modified, restricted, or reformulated to the extent and in the manner necessary to render the same valid and enforceable, or shall be deemed excised from this Agreement, as the case may require, and this Agreement shall be construed and enforced to the maximum extent permitted by law, as if such provision had been originally incorporated herein as so modified, restricted, or reformulated or as if such provision had not been originally incorporated herein, as the case may be.</w:t>
      </w:r>
    </w:p>
    <w:p>
      <w:pPr>
        <w:spacing w:after="0" w:line="39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1120" w:right="160" w:firstLine="1304"/>
        <w:spacing w:after="0" w:line="266" w:lineRule="auto"/>
        <w:tabs>
          <w:tab w:leader="none" w:pos="9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Base Salary, incentive compensation, expense reimbursements, severance pay, and other payments made by the Company to Executive under this Agreement shall be subject to customary withholding for applicable federal, state and local taxes, FICA and other amounts required by applicable law.</w:t>
      </w:r>
    </w:p>
    <w:p>
      <w:pPr>
        <w:spacing w:after="0" w:line="175" w:lineRule="exact"/>
        <w:rPr>
          <w:rFonts w:ascii="Times New Roman" w:cs="Times New Roman" w:eastAsia="Times New Roman" w:hAnsi="Times New Roman"/>
          <w:sz w:val="18"/>
          <w:szCs w:val="18"/>
          <w:color w:val="auto"/>
        </w:rPr>
      </w:pPr>
    </w:p>
    <w:p>
      <w:pPr>
        <w:ind w:left="940" w:hanging="756"/>
        <w:spacing w:after="0"/>
        <w:tabs>
          <w:tab w:leader="none" w:pos="9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20" w:firstLine="1304"/>
        <w:spacing w:after="0" w:line="254" w:lineRule="auto"/>
        <w:tabs>
          <w:tab w:leader="none" w:pos="9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comply with Section 409A of the Internal Revenue Code of 1986, as amended (the “Code”), and the corresponding regulations, and the payments and benefits provided hereunder are intended to qualify for any applicable exemptions from the definition of deferred compensation under Code Section 409A. To the maximum extent permitted, the parties agree that (i) this Agreement shall be interpreted as being in compliance with Code Section 409A, and (ii) the payments and benefits will be reported to the Internal Revenue Service as being in compliance with Code Section 409A. For purposes of Code Section 409A, each payment made under this Agreement shall be treated as a separate payment. Severance benefits under this Agreement are intended to be exempt from Code Section 409A under the “short term deferral” exemption, to the extent applicable. A portion, the amount of which to be determined in accordance with Treas. Reg. § 1.409A-1(b)(9)(iii), of any additional monthly severance compensation under this Agreement shall be considered payments under a “separation pay plan” under Code Section 409A. In no event may Executive designate, directly or indirectly, the calendar year of payment.</w:t>
      </w:r>
    </w:p>
    <w:p>
      <w:pPr>
        <w:spacing w:after="0" w:line="188" w:lineRule="exact"/>
        <w:rPr>
          <w:rFonts w:ascii="Times New Roman" w:cs="Times New Roman" w:eastAsia="Times New Roman" w:hAnsi="Times New Roman"/>
          <w:sz w:val="18"/>
          <w:szCs w:val="18"/>
          <w:color w:val="auto"/>
        </w:rPr>
      </w:pPr>
    </w:p>
    <w:p>
      <w:pPr>
        <w:ind w:left="-1120" w:right="140" w:firstLine="1304"/>
        <w:spacing w:after="0" w:line="256" w:lineRule="auto"/>
        <w:tabs>
          <w:tab w:leader="none" w:pos="92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to the extent required by Code Section 409A if Executive is considered a “specified employee” for purposes of Code Section 409A, and if the payment of any amounts under this Agreement is required to be delayed for a period of six months after “separation from service” pursuant to Code Section 409A, payment of such amounts shall be delayed as required by Code Section 409A and the accumulated amounts shall be paid in a single lump sum within five days after the end of the six-month period. If Executive dies during the postponement period prior to the payment of benefits, amounts withheld on account of Code Section 409A shall be paid to the personal representative of Executive’s estate within sixty days after the date of Executive’s death.</w:t>
      </w:r>
    </w:p>
    <w:p>
      <w:pPr>
        <w:spacing w:after="0" w:line="187" w:lineRule="exact"/>
        <w:rPr>
          <w:rFonts w:ascii="Times New Roman" w:cs="Times New Roman" w:eastAsia="Times New Roman" w:hAnsi="Times New Roman"/>
          <w:sz w:val="18"/>
          <w:szCs w:val="18"/>
          <w:color w:val="auto"/>
        </w:rPr>
      </w:pPr>
    </w:p>
    <w:p>
      <w:pPr>
        <w:ind w:left="-1120" w:right="160" w:firstLine="1304"/>
        <w:spacing w:after="0" w:line="282" w:lineRule="auto"/>
        <w:tabs>
          <w:tab w:leader="none" w:pos="9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“separation from service” shall mean Executive’s separation from service with the Company and its affiliates within the meaning of Treas. Reg. Section 1.409A-1(h).</w:t>
      </w:r>
    </w:p>
    <w:p>
      <w:pPr>
        <w:spacing w:after="0" w:line="161" w:lineRule="exact"/>
        <w:rPr>
          <w:rFonts w:ascii="Times New Roman" w:cs="Times New Roman" w:eastAsia="Times New Roman" w:hAnsi="Times New Roman"/>
          <w:sz w:val="18"/>
          <w:szCs w:val="18"/>
          <w:color w:val="auto"/>
        </w:rPr>
      </w:pPr>
    </w:p>
    <w:p>
      <w:pPr>
        <w:ind w:left="-1120" w:right="20" w:firstLine="1304"/>
        <w:spacing w:after="0" w:line="258" w:lineRule="auto"/>
        <w:tabs>
          <w:tab w:leader="none" w:pos="92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in-kind benefits or any expenses eligible for reimbursement provided hereunder that are subject to Code Section 409A, (i) the benefits provided or the amount of expenses eligible for reimbursement during any calendar year shall not affect the benefits provided or expenses eligible for reimbursement in any other calendar year, except as provided in Treas. Reg. § 1.409A-3(i)(1)(iv)(B), and (ii) the reimbursement of an eligible expense shall be made as soon as possible after Executive requests such reimbursement, but not later than December 31 following the calendar year in which the expense was incurred.</w:t>
      </w:r>
    </w:p>
    <w:p>
      <w:pPr>
        <w:spacing w:after="0" w:line="183" w:lineRule="exact"/>
        <w:rPr>
          <w:rFonts w:ascii="Times New Roman" w:cs="Times New Roman" w:eastAsia="Times New Roman" w:hAnsi="Times New Roman"/>
          <w:sz w:val="18"/>
          <w:szCs w:val="18"/>
          <w:color w:val="auto"/>
        </w:rPr>
      </w:pPr>
    </w:p>
    <w:p>
      <w:pPr>
        <w:ind w:left="-1120" w:firstLine="1304"/>
        <w:spacing w:after="0" w:line="261" w:lineRule="auto"/>
        <w:tabs>
          <w:tab w:leader="none" w:pos="9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right to receive any installment payments of deferred compensation shall be treated as a right to receive a series of separate payments and, accordingly, each such installment payment shall at all times be considered a separate and distinct payment as permitted under Code Section 409A. Except as otherwise permitted under Code Section 409A, no payment to you shall be accelerated or deferred unless such acceleration or deferral would not result in additional tax or interest pursuant to Code Section 409A.</w:t>
      </w:r>
    </w:p>
    <w:p>
      <w:pPr>
        <w:spacing w:after="0" w:line="395" w:lineRule="exact"/>
        <w:rPr>
          <w:rFonts w:ascii="Times New Roman" w:cs="Times New Roman" w:eastAsia="Times New Roman" w:hAnsi="Times New Roman"/>
          <w:sz w:val="18"/>
          <w:szCs w:val="18"/>
          <w:color w:val="auto"/>
        </w:rPr>
      </w:pPr>
    </w:p>
    <w:p>
      <w:pPr>
        <w:ind w:left="4420" w:hanging="108"/>
        <w:spacing w:after="0"/>
        <w:tabs>
          <w:tab w:leader="none" w:pos="44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4" w:name="page185"/>
    <w:bookmarkEnd w:id="184"/>
    <w:p>
      <w:pPr>
        <w:ind w:right="40" w:firstLine="1304"/>
        <w:spacing w:after="0" w:line="282" w:lineRule="auto"/>
        <w:tabs>
          <w:tab w:leader="none" w:pos="20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with the same effect as if the parties executing the counterparts all had executed one counterpart as of the date hereof. All such counterparts taken together shall be deemed the original Agreement.</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day, month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216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ISA</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2"/>
                <w:szCs w:val="12"/>
                <w:color w:val="auto"/>
              </w:rPr>
              <w:t>UTLER</w:t>
            </w:r>
          </w:p>
        </w:tc>
        <w:tc>
          <w:tcPr>
            <w:tcW w:w="21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TEFANO</w:t>
            </w:r>
          </w:p>
        </w:tc>
      </w:tr>
      <w:tr>
        <w:trPr>
          <w:trHeight w:val="228"/>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Lisa A. Butler</w:t>
            </w:r>
          </w:p>
        </w:tc>
        <w:tc>
          <w:tcPr>
            <w:tcW w:w="21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tcBorders>
              <w:top w:val="single" w:sz="8" w:color="auto"/>
            </w:tcBorders>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20, 2020</w:t>
            </w:r>
          </w:p>
        </w:tc>
        <w:tc>
          <w:tcPr>
            <w:tcW w:w="21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20, 2020</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630"/>
        </w:trPr>
        <w:tc>
          <w:tcPr>
            <w:tcW w:w="3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EMPLOYMENT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AGREEMENT AND RELEASE</w:t>
      </w:r>
    </w:p>
    <w:p>
      <w:pPr>
        <w:spacing w:after="0" w:line="227" w:lineRule="exact"/>
        <w:rPr>
          <w:sz w:val="20"/>
          <w:szCs w:val="20"/>
          <w:color w:val="auto"/>
        </w:rPr>
      </w:pPr>
    </w:p>
    <w:p>
      <w:pPr>
        <w:ind w:right="160" w:firstLine="1296"/>
        <w:spacing w:after="0" w:line="277" w:lineRule="auto"/>
        <w:rPr>
          <w:sz w:val="20"/>
          <w:szCs w:val="20"/>
          <w:color w:val="auto"/>
        </w:rPr>
      </w:pPr>
      <w:r>
        <w:rPr>
          <w:rFonts w:ascii="Times New Roman" w:cs="Times New Roman" w:eastAsia="Times New Roman" w:hAnsi="Times New Roman"/>
          <w:sz w:val="17"/>
          <w:szCs w:val="17"/>
          <w:color w:val="auto"/>
        </w:rPr>
        <w:t>This confidential Separation Agreement and Release (“</w:t>
      </w:r>
      <w:r>
        <w:rPr>
          <w:rFonts w:ascii="Times New Roman" w:cs="Times New Roman" w:eastAsia="Times New Roman" w:hAnsi="Times New Roman"/>
          <w:sz w:val="17"/>
          <w:szCs w:val="17"/>
          <w:i w:val="1"/>
          <w:iCs w:val="1"/>
          <w:u w:val="single" w:color="auto"/>
          <w:color w:val="auto"/>
        </w:rPr>
        <w:t>Agreement</w:t>
      </w:r>
      <w:r>
        <w:rPr>
          <w:rFonts w:ascii="Times New Roman" w:cs="Times New Roman" w:eastAsia="Times New Roman" w:hAnsi="Times New Roman"/>
          <w:sz w:val="17"/>
          <w:szCs w:val="17"/>
          <w:color w:val="auto"/>
        </w:rPr>
        <w:t>”) is entered into by and between Vertex, Inc., a Delaware corporation (the “</w:t>
      </w:r>
      <w:r>
        <w:rPr>
          <w:rFonts w:ascii="Times New Roman" w:cs="Times New Roman" w:eastAsia="Times New Roman" w:hAnsi="Times New Roman"/>
          <w:sz w:val="17"/>
          <w:szCs w:val="17"/>
          <w:i w:val="1"/>
          <w:iCs w:val="1"/>
          <w:u w:val="single" w:color="auto"/>
          <w:color w:val="auto"/>
        </w:rPr>
        <w:t>Company</w:t>
      </w:r>
      <w:r>
        <w:rPr>
          <w:rFonts w:ascii="Times New Roman" w:cs="Times New Roman" w:eastAsia="Times New Roman" w:hAnsi="Times New Roman"/>
          <w:sz w:val="17"/>
          <w:szCs w:val="17"/>
          <w:color w:val="auto"/>
        </w:rPr>
        <w:t>”) and _____________ (hereinafter referred to as “you,” or “your”) to resolve any and all disputes concerning your employment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your separation from employment on ______________. The actual date of separation is referred to herein as the “</w:t>
      </w:r>
      <w:r>
        <w:rPr>
          <w:rFonts w:ascii="Times New Roman" w:cs="Times New Roman" w:eastAsia="Times New Roman" w:hAnsi="Times New Roman"/>
          <w:sz w:val="18"/>
          <w:szCs w:val="18"/>
          <w:i w:val="1"/>
          <w:iCs w:val="1"/>
          <w:u w:val="single" w:color="auto"/>
          <w:color w:val="auto"/>
        </w:rPr>
        <w:t>Separation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you are employed by the Company as ___________________, pursuant to an Employment Agreement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 (“</w:t>
      </w:r>
      <w:r>
        <w:rPr>
          <w:rFonts w:ascii="Times New Roman" w:cs="Times New Roman" w:eastAsia="Times New Roman" w:hAnsi="Times New Roman"/>
          <w:sz w:val="18"/>
          <w:szCs w:val="18"/>
          <w:i w:val="1"/>
          <w:iCs w:val="1"/>
          <w:u w:val="single" w:color="auto"/>
          <w:color w:val="auto"/>
        </w:rPr>
        <w:t>Employment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has decided to terminate your employment without Cause or you have decided to resign for Good Reason under the Employment Agreement, entitling you to certain payments and benefits pursuant to paragraph 2(b)(iii) thereunder (“</w:t>
      </w:r>
      <w:r>
        <w:rPr>
          <w:rFonts w:ascii="Times New Roman" w:cs="Times New Roman" w:eastAsia="Times New Roman" w:hAnsi="Times New Roman"/>
          <w:sz w:val="18"/>
          <w:szCs w:val="18"/>
          <w:i w:val="1"/>
          <w:iCs w:val="1"/>
          <w:u w:val="single" w:color="auto"/>
          <w:color w:val="auto"/>
        </w:rPr>
        <w:t>Severance Benefits</w:t>
      </w:r>
      <w:r>
        <w:rPr>
          <w:rFonts w:ascii="Times New Roman" w:cs="Times New Roman" w:eastAsia="Times New Roman" w:hAnsi="Times New Roman"/>
          <w:sz w:val="18"/>
          <w:szCs w:val="18"/>
          <w:color w:val="auto"/>
        </w:rPr>
        <w:t>”), provided you first sign (and do not revoke) this Agreement and are otherwise in compliance with the Employment Agreement;</w:t>
      </w:r>
    </w:p>
    <w:p>
      <w:pPr>
        <w:spacing w:after="0" w:line="176" w:lineRule="exact"/>
        <w:rPr>
          <w:sz w:val="20"/>
          <w:szCs w:val="20"/>
          <w:color w:val="auto"/>
        </w:rPr>
      </w:pPr>
    </w:p>
    <w:p>
      <w:pPr>
        <w:jc w:val="both"/>
        <w:ind w:right="320" w:firstLine="1296"/>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agreements, and promises hereinafter set forth, and of other good and valuable consideration, the receipt and sufficiency of which is hereby acknowledged, the parties hereto, intending to be legally bound, agree as follows:</w:t>
      </w:r>
    </w:p>
    <w:p>
      <w:pPr>
        <w:spacing w:after="0" w:line="138" w:lineRule="exact"/>
        <w:rPr>
          <w:sz w:val="20"/>
          <w:szCs w:val="20"/>
          <w:color w:val="auto"/>
        </w:rPr>
      </w:pPr>
    </w:p>
    <w:p>
      <w:pPr>
        <w:ind w:right="340" w:firstLine="1304"/>
        <w:spacing w:after="0" w:line="284" w:lineRule="auto"/>
        <w:tabs>
          <w:tab w:leader="none" w:pos="20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On the eighth day after you execute this Agreement (“</w:t>
      </w:r>
      <w:r>
        <w:rPr>
          <w:rFonts w:ascii="Times New Roman" w:cs="Times New Roman" w:eastAsia="Times New Roman" w:hAnsi="Times New Roman"/>
          <w:sz w:val="18"/>
          <w:szCs w:val="18"/>
          <w:i w:val="1"/>
          <w:iCs w:val="1"/>
          <w:u w:val="single" w:color="auto"/>
          <w:color w:val="auto"/>
        </w:rPr>
        <w:t>Effective Date</w:t>
      </w:r>
      <w:r>
        <w:rPr>
          <w:rFonts w:ascii="Times New Roman" w:cs="Times New Roman" w:eastAsia="Times New Roman" w:hAnsi="Times New Roman"/>
          <w:sz w:val="18"/>
          <w:szCs w:val="18"/>
          <w:color w:val="auto"/>
        </w:rPr>
        <w:t>”), provided that you do not revoke this Agreement under paragraph 6(e), the Company agrees to begin to provide you the Severance Benefits as set forth in the Employment Agreement.</w:t>
      </w:r>
    </w:p>
    <w:p>
      <w:pPr>
        <w:spacing w:after="0" w:line="160" w:lineRule="exact"/>
        <w:rPr>
          <w:rFonts w:ascii="Times New Roman" w:cs="Times New Roman" w:eastAsia="Times New Roman" w:hAnsi="Times New Roman"/>
          <w:sz w:val="18"/>
          <w:szCs w:val="18"/>
          <w:color w:val="auto"/>
        </w:rPr>
      </w:pPr>
    </w:p>
    <w:p>
      <w:pPr>
        <w:ind w:right="140" w:firstLine="1304"/>
        <w:spacing w:after="0" w:line="289" w:lineRule="auto"/>
        <w:tabs>
          <w:tab w:leader="none" w:pos="203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You understand and agree that your employment with the Company and any affiliates, including any positions on any Company boards and committees, will terminate effective the Separation Date, and such termination shall be deemed a resignation effective the Separation Date from each position you hold as an officer or director of the Company and any subsidiary or affiliate of the Company.</w:t>
      </w:r>
    </w:p>
    <w:p>
      <w:pPr>
        <w:spacing w:after="0" w:line="157" w:lineRule="exact"/>
        <w:rPr>
          <w:rFonts w:ascii="Times New Roman" w:cs="Times New Roman" w:eastAsia="Times New Roman" w:hAnsi="Times New Roman"/>
          <w:sz w:val="17"/>
          <w:szCs w:val="17"/>
          <w:color w:val="auto"/>
        </w:rPr>
      </w:pPr>
    </w:p>
    <w:p>
      <w:pPr>
        <w:ind w:right="40" w:firstLine="1304"/>
        <w:spacing w:after="0" w:line="282" w:lineRule="auto"/>
        <w:tabs>
          <w:tab w:leader="none" w:pos="20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Payments</w:t>
      </w:r>
      <w:r>
        <w:rPr>
          <w:rFonts w:ascii="Times New Roman" w:cs="Times New Roman" w:eastAsia="Times New Roman" w:hAnsi="Times New Roman"/>
          <w:sz w:val="18"/>
          <w:szCs w:val="18"/>
          <w:color w:val="auto"/>
        </w:rPr>
        <w:t>. You acknowledge and agree that you will receive no additional payments or benefits other than as set forth herein or as required by law.</w:t>
      </w:r>
    </w:p>
    <w:p>
      <w:pPr>
        <w:spacing w:after="0" w:line="161" w:lineRule="exact"/>
        <w:rPr>
          <w:rFonts w:ascii="Times New Roman" w:cs="Times New Roman" w:eastAsia="Times New Roman" w:hAnsi="Times New Roman"/>
          <w:sz w:val="18"/>
          <w:szCs w:val="18"/>
          <w:color w:val="auto"/>
        </w:rPr>
      </w:pPr>
    </w:p>
    <w:p>
      <w:pPr>
        <w:ind w:firstLine="1304"/>
        <w:spacing w:after="0" w:line="252" w:lineRule="auto"/>
        <w:tabs>
          <w:tab w:leader="none" w:pos="20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exchange for the promises herein which you acknowledge as good and valuable consideration, and except as provided in paragraph 5, you release and discharge the Company and its past, present and future parents, divisions, subsidiaries, and affiliates, predecessors, successors and assigns, and their past, present, and future officers, directors, members, partners, attorneys, employees, independent contractors, agents, clients, and representatives (“</w:t>
      </w:r>
      <w:r>
        <w:rPr>
          <w:rFonts w:ascii="Times New Roman" w:cs="Times New Roman" w:eastAsia="Times New Roman" w:hAnsi="Times New Roman"/>
          <w:sz w:val="18"/>
          <w:szCs w:val="18"/>
          <w:i w:val="1"/>
          <w:iCs w:val="1"/>
          <w:u w:val="single" w:color="auto"/>
          <w:color w:val="auto"/>
        </w:rPr>
        <w:t>Released Parties</w:t>
      </w:r>
      <w:r>
        <w:rPr>
          <w:rFonts w:ascii="Times New Roman" w:cs="Times New Roman" w:eastAsia="Times New Roman" w:hAnsi="Times New Roman"/>
          <w:sz w:val="18"/>
          <w:szCs w:val="18"/>
          <w:color w:val="auto"/>
        </w:rPr>
        <w:t>”) from any and all actions, causes of action, debts, dues, claims and demands of every name and nature, without limitation, at law, in equity, or administrative, against the Released Parties which you may have had, now have, or may have, by reason of any matter or thing arising up to the date you execute this Agreement, including the ending of your employment. Those claims and causes of action from which you release the Released Parties include, but are not limited to, any known or unknown claim or action sounding in tort, contract, or discrimination of any kind, any claim arising under the Employment Agreement, and/or any cause of action arising under federal, state or local constitution, statute or ordinance, including, but not limited to, Title VII of the Civil Rights Act of 1964, as amended, the Age Discrimination in Employment Act (including the Older Worker Benefit Protection Act), as amended, the Americans With Disabilities Act, as amended, the Employee Retirement Income Security Act, as amended, the Family and Medical Leave Act, as amended, the Equal Pay Act, as amended, Section 1981 of the Civil Rights Act of 1866, as amended, the Worker Adjustment and Retraining Notification Act, as amended, the Sarbanes Oxley Act of 2002, as amended, the Pennsylvania Human Relations Act, as amended, the Pennsylvania Equal Pay Law, as amended, the Pennsylvania Wage Payment and Collection Law, as amended, the Pennsylvania Minimum Wage Act, as amended, and any other employee-protective law of any jurisdiction that may apply, and/or any claim for attorneys’ fees or costs, whether presently accrued, accruing to, or to accrue to you on account of, arising out of, or in any way connected with any acts or activities by you or the Released Parties arising up to the date you execute this Agreement. You expressly acknowledge that no claim or cause of action against the Released Parties from the beginning of time to the date you execute this Agreement (other than as provided in paragraph 5) shall be deemed to be outside the scope of this Agreement whether mentioned herein or not. You agree that this release should be interpreted as broadly as possible to achieve your intention to waive, to the maximum extent permitted by law, any and all claims against the Released Parties. Excluded from the release set forth in this paragraph is any claim which cannot be waived as a matter of law and your right to indemnification by the Company or any of its affiliates pursuant to contract or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left="-1120" w:right="40" w:firstLine="1304"/>
        <w:spacing w:after="0" w:line="256" w:lineRule="auto"/>
        <w:tabs>
          <w:tab w:leader="none" w:pos="9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Claims Preserved</w:t>
      </w:r>
      <w:r>
        <w:rPr>
          <w:rFonts w:ascii="Times New Roman" w:cs="Times New Roman" w:eastAsia="Times New Roman" w:hAnsi="Times New Roman"/>
          <w:sz w:val="18"/>
          <w:szCs w:val="18"/>
          <w:color w:val="auto"/>
        </w:rPr>
        <w:t>. Nothing in this Agreement limits your right, where applicable, to file or participate in an investigative proceeding of any federal, state, or local governmental agency, including filing a charge with the United States Equal Employment Opportunity Commission (“</w:t>
      </w:r>
      <w:r>
        <w:rPr>
          <w:rFonts w:ascii="Times New Roman" w:cs="Times New Roman" w:eastAsia="Times New Roman" w:hAnsi="Times New Roman"/>
          <w:sz w:val="18"/>
          <w:szCs w:val="18"/>
          <w:i w:val="1"/>
          <w:iCs w:val="1"/>
          <w:u w:val="single" w:color="auto"/>
          <w:color w:val="auto"/>
        </w:rPr>
        <w:t>EEOC</w:t>
      </w:r>
      <w:r>
        <w:rPr>
          <w:rFonts w:ascii="Times New Roman" w:cs="Times New Roman" w:eastAsia="Times New Roman" w:hAnsi="Times New Roman"/>
          <w:sz w:val="18"/>
          <w:szCs w:val="18"/>
          <w:color w:val="auto"/>
        </w:rPr>
        <w:t>”). To the extent permitted by law, you agree that if such an administrative claim is made, you shall not be entitled to recover, accept, or retain any individual monetary relief or other individual remedies with respect to any matter covered by this Agreement. Nothing in this Agreement prevents you from filing a lawsuit limited to challenging the validity of your waiver of federal age discrimination claims under the Age Discrimination in Employment Act and the Older Workers Benefit Protection Act.</w:t>
      </w:r>
    </w:p>
    <w:p>
      <w:pPr>
        <w:spacing w:after="0" w:line="187" w:lineRule="exact"/>
        <w:rPr>
          <w:rFonts w:ascii="Times New Roman" w:cs="Times New Roman" w:eastAsia="Times New Roman" w:hAnsi="Times New Roman"/>
          <w:sz w:val="18"/>
          <w:szCs w:val="18"/>
          <w:color w:val="auto"/>
        </w:rPr>
      </w:pPr>
    </w:p>
    <w:p>
      <w:pPr>
        <w:ind w:left="-1120" w:right="60" w:firstLine="1304"/>
        <w:spacing w:after="0" w:line="266" w:lineRule="auto"/>
        <w:tabs>
          <w:tab w:leader="none" w:pos="9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The release in paragraph 4 of this Agreement includes a waiver of claims against the Released Parties under the Age Discrimination in Employment Act (“</w:t>
      </w:r>
      <w:r>
        <w:rPr>
          <w:rFonts w:ascii="Times New Roman" w:cs="Times New Roman" w:eastAsia="Times New Roman" w:hAnsi="Times New Roman"/>
          <w:sz w:val="18"/>
          <w:szCs w:val="18"/>
          <w:i w:val="1"/>
          <w:iCs w:val="1"/>
          <w:u w:val="single" w:color="auto"/>
          <w:color w:val="auto"/>
        </w:rPr>
        <w:t>ADEA</w:t>
      </w:r>
      <w:r>
        <w:rPr>
          <w:rFonts w:ascii="Times New Roman" w:cs="Times New Roman" w:eastAsia="Times New Roman" w:hAnsi="Times New Roman"/>
          <w:sz w:val="18"/>
          <w:szCs w:val="18"/>
          <w:color w:val="auto"/>
        </w:rPr>
        <w:t>”) and the Older Workers Benefit Protection Act (“</w:t>
      </w:r>
      <w:r>
        <w:rPr>
          <w:rFonts w:ascii="Times New Roman" w:cs="Times New Roman" w:eastAsia="Times New Roman" w:hAnsi="Times New Roman"/>
          <w:sz w:val="18"/>
          <w:szCs w:val="18"/>
          <w:i w:val="1"/>
          <w:iCs w:val="1"/>
          <w:u w:val="single" w:color="auto"/>
          <w:color w:val="auto"/>
        </w:rPr>
        <w:t>OWBPA</w:t>
      </w:r>
      <w:r>
        <w:rPr>
          <w:rFonts w:ascii="Times New Roman" w:cs="Times New Roman" w:eastAsia="Times New Roman" w:hAnsi="Times New Roman"/>
          <w:sz w:val="18"/>
          <w:szCs w:val="18"/>
          <w:color w:val="auto"/>
        </w:rPr>
        <w:t>”). Therefore, pursuant to the requirements of the ADEA and the OWBPA, you specifically acknowledge that:</w:t>
      </w:r>
    </w:p>
    <w:p>
      <w:pPr>
        <w:spacing w:after="0" w:line="176" w:lineRule="exact"/>
        <w:rPr>
          <w:sz w:val="20"/>
          <w:szCs w:val="20"/>
          <w:color w:val="auto"/>
        </w:rPr>
      </w:pPr>
    </w:p>
    <w:p>
      <w:pPr>
        <w:ind w:left="840" w:hanging="656"/>
        <w:spacing w:after="0"/>
        <w:tabs>
          <w:tab w:leader="none" w:pos="8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and have been advised to consult with an attorney of your choosing concerning the legal significance of this Agreement;</w:t>
      </w:r>
    </w:p>
    <w:p>
      <w:pPr>
        <w:spacing w:after="0" w:line="236" w:lineRule="exact"/>
        <w:rPr>
          <w:rFonts w:ascii="Times New Roman" w:cs="Times New Roman" w:eastAsia="Times New Roman" w:hAnsi="Times New Roman"/>
          <w:sz w:val="17"/>
          <w:szCs w:val="17"/>
          <w:color w:val="auto"/>
        </w:rPr>
      </w:pPr>
    </w:p>
    <w:p>
      <w:pPr>
        <w:ind w:left="840" w:hanging="656"/>
        <w:spacing w:after="0"/>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written in a manner you understand;</w:t>
      </w:r>
    </w:p>
    <w:p>
      <w:pPr>
        <w:spacing w:after="0" w:line="225" w:lineRule="exact"/>
        <w:rPr>
          <w:rFonts w:ascii="Times New Roman" w:cs="Times New Roman" w:eastAsia="Times New Roman" w:hAnsi="Times New Roman"/>
          <w:sz w:val="18"/>
          <w:szCs w:val="18"/>
          <w:color w:val="auto"/>
        </w:rPr>
      </w:pPr>
    </w:p>
    <w:p>
      <w:pPr>
        <w:ind w:left="840" w:right="60" w:hanging="656"/>
        <w:spacing w:after="0" w:line="282"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set forth in paragraph 1 of the Agreement is adequate and sufficient for your entering into this Agreement and consists of benefits to which you are not otherwise entitled;</w:t>
      </w:r>
    </w:p>
    <w:p>
      <w:pPr>
        <w:spacing w:after="0" w:line="161" w:lineRule="exact"/>
        <w:rPr>
          <w:rFonts w:ascii="Times New Roman" w:cs="Times New Roman" w:eastAsia="Times New Roman" w:hAnsi="Times New Roman"/>
          <w:sz w:val="18"/>
          <w:szCs w:val="18"/>
          <w:color w:val="auto"/>
        </w:rPr>
      </w:pPr>
    </w:p>
    <w:p>
      <w:pPr>
        <w:ind w:left="840" w:right="40" w:hanging="656"/>
        <w:spacing w:after="0" w:line="266"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afforded twenty-one (21) days to consider this Agreement before signing it, although you may sign it at any time within those 21 days, and that any changes to this Agreement subsequently agreed upon by the parties, whether material or immaterial, do not restart this period for consideration; and</w:t>
      </w:r>
    </w:p>
    <w:p>
      <w:pPr>
        <w:spacing w:after="0" w:line="175" w:lineRule="exact"/>
        <w:rPr>
          <w:rFonts w:ascii="Times New Roman" w:cs="Times New Roman" w:eastAsia="Times New Roman" w:hAnsi="Times New Roman"/>
          <w:sz w:val="18"/>
          <w:szCs w:val="18"/>
          <w:color w:val="auto"/>
        </w:rPr>
      </w:pPr>
    </w:p>
    <w:p>
      <w:pPr>
        <w:ind w:left="840" w:right="200" w:hanging="656"/>
        <w:spacing w:after="0" w:line="266" w:lineRule="auto"/>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advised that during the seven (7) day period after you sign the Agreement, you may revoke your acceptance of this Agreement by delivering written notice to ________________________________, and that this Agreement shall not become effective or enforceable until after the revocation period has expired.</w:t>
      </w:r>
    </w:p>
    <w:p>
      <w:pPr>
        <w:spacing w:after="0" w:line="391"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187" w:name="page188"/>
    <w:bookmarkEnd w:id="187"/>
    <w:p>
      <w:pPr>
        <w:ind w:right="340" w:firstLine="1304"/>
        <w:spacing w:after="0" w:line="266" w:lineRule="auto"/>
        <w:tabs>
          <w:tab w:leader="none" w:pos="20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Wrongdoing</w:t>
      </w:r>
      <w:r>
        <w:rPr>
          <w:rFonts w:ascii="Times New Roman" w:cs="Times New Roman" w:eastAsia="Times New Roman" w:hAnsi="Times New Roman"/>
          <w:sz w:val="18"/>
          <w:szCs w:val="18"/>
          <w:color w:val="auto"/>
        </w:rPr>
        <w:t>. The Company denies any wrongdoing whatsoever in connection with its dealings with you, including but not limited to your employment and termination. It is expressly understood and agreed that nothing contained in this Agreement shall constitute or be treated as an admission of any wrongdoing or liability on the part of the Company.</w:t>
      </w:r>
    </w:p>
    <w:p>
      <w:pPr>
        <w:spacing w:after="0" w:line="175" w:lineRule="exact"/>
        <w:rPr>
          <w:rFonts w:ascii="Times New Roman" w:cs="Times New Roman" w:eastAsia="Times New Roman" w:hAnsi="Times New Roman"/>
          <w:sz w:val="18"/>
          <w:szCs w:val="18"/>
          <w:color w:val="auto"/>
        </w:rPr>
      </w:pPr>
    </w:p>
    <w:p>
      <w:pPr>
        <w:ind w:right="60" w:firstLine="1304"/>
        <w:spacing w:after="0" w:line="258" w:lineRule="auto"/>
        <w:tabs>
          <w:tab w:leader="none" w:pos="20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The parties understand and agree that this Agreement, and the matters discussed in negotiating its terms, are entirely confidential. It is therefore expressly understood and agreed that neither party will reveal, discuss, publish or in any way communicate any of the terms, amount or fact of this Agreement to any person, organization or other entity, with the exception of your immediate family members and professional representatives, or, with respect to the Company, with the exception of its professional representatives or as otherwise consistent with business need or necessity, or with respect to both parties, in an action to enforce the Agreement’s terms, unless required by subpoena or court order.</w:t>
      </w:r>
    </w:p>
    <w:p>
      <w:pPr>
        <w:spacing w:after="0" w:line="183" w:lineRule="exact"/>
        <w:rPr>
          <w:rFonts w:ascii="Times New Roman" w:cs="Times New Roman" w:eastAsia="Times New Roman" w:hAnsi="Times New Roman"/>
          <w:sz w:val="18"/>
          <w:szCs w:val="18"/>
          <w:color w:val="auto"/>
        </w:rPr>
      </w:pPr>
    </w:p>
    <w:p>
      <w:pPr>
        <w:ind w:right="100" w:firstLine="1304"/>
        <w:spacing w:after="0" w:line="282" w:lineRule="auto"/>
        <w:tabs>
          <w:tab w:leader="none" w:pos="20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agree that you will not disparage any of the Released Parties or make or publish any communication that reflects adversely upon any of them, consistent with paragraph 2(d) of the Employment Agreement.</w:t>
      </w:r>
    </w:p>
    <w:p>
      <w:pPr>
        <w:spacing w:after="0" w:line="161" w:lineRule="exact"/>
        <w:rPr>
          <w:rFonts w:ascii="Times New Roman" w:cs="Times New Roman" w:eastAsia="Times New Roman" w:hAnsi="Times New Roman"/>
          <w:sz w:val="18"/>
          <w:szCs w:val="18"/>
          <w:color w:val="auto"/>
        </w:rPr>
      </w:pPr>
    </w:p>
    <w:p>
      <w:pPr>
        <w:ind w:right="120" w:firstLine="1304"/>
        <w:spacing w:after="0" w:line="256" w:lineRule="auto"/>
        <w:tabs>
          <w:tab w:leader="none" w:pos="20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Filing of Claims</w:t>
      </w:r>
      <w:r>
        <w:rPr>
          <w:rFonts w:ascii="Times New Roman" w:cs="Times New Roman" w:eastAsia="Times New Roman" w:hAnsi="Times New Roman"/>
          <w:sz w:val="18"/>
          <w:szCs w:val="18"/>
          <w:color w:val="auto"/>
        </w:rPr>
        <w:t>. You represent that you have not filed, and to the maximum extent permitted by law and except as provided in paragraph 5, you agree that you will not file, any charge, complaint, lawsuit or claim (collectively, “</w:t>
      </w:r>
      <w:r>
        <w:rPr>
          <w:rFonts w:ascii="Times New Roman" w:cs="Times New Roman" w:eastAsia="Times New Roman" w:hAnsi="Times New Roman"/>
          <w:sz w:val="18"/>
          <w:szCs w:val="18"/>
          <w:i w:val="1"/>
          <w:iCs w:val="1"/>
          <w:u w:val="single" w:color="auto"/>
          <w:color w:val="auto"/>
        </w:rPr>
        <w:t>Claim</w:t>
      </w:r>
      <w:r>
        <w:rPr>
          <w:rFonts w:ascii="Times New Roman" w:cs="Times New Roman" w:eastAsia="Times New Roman" w:hAnsi="Times New Roman"/>
          <w:sz w:val="18"/>
          <w:szCs w:val="18"/>
          <w:color w:val="auto"/>
        </w:rPr>
        <w:t>”) with any administrative agency, federal, state or local court (collectively, “</w:t>
      </w:r>
      <w:r>
        <w:rPr>
          <w:rFonts w:ascii="Times New Roman" w:cs="Times New Roman" w:eastAsia="Times New Roman" w:hAnsi="Times New Roman"/>
          <w:sz w:val="18"/>
          <w:szCs w:val="18"/>
          <w:i w:val="1"/>
          <w:iCs w:val="1"/>
          <w:u w:val="single" w:color="auto"/>
          <w:color w:val="auto"/>
        </w:rPr>
        <w:t>Agency</w:t>
      </w:r>
      <w:r>
        <w:rPr>
          <w:rFonts w:ascii="Times New Roman" w:cs="Times New Roman" w:eastAsia="Times New Roman" w:hAnsi="Times New Roman"/>
          <w:sz w:val="18"/>
          <w:szCs w:val="18"/>
          <w:color w:val="auto"/>
        </w:rPr>
        <w:t>”) related in any way to your employment or the separation of your employment with the Company. You further agree that you will not accept, and will not be entitled to retain, any judgment, award, settlement or other payment or other relief resulting from, or related to, any Claim filed with any Agency related in any way to your employment with the Company or the termination of your employment. Nothing in this Agreement prevents you from filing for a state claim of unemployment compensation should you choose to do so.</w:t>
      </w:r>
    </w:p>
    <w:p>
      <w:pPr>
        <w:spacing w:after="0" w:line="187" w:lineRule="exact"/>
        <w:rPr>
          <w:rFonts w:ascii="Times New Roman" w:cs="Times New Roman" w:eastAsia="Times New Roman" w:hAnsi="Times New Roman"/>
          <w:sz w:val="18"/>
          <w:szCs w:val="18"/>
          <w:color w:val="auto"/>
        </w:rPr>
      </w:pPr>
    </w:p>
    <w:p>
      <w:pPr>
        <w:ind w:right="100" w:firstLine="1304"/>
        <w:spacing w:after="0" w:line="255" w:lineRule="auto"/>
        <w:tabs>
          <w:tab w:leader="none" w:pos="20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Voluntary Cooperation</w:t>
      </w:r>
      <w:r>
        <w:rPr>
          <w:rFonts w:ascii="Times New Roman" w:cs="Times New Roman" w:eastAsia="Times New Roman" w:hAnsi="Times New Roman"/>
          <w:sz w:val="18"/>
          <w:szCs w:val="18"/>
          <w:color w:val="auto"/>
        </w:rPr>
        <w:t>. Except as provided in paragraph 5, and/or unless required to do so by court order or subpoena, you agree that you will not (i) voluntarily make statements, take action, or give testimony adverse or detrimental to the interests of the Company; or (ii) aid or assist in any manner the efforts of any third party to sue or prosecute a claim against the Company. Should you ever be required to give testimony concerning any matter related to your employment with the Company, you agree to provide notice of such compulsory process to</w:t>
      </w:r>
    </w:p>
    <w:p>
      <w:pPr>
        <w:spacing w:after="0" w:line="2"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 within two (2) business days of its receipt so that the Company may take appropriate measures to quash or otherwise defend its interests.</w:t>
      </w:r>
    </w:p>
    <w:p>
      <w:pPr>
        <w:spacing w:after="0" w:line="181" w:lineRule="exact"/>
        <w:rPr>
          <w:rFonts w:ascii="Times New Roman" w:cs="Times New Roman" w:eastAsia="Times New Roman" w:hAnsi="Times New Roman"/>
          <w:sz w:val="18"/>
          <w:szCs w:val="18"/>
          <w:color w:val="auto"/>
        </w:rPr>
      </w:pPr>
    </w:p>
    <w:p>
      <w:pPr>
        <w:ind w:firstLine="1304"/>
        <w:spacing w:after="0" w:line="312" w:lineRule="auto"/>
        <w:tabs>
          <w:tab w:leader="none" w:pos="203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Cooperation with the Company</w:t>
      </w:r>
      <w:r>
        <w:rPr>
          <w:rFonts w:ascii="Times New Roman" w:cs="Times New Roman" w:eastAsia="Times New Roman" w:hAnsi="Times New Roman"/>
          <w:sz w:val="17"/>
          <w:szCs w:val="17"/>
          <w:color w:val="auto"/>
        </w:rPr>
        <w:t>. Upon request of the Company, you agree to fully cooperate with the Company and to provide information and/or testimony regarding any current or future litigation arising from actions or events occurring during your employment with the Company.</w:t>
      </w:r>
    </w:p>
    <w:p>
      <w:pPr>
        <w:spacing w:after="0" w:line="139" w:lineRule="exact"/>
        <w:rPr>
          <w:rFonts w:ascii="Times New Roman" w:cs="Times New Roman" w:eastAsia="Times New Roman" w:hAnsi="Times New Roman"/>
          <w:sz w:val="17"/>
          <w:szCs w:val="17"/>
          <w:color w:val="auto"/>
        </w:rPr>
      </w:pPr>
    </w:p>
    <w:p>
      <w:pPr>
        <w:ind w:right="160" w:firstLine="1304"/>
        <w:spacing w:after="0" w:line="282" w:lineRule="auto"/>
        <w:tabs>
          <w:tab w:leader="none" w:pos="20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Reemployment</w:t>
      </w:r>
      <w:r>
        <w:rPr>
          <w:rFonts w:ascii="Times New Roman" w:cs="Times New Roman" w:eastAsia="Times New Roman" w:hAnsi="Times New Roman"/>
          <w:sz w:val="18"/>
          <w:szCs w:val="18"/>
          <w:color w:val="auto"/>
        </w:rPr>
        <w:t>. You agree that you will not seek reemployment with the Company or any current or future parent, subsidiary, or affiliate, except at the request of the Company.</w:t>
      </w:r>
    </w:p>
    <w:p>
      <w:pPr>
        <w:spacing w:after="0" w:line="161" w:lineRule="exact"/>
        <w:rPr>
          <w:rFonts w:ascii="Times New Roman" w:cs="Times New Roman" w:eastAsia="Times New Roman" w:hAnsi="Times New Roman"/>
          <w:sz w:val="18"/>
          <w:szCs w:val="18"/>
          <w:color w:val="auto"/>
        </w:rPr>
      </w:pPr>
    </w:p>
    <w:p>
      <w:pPr>
        <w:ind w:right="320" w:firstLine="1304"/>
        <w:spacing w:after="0" w:line="261" w:lineRule="auto"/>
        <w:tabs>
          <w:tab w:leader="none" w:pos="20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You agree that, as a condition precedent to receiving any payment under this Agreement, you will by the Separation Date return all property belonging to the Company, including, but not limited to, corporate credit cards; keys and access cards; documents; tapes; cell phones; computers, laptops, iPhone and other computer equipment and software; and any and all confidential and proprietary information.</w:t>
      </w:r>
    </w:p>
    <w:p>
      <w:pPr>
        <w:spacing w:after="0" w:line="39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ind w:left="-1120" w:firstLine="1304"/>
        <w:spacing w:after="0" w:line="261"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You acknowledge that you remain bound by and affirm that you will comply with all continuing obligations under the Employment Agreement, including, but not limited to, those set forth in paragraphs 6 and 7 thereof (pertaining to non-competition, non-solicitation, and confidentiality), and that such compliance is a condition of receipt of the Severance Benefits. You affirm that you have not violated the terms of the Employment Agreement during your employment with the Company.</w:t>
      </w:r>
    </w:p>
    <w:p>
      <w:pPr>
        <w:spacing w:after="0" w:line="179" w:lineRule="exact"/>
        <w:rPr>
          <w:rFonts w:ascii="Times New Roman" w:cs="Times New Roman" w:eastAsia="Times New Roman" w:hAnsi="Times New Roman"/>
          <w:sz w:val="18"/>
          <w:szCs w:val="18"/>
          <w:color w:val="auto"/>
        </w:rPr>
      </w:pPr>
    </w:p>
    <w:p>
      <w:pPr>
        <w:ind w:left="-1120" w:right="20" w:firstLine="1304"/>
        <w:spacing w:after="0" w:line="258"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Consideration in Event of Breach</w:t>
      </w:r>
      <w:r>
        <w:rPr>
          <w:rFonts w:ascii="Times New Roman" w:cs="Times New Roman" w:eastAsia="Times New Roman" w:hAnsi="Times New Roman"/>
          <w:sz w:val="18"/>
          <w:szCs w:val="18"/>
          <w:color w:val="auto"/>
        </w:rPr>
        <w:t>. You agree that receipt of any consideration and all payments under this Agreement is contingent on your full compliance with its terms and conditions. Should you breach any provision of this Agreement (including but not limited to filing a lawsuit based upon any claim covered by this Agreement (but excluding a lawsuit covered by paragraph 5 of this Agreement)) or any continuing obligation under the Employment Agreement, the Company shall have the right to recover from you any Severance Benefits already paid, and the Company shall no longer be obligated to provide you any Severance Benefits otherwise due.</w:t>
      </w:r>
    </w:p>
    <w:p>
      <w:pPr>
        <w:spacing w:after="0" w:line="183" w:lineRule="exact"/>
        <w:rPr>
          <w:rFonts w:ascii="Times New Roman" w:cs="Times New Roman" w:eastAsia="Times New Roman" w:hAnsi="Times New Roman"/>
          <w:sz w:val="18"/>
          <w:szCs w:val="18"/>
          <w:color w:val="auto"/>
        </w:rPr>
      </w:pPr>
    </w:p>
    <w:p>
      <w:pPr>
        <w:ind w:left="-1120" w:right="40" w:firstLine="1304"/>
        <w:spacing w:after="0" w:line="266"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 and Jury Waiver</w:t>
      </w:r>
      <w:r>
        <w:rPr>
          <w:rFonts w:ascii="Times New Roman" w:cs="Times New Roman" w:eastAsia="Times New Roman" w:hAnsi="Times New Roman"/>
          <w:sz w:val="18"/>
          <w:szCs w:val="18"/>
          <w:color w:val="auto"/>
        </w:rPr>
        <w:t>. The prevailing party in an action for breach of this Agreement (except for a lawsuit covered by paragraph 5) will have its reasonable costs and attorneys’ fees paid for by the party found to have breached. You and the Company hereby waive trial by jury as to any and all litigation arising out of and/or relating to this Agreement.</w:t>
      </w:r>
    </w:p>
    <w:p>
      <w:pPr>
        <w:spacing w:after="0" w:line="175" w:lineRule="exact"/>
        <w:rPr>
          <w:rFonts w:ascii="Times New Roman" w:cs="Times New Roman" w:eastAsia="Times New Roman" w:hAnsi="Times New Roman"/>
          <w:sz w:val="18"/>
          <w:szCs w:val="18"/>
          <w:color w:val="auto"/>
        </w:rPr>
      </w:pPr>
    </w:p>
    <w:p>
      <w:pPr>
        <w:ind w:left="-1120" w:right="200" w:firstLine="1304"/>
        <w:spacing w:after="0" w:line="282"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dispute, controversy, or difference arising out of, or related to, this Agreement or your employment with the Company shall be resolved by binding arbitration pursuant to paragraph 10 of the Employment Agreement.</w:t>
      </w:r>
    </w:p>
    <w:p>
      <w:pPr>
        <w:spacing w:after="0" w:line="161" w:lineRule="exact"/>
        <w:rPr>
          <w:rFonts w:ascii="Times New Roman" w:cs="Times New Roman" w:eastAsia="Times New Roman" w:hAnsi="Times New Roman"/>
          <w:sz w:val="18"/>
          <w:szCs w:val="18"/>
          <w:color w:val="auto"/>
        </w:rPr>
      </w:pPr>
    </w:p>
    <w:p>
      <w:pPr>
        <w:ind w:left="-1120" w:right="120" w:firstLine="1304"/>
        <w:spacing w:after="0" w:line="256"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Understanding and Competence</w:t>
      </w:r>
      <w:r>
        <w:rPr>
          <w:rFonts w:ascii="Times New Roman" w:cs="Times New Roman" w:eastAsia="Times New Roman" w:hAnsi="Times New Roman"/>
          <w:sz w:val="18"/>
          <w:szCs w:val="18"/>
          <w:color w:val="auto"/>
        </w:rPr>
        <w:t>. You acknowledge and agree that (a) you have read this Agreement in its entirety; (b) you are competent to understand, and do understand, the content and effect of this Agreement; (c) by entering into this Agreement, you are releasing forever the Released Parties from any claim or liability (including claims for attorney’s fees and costs) arising from your employment with the Company; (d) you are entering this Agreement of your own free will in exchange for the consideration herein, which you agree is adequate and satisfactory; and (e) neither the Company nor the Released Parties have made any representations to you concerning the terms or effect of this Agreement, other than those contained in the Agreement.</w:t>
      </w:r>
    </w:p>
    <w:p>
      <w:pPr>
        <w:spacing w:after="0" w:line="187" w:lineRule="exact"/>
        <w:rPr>
          <w:rFonts w:ascii="Times New Roman" w:cs="Times New Roman" w:eastAsia="Times New Roman" w:hAnsi="Times New Roman"/>
          <w:sz w:val="18"/>
          <w:szCs w:val="18"/>
          <w:color w:val="auto"/>
        </w:rPr>
      </w:pPr>
    </w:p>
    <w:p>
      <w:pPr>
        <w:ind w:left="-1120" w:right="40" w:firstLine="1304"/>
        <w:spacing w:after="0" w:line="256"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You acknowledge and agree that (a) except for amounts due under Section 2(b)(v) of the Employment Agreement, you are not owed any wages by the Company for work performed, whether as wages or salary, overtime, bonuses or commissions, or for accrued but unused paid time off, and that you have been fully compensated for all hours worked; (b) you are not aware of any factual basis for a claim that the Company has defrauded the government of the United States or any state; (c) you have incurred no work related injuries; (d) you have received all family or medical leave to which you were entitled under the law; and (e) you have been and hereby are advised to consult with legal counsel of your choice prior to execution and delivery of this Agreement, and that you have done so or voluntarily elected not to do so.</w:t>
      </w:r>
    </w:p>
    <w:p>
      <w:pPr>
        <w:spacing w:after="0" w:line="187" w:lineRule="exact"/>
        <w:rPr>
          <w:rFonts w:ascii="Times New Roman" w:cs="Times New Roman" w:eastAsia="Times New Roman" w:hAnsi="Times New Roman"/>
          <w:sz w:val="18"/>
          <w:szCs w:val="18"/>
          <w:color w:val="auto"/>
        </w:rPr>
      </w:pPr>
    </w:p>
    <w:p>
      <w:pPr>
        <w:ind w:left="-1120" w:right="80" w:firstLine="1304"/>
        <w:spacing w:after="0" w:line="266"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Claims</w:t>
      </w:r>
      <w:r>
        <w:rPr>
          <w:rFonts w:ascii="Times New Roman" w:cs="Times New Roman" w:eastAsia="Times New Roman" w:hAnsi="Times New Roman"/>
          <w:sz w:val="18"/>
          <w:szCs w:val="18"/>
          <w:color w:val="auto"/>
        </w:rPr>
        <w:t>. You represent and warrant that you are the sole and lawful owner of all rights, title and interest in and to all released matters, claims and demands referred to herein. You further represent and warrant that there has been no assignment or other transfer of any interest in any such matters, claims or demands which you may have against the Released Parties.</w:t>
      </w:r>
    </w:p>
    <w:p>
      <w:pPr>
        <w:spacing w:after="0" w:line="175" w:lineRule="exact"/>
        <w:rPr>
          <w:rFonts w:ascii="Times New Roman" w:cs="Times New Roman" w:eastAsia="Times New Roman" w:hAnsi="Times New Roman"/>
          <w:sz w:val="18"/>
          <w:szCs w:val="18"/>
          <w:color w:val="auto"/>
        </w:rPr>
      </w:pPr>
    </w:p>
    <w:p>
      <w:pPr>
        <w:ind w:left="-1120" w:right="220" w:firstLine="1304"/>
        <w:spacing w:after="0" w:line="282" w:lineRule="auto"/>
        <w:tabs>
          <w:tab w:leader="none" w:pos="91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and by facsimile, and each such counterpart shall be deemed an original with the same effect as if all parties had signed the same document.</w:t>
      </w:r>
    </w:p>
    <w:p>
      <w:pPr>
        <w:spacing w:after="0" w:line="377"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9" w:name="page190"/>
    <w:bookmarkEnd w:id="189"/>
    <w:p>
      <w:pPr>
        <w:ind w:right="80" w:firstLine="1304"/>
        <w:spacing w:after="0" w:line="261" w:lineRule="auto"/>
        <w:tabs>
          <w:tab w:leader="none" w:pos="203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Understandings</w:t>
      </w:r>
      <w:r>
        <w:rPr>
          <w:rFonts w:ascii="Times New Roman" w:cs="Times New Roman" w:eastAsia="Times New Roman" w:hAnsi="Times New Roman"/>
          <w:sz w:val="18"/>
          <w:szCs w:val="18"/>
          <w:color w:val="auto"/>
        </w:rPr>
        <w:t>. This Agreement, consisting of six (6) pages, together with the Employment Agreement, constitutes the entire Agreement between the parties with respect to its subject matter, and is binding upon and shall inure to the benefit of the parties and their respective heirs, executors, administrators, personal or legal representatives, successors and/or assigns. This Agreement may be amended only by a written agreement signed by you and the Company.</w:t>
      </w:r>
    </w:p>
    <w:p>
      <w:pPr>
        <w:spacing w:after="0" w:line="179"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and are not to be considered a construction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hereof.</w:t>
      </w:r>
    </w:p>
    <w:p>
      <w:pPr>
        <w:spacing w:after="0" w:line="206" w:lineRule="exact"/>
        <w:rPr>
          <w:rFonts w:ascii="Times New Roman" w:cs="Times New Roman" w:eastAsia="Times New Roman" w:hAnsi="Times New Roman"/>
          <w:sz w:val="18"/>
          <w:szCs w:val="18"/>
          <w:color w:val="auto"/>
        </w:rPr>
      </w:pPr>
    </w:p>
    <w:p>
      <w:pPr>
        <w:ind w:right="100" w:firstLine="1304"/>
        <w:spacing w:after="0" w:line="266" w:lineRule="auto"/>
        <w:tabs>
          <w:tab w:leader="none" w:pos="203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Governing Law</w:t>
      </w:r>
      <w:r>
        <w:rPr>
          <w:rFonts w:ascii="Times New Roman" w:cs="Times New Roman" w:eastAsia="Times New Roman" w:hAnsi="Times New Roman"/>
          <w:sz w:val="18"/>
          <w:szCs w:val="18"/>
          <w:color w:val="auto"/>
        </w:rPr>
        <w:t>. If any provision of this Agreement is found to be invalid, unenforceable or void for any reason, such provision shall be severed from the Agreement and shall not affect the validity or enforceability of the remaining provisions. This Agreement shall be interpreted, enforced and governed by the laws of the Commonwealth of Pennsylvania, without regard to the conflicts of law provisions thereof.</w:t>
      </w:r>
    </w:p>
    <w:p>
      <w:pPr>
        <w:spacing w:after="0" w:line="175" w:lineRule="exact"/>
        <w:rPr>
          <w:rFonts w:ascii="Times New Roman" w:cs="Times New Roman" w:eastAsia="Times New Roman" w:hAnsi="Times New Roman"/>
          <w:sz w:val="18"/>
          <w:szCs w:val="18"/>
          <w:color w:val="auto"/>
        </w:rPr>
      </w:pPr>
    </w:p>
    <w:p>
      <w:pPr>
        <w:ind w:firstLine="1304"/>
        <w:spacing w:after="0" w:line="266" w:lineRule="auto"/>
        <w:tabs>
          <w:tab w:leader="none" w:pos="203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Agreement</w:t>
      </w:r>
      <w:r>
        <w:rPr>
          <w:rFonts w:ascii="Times New Roman" w:cs="Times New Roman" w:eastAsia="Times New Roman" w:hAnsi="Times New Roman"/>
          <w:sz w:val="18"/>
          <w:szCs w:val="18"/>
          <w:color w:val="auto"/>
        </w:rPr>
        <w:t>. As provided in paragraph 6(d), the Company is providing you 21 days to consider whether to accept this Agreement (although you may accept it at any time within those 21 days), after which time the offer expires and is withdrawn if you have not yet accepted it. To accept the Agreement, you must sign below and send it to __________________________.</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Vertex, Inc.</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and restated)</w:t>
      </w:r>
    </w:p>
    <w:p>
      <w:pPr>
        <w:spacing w:after="0" w:line="207" w:lineRule="exact"/>
        <w:rPr>
          <w:sz w:val="20"/>
          <w:szCs w:val="20"/>
          <w:color w:val="auto"/>
        </w:rPr>
      </w:pPr>
    </w:p>
    <w:p>
      <w:pPr>
        <w:jc w:val="both"/>
        <w:ind w:right="360" w:firstLine="1296"/>
        <w:spacing w:after="0" w:line="282"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July 14, 2020 by and between VERTEX,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offices at 2301 Renaissance Boulevard, King of Prussia, PA 19406, and Bryan T.R. Rowland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WHEREAS, Executive is currently employed by the Company as Vice President and General Counsel, pursuant to an Employment Agreement dated April 10, 2017, as amended from time to time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WHEREAS, in the course of its business, the Company has invested and will continue to invest substantial time, effort, money and other resources in the creation, development, maintenance and protection of confidential and proprietary business methods, Documents (as defined herein) and information, as well as substantial and ongoing customer and industry relationships, all of which gain for the Company a substantial advantage in the marketplace and represent assets of great value to the Company and all of which will continue to be disclosed to Executive in the course of Executive’s employment with the Company;</w:t>
      </w:r>
    </w:p>
    <w:p>
      <w:pPr>
        <w:spacing w:after="0" w:line="183"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recognize the Company's legitimate business interest in protecting its confidential and proprietary business methods, Documents and information, as well as its substantial and ongoing customer and industry relationships; and</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WHEREAS, Executive and the Company desire to enter into this Agreement to set out the terms and conditions for the continued employment relationship of Executive with the Company effective as of the date of consummation of the initial public offering of the Company’s Class A common stock pursuant to an effective registration statement filed under the Securities Act of 1933, as amended,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specifically, in consideration of the Company’s continued employment of Executive and Executive’s resulting access to the Company’s confidential and proprietary business methods, Documents and information as well as to its substantial and ongoing customer and industry relationships, the Company and Executive agree as follows:</w:t>
      </w:r>
    </w:p>
    <w:p>
      <w:pPr>
        <w:spacing w:after="0" w:line="176" w:lineRule="exact"/>
        <w:rPr>
          <w:sz w:val="20"/>
          <w:szCs w:val="20"/>
          <w:color w:val="auto"/>
        </w:rPr>
      </w:pPr>
    </w:p>
    <w:p>
      <w:pPr>
        <w:ind w:right="20" w:firstLine="1304"/>
        <w:spacing w:after="0" w:line="256" w:lineRule="auto"/>
        <w:tabs>
          <w:tab w:leader="none" w:pos="20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 The Company shall continue to employ Executive in the position of Vice President and General Counsel of the Company reporting to the Chief Executive Officer of the Company (the “CEO”), and Executive hereby accepts such continued employment. Executive shall perform duties incident to this position, as well as any other duties that may be assigned to Executive from time to time by the CEO or his or her designee, and/or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that are not inconsistent with service as an officer of the Company, including duties for any Company subsidiary or affiliate. Executive shall abide by the Company’s Code of Ethics and Business Conduct (“</w:t>
      </w:r>
      <w:r>
        <w:rPr>
          <w:rFonts w:ascii="Times New Roman" w:cs="Times New Roman" w:eastAsia="Times New Roman" w:hAnsi="Times New Roman"/>
          <w:sz w:val="18"/>
          <w:szCs w:val="18"/>
          <w:u w:val="single" w:color="auto"/>
          <w:color w:val="auto"/>
        </w:rPr>
        <w:t>Code of Conduct</w:t>
      </w:r>
      <w:r>
        <w:rPr>
          <w:rFonts w:ascii="Times New Roman" w:cs="Times New Roman" w:eastAsia="Times New Roman" w:hAnsi="Times New Roman"/>
          <w:sz w:val="18"/>
          <w:szCs w:val="18"/>
          <w:color w:val="auto"/>
        </w:rPr>
        <w:t>”), policies, practices, procedures, and rules.</w:t>
      </w:r>
    </w:p>
    <w:p>
      <w:pPr>
        <w:spacing w:after="0" w:line="187"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82" w:lineRule="auto"/>
        <w:tabs>
          <w:tab w:leader="none" w:pos="199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14, Executive’s employment under this Agreement shall remain in effect until terminated in accordance with the provisions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1" w:name="page192"/>
    <w:bookmarkEnd w:id="191"/>
    <w:p>
      <w:pPr>
        <w:ind w:left="1992" w:hanging="696"/>
        <w:spacing w:after="0"/>
        <w:tabs>
          <w:tab w:leader="none" w:pos="199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may be terminated hereunder as follows:</w:t>
      </w:r>
    </w:p>
    <w:p>
      <w:pPr>
        <w:spacing w:after="0" w:line="225" w:lineRule="exact"/>
        <w:rPr>
          <w:rFonts w:ascii="Times New Roman" w:cs="Times New Roman" w:eastAsia="Times New Roman" w:hAnsi="Times New Roman"/>
          <w:sz w:val="18"/>
          <w:szCs w:val="18"/>
          <w:color w:val="auto"/>
        </w:rPr>
      </w:pPr>
    </w:p>
    <w:p>
      <w:pPr>
        <w:ind w:left="-8" w:firstLine="1952"/>
        <w:spacing w:after="0" w:line="256" w:lineRule="auto"/>
        <w:tabs>
          <w:tab w:leader="none" w:pos="287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shall terminate automatically upon Executive’s death and may be terminated at any time, in the Company’s sole discretion, upon Executive’s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purposes of this Agreement, “Disability” shall mean that because of physical or mental illness or incapacity Executive is unable to substantially perform all of the essential functions of Executive’s position on a full-time basis with or without reasonable accommodation, for a period of 90 consecutive days or in excess of 180 days in any one-year period. This provision does not limit Executive’s access to and use of benefits made available to Executive by the Company pursuant to this Agreement. Further, this provision is not intended to replace or supersede any applicable laws.</w:t>
      </w:r>
    </w:p>
    <w:p>
      <w:pPr>
        <w:spacing w:after="0" w:line="187" w:lineRule="exact"/>
        <w:rPr>
          <w:rFonts w:ascii="Times New Roman" w:cs="Times New Roman" w:eastAsia="Times New Roman" w:hAnsi="Times New Roman"/>
          <w:sz w:val="18"/>
          <w:szCs w:val="18"/>
          <w:color w:val="auto"/>
        </w:rPr>
      </w:pPr>
    </w:p>
    <w:p>
      <w:pPr>
        <w:ind w:left="-8" w:firstLine="1952"/>
        <w:spacing w:after="0" w:line="252" w:lineRule="auto"/>
        <w:tabs>
          <w:tab w:leader="none" w:pos="283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for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without advance notice and with no other continuing obligations of the Company to Executive under this Agreement.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the commitment by Executive of a material breach of this Agreement (including but not limited to Sections 6, 7, or 8 hereof); (B) Executive’s willful failure to perform Executive’s duties or obligations to the Company or any corporation or other legal entity of which the Company has at least 51% equity ownership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including, but not limited to, those duties that may arise from time to time out of the Company’s business or strategic goals; (C) Executive’s willful misconduct or gross negligence with regard to the Company or any Subsidiary or their business, assets or employees; (D) dishonesty, unethical, fraudulent or similar misconduct on the part of Executive in connection with Executive’s employment by, or performance of services for, the Company or any Subsidiary; (E) Executive’s use of non-prescription controlled substances, misuse of prescription drugs, or habitual intoxication during work hours due to alcohol or any non-prescription drugs or other substances; (F) Executive’s indictment for any felony, if in the reasonable determination of the CEO or his or her designee, such indictment has caused or is reasonably likely to cause material adverse consequences to the Company, its businesses or prospects, or Executive’s conviction (which includes a guilty plea or plea of nolo contendere) of a felony or any other crime involving fraud, dishonesty or moral turpitude; (G) Executive’s material violation of any policy of the Company or of any Subsidiary for which Executive performs services, including, but not limited to, sexual harassment; or (H) Executive’s breach of a fiduciary duty owed to the Company in good faith or refusal to follow any directions of the CEO or the Board that are reasonable, lawful and consistent with the Company’s Code of Conduct, policies, practices, procedures, and rules. Notwithstanding the foregoing, the parties agree that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does not include any act of Executive covered by (A), (B), (G) or (H) of the foregoing sentence, that in the sole discretion of the CEO or his or her designee, is capable of cure and is cured by Executive within thirty (30) days after written notice thereof has been provided to Executive.</w:t>
      </w:r>
    </w:p>
    <w:p>
      <w:pPr>
        <w:spacing w:after="0" w:line="193" w:lineRule="exact"/>
        <w:rPr>
          <w:rFonts w:ascii="Times New Roman" w:cs="Times New Roman" w:eastAsia="Times New Roman" w:hAnsi="Times New Roman"/>
          <w:sz w:val="18"/>
          <w:szCs w:val="18"/>
          <w:color w:val="auto"/>
        </w:rPr>
      </w:pPr>
    </w:p>
    <w:p>
      <w:pPr>
        <w:ind w:left="-8" w:right="20" w:firstLine="1952"/>
        <w:spacing w:after="0" w:line="252" w:lineRule="auto"/>
        <w:tabs>
          <w:tab w:leader="none" w:pos="288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without Cause upon thirty (30) days’ written notice to Executive (or, at the Company's option, the Company may provide Executive a maximum of thirty (30) days’ pay in lieu of such notice). In the event of (x) any termination by the Company without Cause pursuant to this subparagraph 2(b)(iii), or (y) any termination by Executive for Good Reason (as defined below) pursuant to subparagraph 2(b)(vi), provided, in any case, Executive first signs a general separation agreement and release of claims against the Company, its Subsidiaries and affiliates, in form to be provided by the Company that is substantially similar to the sample form attached hereto as Appendix A (“Release”), and further provided that Executive remains in compliance with his continuing obligations under paragraphs 6 and 7 of this Agreement, Executive will be entitled to the following: (a) payment of Executive’s Base Salary (as defined below) under Section 3(a) at the rate in effect on the date of termination of employment for a period of twelve (12) months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and (b) if Executive timely elects continuation coverage under COBRA, payment of insurance premiums in order to continue Executive’s then-existing health insurance coverage for a period of eighteen</w:t>
      </w:r>
    </w:p>
    <w:p>
      <w:pPr>
        <w:spacing w:after="0" w:line="6" w:lineRule="exact"/>
        <w:rPr>
          <w:rFonts w:ascii="Times New Roman" w:cs="Times New Roman" w:eastAsia="Times New Roman" w:hAnsi="Times New Roman"/>
          <w:sz w:val="18"/>
          <w:szCs w:val="18"/>
          <w:color w:val="auto"/>
        </w:rPr>
      </w:pPr>
    </w:p>
    <w:p>
      <w:pPr>
        <w:ind w:left="-8" w:right="180" w:firstLine="8"/>
        <w:spacing w:after="0" w:line="255" w:lineRule="auto"/>
        <w:tabs>
          <w:tab w:leader="none" w:pos="33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or, at the Company’s option, payment to Executive as additional severance pay in an amount equal to the premium payments for such continuation coverage. The health insurance continuation (or equivalent payment as additional severance) shall be at the Company’s expense, but shall in all events terminate on the date Executive becomes eligible for health insurance coverage under the medical plan of a new employer.</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552" w:hanging="108"/>
        <w:spacing w:after="0"/>
        <w:tabs>
          <w:tab w:leader="none" w:pos="5552"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192" w:name="page193"/>
    <w:bookmarkEnd w:id="192"/>
    <w:p>
      <w:pPr>
        <w:ind w:left="-1120" w:right="60" w:firstLine="1952"/>
        <w:spacing w:after="0" w:line="266" w:lineRule="auto"/>
        <w:tabs>
          <w:tab w:leader="none" w:pos="175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terminate Executive’s employment for any reason or no reason upon at least thirty (30) days’ written notice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such notice of termination, the Company may, at its option, select a shorter notice period and earlier termination date than Executive provided, without incurring liability hereunder or changing the nature of Executive’s termination.</w:t>
      </w:r>
    </w:p>
    <w:p>
      <w:pPr>
        <w:spacing w:after="0" w:line="175" w:lineRule="exact"/>
        <w:rPr>
          <w:rFonts w:ascii="Times New Roman" w:cs="Times New Roman" w:eastAsia="Times New Roman" w:hAnsi="Times New Roman"/>
          <w:sz w:val="18"/>
          <w:szCs w:val="18"/>
          <w:color w:val="auto"/>
        </w:rPr>
      </w:pPr>
    </w:p>
    <w:p>
      <w:pPr>
        <w:ind w:left="-1120" w:firstLine="1952"/>
        <w:spacing w:after="0" w:line="253" w:lineRule="auto"/>
        <w:tabs>
          <w:tab w:leader="none" w:pos="175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subparagraph 2(b)(iii), in the event of termination of employment for any reason, Executive (or Executive’s estate, as applicable) shall be entitled to no payments or benefits following the date of termination other than payment of (i) accrued but unpaid Base Salary earned through the termination date; (ii) the unpaid portion of incentive compensation, if any, earned by Executive with respect to the calendar year preceding the calendar year in which the date of termination occurs, subject to the terms and conditions of any plan governing such incentive compensation; (iii) expenses reimbursable under Section 5 incurred but not yet reimbursed to Executive prior to the termination date; and (iv) any vested benefits or amounts through the date of termination due and owing to Executive under the terms of any plan, program, or arrangement of the Company, less any amounts then owed by Executive to the Company. For the avoidance of doubt, if Executive’s employment shall terminate as a result of Executive’s death or Disability pursuant to Section 2(b)(i), pursuant to Section 2(b)(ii) for Cause, or pursuant to Section 2(b)(iv) for Executive’s resignation from the Company without Good Reason or for no reason, then Executive shall not be entitled to any payments or benefits, except for those payments and benefits provided in clauses (i), (ii), (iii) and (iv) of this Section 2(b)(v).</w:t>
      </w:r>
    </w:p>
    <w:p>
      <w:pPr>
        <w:spacing w:after="0" w:line="194" w:lineRule="exact"/>
        <w:rPr>
          <w:rFonts w:ascii="Times New Roman" w:cs="Times New Roman" w:eastAsia="Times New Roman" w:hAnsi="Times New Roman"/>
          <w:sz w:val="18"/>
          <w:szCs w:val="18"/>
          <w:color w:val="auto"/>
        </w:rPr>
      </w:pPr>
    </w:p>
    <w:p>
      <w:pPr>
        <w:ind w:left="-1120" w:firstLine="1952"/>
        <w:spacing w:after="0" w:line="255" w:lineRule="auto"/>
        <w:tabs>
          <w:tab w:leader="none" w:pos="175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may terminate Executive’s employment for Good Reason. “Good Reason” means, unless otherwise consented to by Executive, any action taken by the Company that causes (i) a material breach of this Agreement, (ii) the material diminution of Executive’s duties, (iii) a material decrease in Base Salary or (iv) any relocation of Executive’s principal office to a location more than fifty (50) miles from Executive’s then current office. Before resigning for Good Reason, Executive shall provide written notice to the Company of the ground giving rise to Good Reason. The notice shall be provided within sixty (60) days of the occurrence of the event giving rise to Good Reason. The Company shall then have thirty (30) days within which to cure such event. If the Company fails to cure, Executive shall have the right to resign for Good Reason, provided the resignation occurs no later than one hundred and twenty (120) days from the date of the occurrence of the event giving rise to Good Reason.</w:t>
      </w:r>
    </w:p>
    <w:p>
      <w:pPr>
        <w:spacing w:after="0" w:line="188" w:lineRule="exact"/>
        <w:rPr>
          <w:rFonts w:ascii="Times New Roman" w:cs="Times New Roman" w:eastAsia="Times New Roman" w:hAnsi="Times New Roman"/>
          <w:sz w:val="18"/>
          <w:szCs w:val="18"/>
          <w:color w:val="auto"/>
        </w:rPr>
      </w:pPr>
    </w:p>
    <w:p>
      <w:pPr>
        <w:ind w:left="-1120" w:firstLine="1304"/>
        <w:spacing w:after="0" w:line="253" w:lineRule="auto"/>
        <w:tabs>
          <w:tab w:leader="none" w:pos="9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under this Agreement that are subject to Executive’s execution of the Release shall commence on the sixtieth day after Executive’s separation from service. Executive shall not be entitled to any such payments unless Executive executes the Release within forty-five days of the later of the date Executive receives the Release or Executive’s separation from service, and does not revoke the Release; provided, however, that in no event shall the Company provide such Release to Executive later than five (5) business days after Executive’s separation from service. Any amounts payable under this Agreement as an uninterrupted continuation of Executive’s Base Salary or health insurance coverage that are delayed pending Executive’s execution of a Release shall be paid in an aggregate lump sum upon such sixtieth day; provided, however, that Executive shall be responsible for paying any premiums that are due and necessary for the continuation of Executive’s health insurance coverage prior to such sixtieth day, subject to reimbursement of such amounts to Executive by the Company upon the lapse of such sixty-day period. In the event Executive commits a material breach of Section 6 or Section 7 that, in the sole discretion of the CEO or his or her designee, is not capable of cure, or is not cured by Executive within thirty (30) days after notice thereof to Executive, then, without limiting the availability to the Company of any other relief or remedy, Executive shall no longer be entitled to any severance compensation or benefits provided for above in subparagraph 2(b)(iii) that have not yet been paid, and shall be required to repay to the Company any amounts theretofore paid under such subsection.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93" w:name="page194"/>
    <w:bookmarkEnd w:id="193"/>
    <w:p>
      <w:pPr>
        <w:ind w:left="-1120" w:right="40" w:firstLine="1304"/>
        <w:spacing w:after="0" w:line="256"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following any termination of employment, (i) Executive shall not disparage the professional or personal reputation of the Company, its Subsidiaries and affiliates or any of their officers, shareholders, directors, management, or employees or any products or services of the Company, its Subsidiaries and affiliates (other than good faith statements made in the performance of his duties during his employment); and (ii) the Board shall not disparage the professional or personal reputation of Executive (other than good faith statements made during his employment). Nothing in this paragraph shall preclude any party from making truthful statements that are reasonably necessary to comply with applicable law, regulation or legal process, or to defend or enforce a party’s rights under this Agreement.</w:t>
      </w:r>
    </w:p>
    <w:p>
      <w:pPr>
        <w:spacing w:after="0" w:line="187" w:lineRule="exact"/>
        <w:rPr>
          <w:rFonts w:ascii="Times New Roman" w:cs="Times New Roman" w:eastAsia="Times New Roman" w:hAnsi="Times New Roman"/>
          <w:sz w:val="18"/>
          <w:szCs w:val="18"/>
          <w:color w:val="auto"/>
        </w:rPr>
      </w:pPr>
    </w:p>
    <w:p>
      <w:pPr>
        <w:ind w:left="-1120" w:right="100" w:firstLine="1304"/>
        <w:spacing w:after="0" w:line="282" w:lineRule="auto"/>
        <w:tabs>
          <w:tab w:leader="none" w:pos="87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event of termination of Executive’s employment for any reason, Executive shall be deemed to have resigned from each position he holds as an officer or director of the Company and any Subsidiary or affiliate of the Company effective as of no later than the termination date.</w:t>
      </w:r>
    </w:p>
    <w:p>
      <w:pPr>
        <w:spacing w:after="0" w:line="162" w:lineRule="exact"/>
        <w:rPr>
          <w:sz w:val="20"/>
          <w:szCs w:val="20"/>
          <w:color w:val="auto"/>
        </w:rPr>
      </w:pPr>
    </w:p>
    <w:p>
      <w:pPr>
        <w:ind w:left="900" w:hanging="716"/>
        <w:spacing w:after="0"/>
        <w:tabs>
          <w:tab w:leader="none" w:pos="9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120" w:firstLine="1304"/>
        <w:spacing w:after="0" w:line="261" w:lineRule="auto"/>
        <w:tabs>
          <w:tab w:leader="none" w:pos="9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Beginning on the Effective Date, Executive’s annual base salary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be two hundred sixty-five thousand three hundred thirteen dollars ($265,313), payable in accordance with the Company’s generally applicable payroll practices and subject to any payroll or other deductions required by law, government or court order, or by agreement with, or consent of, Executive. The Base Salary may be increased from time to time in the discretion of the Board or the CEO or his or her designee.</w:t>
      </w:r>
    </w:p>
    <w:p>
      <w:pPr>
        <w:spacing w:after="0" w:line="179" w:lineRule="exact"/>
        <w:rPr>
          <w:rFonts w:ascii="Times New Roman" w:cs="Times New Roman" w:eastAsia="Times New Roman" w:hAnsi="Times New Roman"/>
          <w:sz w:val="18"/>
          <w:szCs w:val="18"/>
          <w:color w:val="auto"/>
        </w:rPr>
      </w:pPr>
    </w:p>
    <w:p>
      <w:pPr>
        <w:ind w:left="-1120" w:right="20" w:firstLine="1304"/>
        <w:spacing w:after="0" w:line="258" w:lineRule="auto"/>
        <w:tabs>
          <w:tab w:leader="none" w:pos="8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Executive shall continue to be eligible to participate in the incentive compensation plans the Company may implement from time to time. The target bonus amounts and performance targets for Executive shall be established at the same time such amounts and targets are established for other executive officers of the Company, shall be as determined by the Board, and shall be payable only upon the Company’s achievement of established targets as determined by the Board. Notwithstanding the foregoing, the Company and Executive agree that Executive’s target annual bonus will equal forty percent (40%) of Executive’s Base Salary.</w:t>
      </w:r>
    </w:p>
    <w:p>
      <w:pPr>
        <w:spacing w:after="0" w:line="183" w:lineRule="exact"/>
        <w:rPr>
          <w:sz w:val="20"/>
          <w:szCs w:val="20"/>
          <w:color w:val="auto"/>
        </w:rPr>
      </w:pPr>
    </w:p>
    <w:p>
      <w:pPr>
        <w:ind w:left="900" w:hanging="716"/>
        <w:spacing w:after="0"/>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Executive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120" w:firstLine="1304"/>
        <w:spacing w:after="0" w:line="266" w:lineRule="auto"/>
        <w:tabs>
          <w:tab w:leader="none" w:pos="9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in accordance with the Company’s standard PTO policy, as well as five (5) days PTO in addition to what is provided under the Company’s standard PTO policy; provided, that Executive will use his reasonable discretion, taking into account the Company’s needs, when determining the time to take vacation.</w:t>
      </w:r>
    </w:p>
    <w:p>
      <w:pPr>
        <w:spacing w:after="0" w:line="175" w:lineRule="exact"/>
        <w:rPr>
          <w:rFonts w:ascii="Times New Roman" w:cs="Times New Roman" w:eastAsia="Times New Roman" w:hAnsi="Times New Roman"/>
          <w:sz w:val="18"/>
          <w:szCs w:val="18"/>
          <w:color w:val="auto"/>
        </w:rPr>
      </w:pPr>
    </w:p>
    <w:p>
      <w:pPr>
        <w:ind w:left="-1120" w:firstLine="1304"/>
        <w:spacing w:after="0" w:line="261"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participate in the same manner and under the same terms and conditions as similarly-situated executives of the Company, in the Company’s medical insurance, retirement plans, and other fringe benefit programs, including, for the avoidance of doubt, any group life and/or long-term disability insurance plans or programs adopted by the Company after the Effective Date, with Executive's rights and responsibilities under these programs governed by the terms of those plans and programs as they may be in effect and modified from time-to-time.</w:t>
      </w:r>
    </w:p>
    <w:p>
      <w:pPr>
        <w:spacing w:after="0" w:line="395"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4" w:name="page195"/>
    <w:bookmarkEnd w:id="194"/>
    <w:p>
      <w:pPr>
        <w:ind w:left="-1120" w:right="40" w:firstLine="1304"/>
        <w:spacing w:after="0" w:line="266" w:lineRule="auto"/>
        <w:tabs>
          <w:tab w:leader="none" w:pos="89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reimburse Executive for all reasonable and substantiated ordinary and necessary business expenses incurred in performing Executive’s duties under this Agreement, provided that Executive shall comply with all Company requirements relating to the submission and documentation of such expenses.</w:t>
      </w:r>
    </w:p>
    <w:p>
      <w:pPr>
        <w:spacing w:after="0" w:line="175" w:lineRule="exact"/>
        <w:rPr>
          <w:rFonts w:ascii="Times New Roman" w:cs="Times New Roman" w:eastAsia="Times New Roman" w:hAnsi="Times New Roman"/>
          <w:sz w:val="18"/>
          <w:szCs w:val="18"/>
          <w:color w:val="auto"/>
        </w:rPr>
      </w:pPr>
    </w:p>
    <w:p>
      <w:pPr>
        <w:ind w:left="900" w:hanging="716"/>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Loyalty, Best Efforts, Non-Competition,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firstLine="1304"/>
        <w:spacing w:after="0" w:line="258" w:lineRule="auto"/>
        <w:tabs>
          <w:tab w:leader="none" w:pos="87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while employed by the Company, devote all of Executive’s full time and best efforts and, during work hours, all of Executive’s attention, to the business of the Company, its Subsidiaries and affiliates and to the performance of Executive’s duties. Further, Executive will not, without the advance, written permission of the CEO or his or her designee, engage in any activity that would in any way or to any extent, interfere with the performance of Executive’s duties, including, without limitation, engaging to any extent in any other employment or occupation, whether or not for compensation, or undertaking any financial or other investment.</w:t>
      </w:r>
    </w:p>
    <w:p>
      <w:pPr>
        <w:spacing w:after="0" w:line="183" w:lineRule="exact"/>
        <w:rPr>
          <w:rFonts w:ascii="Times New Roman" w:cs="Times New Roman" w:eastAsia="Times New Roman" w:hAnsi="Times New Roman"/>
          <w:sz w:val="18"/>
          <w:szCs w:val="18"/>
          <w:color w:val="auto"/>
        </w:rPr>
      </w:pPr>
    </w:p>
    <w:p>
      <w:pPr>
        <w:ind w:left="-1120" w:right="60" w:firstLine="1304"/>
        <w:spacing w:after="0" w:line="253" w:lineRule="auto"/>
        <w:tabs>
          <w:tab w:leader="none" w:pos="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agrees that during Executive’s employment with the Company and for the period of twelve (12) months after termination of employment for any reason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will not, without the advance, written permission of the CEO or his or her designee, engage in Competition (as defined below) with the Company. Executive shall be deemed to be engaging in “</w:t>
      </w:r>
      <w:r>
        <w:rPr>
          <w:rFonts w:ascii="Times New Roman" w:cs="Times New Roman" w:eastAsia="Times New Roman" w:hAnsi="Times New Roman"/>
          <w:sz w:val="18"/>
          <w:szCs w:val="18"/>
          <w:u w:val="single" w:color="auto"/>
          <w:color w:val="auto"/>
        </w:rPr>
        <w:t>Competition</w:t>
      </w:r>
      <w:r>
        <w:rPr>
          <w:rFonts w:ascii="Times New Roman" w:cs="Times New Roman" w:eastAsia="Times New Roman" w:hAnsi="Times New Roman"/>
          <w:sz w:val="18"/>
          <w:szCs w:val="18"/>
          <w:color w:val="auto"/>
        </w:rPr>
        <w:t>” if Executive (A) engages anywhere within the United States of America or any other place where the Company, its Subsidiaries or affiliates are engaged during Executive’s employment or actively preparing to be engaged in business (the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in any business in which the Company, any of its Subsidiaries or affiliates is engaged or has invested material funds in development at the time of such termination of employment, and/or (B) owns, in whole or in part, is employed by, provides financing to, consults with or otherwise renders services to any person or entity who is engaged in any business (or proposes to engage in any business) in which the Company, any of its Subsidiaries or affiliates is engaged or has invested material funds in development at the time of such termination of employment anywhere within the Restricted Territory (for avoidance of doubt, such persons or entities include, but are not limited to, any of the following entities or their successors: Thomson Reuters, CCH/Wolters Kluwer, Avalara, Longview Solutions, MLM CorpTax, Taxware). Notwithstanding anything herein to the contrary, Executive may make passive investments in any enterprise the shares of which are publicly traded if such investment constitutes less than two percent (2%) of the equity of such enterprise.</w:t>
      </w:r>
    </w:p>
    <w:p>
      <w:pPr>
        <w:spacing w:after="0" w:line="189" w:lineRule="exact"/>
        <w:rPr>
          <w:rFonts w:ascii="Times New Roman" w:cs="Times New Roman" w:eastAsia="Times New Roman" w:hAnsi="Times New Roman"/>
          <w:sz w:val="18"/>
          <w:szCs w:val="18"/>
          <w:color w:val="auto"/>
        </w:rPr>
      </w:pPr>
    </w:p>
    <w:p>
      <w:pPr>
        <w:ind w:left="-1120" w:right="180" w:firstLine="1304"/>
        <w:spacing w:after="0" w:line="258" w:lineRule="auto"/>
        <w:tabs>
          <w:tab w:leader="none" w:pos="87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will not, directly or indirectly, (i) hire or assist any other person or entity to hire any current or former employee of the Company, its Subsidiaries or its affiliates, or (ii) recruit, solicit or induce, or assist any other person or entity to recruit, solicit or induce, any current or former employee to leave the employment of the Company, its Subsidiaries or its affiliates. For purposes of this subparagraph (c), “former employee” shall mean an individual who was employed by the Company, any of its Subsidiaries or any of its affiliates at any time within the twelve months prior to this prohibited activity.</w:t>
      </w:r>
    </w:p>
    <w:p>
      <w:pPr>
        <w:spacing w:after="0" w:line="183" w:lineRule="exact"/>
        <w:rPr>
          <w:rFonts w:ascii="Times New Roman" w:cs="Times New Roman" w:eastAsia="Times New Roman" w:hAnsi="Times New Roman"/>
          <w:sz w:val="18"/>
          <w:szCs w:val="18"/>
          <w:color w:val="auto"/>
        </w:rPr>
      </w:pPr>
    </w:p>
    <w:p>
      <w:pPr>
        <w:ind w:left="-1120" w:right="20" w:firstLine="1304"/>
        <w:spacing w:after="0" w:line="258" w:lineRule="auto"/>
        <w:tabs>
          <w:tab w:leader="none" w:pos="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will not, directly or indirectly, solicit, induce, or attempt to induce any customer, client, or prospect of the Company, its Subsidiaries or its affiliates, to stop doing business in whole or in part with or through the Company, its Subsidiaries or affiliates, or to do business with any person or entity that competes with the Company. For the purposes of this subparagraph (d), “prospect” means any person or entity which the Company, its Subsidiaries or its affiliates had solicited for business within one year prior to the termination of Executive’s employment.</w:t>
      </w:r>
    </w:p>
    <w:p>
      <w:pPr>
        <w:spacing w:after="0" w:line="399"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95" w:name="page196"/>
    <w:bookmarkEnd w:id="195"/>
    <w:p>
      <w:pPr>
        <w:ind w:left="-1120" w:right="80" w:firstLine="1304"/>
        <w:spacing w:after="0" w:line="261" w:lineRule="auto"/>
        <w:tabs>
          <w:tab w:leader="none" w:pos="9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Executive will promptly disclose to the Company any and all direct contacts, solicitations, inquiries or other actual or potential business opportunities of which Executive may become aware and which relate to the business of the Company or any of its Subsidiaries or affiliates;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disclosure obligation under this paragraph shall apply only to such contacts, solicitations, inquiries, and opportunities of which Executive became aware during his employment with the Company.</w:t>
      </w:r>
    </w:p>
    <w:p>
      <w:pPr>
        <w:spacing w:after="0" w:line="179" w:lineRule="exact"/>
        <w:rPr>
          <w:rFonts w:ascii="Times New Roman" w:cs="Times New Roman" w:eastAsia="Times New Roman" w:hAnsi="Times New Roman"/>
          <w:sz w:val="18"/>
          <w:szCs w:val="18"/>
          <w:color w:val="auto"/>
        </w:rPr>
      </w:pPr>
    </w:p>
    <w:p>
      <w:pPr>
        <w:ind w:left="-1120" w:right="20" w:firstLine="1304"/>
        <w:spacing w:after="0" w:line="254" w:lineRule="auto"/>
        <w:tabs>
          <w:tab w:leader="none" w:pos="8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the restrictions imposed by this Paragraph 6 are a condition of Executive’s employment with the Company; are fair and reasonably required for the protection of the Company; and will not preclude Executive from becoming gainfully employed following the termination of employment with the Company, regardless of reason. Executive further acknowledges and agrees that Executive provides and/or will provide unique services to the Company and that this Agreement has unique, substantial, and immeasurable value to the Company. If the Company seeks enforcement based on a breach of the provisions of this Section 6, the Company shall be entitled to reimbursement for the reasonable attorney’s fees and expenses incurred by the Company in that effort if the Company prevails in whole or in substantial part in its action. In the event of any breach of subparagraphs (b) through (e) above, the time periods set forth in those paragraphs shall be extended by the length of time Executive is in breach. In the event that the provisions of this Paragraph 6 should ever be deemed to exceed the limitations permitted by applicable laws, Executive and the Company agree that such provisions shall be reformed to the maximum limitations permitted by the applicable laws.</w:t>
      </w:r>
    </w:p>
    <w:p>
      <w:pPr>
        <w:spacing w:after="0" w:line="188" w:lineRule="exact"/>
        <w:rPr>
          <w:sz w:val="20"/>
          <w:szCs w:val="20"/>
          <w:color w:val="auto"/>
        </w:rPr>
      </w:pPr>
    </w:p>
    <w:p>
      <w:pPr>
        <w:ind w:left="900" w:hanging="716"/>
        <w:spacing w:after="0"/>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Ownership of Documents, Methods and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firstLine="1304"/>
        <w:spacing w:after="0" w:line="254" w:lineRule="auto"/>
        <w:tabs>
          <w:tab w:leader="none" w:pos="9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both during employment with the Company and thereafter, Executive will treat the business affairs of the Company, its Subsidiaries and its affiliates as confidential and will not discuss or disclose any Confidential Information (as hereafter defined) of the Company, its Subsidiaries or its affiliates with or to any third party, except (i) as required in connection with the performance of duties on behalf of the Company or (ii) as authorized in advance by the CEO or his or her designee, and in each such case only after ensuring that the recipient has agreed in writing to appropriate confidentiality obligations, unless Executive has been otherwise instructed by the CEO or his or her designee. Further, Executive shall take reasonable steps and security precautions to prevent the unauthorized disclosure of Confidential Information and all components thereof, and to maintain the confidentiality of the Company’s intellectual property. Notwithstanding the foregoing, Executive may disclose Confidential Information to the extent required by law or regulation; provided that Executive promptly notifies the Company of the disclosure request and, at the Company’s request, provides reasonable assistance in any effort to prevent or limit such disclosure.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6" w:name="page197"/>
    <w:bookmarkEnd w:id="196"/>
    <w:p>
      <w:pPr>
        <w:ind w:left="-1120" w:firstLine="1304"/>
        <w:spacing w:after="0" w:line="251" w:lineRule="auto"/>
        <w:tabs>
          <w:tab w:leader="none" w:pos="8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all Confidential Information, Documents, materials, business methods and other information created by, disclosed to or otherwise acquired by Executive in the course of employment with the Company (collectively, “Works”) are and remain the exclusive property of the Company and are “works made for hire” for the Company under the copyright laws; that Executive will not retain, copy or otherwise appropriate any Work for Executive’s own use or purposes or the use or purposes of any third party and that, upon the termination of employment, Executive will return all Works, including all copies or multiple versions thereof, to the Company and, in the case of Confidential Information, will destroy all electronic versions Executive may have on any device in his possession or under his control and in any format or media, and all excerpts and references that may be in any items Executive may have created, and, to the extent that Executive is not able to destroy all such copies, excerpts and references shall continue to hold them as the confidential and proprietary property of the Company and not disclose them or use them for any purpose. Further, in return for good and valuable consideration including Executive’s employment relationship with the Company, Executive hereby assigns to the Company Executive’s entire right, title and interest in and to all Works. Executive also agrees, at the Company’s request and expense, to execute specific assignments to the Works, and execute, acknowledge and deliver such other documents and take such further action as the Company may require, at any time during or subsequent to the period of Executive’s employment with the Company, to vest title in such Works in the Company and to obtain and defend copyright registrations in any and all countries. In addition, all inventions conceived and/or reduced to practice during Executive’s employment with the Company and which relate to the business of the Company are hereby assigned to the Company, in return for good and valuable consideration including Executive’s employment relationship with the Company. Executive agrees, at the Company’s request and expense, to execute specific assignments to any inventions and to execute, acknowledge and deliver such other documents and take such further action as the Company may require, at any time during or subsequent to the period of Executive’s employment with the Company, to vest title in all such inventions in the Company in any and all countries; to obtain patents covering such inventions in any and all countries; and to vest title in such patents in the Company. Executive also agrees that an invention disclosed by Executive to a third person or described in a patent application filed by or on Executive’s behalf within twelve months following termination of Executive’s employment with the Company for any reason shall be presumed to have been conceived or made by Executive during the period of employment, unless proved to have been conceived or made by Executive following the termination of Executive’s employment with the Company. Executive hereby assigns Executive’s entire right, title and interest in and to such inventions to the Company, and agrees to execute and deliver any documents or take any such actions as requested by the Company to vest title in such inventions exclusively in the Company.</w:t>
      </w:r>
    </w:p>
    <w:p>
      <w:pPr>
        <w:spacing w:after="0" w:line="20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7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hereby notified that the requirements of paragraph (b) above do not apply to an invention for which no equipment, supplies, facility or Confidential Information of the Company was used and which was developed entirely on Executive’s own time, unless (i) the invention relates to (A) the business of the Company, its Subsidiaries or its affiliates, or (B) the Company’s actual or demonstrably anticipated research or development, or (ii) the invention results from any work performed by Executive for the Company.</w:t>
      </w:r>
    </w:p>
    <w:p>
      <w:pPr>
        <w:spacing w:after="0" w:line="179" w:lineRule="exact"/>
        <w:rPr>
          <w:rFonts w:ascii="Times New Roman" w:cs="Times New Roman" w:eastAsia="Times New Roman" w:hAnsi="Times New Roman"/>
          <w:sz w:val="18"/>
          <w:szCs w:val="18"/>
          <w:color w:val="auto"/>
        </w:rPr>
      </w:pPr>
    </w:p>
    <w:p>
      <w:pPr>
        <w:ind w:left="-1120" w:right="20" w:firstLine="1304"/>
        <w:spacing w:after="0" w:line="253" w:lineRule="auto"/>
        <w:tabs>
          <w:tab w:leader="none" w:pos="8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shall include correspondence, email, other written communications, data processing and storage units, computer software, tapes, contracts, agreements, notes, memoranda, telephone messages, analyses, projections, indices, work papers, studies, surveys, diaries, calendars, films, photographs, minutes of meetings, management or sales proposals, operations manuals or any other writing, including copies of any of the foregoing, in any format or media, past, current or future, including, without limitation, written, printed, typed, recorded or graphic matter or electronic media, however produced or reproduced. For the purposes of this Agreement the term “Confidential Information” means information (i) developed by, disclosed to or known by Executive as a consequence of Executive’s employment with the Company, (ii) not generally known to others outside the Company, and (iii) which relates to the business of the Company, its Subsidiaries and its affiliates. Confidential Information includes but is not limited to the trade secrets, equipment, equipment configuration, research, development efforts, methodologies, testing, engineering, manufacturing, marketing, sales, finances, operations, processes, formulas, methods, techniques, devices, software programs, projections, strategies and plans, personnel information, and customer information, including customer needs, contacts, particular projects, lists, and pricing of the Company, its Subsidiaries and its affiliates. Confidential Information shall not include any information which has been published in a form generally available to the public prior to the date upon which Executive either wrongfully discloses or proposes to disclose such information.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197" w:name="page198"/>
    <w:bookmarkEnd w:id="197"/>
    <w:p>
      <w:pPr>
        <w:ind w:left="-1120" w:right="80" w:firstLine="1304"/>
        <w:spacing w:after="0" w:line="253" w:lineRule="auto"/>
        <w:tabs>
          <w:tab w:leader="none" w:pos="87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92" w:lineRule="exact"/>
        <w:rPr>
          <w:sz w:val="20"/>
          <w:szCs w:val="20"/>
          <w:color w:val="auto"/>
        </w:rPr>
      </w:pPr>
    </w:p>
    <w:p>
      <w:pPr>
        <w:ind w:left="-1120" w:firstLine="1304"/>
        <w:spacing w:after="0" w:line="258" w:lineRule="auto"/>
        <w:tabs>
          <w:tab w:leader="none" w:pos="89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of Interest; Avoiding the Appearance of Impropriety</w:t>
      </w:r>
      <w:r>
        <w:rPr>
          <w:rFonts w:ascii="Times New Roman" w:cs="Times New Roman" w:eastAsia="Times New Roman" w:hAnsi="Times New Roman"/>
          <w:sz w:val="18"/>
          <w:szCs w:val="18"/>
          <w:color w:val="auto"/>
        </w:rPr>
        <w:t>. Executive agrees that Executive’s duty of loyalty to the Company requires both complete fidelity to the interests of the Company in fact and the avoidance of any appearance of impropriety, favoritism, personal benefit or aggrandizement or confusion between Executive’s personal and business activities. Executive further agrees that Executive’s conduct must be consistent with the Company’s Code of Conduct. To that end, while an executive officer of the Company, Executive shall not, without the advance, written approval of the CEO or his or her designee:</w:t>
      </w:r>
    </w:p>
    <w:p>
      <w:pPr>
        <w:spacing w:after="0" w:line="183" w:lineRule="exact"/>
        <w:rPr>
          <w:sz w:val="20"/>
          <w:szCs w:val="20"/>
          <w:color w:val="auto"/>
        </w:rPr>
      </w:pPr>
    </w:p>
    <w:p>
      <w:pPr>
        <w:ind w:left="-1120" w:right="120" w:firstLine="1304"/>
        <w:spacing w:after="0" w:line="266" w:lineRule="auto"/>
        <w:tabs>
          <w:tab w:leader="none" w:pos="9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gifts, gratuities or favors of more than nominal value from any person or organization doing business or seeking to do business with the Company, its Subsidiaries or its affiliates, or from any employee of the Company with whom Executive has a direct or indirect reporting relationship;</w:t>
      </w:r>
    </w:p>
    <w:p>
      <w:pPr>
        <w:spacing w:after="0" w:line="175" w:lineRule="exact"/>
        <w:rPr>
          <w:rFonts w:ascii="Times New Roman" w:cs="Times New Roman" w:eastAsia="Times New Roman" w:hAnsi="Times New Roman"/>
          <w:sz w:val="18"/>
          <w:szCs w:val="18"/>
          <w:color w:val="auto"/>
        </w:rPr>
      </w:pPr>
    </w:p>
    <w:p>
      <w:pPr>
        <w:ind w:left="-1120" w:right="240" w:firstLine="1304"/>
        <w:spacing w:after="0" w:line="261" w:lineRule="auto"/>
        <w:tabs>
          <w:tab w:leader="none" w:pos="8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or provide any gift, gratuity or favor of more than nominal value to any person or organization with whom or which the Company, any of its Subsidiaries or any of its affiliates is doing business or seeking to do business or take any other action in respect of such person or organization, specifically including but not limited to, any public entity, officer thereof or federal, state or local government employee or officeholder, suggestive of any intent or effort to influence such individual or organization in the performance of their or its duties; or</w:t>
      </w:r>
    </w:p>
    <w:p>
      <w:pPr>
        <w:spacing w:after="0" w:line="179" w:lineRule="exact"/>
        <w:rPr>
          <w:rFonts w:ascii="Times New Roman" w:cs="Times New Roman" w:eastAsia="Times New Roman" w:hAnsi="Times New Roman"/>
          <w:sz w:val="18"/>
          <w:szCs w:val="18"/>
          <w:color w:val="auto"/>
        </w:rPr>
      </w:pPr>
    </w:p>
    <w:p>
      <w:pPr>
        <w:ind w:left="-1120" w:right="420" w:firstLine="1304"/>
        <w:spacing w:after="0" w:line="266" w:lineRule="auto"/>
        <w:tabs>
          <w:tab w:leader="none" w:pos="91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use of Executive’s job title or affiliation with the Company in connection with participation in outside organizations (with the exception of professional and industry organizations relating to Executive’s job duties) or support of political, legal or other causes or organizations.</w:t>
      </w:r>
    </w:p>
    <w:p>
      <w:pPr>
        <w:spacing w:after="0" w:line="176" w:lineRule="exact"/>
        <w:rPr>
          <w:sz w:val="20"/>
          <w:szCs w:val="20"/>
          <w:color w:val="auto"/>
        </w:rPr>
      </w:pPr>
    </w:p>
    <w:p>
      <w:pPr>
        <w:ind w:left="-1120" w:right="40" w:firstLine="1304"/>
        <w:spacing w:after="0" w:line="258" w:lineRule="auto"/>
        <w:tabs>
          <w:tab w:leader="none" w:pos="89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Subject to the provisions of Paragraph 10, the Company will, in addition to other remedies provided by law, have the right to injunctive relief in court to the extent such relief may be available at law or in equity. Executive acknowledges that any breach or threatened breach of the provisions of this Agreement, including but not limited to the provisions of Paragraphs 6 and 7, will cause irreparable damage to the Company for which monetary damages will not provide an adequate remedy. Nothing contained herein will be construed as prohibiting the parties from pursuing any other remedies available to them for such breach or threatened breach, including any recovery of damages.</w:t>
      </w:r>
    </w:p>
    <w:p>
      <w:pPr>
        <w:spacing w:after="0" w:line="399"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8" w:name="page199"/>
    <w:bookmarkEnd w:id="198"/>
    <w:p>
      <w:pPr>
        <w:ind w:left="-1120" w:firstLine="1304"/>
        <w:spacing w:after="0" w:line="253" w:lineRule="auto"/>
        <w:tabs>
          <w:tab w:leader="none" w:pos="8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With the specific exception only of the Company’s right at any time to seek equitable relief to enforce the provisions of Paragraphs 6 and 7 of this Agreement in the courts, in the event of any dispute between the Company and Executive, whether arising out of or relating to this Agreement, the breach of this Agreement, or Executive’s employment with the Company, Executive and the Company hereby agree that, after making a good-faith effort to resolve any dispute, such dispute shall be resolved by final and binding arbitration in Chester County, Pennsylvania, administered by the American Arbitration Association (“AAA”) in accordance with its Commercial Arbitration Rules then in effect, and judgment on the award rendered by the arbitrator may be entered in any court having jurisdiction thereof, subject to the provisions of subparagraph 16(b). Any arbitration shall be held before a single arbitrator who shall be selected by mutual agreement of the Company and Executive, unless the parties are unable to agree to an arbitrator, in which case the arbitrator will be selected under the procedures of the AAA. The arbitrator shall have the authority to award any remedy or relief that a court of competent jurisdiction could order or grant, including, without limitation, the issuance of an injunction, and the parties hereby agree to the emergency procedures of the AAA. Issues of arbitrability are to be decided by the arbitrator. A demand for arbitration under this paragraph must be made in writing to the other party within the time limit set by law for bringing that claim in court, or that claim shall be forever barred. The prevailing party shall be entitled to an award which shall include all costs of arbitration, including reasonable attorneys’ fees, unless the arbitrator determines that to do so would be inconsistent with applicable law.</w:t>
      </w:r>
    </w:p>
    <w:p>
      <w:pPr>
        <w:spacing w:after="0" w:line="187" w:lineRule="exact"/>
        <w:rPr>
          <w:rFonts w:ascii="Times New Roman" w:cs="Times New Roman" w:eastAsia="Times New Roman" w:hAnsi="Times New Roman"/>
          <w:sz w:val="18"/>
          <w:szCs w:val="18"/>
          <w:color w:val="auto"/>
        </w:rPr>
      </w:pPr>
    </w:p>
    <w:p>
      <w:pPr>
        <w:ind w:left="-1120" w:right="40" w:firstLine="1304"/>
        <w:spacing w:after="0" w:line="255" w:lineRule="auto"/>
        <w:tabs>
          <w:tab w:leader="none" w:pos="8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demand, or other communication required to be given pursuant to the provisions of this Agreement shall be in writing and shall be personally delivered to the other party in person or at their place of business or to Executive at Executive’s residence, delivered by a nationally recognized overnight delivery service, or sent by certified mail, email or other electronic means, return receipt requested, postage prepaid (as applicable), addressed to the respective addresses last given by each party to the other, and such notice shall be deemed to have been given upon personal delivery, if personally delivered, as of the close of the third business day following the date of mailing if mailed (except that notice of change of address shall be effective only upon receipt), or on the next business day in the case of overnight delivery service, email or other electronic means. Any notice to the Company shall be addressed to the attention of the General Counsel.</w:t>
      </w:r>
    </w:p>
    <w:p>
      <w:pPr>
        <w:spacing w:after="0" w:line="188" w:lineRule="exact"/>
        <w:rPr>
          <w:rFonts w:ascii="Times New Roman" w:cs="Times New Roman" w:eastAsia="Times New Roman" w:hAnsi="Times New Roman"/>
          <w:sz w:val="18"/>
          <w:szCs w:val="18"/>
          <w:color w:val="auto"/>
        </w:rPr>
      </w:pPr>
    </w:p>
    <w:p>
      <w:pPr>
        <w:ind w:left="-1120" w:right="40" w:firstLine="1304"/>
        <w:spacing w:after="0" w:line="256" w:lineRule="auto"/>
        <w:tabs>
          <w:tab w:leader="none" w:pos="8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w:t>
      </w:r>
      <w:r>
        <w:rPr>
          <w:rFonts w:ascii="Times New Roman" w:cs="Times New Roman" w:eastAsia="Times New Roman" w:hAnsi="Times New Roman"/>
          <w:sz w:val="18"/>
          <w:szCs w:val="18"/>
          <w:color w:val="auto"/>
        </w:rPr>
        <w:t>. This Agreement represents the entire agreement between the parties with respect to its subject matter and supersedes all prior agreements and understandings, oral or written, between them, with respect to its subject matter, including the Prior Agreement. This Agreement may not be modified or amended except by a writing signed by both parties; provided, however, that this paragraph shall not limit the right of the Company to promulgate nor excuse Executive from compliance with, such workplace rules, policies and procedures as it may, from time-to-time, deem appropriate or to alter, amend, modify or terminate any employee benefit plan (whether or not referenced in this Agreement) in accordance with the terms of such plan.</w:t>
      </w:r>
    </w:p>
    <w:p>
      <w:pPr>
        <w:spacing w:after="0" w:line="187" w:lineRule="exact"/>
        <w:rPr>
          <w:rFonts w:ascii="Times New Roman" w:cs="Times New Roman" w:eastAsia="Times New Roman" w:hAnsi="Times New Roman"/>
          <w:sz w:val="18"/>
          <w:szCs w:val="18"/>
          <w:color w:val="auto"/>
        </w:rPr>
      </w:pPr>
    </w:p>
    <w:p>
      <w:pPr>
        <w:ind w:left="-1120" w:firstLine="1304"/>
        <w:spacing w:after="0" w:line="258" w:lineRule="auto"/>
        <w:tabs>
          <w:tab w:leader="none" w:pos="8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the Company’s successors and permitted assigns. Executive’s rights and obligations under this Agreement are personal and not assignable or delegable by Executive in any manner or to any extent. Executive agrees that the Company can assign this Agreement to an entity that is a successor to the Company by statutory merger or otherwise, or that has purchased substantially all of the assets of the Company, without the consent or approval of Executive. As used in this Agreement, the term “Company” shall include any successor to the Company’s business and/or assets which assumes and agrees to perform this Agreement by operation of law or otherwise.</w:t>
      </w:r>
    </w:p>
    <w:p>
      <w:pPr>
        <w:spacing w:after="0" w:line="183" w:lineRule="exact"/>
        <w:rPr>
          <w:rFonts w:ascii="Times New Roman" w:cs="Times New Roman" w:eastAsia="Times New Roman" w:hAnsi="Times New Roman"/>
          <w:sz w:val="18"/>
          <w:szCs w:val="18"/>
          <w:color w:val="auto"/>
        </w:rPr>
      </w:pPr>
    </w:p>
    <w:p>
      <w:pPr>
        <w:ind w:left="-1120" w:right="400" w:firstLine="1304"/>
        <w:spacing w:after="0" w:line="312" w:lineRule="auto"/>
        <w:tabs>
          <w:tab w:leader="none" w:pos="896"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Survivability</w:t>
      </w:r>
      <w:r>
        <w:rPr>
          <w:rFonts w:ascii="Times New Roman" w:cs="Times New Roman" w:eastAsia="Times New Roman" w:hAnsi="Times New Roman"/>
          <w:sz w:val="17"/>
          <w:szCs w:val="17"/>
          <w:color w:val="auto"/>
        </w:rPr>
        <w:t>. This Agreement shall terminate upon the termination of Executive’s employment with the Company; provided, however, that the provisions of Paragraphs 2 and 6 through 20 shall survive the termination and any expiration of the Agreement.</w:t>
      </w:r>
    </w:p>
    <w:p>
      <w:pPr>
        <w:spacing w:after="0" w:line="139" w:lineRule="exact"/>
        <w:rPr>
          <w:rFonts w:ascii="Times New Roman" w:cs="Times New Roman" w:eastAsia="Times New Roman" w:hAnsi="Times New Roman"/>
          <w:sz w:val="17"/>
          <w:szCs w:val="17"/>
          <w:color w:val="auto"/>
        </w:rPr>
      </w:pPr>
    </w:p>
    <w:p>
      <w:pPr>
        <w:ind w:left="-1120" w:right="440" w:firstLine="1304"/>
        <w:spacing w:after="0" w:line="282" w:lineRule="auto"/>
        <w:tabs>
          <w:tab w:leader="none" w:pos="89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waiver by any party of a breach of any provision of this Agreement by any other party shall not operate or be construed as a waiver of any subsequent breach.</w:t>
      </w:r>
    </w:p>
    <w:p>
      <w:pPr>
        <w:spacing w:after="0" w:line="377"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9" w:name="page200"/>
    <w:bookmarkEnd w:id="199"/>
    <w:p>
      <w:pPr>
        <w:ind w:left="2020" w:hanging="716"/>
        <w:spacing w:after="0"/>
        <w:tabs>
          <w:tab w:leader="none" w:pos="2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Choice of Forum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1304"/>
        <w:spacing w:after="0" w:line="282" w:lineRule="auto"/>
        <w:tabs>
          <w:tab w:leader="none" w:pos="203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and enforced in accordance with the laws of the Commonwealth of Pennsylvania (and United States federal law, to the extent applicable), without giving effect to otherwise applicable principles of conflicts of law.</w:t>
      </w:r>
    </w:p>
    <w:p>
      <w:pPr>
        <w:spacing w:after="0" w:line="161" w:lineRule="exact"/>
        <w:rPr>
          <w:rFonts w:ascii="Times New Roman" w:cs="Times New Roman" w:eastAsia="Times New Roman" w:hAnsi="Times New Roman"/>
          <w:sz w:val="18"/>
          <w:szCs w:val="18"/>
          <w:color w:val="auto"/>
        </w:rPr>
      </w:pPr>
    </w:p>
    <w:p>
      <w:pPr>
        <w:ind w:firstLine="1304"/>
        <w:spacing w:after="0" w:line="261" w:lineRule="auto"/>
        <w:tabs>
          <w:tab w:leader="none" w:pos="20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in any way the Company’s right to enforce the provisions of Paragraphs 6, 7 &amp; 8 of this Agreement, any action to enforce the decision or award of the arbitrator under Paragraph 10 hereof may be brought and maintained only in the Court of Common Pleas of Chester County, Pennsylvania or the United States District Court for the Eastern District of Pennsylvania (to the extent that the latter court may have jurisdiction over the subject matter).</w:t>
      </w:r>
    </w:p>
    <w:p>
      <w:pPr>
        <w:spacing w:after="0" w:line="180" w:lineRule="exact"/>
        <w:rPr>
          <w:sz w:val="20"/>
          <w:szCs w:val="20"/>
          <w:color w:val="auto"/>
        </w:rPr>
      </w:pPr>
    </w:p>
    <w:p>
      <w:pPr>
        <w:ind w:left="2020" w:hanging="716"/>
        <w:spacing w:after="0"/>
        <w:tabs>
          <w:tab w:leader="none" w:pos="20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herein are for convenience of reference only and shall not affect the interpretation of any term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hereof.</w:t>
      </w:r>
    </w:p>
    <w:p>
      <w:pPr>
        <w:spacing w:after="0" w:line="207" w:lineRule="exact"/>
        <w:rPr>
          <w:sz w:val="20"/>
          <w:szCs w:val="20"/>
          <w:color w:val="auto"/>
        </w:rPr>
      </w:pPr>
    </w:p>
    <w:p>
      <w:pPr>
        <w:ind w:firstLine="1304"/>
        <w:spacing w:after="0" w:line="258" w:lineRule="auto"/>
        <w:tabs>
          <w:tab w:leader="none" w:pos="20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found invalid or unenforceable for any reason, in whole or in part, then such provision shall be deemed modified, restricted, or reformulated to the extent and in the manner necessary to render the same valid and enforceable, or shall be deemed excised from this Agreement, as the case may require, and this Agreement shall be construed and enforced to the maximum extent permitted by law, as if such provision had been originally incorporated herein as so modified, restricted, or reformulated or as if such provision had not been originally incorporated herein, as the case may be.</w:t>
      </w:r>
    </w:p>
    <w:p>
      <w:pPr>
        <w:spacing w:after="0" w:line="183" w:lineRule="exact"/>
        <w:rPr>
          <w:rFonts w:ascii="Times New Roman" w:cs="Times New Roman" w:eastAsia="Times New Roman" w:hAnsi="Times New Roman"/>
          <w:sz w:val="18"/>
          <w:szCs w:val="18"/>
          <w:color w:val="auto"/>
        </w:rPr>
      </w:pPr>
    </w:p>
    <w:p>
      <w:pPr>
        <w:ind w:right="200" w:firstLine="1304"/>
        <w:spacing w:after="0" w:line="266" w:lineRule="auto"/>
        <w:tabs>
          <w:tab w:leader="none" w:pos="20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Base Salary, incentive compensation, expense reimbursements, severance pay, and other payments made by the Company to Executive under this Agreement shall be subject to customary withholding for applicable federal, state and local taxes, FICA and other amounts required by applicable law.</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4" w:lineRule="auto"/>
        <w:tabs>
          <w:tab w:leader="none" w:pos="199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comply with Section 409A of the Internal Revenue Code of 1986, as amended (the “Code”), and the corresponding regulations, and the payments and benefits provided hereunder are intended to qualify for any applicable exemptions from the definition of deferred compensation under Code Section 409A. To the maximum extent permitted, the parties agree that (i) this Agreement shall be interpreted as being in compliance with Code Section 409A, and (ii) the payments and benefits will be reported to the Internal Revenue Service as being in compliance with Code Section 409A. For purposes of Code Section 409A, each payment made under this Agreement shall be treated as a separate payment. Severance benefits under this Agreement are intended to be exempt from Code Section 409A under the “short term deferral” exemption, to the extent applicable. A portion, the amount of which to be determined in accordance with Treas. Reg. § 1.409A-1(b)(9)(iii), of any additional monthly severance compensation under this Agreement shall be considered payments under a “separation pay plan” under Code Section 409A. In no event may Executive designate, directly or indirectly, the calendar year of payment.</w:t>
      </w:r>
    </w:p>
    <w:p>
      <w:pPr>
        <w:spacing w:after="0" w:line="188" w:lineRule="exact"/>
        <w:rPr>
          <w:rFonts w:ascii="Times New Roman" w:cs="Times New Roman" w:eastAsia="Times New Roman" w:hAnsi="Times New Roman"/>
          <w:sz w:val="18"/>
          <w:szCs w:val="18"/>
          <w:color w:val="auto"/>
        </w:rPr>
      </w:pPr>
    </w:p>
    <w:p>
      <w:pPr>
        <w:ind w:right="140" w:firstLine="1304"/>
        <w:spacing w:after="0" w:line="256" w:lineRule="auto"/>
        <w:tabs>
          <w:tab w:leader="none" w:pos="204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to the extent required by Code Section 409A if Executive is considered a “specified employee” for purposes of Code Section 409A, and if the payment of any amounts under this Agreement is required to be delayed for a period of six months after “separation from service” pursuant to Code Section 409A, payment of such amounts shall be delayed as required by Code Section 409A and the accumulated amounts shall be paid in a single lump sum within five days after the end of the six-month period. If Executive dies during the postponement period prior to the payment of benefits, amounts withheld on account of Code Section 409A shall be paid to the personal representative of Executive’s estate within sixty days after the date of Executive’s death.</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20" w:hanging="113"/>
        <w:spacing w:after="0"/>
        <w:tabs>
          <w:tab w:leader="none" w:pos="55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right="220" w:firstLine="1304"/>
        <w:spacing w:after="0" w:line="282" w:lineRule="auto"/>
        <w:tabs>
          <w:tab w:leader="none" w:pos="199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“separation from service” shall mean Executive’s separation from service with the Company and its affiliates within the meaning of Treas. Reg. Section 1.409A-1(h).</w:t>
      </w:r>
    </w:p>
    <w:p>
      <w:pPr>
        <w:spacing w:after="0" w:line="161" w:lineRule="exact"/>
        <w:rPr>
          <w:rFonts w:ascii="Times New Roman" w:cs="Times New Roman" w:eastAsia="Times New Roman" w:hAnsi="Times New Roman"/>
          <w:sz w:val="18"/>
          <w:szCs w:val="18"/>
          <w:color w:val="auto"/>
        </w:rPr>
      </w:pPr>
    </w:p>
    <w:p>
      <w:pPr>
        <w:ind w:right="20" w:firstLine="1304"/>
        <w:spacing w:after="0" w:line="258" w:lineRule="auto"/>
        <w:tabs>
          <w:tab w:leader="none" w:pos="20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in-kind benefits or any expenses eligible for reimbursement provided hereunder that are subject to Code Section 409A, (i) the benefits provided or the amount of expenses eligible for reimbursement during any calendar year shall not affect the benefits provided or expenses eligible for reimbursement in any other calendar year, except as provided in Treas. Reg. § 1.409A-3(i)(1)(iv)(B), and (ii) the reimbursement of an eligible expense shall be made as soon as possible after Executive requests such reimbursement, but not later than December 31 following the calendar year in which the expense was incurred.</w:t>
      </w:r>
    </w:p>
    <w:p>
      <w:pPr>
        <w:spacing w:after="0" w:line="183" w:lineRule="exact"/>
        <w:rPr>
          <w:rFonts w:ascii="Times New Roman" w:cs="Times New Roman" w:eastAsia="Times New Roman" w:hAnsi="Times New Roman"/>
          <w:sz w:val="18"/>
          <w:szCs w:val="18"/>
          <w:color w:val="auto"/>
        </w:rPr>
      </w:pPr>
    </w:p>
    <w:p>
      <w:pPr>
        <w:ind w:firstLine="1304"/>
        <w:spacing w:after="0" w:line="261" w:lineRule="auto"/>
        <w:tabs>
          <w:tab w:leader="none" w:pos="20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right to receive any installment payments of deferred compensation shall be treated as a right to receive a series of separate payments and, accordingly, each such installment payment shall at all times be considered a separate and distinct payment as permitted under Code Section 409A. Except as otherwise permitted under Code Section 409A, no payment to you shall be accelerated or deferred unless such acceleration or deferral would not result in additional tax or interest pursuant to Code Section 409A.</w:t>
      </w:r>
    </w:p>
    <w:p>
      <w:pPr>
        <w:spacing w:after="0" w:line="180" w:lineRule="exact"/>
        <w:rPr>
          <w:sz w:val="20"/>
          <w:szCs w:val="20"/>
          <w:color w:val="auto"/>
        </w:rPr>
      </w:pPr>
    </w:p>
    <w:p>
      <w:pPr>
        <w:ind w:right="80" w:firstLine="1304"/>
        <w:spacing w:after="0" w:line="282" w:lineRule="auto"/>
        <w:tabs>
          <w:tab w:leader="none" w:pos="201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with the same effect as if the parties executing the counterparts all had executed one counterpart as of the date hereof. All such counterparts taken together shall be deemed the original Agreement.</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day, month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RYAN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OWLAND</w:t>
            </w:r>
          </w:p>
        </w:tc>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TEFANO</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Bryan T.R. Rowland</w:t>
            </w:r>
          </w:p>
        </w:tc>
        <w:tc>
          <w:tcPr>
            <w:tcW w:w="780" w:type="dxa"/>
            <w:vAlign w:val="bottom"/>
          </w:tcPr>
          <w:p>
            <w:pPr>
              <w:spacing w:after="0"/>
              <w:rPr>
                <w:sz w:val="19"/>
                <w:szCs w:val="19"/>
                <w:color w:val="auto"/>
              </w:rPr>
            </w:pPr>
          </w:p>
        </w:tc>
        <w:tc>
          <w:tcPr>
            <w:tcW w:w="5280" w:type="dxa"/>
            <w:vAlign w:val="bottom"/>
            <w:tcBorders>
              <w:top w:val="single" w:sz="8" w:color="auto"/>
            </w:tcBorders>
          </w:tcPr>
          <w:p>
            <w:pPr>
              <w:spacing w:after="0"/>
              <w:rPr>
                <w:sz w:val="19"/>
                <w:szCs w:val="19"/>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July 14, 2020</w:t>
            </w:r>
          </w:p>
        </w:tc>
        <w:tc>
          <w:tcPr>
            <w:tcW w:w="6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July 14, 2020</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78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630"/>
        </w:trPr>
        <w:tc>
          <w:tcPr>
            <w:tcW w:w="5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1" w:name="page202"/>
    <w:bookmarkEnd w:id="201"/>
    <w:p>
      <w:pPr>
        <w:jc w:val="center"/>
        <w:ind w:right="-79"/>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EXECUTIVE EMPLOYMENT AGREEMENT</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AGREEMENT AND RELEASE</w:t>
      </w:r>
    </w:p>
    <w:p>
      <w:pPr>
        <w:spacing w:after="0" w:line="227" w:lineRule="exact"/>
        <w:rPr>
          <w:sz w:val="20"/>
          <w:szCs w:val="20"/>
          <w:color w:val="auto"/>
        </w:rPr>
      </w:pPr>
    </w:p>
    <w:p>
      <w:pPr>
        <w:ind w:right="100" w:firstLine="1296"/>
        <w:spacing w:after="0" w:line="277" w:lineRule="auto"/>
        <w:rPr>
          <w:sz w:val="20"/>
          <w:szCs w:val="20"/>
          <w:color w:val="auto"/>
        </w:rPr>
      </w:pPr>
      <w:r>
        <w:rPr>
          <w:rFonts w:ascii="Times New Roman" w:cs="Times New Roman" w:eastAsia="Times New Roman" w:hAnsi="Times New Roman"/>
          <w:sz w:val="17"/>
          <w:szCs w:val="17"/>
          <w:color w:val="auto"/>
        </w:rPr>
        <w:t>This confidential Separation Agreement and Release (“</w:t>
      </w:r>
      <w:r>
        <w:rPr>
          <w:rFonts w:ascii="Times New Roman" w:cs="Times New Roman" w:eastAsia="Times New Roman" w:hAnsi="Times New Roman"/>
          <w:sz w:val="17"/>
          <w:szCs w:val="17"/>
          <w:i w:val="1"/>
          <w:iCs w:val="1"/>
          <w:u w:val="single" w:color="auto"/>
          <w:color w:val="auto"/>
        </w:rPr>
        <w:t>Agreement</w:t>
      </w:r>
      <w:r>
        <w:rPr>
          <w:rFonts w:ascii="Times New Roman" w:cs="Times New Roman" w:eastAsia="Times New Roman" w:hAnsi="Times New Roman"/>
          <w:sz w:val="17"/>
          <w:szCs w:val="17"/>
          <w:color w:val="auto"/>
        </w:rPr>
        <w:t>”) is entered into by and between Vertex, Inc., a Delaware corporation (the “</w:t>
      </w:r>
      <w:r>
        <w:rPr>
          <w:rFonts w:ascii="Times New Roman" w:cs="Times New Roman" w:eastAsia="Times New Roman" w:hAnsi="Times New Roman"/>
          <w:sz w:val="17"/>
          <w:szCs w:val="17"/>
          <w:i w:val="1"/>
          <w:iCs w:val="1"/>
          <w:u w:val="single" w:color="auto"/>
          <w:color w:val="auto"/>
        </w:rPr>
        <w:t>Company</w:t>
      </w:r>
      <w:r>
        <w:rPr>
          <w:rFonts w:ascii="Times New Roman" w:cs="Times New Roman" w:eastAsia="Times New Roman" w:hAnsi="Times New Roman"/>
          <w:sz w:val="17"/>
          <w:szCs w:val="17"/>
          <w:color w:val="auto"/>
        </w:rPr>
        <w:t>”) and _____________ (hereinafter referred to as “you,” or “your”) to resolve any and all disputes concerning your employment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your separation from employment on ______________. The actual date of separation is referred to herein as the “</w:t>
      </w:r>
      <w:r>
        <w:rPr>
          <w:rFonts w:ascii="Times New Roman" w:cs="Times New Roman" w:eastAsia="Times New Roman" w:hAnsi="Times New Roman"/>
          <w:sz w:val="18"/>
          <w:szCs w:val="18"/>
          <w:i w:val="1"/>
          <w:iCs w:val="1"/>
          <w:u w:val="single" w:color="auto"/>
          <w:color w:val="auto"/>
        </w:rPr>
        <w:t>Separation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you are employed by the Company as ___________________, pursuant to an Employment Agreement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 (“</w:t>
      </w:r>
      <w:r>
        <w:rPr>
          <w:rFonts w:ascii="Times New Roman" w:cs="Times New Roman" w:eastAsia="Times New Roman" w:hAnsi="Times New Roman"/>
          <w:sz w:val="18"/>
          <w:szCs w:val="18"/>
          <w:i w:val="1"/>
          <w:iCs w:val="1"/>
          <w:u w:val="single" w:color="auto"/>
          <w:color w:val="auto"/>
        </w:rPr>
        <w:t>Employment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has decided to terminate your employment without Cause or you have decided to resign for Good Reason under the Employment Agreement, entitling you to certain payments and benefits pursuant to paragraph 2(b)(iii) thereunder (“</w:t>
      </w:r>
      <w:r>
        <w:rPr>
          <w:rFonts w:ascii="Times New Roman" w:cs="Times New Roman" w:eastAsia="Times New Roman" w:hAnsi="Times New Roman"/>
          <w:sz w:val="18"/>
          <w:szCs w:val="18"/>
          <w:i w:val="1"/>
          <w:iCs w:val="1"/>
          <w:u w:val="single" w:color="auto"/>
          <w:color w:val="auto"/>
        </w:rPr>
        <w:t>Severance Benefits</w:t>
      </w:r>
      <w:r>
        <w:rPr>
          <w:rFonts w:ascii="Times New Roman" w:cs="Times New Roman" w:eastAsia="Times New Roman" w:hAnsi="Times New Roman"/>
          <w:sz w:val="18"/>
          <w:szCs w:val="18"/>
          <w:color w:val="auto"/>
        </w:rPr>
        <w:t>”), provided you first sign (and do not revoke) this Agreement and are otherwise in compliance with the Employment Agreement;</w:t>
      </w:r>
    </w:p>
    <w:p>
      <w:pPr>
        <w:spacing w:after="0" w:line="176" w:lineRule="exact"/>
        <w:rPr>
          <w:sz w:val="20"/>
          <w:szCs w:val="20"/>
          <w:color w:val="auto"/>
        </w:rPr>
      </w:pPr>
    </w:p>
    <w:p>
      <w:pPr>
        <w:jc w:val="both"/>
        <w:ind w:right="260" w:firstLine="1296"/>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agreements, and promises hereinafter set forth, and of other good and valuable consideration, the receipt and sufficiency of which is hereby acknowledged, the parties hereto, intending to be legally bound, agree as follows:</w:t>
      </w:r>
    </w:p>
    <w:p>
      <w:pPr>
        <w:spacing w:after="0" w:line="138" w:lineRule="exact"/>
        <w:rPr>
          <w:sz w:val="20"/>
          <w:szCs w:val="20"/>
          <w:color w:val="auto"/>
        </w:rPr>
      </w:pPr>
    </w:p>
    <w:p>
      <w:pPr>
        <w:ind w:right="60" w:firstLine="1304"/>
        <w:spacing w:after="0" w:line="284" w:lineRule="auto"/>
        <w:tabs>
          <w:tab w:leader="none" w:pos="22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On the eighth day after you execute this Agreement (“</w:t>
      </w:r>
      <w:r>
        <w:rPr>
          <w:rFonts w:ascii="Times New Roman" w:cs="Times New Roman" w:eastAsia="Times New Roman" w:hAnsi="Times New Roman"/>
          <w:sz w:val="18"/>
          <w:szCs w:val="18"/>
          <w:i w:val="1"/>
          <w:iCs w:val="1"/>
          <w:u w:val="single" w:color="auto"/>
          <w:color w:val="auto"/>
        </w:rPr>
        <w:t>Effective Date</w:t>
      </w:r>
      <w:r>
        <w:rPr>
          <w:rFonts w:ascii="Times New Roman" w:cs="Times New Roman" w:eastAsia="Times New Roman" w:hAnsi="Times New Roman"/>
          <w:sz w:val="18"/>
          <w:szCs w:val="18"/>
          <w:color w:val="auto"/>
        </w:rPr>
        <w:t>”), provided that you do not revoke this Agreement under paragraph 6(e), the Company agrees to begin to provide you the Severance Benefits as set forth in the Employment Agreement.</w:t>
      </w:r>
    </w:p>
    <w:p>
      <w:pPr>
        <w:spacing w:after="0" w:line="160" w:lineRule="exact"/>
        <w:rPr>
          <w:rFonts w:ascii="Times New Roman" w:cs="Times New Roman" w:eastAsia="Times New Roman" w:hAnsi="Times New Roman"/>
          <w:sz w:val="18"/>
          <w:szCs w:val="18"/>
          <w:color w:val="auto"/>
        </w:rPr>
      </w:pPr>
    </w:p>
    <w:p>
      <w:pPr>
        <w:ind w:right="360" w:firstLine="1304"/>
        <w:spacing w:after="0" w:line="261" w:lineRule="auto"/>
        <w:tabs>
          <w:tab w:leader="none" w:pos="22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You understand and agree that your employment with the Company and any affiliates, including any positions on any Company boards and committees, will terminate effective the Separation Date, and such termination shall be deemed a resignation effective the Separation Date from each position you hold as an officer or director of the Company and any subsidiary or affiliate of the Company.</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2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Payments</w:t>
      </w:r>
      <w:r>
        <w:rPr>
          <w:rFonts w:ascii="Times New Roman" w:cs="Times New Roman" w:eastAsia="Times New Roman" w:hAnsi="Times New Roman"/>
          <w:sz w:val="18"/>
          <w:szCs w:val="18"/>
          <w:color w:val="auto"/>
        </w:rPr>
        <w:t>. You acknowledge and agree that you will receive no additional payments or benefits other than as set forth herein or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2" w:name="page203"/>
    <w:bookmarkEnd w:id="202"/>
    <w:p>
      <w:pPr>
        <w:ind w:left="-1120" w:firstLine="1304"/>
        <w:spacing w:after="0" w:line="252" w:lineRule="auto"/>
        <w:tabs>
          <w:tab w:leader="none" w:pos="11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exchange for the promises herein which you acknowledge as good and valuable consideration, and except as provided in paragraph 5, you release and discharge the Company and its past, present and future parents, divisions, subsidiaries, and affiliates, predecessors, successors and assigns, and their past, present, and future officers, directors, members, partners, attorneys, employees, independent contractors, agents, clients, and representatives (“</w:t>
      </w:r>
      <w:r>
        <w:rPr>
          <w:rFonts w:ascii="Times New Roman" w:cs="Times New Roman" w:eastAsia="Times New Roman" w:hAnsi="Times New Roman"/>
          <w:sz w:val="18"/>
          <w:szCs w:val="18"/>
          <w:i w:val="1"/>
          <w:iCs w:val="1"/>
          <w:u w:val="single" w:color="auto"/>
          <w:color w:val="auto"/>
        </w:rPr>
        <w:t>Released Parties</w:t>
      </w:r>
      <w:r>
        <w:rPr>
          <w:rFonts w:ascii="Times New Roman" w:cs="Times New Roman" w:eastAsia="Times New Roman" w:hAnsi="Times New Roman"/>
          <w:sz w:val="18"/>
          <w:szCs w:val="18"/>
          <w:color w:val="auto"/>
        </w:rPr>
        <w:t>”) from any and all actions, causes of action, debts, dues, claims and demands of every name and nature, without limitation, at law, in equity, or administrative, against the Released Parties which you may have had, now have, or may have, by reason of any matter or thing arising up to the date you execute this Agreement, including the ending of your employment. Those claims and causes of action from which you release the Released Parties include, but are not limited to, any known or unknown claim or action sounding in tort, contract, or discrimination of any kind, any claim arising under the Employment Agreement, and/or any cause of action arising under federal, state or local constitution, statute or ordinance, including, but not limited to, Title VII of the Civil Rights Act of 1964, as amended, the Age Discrimination in Employment Act (including the Older Worker Benefit Protection Act), as amended, the Americans With Disabilities Act, as amended, the Employee Retirement Income Security Act, as amended, the Family and Medical Leave Act, as amended, the Equal Pay Act, as amended, Section 1981 of the Civil Rights Act of 1866, as amended, the Worker Adjustment and Retraining Notification Act, as amended, the Sarbanes Oxley Act of 2002, as amended, the Pennsylvania Human Relations Act, as amended, the Pennsylvania Equal Pay Law, as amended, the Pennsylvania Wage Payment and Collection Law, as amended, the Pennsylvania Minimum Wage Act, as amended, and any other employee-protective law of any jurisdiction that may apply, and/or any claim for attorneys’ fees or costs, whether presently accrued, accruing to, or to accrue to you on account of, arising out of, or in any way connected with any acts or activities by you or the Released Parties arising up to the date you execute this Agreement. You expressly acknowledge that no claim or cause of action against the Released Parties from the beginning of time to the date you execute this Agreement (other than as provided in paragraph 5) shall be deemed to be outside the scope of this Agreement whether mentioned herein or not. You agree that this release should be interpreted as broadly as possible to achieve your intention to waive, to the maximum extent permitted by law, any and all claims against the Released Parties. Excluded from the release set forth in this paragraph is any claim which cannot be waived as a matter of law and your right to indemnification by the Company or any of its affiliates pursuant to contract or applicable law.</w:t>
      </w:r>
    </w:p>
    <w:p>
      <w:pPr>
        <w:spacing w:after="0" w:line="187" w:lineRule="exact"/>
        <w:rPr>
          <w:rFonts w:ascii="Times New Roman" w:cs="Times New Roman" w:eastAsia="Times New Roman" w:hAnsi="Times New Roman"/>
          <w:sz w:val="18"/>
          <w:szCs w:val="18"/>
          <w:color w:val="auto"/>
        </w:rPr>
      </w:pPr>
    </w:p>
    <w:p>
      <w:pPr>
        <w:ind w:left="-1120" w:right="80" w:firstLine="1304"/>
        <w:spacing w:after="0" w:line="256" w:lineRule="auto"/>
        <w:tabs>
          <w:tab w:leader="none" w:pos="11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Claims Preserved</w:t>
      </w:r>
      <w:r>
        <w:rPr>
          <w:rFonts w:ascii="Times New Roman" w:cs="Times New Roman" w:eastAsia="Times New Roman" w:hAnsi="Times New Roman"/>
          <w:sz w:val="18"/>
          <w:szCs w:val="18"/>
          <w:color w:val="auto"/>
        </w:rPr>
        <w:t>. Nothing in this Agreement limits your right, where applicable, to file or participate in an investigative proceeding of any federal, state, or local governmental agency, including filing a charge with the United States Equal Employment Opportunity Commission (“</w:t>
      </w:r>
      <w:r>
        <w:rPr>
          <w:rFonts w:ascii="Times New Roman" w:cs="Times New Roman" w:eastAsia="Times New Roman" w:hAnsi="Times New Roman"/>
          <w:sz w:val="18"/>
          <w:szCs w:val="18"/>
          <w:i w:val="1"/>
          <w:iCs w:val="1"/>
          <w:u w:val="single" w:color="auto"/>
          <w:color w:val="auto"/>
        </w:rPr>
        <w:t>EEOC</w:t>
      </w:r>
      <w:r>
        <w:rPr>
          <w:rFonts w:ascii="Times New Roman" w:cs="Times New Roman" w:eastAsia="Times New Roman" w:hAnsi="Times New Roman"/>
          <w:sz w:val="18"/>
          <w:szCs w:val="18"/>
          <w:color w:val="auto"/>
        </w:rPr>
        <w:t>”). To the extent permitted by law, you agree that if such an administrative claim is made, you shall not be entitled to recover, accept, or retain any individual monetary relief or other individual remedies with respect to any matter covered by this Agreement. Nothing in this Agreement prevents you from filing a lawsuit limited to challenging the validity of your waiver of federal age discrimination claims under the Age Discrimination in Employment Act and the Older Workers Benefit Protection Act.</w:t>
      </w:r>
    </w:p>
    <w:p>
      <w:pPr>
        <w:spacing w:after="0" w:line="187" w:lineRule="exact"/>
        <w:rPr>
          <w:rFonts w:ascii="Times New Roman" w:cs="Times New Roman" w:eastAsia="Times New Roman" w:hAnsi="Times New Roman"/>
          <w:sz w:val="18"/>
          <w:szCs w:val="18"/>
          <w:color w:val="auto"/>
        </w:rPr>
      </w:pPr>
    </w:p>
    <w:p>
      <w:pPr>
        <w:jc w:val="both"/>
        <w:ind w:left="-1120" w:right="180" w:firstLine="1304"/>
        <w:spacing w:after="0" w:line="266" w:lineRule="auto"/>
        <w:tabs>
          <w:tab w:leader="none" w:pos="11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The release in paragraph 4 of this Agreement includes a waiver of claims against the Released Parties under the Age Discrimination in Employment Act (“</w:t>
      </w:r>
      <w:r>
        <w:rPr>
          <w:rFonts w:ascii="Times New Roman" w:cs="Times New Roman" w:eastAsia="Times New Roman" w:hAnsi="Times New Roman"/>
          <w:sz w:val="18"/>
          <w:szCs w:val="18"/>
          <w:i w:val="1"/>
          <w:iCs w:val="1"/>
          <w:u w:val="single" w:color="auto"/>
          <w:color w:val="auto"/>
        </w:rPr>
        <w:t>ADEA</w:t>
      </w:r>
      <w:r>
        <w:rPr>
          <w:rFonts w:ascii="Times New Roman" w:cs="Times New Roman" w:eastAsia="Times New Roman" w:hAnsi="Times New Roman"/>
          <w:sz w:val="18"/>
          <w:szCs w:val="18"/>
          <w:color w:val="auto"/>
        </w:rPr>
        <w:t>”) and the Older Workers Benefit Protection Act (“</w:t>
      </w:r>
      <w:r>
        <w:rPr>
          <w:rFonts w:ascii="Times New Roman" w:cs="Times New Roman" w:eastAsia="Times New Roman" w:hAnsi="Times New Roman"/>
          <w:sz w:val="18"/>
          <w:szCs w:val="18"/>
          <w:i w:val="1"/>
          <w:iCs w:val="1"/>
          <w:u w:val="single" w:color="auto"/>
          <w:color w:val="auto"/>
        </w:rPr>
        <w:t>OWBPA</w:t>
      </w:r>
      <w:r>
        <w:rPr>
          <w:rFonts w:ascii="Times New Roman" w:cs="Times New Roman" w:eastAsia="Times New Roman" w:hAnsi="Times New Roman"/>
          <w:sz w:val="18"/>
          <w:szCs w:val="18"/>
          <w:color w:val="auto"/>
        </w:rPr>
        <w:t>”). Therefore, pursuant to the requirements of the ADEA and the OWBPA, you specifically acknowledge that:</w:t>
      </w:r>
    </w:p>
    <w:p>
      <w:pPr>
        <w:spacing w:after="0" w:line="176" w:lineRule="exact"/>
        <w:rPr>
          <w:sz w:val="20"/>
          <w:szCs w:val="20"/>
          <w:color w:val="auto"/>
        </w:rPr>
      </w:pPr>
    </w:p>
    <w:p>
      <w:pPr>
        <w:ind w:left="840" w:hanging="656"/>
        <w:spacing w:after="0"/>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and have been advised to consult with an attorney of your choosing concerning the legal significance of this Agreement;</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written in a manner you understand;</w:t>
      </w:r>
    </w:p>
    <w:p>
      <w:pPr>
        <w:spacing w:after="0" w:line="225" w:lineRule="exact"/>
        <w:rPr>
          <w:rFonts w:ascii="Times New Roman" w:cs="Times New Roman" w:eastAsia="Times New Roman" w:hAnsi="Times New Roman"/>
          <w:sz w:val="18"/>
          <w:szCs w:val="18"/>
          <w:color w:val="auto"/>
        </w:rPr>
      </w:pPr>
    </w:p>
    <w:p>
      <w:pPr>
        <w:ind w:left="840" w:right="100" w:hanging="656"/>
        <w:spacing w:after="0" w:line="282"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set forth in paragraph 1 of the Agreement is adequate and sufficient for your entering into this Agreement and consists of benefits to which you are not otherwise entitled;</w:t>
      </w:r>
    </w:p>
    <w:p>
      <w:pPr>
        <w:spacing w:after="0" w:line="161" w:lineRule="exact"/>
        <w:rPr>
          <w:rFonts w:ascii="Times New Roman" w:cs="Times New Roman" w:eastAsia="Times New Roman" w:hAnsi="Times New Roman"/>
          <w:sz w:val="18"/>
          <w:szCs w:val="18"/>
          <w:color w:val="auto"/>
        </w:rPr>
      </w:pPr>
    </w:p>
    <w:p>
      <w:pPr>
        <w:ind w:left="840" w:right="80" w:hanging="656"/>
        <w:spacing w:after="0" w:line="266"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afforded twenty-one (21) days to consider this Agreement before signing it, although you may sign it at any time within those 21 days, and that any changes to this Agreement subsequently agreed upon by the parties, whether material or immaterial, do not restart this period for consideration; and</w:t>
      </w:r>
    </w:p>
    <w:p>
      <w:pPr>
        <w:spacing w:after="0" w:line="175" w:lineRule="exact"/>
        <w:rPr>
          <w:rFonts w:ascii="Times New Roman" w:cs="Times New Roman" w:eastAsia="Times New Roman" w:hAnsi="Times New Roman"/>
          <w:sz w:val="18"/>
          <w:szCs w:val="18"/>
          <w:color w:val="auto"/>
        </w:rPr>
      </w:pPr>
    </w:p>
    <w:p>
      <w:pPr>
        <w:ind w:left="840" w:right="240" w:hanging="656"/>
        <w:spacing w:after="0" w:line="266" w:lineRule="auto"/>
        <w:tabs>
          <w:tab w:leader="none" w:pos="8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advised that during the seven (7) day period after you sign the Agreement, you may revoke your acceptance of this Agreement by delivering written notice to ________________________________, and that this Agreement shall not become effective or enforceable until after the revocation period has expired.</w:t>
      </w:r>
    </w:p>
    <w:p>
      <w:pPr>
        <w:spacing w:after="0" w:line="391"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3" w:name="page204"/>
    <w:bookmarkEnd w:id="203"/>
    <w:p>
      <w:pPr>
        <w:ind w:right="60" w:firstLine="1304"/>
        <w:spacing w:after="0" w:line="266" w:lineRule="auto"/>
        <w:tabs>
          <w:tab w:leader="none" w:pos="225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Wrongdoing</w:t>
      </w:r>
      <w:r>
        <w:rPr>
          <w:rFonts w:ascii="Times New Roman" w:cs="Times New Roman" w:eastAsia="Times New Roman" w:hAnsi="Times New Roman"/>
          <w:sz w:val="18"/>
          <w:szCs w:val="18"/>
          <w:color w:val="auto"/>
        </w:rPr>
        <w:t>. The Company denies any wrongdoing whatsoever in connection with its dealings with you, including but not limited to your employment and termination. It is expressly understood and agreed that nothing contained in this Agreement shall constitute or be treated as an admission of any wrongdoing or liability on the part of the Company.</w:t>
      </w:r>
    </w:p>
    <w:p>
      <w:pPr>
        <w:spacing w:after="0" w:line="175" w:lineRule="exact"/>
        <w:rPr>
          <w:rFonts w:ascii="Times New Roman" w:cs="Times New Roman" w:eastAsia="Times New Roman" w:hAnsi="Times New Roman"/>
          <w:sz w:val="18"/>
          <w:szCs w:val="18"/>
          <w:color w:val="auto"/>
        </w:rPr>
      </w:pPr>
    </w:p>
    <w:p>
      <w:pPr>
        <w:ind w:firstLine="1304"/>
        <w:spacing w:after="0" w:line="258" w:lineRule="auto"/>
        <w:tabs>
          <w:tab w:leader="none" w:pos="225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The parties understand and agree that this Agreement, and the matters discussed in negotiating its terms, are entirely confidential. It is therefore expressly understood and agreed that neither party will reveal, discuss, publish or in any way communicate any of the terms, amount or fact of this Agreement to any person, organization or other entity, with the exception of your immediate family members and professional representatives, or, with respect to the Company, with the exception of its professional representatives or as otherwise consistent with business need or necessity, or with respect to both parties, in an action to enforce the Agreement’s terms, unless required by subpoena or court order.</w:t>
      </w:r>
    </w:p>
    <w:p>
      <w:pPr>
        <w:spacing w:after="0" w:line="183" w:lineRule="exact"/>
        <w:rPr>
          <w:rFonts w:ascii="Times New Roman" w:cs="Times New Roman" w:eastAsia="Times New Roman" w:hAnsi="Times New Roman"/>
          <w:sz w:val="18"/>
          <w:szCs w:val="18"/>
          <w:color w:val="auto"/>
        </w:rPr>
      </w:pPr>
    </w:p>
    <w:p>
      <w:pPr>
        <w:ind w:right="980" w:firstLine="1304"/>
        <w:spacing w:after="0" w:line="282" w:lineRule="auto"/>
        <w:tabs>
          <w:tab w:leader="none" w:pos="225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agree that you will not disparage any of the Released Parties or make or publish any communication that reflects adversely upon any of them, consistent with paragraph 2(d) of the Employment Agreement.</w:t>
      </w:r>
    </w:p>
    <w:p>
      <w:pPr>
        <w:spacing w:after="0" w:line="161" w:lineRule="exact"/>
        <w:rPr>
          <w:rFonts w:ascii="Times New Roman" w:cs="Times New Roman" w:eastAsia="Times New Roman" w:hAnsi="Times New Roman"/>
          <w:sz w:val="18"/>
          <w:szCs w:val="18"/>
          <w:color w:val="auto"/>
        </w:rPr>
      </w:pPr>
    </w:p>
    <w:p>
      <w:pPr>
        <w:ind w:right="60" w:firstLine="1304"/>
        <w:spacing w:after="0" w:line="256" w:lineRule="auto"/>
        <w:tabs>
          <w:tab w:leader="none" w:pos="22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Filing of Claims</w:t>
      </w:r>
      <w:r>
        <w:rPr>
          <w:rFonts w:ascii="Times New Roman" w:cs="Times New Roman" w:eastAsia="Times New Roman" w:hAnsi="Times New Roman"/>
          <w:sz w:val="18"/>
          <w:szCs w:val="18"/>
          <w:color w:val="auto"/>
        </w:rPr>
        <w:t>. You represent that you have not filed, and to the maximum extent permitted by law and except as provided in paragraph 5, you agree that you will not file, any charge, complaint, lawsuit or claim (collectively, “</w:t>
      </w:r>
      <w:r>
        <w:rPr>
          <w:rFonts w:ascii="Times New Roman" w:cs="Times New Roman" w:eastAsia="Times New Roman" w:hAnsi="Times New Roman"/>
          <w:sz w:val="18"/>
          <w:szCs w:val="18"/>
          <w:i w:val="1"/>
          <w:iCs w:val="1"/>
          <w:u w:val="single" w:color="auto"/>
          <w:color w:val="auto"/>
        </w:rPr>
        <w:t>Claim</w:t>
      </w:r>
      <w:r>
        <w:rPr>
          <w:rFonts w:ascii="Times New Roman" w:cs="Times New Roman" w:eastAsia="Times New Roman" w:hAnsi="Times New Roman"/>
          <w:sz w:val="18"/>
          <w:szCs w:val="18"/>
          <w:color w:val="auto"/>
        </w:rPr>
        <w:t>”) with any administrative agency, federal, state or local court (collectively, “</w:t>
      </w:r>
      <w:r>
        <w:rPr>
          <w:rFonts w:ascii="Times New Roman" w:cs="Times New Roman" w:eastAsia="Times New Roman" w:hAnsi="Times New Roman"/>
          <w:sz w:val="18"/>
          <w:szCs w:val="18"/>
          <w:i w:val="1"/>
          <w:iCs w:val="1"/>
          <w:u w:val="single" w:color="auto"/>
          <w:color w:val="auto"/>
        </w:rPr>
        <w:t>Agency</w:t>
      </w:r>
      <w:r>
        <w:rPr>
          <w:rFonts w:ascii="Times New Roman" w:cs="Times New Roman" w:eastAsia="Times New Roman" w:hAnsi="Times New Roman"/>
          <w:sz w:val="18"/>
          <w:szCs w:val="18"/>
          <w:color w:val="auto"/>
        </w:rPr>
        <w:t>”) related in any way to your employment or the separation of your employment with the Company. You further agree that you will not accept, and will not be entitled to retain, any judgment, award, settlement or other payment or other relief resulting from, or related to, any Claim filed with any Agency related in any way to your employment with the Company or the termination of your employment. Nothing in this Agreement prevents you from filing for a state claim of unemployment compensation should you choose to do so.</w:t>
      </w:r>
    </w:p>
    <w:p>
      <w:pPr>
        <w:spacing w:after="0" w:line="187" w:lineRule="exact"/>
        <w:rPr>
          <w:rFonts w:ascii="Times New Roman" w:cs="Times New Roman" w:eastAsia="Times New Roman" w:hAnsi="Times New Roman"/>
          <w:sz w:val="18"/>
          <w:szCs w:val="18"/>
          <w:color w:val="auto"/>
        </w:rPr>
      </w:pPr>
    </w:p>
    <w:p>
      <w:pPr>
        <w:ind w:firstLine="1304"/>
        <w:spacing w:after="0" w:line="255" w:lineRule="auto"/>
        <w:tabs>
          <w:tab w:leader="none" w:pos="224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Voluntary Cooperation</w:t>
      </w:r>
      <w:r>
        <w:rPr>
          <w:rFonts w:ascii="Times New Roman" w:cs="Times New Roman" w:eastAsia="Times New Roman" w:hAnsi="Times New Roman"/>
          <w:sz w:val="18"/>
          <w:szCs w:val="18"/>
          <w:color w:val="auto"/>
        </w:rPr>
        <w:t>. Except as provided in paragraph 5, and/or unless required to do so by court order or subpoena, you agree that you will not (i) voluntarily make statements, take action, or give testimony adverse or detrimental to the interests of the Company; or (ii) aid or assist in any manner the efforts of any third party to sue or prosecute a claim against the Company. Should you ever be required to give testimony concerning any matter related to your employment with the Company, you agree to provide notice of such compulsory process to</w:t>
      </w:r>
    </w:p>
    <w:p>
      <w:pPr>
        <w:spacing w:after="0" w:line="2"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 within two (2) business days of its receipt so that the Company may take appropriate measures to quash or otherwise defend its interests.</w:t>
      </w:r>
    </w:p>
    <w:p>
      <w:pPr>
        <w:spacing w:after="0" w:line="181" w:lineRule="exact"/>
        <w:rPr>
          <w:rFonts w:ascii="Times New Roman" w:cs="Times New Roman" w:eastAsia="Times New Roman" w:hAnsi="Times New Roman"/>
          <w:sz w:val="18"/>
          <w:szCs w:val="18"/>
          <w:color w:val="auto"/>
        </w:rPr>
      </w:pPr>
    </w:p>
    <w:p>
      <w:pPr>
        <w:ind w:right="120" w:firstLine="1304"/>
        <w:spacing w:after="0" w:line="266" w:lineRule="auto"/>
        <w:tabs>
          <w:tab w:leader="none" w:pos="22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with the Company</w:t>
      </w:r>
      <w:r>
        <w:rPr>
          <w:rFonts w:ascii="Times New Roman" w:cs="Times New Roman" w:eastAsia="Times New Roman" w:hAnsi="Times New Roman"/>
          <w:sz w:val="18"/>
          <w:szCs w:val="18"/>
          <w:color w:val="auto"/>
        </w:rPr>
        <w:t>. Upon request of the Company, you agree to fully cooperate with the Company and to provide information and/or testimony regarding any current or future litigation arising from actions or events occurring during your employment with the Company.</w:t>
      </w:r>
    </w:p>
    <w:p>
      <w:pPr>
        <w:spacing w:after="0" w:line="175" w:lineRule="exact"/>
        <w:rPr>
          <w:rFonts w:ascii="Times New Roman" w:cs="Times New Roman" w:eastAsia="Times New Roman" w:hAnsi="Times New Roman"/>
          <w:sz w:val="18"/>
          <w:szCs w:val="18"/>
          <w:color w:val="auto"/>
        </w:rPr>
      </w:pPr>
    </w:p>
    <w:p>
      <w:pPr>
        <w:ind w:right="680" w:firstLine="1304"/>
        <w:spacing w:after="0" w:line="282" w:lineRule="auto"/>
        <w:tabs>
          <w:tab w:leader="none" w:pos="22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Reemployment</w:t>
      </w:r>
      <w:r>
        <w:rPr>
          <w:rFonts w:ascii="Times New Roman" w:cs="Times New Roman" w:eastAsia="Times New Roman" w:hAnsi="Times New Roman"/>
          <w:sz w:val="18"/>
          <w:szCs w:val="18"/>
          <w:color w:val="auto"/>
        </w:rPr>
        <w:t>. You agree that you will not seek reemployment with the Company or any current or future parent, subsidiary, or affiliate, except at the request of the Company.</w:t>
      </w:r>
    </w:p>
    <w:p>
      <w:pPr>
        <w:spacing w:after="0" w:line="161" w:lineRule="exact"/>
        <w:rPr>
          <w:rFonts w:ascii="Times New Roman" w:cs="Times New Roman" w:eastAsia="Times New Roman" w:hAnsi="Times New Roman"/>
          <w:sz w:val="18"/>
          <w:szCs w:val="18"/>
          <w:color w:val="auto"/>
        </w:rPr>
      </w:pPr>
    </w:p>
    <w:p>
      <w:pPr>
        <w:ind w:right="20" w:firstLine="1304"/>
        <w:spacing w:after="0" w:line="261" w:lineRule="auto"/>
        <w:tabs>
          <w:tab w:leader="none" w:pos="22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You agree that, as a condition precedent to receiving any payment under this Agreement, you will by the Separation Date return all property belonging to the Company, including, but not limited to, corporate credit cards; keys and access cards; documents; tapes; cell phones; computers, laptops, iPhone and other computer equipment and software; and any and all confidential and proprietary information.</w:t>
      </w:r>
    </w:p>
    <w:p>
      <w:pPr>
        <w:spacing w:after="0" w:line="395" w:lineRule="exact"/>
        <w:rPr>
          <w:rFonts w:ascii="Times New Roman" w:cs="Times New Roman" w:eastAsia="Times New Roman" w:hAnsi="Times New Roman"/>
          <w:sz w:val="18"/>
          <w:szCs w:val="18"/>
          <w:color w:val="auto"/>
        </w:rPr>
      </w:pPr>
    </w:p>
    <w:p>
      <w:pPr>
        <w:ind w:left="5560" w:hanging="108"/>
        <w:spacing w:after="0"/>
        <w:tabs>
          <w:tab w:leader="none" w:pos="55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4" w:name="page205"/>
    <w:bookmarkEnd w:id="204"/>
    <w:p>
      <w:pPr>
        <w:jc w:val="both"/>
        <w:ind w:left="-1120" w:firstLine="1304"/>
        <w:spacing w:after="0" w:line="261"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You acknowledge that you remain bound by and affirm that you will comply with all continuing obligations under the Employment Agreement, including, but not limited to, those set forth in paragraphs 6 and 7 thereof (pertaining to non-competition, non-solicitation, and confidentiality), and that such compliance is a condition of receipt of the Severance Benefits. You affirm that you have not violated the terms of the Employment Agreement during your employment with the Company.</w:t>
      </w:r>
    </w:p>
    <w:p>
      <w:pPr>
        <w:spacing w:after="0" w:line="179" w:lineRule="exact"/>
        <w:rPr>
          <w:rFonts w:ascii="Times New Roman" w:cs="Times New Roman" w:eastAsia="Times New Roman" w:hAnsi="Times New Roman"/>
          <w:sz w:val="18"/>
          <w:szCs w:val="18"/>
          <w:color w:val="auto"/>
        </w:rPr>
      </w:pPr>
    </w:p>
    <w:p>
      <w:pPr>
        <w:ind w:left="-1120" w:right="180" w:firstLine="1304"/>
        <w:spacing w:after="0" w:line="258"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Consideration in Event of Breach</w:t>
      </w:r>
      <w:r>
        <w:rPr>
          <w:rFonts w:ascii="Times New Roman" w:cs="Times New Roman" w:eastAsia="Times New Roman" w:hAnsi="Times New Roman"/>
          <w:sz w:val="18"/>
          <w:szCs w:val="18"/>
          <w:color w:val="auto"/>
        </w:rPr>
        <w:t>. You agree that receipt of any consideration and all payments under this Agreement is contingent on your full compliance with its terms and conditions. Should you breach any provision of this Agreement (including but not limited to filing a lawsuit based upon any claim covered by this Agreement (but excluding a lawsuit covered by paragraph 5 of this Agreement)) or any continuing obligation under the Employment Agreement, the Company shall have the right to recover from you any Severance Benefits already paid, and the Company shall no longer be obligated to provide you any Severance Benefits otherwise due.</w:t>
      </w:r>
    </w:p>
    <w:p>
      <w:pPr>
        <w:spacing w:after="0" w:line="183" w:lineRule="exact"/>
        <w:rPr>
          <w:rFonts w:ascii="Times New Roman" w:cs="Times New Roman" w:eastAsia="Times New Roman" w:hAnsi="Times New Roman"/>
          <w:sz w:val="18"/>
          <w:szCs w:val="18"/>
          <w:color w:val="auto"/>
        </w:rPr>
      </w:pPr>
    </w:p>
    <w:p>
      <w:pPr>
        <w:ind w:left="-1120" w:right="460" w:firstLine="1304"/>
        <w:spacing w:after="0" w:line="266"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 and Jury Waiver</w:t>
      </w:r>
      <w:r>
        <w:rPr>
          <w:rFonts w:ascii="Times New Roman" w:cs="Times New Roman" w:eastAsia="Times New Roman" w:hAnsi="Times New Roman"/>
          <w:sz w:val="18"/>
          <w:szCs w:val="18"/>
          <w:color w:val="auto"/>
        </w:rPr>
        <w:t>. The prevailing party in an action for breach of this Agreement (except for a lawsuit covered by paragraph 5) will have its reasonable costs and attorneys’ fees paid for by the party found to have breached. You and the Company hereby waive trial by jury as to any and all litigation arising out of and/or relating to this Agreement.</w:t>
      </w:r>
    </w:p>
    <w:p>
      <w:pPr>
        <w:spacing w:after="0" w:line="175" w:lineRule="exact"/>
        <w:rPr>
          <w:rFonts w:ascii="Times New Roman" w:cs="Times New Roman" w:eastAsia="Times New Roman" w:hAnsi="Times New Roman"/>
          <w:sz w:val="18"/>
          <w:szCs w:val="18"/>
          <w:color w:val="auto"/>
        </w:rPr>
      </w:pPr>
    </w:p>
    <w:p>
      <w:pPr>
        <w:ind w:left="-1120" w:right="240" w:firstLine="1304"/>
        <w:spacing w:after="0" w:line="282"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dispute, controversy, or difference arising out of, or related to, this Agreement or your employment with the Company shall be resolved by binding arbitration pursuant to paragraph 10 of the Employment Agreement.</w:t>
      </w:r>
    </w:p>
    <w:p>
      <w:pPr>
        <w:spacing w:after="0" w:line="161" w:lineRule="exact"/>
        <w:rPr>
          <w:rFonts w:ascii="Times New Roman" w:cs="Times New Roman" w:eastAsia="Times New Roman" w:hAnsi="Times New Roman"/>
          <w:sz w:val="18"/>
          <w:szCs w:val="18"/>
          <w:color w:val="auto"/>
        </w:rPr>
      </w:pPr>
    </w:p>
    <w:p>
      <w:pPr>
        <w:ind w:left="-1120" w:right="120" w:firstLine="1304"/>
        <w:spacing w:after="0" w:line="256"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Understanding and Competence</w:t>
      </w:r>
      <w:r>
        <w:rPr>
          <w:rFonts w:ascii="Times New Roman" w:cs="Times New Roman" w:eastAsia="Times New Roman" w:hAnsi="Times New Roman"/>
          <w:sz w:val="18"/>
          <w:szCs w:val="18"/>
          <w:color w:val="auto"/>
        </w:rPr>
        <w:t>. You acknowledge and agree that (a) you have read this Agreement in its entirety; (b) you are competent to understand, and do understand, the content and effect of this Agreement; (c) by entering into this Agreement, you are releasing forever the Released Parties from any claim or liability (including claims for attorney’s fees and costs) arising from your employment with the Company; (d) you are entering this Agreement of your own free will in exchange for the consideration herein, which you agree is adequate and satisfactory; and (e) neither the Company nor the Released Parties have made any representations to you concerning the terms or effect of this Agreement, other than those contained in the Agreement.</w:t>
      </w:r>
    </w:p>
    <w:p>
      <w:pPr>
        <w:spacing w:after="0" w:line="187" w:lineRule="exact"/>
        <w:rPr>
          <w:rFonts w:ascii="Times New Roman" w:cs="Times New Roman" w:eastAsia="Times New Roman" w:hAnsi="Times New Roman"/>
          <w:sz w:val="18"/>
          <w:szCs w:val="18"/>
          <w:color w:val="auto"/>
        </w:rPr>
      </w:pPr>
    </w:p>
    <w:p>
      <w:pPr>
        <w:ind w:left="-1120" w:right="40" w:firstLine="1304"/>
        <w:spacing w:after="0" w:line="256"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You acknowledge and agree that (a) except for amounts due under Section 2(b)(v) of the Employment Agreement, you are not owed any wages by the Company for work performed, whether as wages or salary, overtime, bonuses or commissions, or for accrued but unused paid time off, and that you have been fully compensated for all hours worked; (b) you are not aware of any factual basis for a claim that the Company has defrauded the government of the United States or any state; (c) you have incurred no work related injuries; (d) you have received all family or medical leave to which you were entitled under the law; and (e) you have been and hereby are advised to consult with legal counsel of your choice prior to execution and delivery of this Agreement, and that you have done so or voluntarily elected not to do so.</w:t>
      </w:r>
    </w:p>
    <w:p>
      <w:pPr>
        <w:spacing w:after="0" w:line="187" w:lineRule="exact"/>
        <w:rPr>
          <w:rFonts w:ascii="Times New Roman" w:cs="Times New Roman" w:eastAsia="Times New Roman" w:hAnsi="Times New Roman"/>
          <w:sz w:val="18"/>
          <w:szCs w:val="18"/>
          <w:color w:val="auto"/>
        </w:rPr>
      </w:pPr>
    </w:p>
    <w:p>
      <w:pPr>
        <w:ind w:left="-1120" w:right="40" w:firstLine="1304"/>
        <w:spacing w:after="0" w:line="266"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Claims</w:t>
      </w:r>
      <w:r>
        <w:rPr>
          <w:rFonts w:ascii="Times New Roman" w:cs="Times New Roman" w:eastAsia="Times New Roman" w:hAnsi="Times New Roman"/>
          <w:sz w:val="18"/>
          <w:szCs w:val="18"/>
          <w:color w:val="auto"/>
        </w:rPr>
        <w:t>. You represent and warrant that you are the sole and lawful owner of all rights, title and interest in and to all released matters, claims and demands referred to herein. You further represent and warrant that there has been no assignment or other transfer of any interest in any such matters, claims or demands which you may have against the Released Parties.</w:t>
      </w:r>
    </w:p>
    <w:p>
      <w:pPr>
        <w:spacing w:after="0" w:line="175" w:lineRule="exact"/>
        <w:rPr>
          <w:rFonts w:ascii="Times New Roman" w:cs="Times New Roman" w:eastAsia="Times New Roman" w:hAnsi="Times New Roman"/>
          <w:sz w:val="18"/>
          <w:szCs w:val="18"/>
          <w:color w:val="auto"/>
        </w:rPr>
      </w:pPr>
    </w:p>
    <w:p>
      <w:pPr>
        <w:ind w:left="-1120" w:right="200" w:firstLine="1304"/>
        <w:spacing w:after="0" w:line="282" w:lineRule="auto"/>
        <w:tabs>
          <w:tab w:leader="none" w:pos="11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and by facsimile, and each such counterpart shall be deemed an original with the same effect as if all parties had signed the same document.</w:t>
      </w:r>
    </w:p>
    <w:p>
      <w:pPr>
        <w:spacing w:after="0" w:line="377" w:lineRule="exact"/>
        <w:rPr>
          <w:rFonts w:ascii="Times New Roman" w:cs="Times New Roman" w:eastAsia="Times New Roman" w:hAnsi="Times New Roman"/>
          <w:sz w:val="18"/>
          <w:szCs w:val="18"/>
          <w:color w:val="auto"/>
        </w:rPr>
      </w:pPr>
    </w:p>
    <w:p>
      <w:pPr>
        <w:ind w:left="4440" w:hanging="108"/>
        <w:spacing w:after="0"/>
        <w:tabs>
          <w:tab w:leader="none" w:pos="44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5" w:name="page206"/>
    <w:bookmarkEnd w:id="205"/>
    <w:p>
      <w:pPr>
        <w:ind w:right="80" w:firstLine="1304"/>
        <w:spacing w:after="0" w:line="261" w:lineRule="auto"/>
        <w:tabs>
          <w:tab w:leader="none" w:pos="225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Understandings</w:t>
      </w:r>
      <w:r>
        <w:rPr>
          <w:rFonts w:ascii="Times New Roman" w:cs="Times New Roman" w:eastAsia="Times New Roman" w:hAnsi="Times New Roman"/>
          <w:sz w:val="18"/>
          <w:szCs w:val="18"/>
          <w:color w:val="auto"/>
        </w:rPr>
        <w:t>. This Agreement, consisting of six (6) pages, together with the Employment Agreement, constitutes the entire Agreement between the parties with respect to its subject matter, and is binding upon and shall inure to the benefit of the parties and their respective heirs, executors, administrators, personal or legal representatives, successors and/or assigns. This Agreement may be amended only by a written agreement signed by you and the Company.</w:t>
      </w:r>
    </w:p>
    <w:p>
      <w:pPr>
        <w:spacing w:after="0" w:line="179" w:lineRule="exact"/>
        <w:rPr>
          <w:rFonts w:ascii="Times New Roman" w:cs="Times New Roman" w:eastAsia="Times New Roman" w:hAnsi="Times New Roman"/>
          <w:sz w:val="18"/>
          <w:szCs w:val="18"/>
          <w:color w:val="auto"/>
        </w:rPr>
      </w:pPr>
    </w:p>
    <w:p>
      <w:pPr>
        <w:ind w:left="2260" w:hanging="956"/>
        <w:spacing w:after="0"/>
        <w:tabs>
          <w:tab w:leader="none" w:pos="22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and are not to be considered a construction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hereof.</w:t>
      </w:r>
    </w:p>
    <w:p>
      <w:pPr>
        <w:spacing w:after="0" w:line="206" w:lineRule="exact"/>
        <w:rPr>
          <w:rFonts w:ascii="Times New Roman" w:cs="Times New Roman" w:eastAsia="Times New Roman" w:hAnsi="Times New Roman"/>
          <w:sz w:val="18"/>
          <w:szCs w:val="18"/>
          <w:color w:val="auto"/>
        </w:rPr>
      </w:pPr>
    </w:p>
    <w:p>
      <w:pPr>
        <w:ind w:firstLine="1304"/>
        <w:spacing w:after="0" w:line="266" w:lineRule="auto"/>
        <w:tabs>
          <w:tab w:leader="none" w:pos="225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Governing Law</w:t>
      </w:r>
      <w:r>
        <w:rPr>
          <w:rFonts w:ascii="Times New Roman" w:cs="Times New Roman" w:eastAsia="Times New Roman" w:hAnsi="Times New Roman"/>
          <w:sz w:val="18"/>
          <w:szCs w:val="18"/>
          <w:color w:val="auto"/>
        </w:rPr>
        <w:t>. If any provision of this Agreement is found to be invalid, unenforceable or void for any reason, such provision shall be severed from the Agreement and shall not affect the validity or enforceability of the remaining provisions. This Agreement shall be interpreted, enforced and governed by the laws of the Commonwealth of Pennsylvania, without regard to the conflicts of law provisions thereof.</w:t>
      </w:r>
    </w:p>
    <w:p>
      <w:pPr>
        <w:spacing w:after="0" w:line="175" w:lineRule="exact"/>
        <w:rPr>
          <w:rFonts w:ascii="Times New Roman" w:cs="Times New Roman" w:eastAsia="Times New Roman" w:hAnsi="Times New Roman"/>
          <w:sz w:val="18"/>
          <w:szCs w:val="18"/>
          <w:color w:val="auto"/>
        </w:rPr>
      </w:pPr>
    </w:p>
    <w:p>
      <w:pPr>
        <w:ind w:right="120" w:firstLine="1304"/>
        <w:spacing w:after="0" w:line="266" w:lineRule="auto"/>
        <w:tabs>
          <w:tab w:leader="none" w:pos="225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Agreement</w:t>
      </w:r>
      <w:r>
        <w:rPr>
          <w:rFonts w:ascii="Times New Roman" w:cs="Times New Roman" w:eastAsia="Times New Roman" w:hAnsi="Times New Roman"/>
          <w:sz w:val="18"/>
          <w:szCs w:val="18"/>
          <w:color w:val="auto"/>
        </w:rPr>
        <w:t>. As provided in paragraph 6(d), the Company is providing you 21 days to consider whether to accept this Agreement (although you may accept it at any time within those 21 days), after which time the offer expires and is withdrawn if you have not yet accepted it. To accept the Agreement, you must sign below and send it to __________________________.</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63436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63436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Vertex, Inc.</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EXECUTIVE EMPLOYMENT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and restated)</w:t>
      </w:r>
    </w:p>
    <w:p>
      <w:pPr>
        <w:spacing w:after="0" w:line="207"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July 18, 2020 by and between VERTEX,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offices at 2301 Renaissance Boulevard, King of Prussia, PA 19406, and John R. Schwab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w:t>
      </w:r>
    </w:p>
    <w:p>
      <w:pPr>
        <w:spacing w:after="0" w:line="225"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WHEREAS, Executive is currently employed by the Company as Chief Financial Officer, pursuant to an Employment Agreement dated December 30, 2019, as amended from time to time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WHEREAS, in the course of its business, the Company has invested and will continue to invest substantial time, effort, money and other resources in the creation, development, maintenance and protection of confidential and proprietary business methods, Documents (as defined herein) and information, as well as substantial and ongoing customer and industry relationships, all of which gain for the Company a substantial advantage in the marketplace and represent assets of great value to the Company and all of which will continue to be disclosed to Executive in the course of Executive’s employment with the Company;</w:t>
      </w:r>
    </w:p>
    <w:p>
      <w:pPr>
        <w:spacing w:after="0" w:line="183"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recognize the Company's legitimate business interest in protecting its confidential and proprietary business methods, Documents and information, as well as its substantial and ongoing customer and industry relationships; and</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WHEREAS, Executive and the Company desire to enter into this Agreement to set out the terms and conditions for the continued employment relationship of Executive with the Company effective as of the date of consummation of the initial public offering of the Company’s Class A common stock pursuant to an effective registration statement filed under the Securities Act of 1933, as amended,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specifically, in consideration of the Company’s continued employment of Executive and Executive’s resulting access to the Company’s confidential and proprietary business methods, Documents and information as well as to its substantial and ongoing customer and industry relationships, the Company and Executive agree as follows:</w:t>
      </w:r>
    </w:p>
    <w:p>
      <w:pPr>
        <w:spacing w:after="0" w:line="176" w:lineRule="exact"/>
        <w:rPr>
          <w:sz w:val="20"/>
          <w:szCs w:val="20"/>
          <w:color w:val="auto"/>
        </w:rPr>
      </w:pPr>
    </w:p>
    <w:p>
      <w:pPr>
        <w:ind w:right="60" w:firstLine="1304"/>
        <w:spacing w:after="0" w:line="256" w:lineRule="auto"/>
        <w:tabs>
          <w:tab w:leader="none" w:pos="22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 The Company shall continue to employ Executive in the position of Chief Financial Officer of the Company reporting to the Chief Executive Officer of the Company (the “CEO”), and Executive hereby accepts such continued employment. Executive shall perform duties incident to this position, as well as any other duties that may be assigned to Executive from time to time by the CEO or his or her designee, and/or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that are not inconsistent with service as an officer of the Company, including duties for any Company subsidiary or affiliate. Executive shall abide by the Company’s Code of Ethics and Business Conduct (“</w:t>
      </w:r>
      <w:r>
        <w:rPr>
          <w:rFonts w:ascii="Times New Roman" w:cs="Times New Roman" w:eastAsia="Times New Roman" w:hAnsi="Times New Roman"/>
          <w:sz w:val="18"/>
          <w:szCs w:val="18"/>
          <w:u w:val="single" w:color="auto"/>
          <w:color w:val="auto"/>
        </w:rPr>
        <w:t>Code of Conduct</w:t>
      </w:r>
      <w:r>
        <w:rPr>
          <w:rFonts w:ascii="Times New Roman" w:cs="Times New Roman" w:eastAsia="Times New Roman" w:hAnsi="Times New Roman"/>
          <w:sz w:val="18"/>
          <w:szCs w:val="18"/>
          <w:color w:val="auto"/>
        </w:rPr>
        <w:t>”), policies, practices, procedures, and rules.</w:t>
      </w:r>
    </w:p>
    <w:p>
      <w:pPr>
        <w:spacing w:after="0" w:line="187"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0" w:firstLine="1304"/>
        <w:spacing w:after="0" w:line="282" w:lineRule="auto"/>
        <w:tabs>
          <w:tab w:leader="none" w:pos="221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14, Executive’s employment under this Agreement shall remain in effect until terminated in accordance with the provisions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7" w:name="page208"/>
    <w:bookmarkEnd w:id="207"/>
    <w:p>
      <w:pPr>
        <w:ind w:left="2232" w:hanging="936"/>
        <w:spacing w:after="0"/>
        <w:tabs>
          <w:tab w:leader="none" w:pos="223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may be terminated hereunder as follows:</w:t>
      </w:r>
    </w:p>
    <w:p>
      <w:pPr>
        <w:spacing w:after="0" w:line="225" w:lineRule="exact"/>
        <w:rPr>
          <w:rFonts w:ascii="Times New Roman" w:cs="Times New Roman" w:eastAsia="Times New Roman" w:hAnsi="Times New Roman"/>
          <w:sz w:val="18"/>
          <w:szCs w:val="18"/>
          <w:color w:val="auto"/>
        </w:rPr>
      </w:pPr>
    </w:p>
    <w:p>
      <w:pPr>
        <w:ind w:left="-8" w:firstLine="1952"/>
        <w:spacing w:after="0" w:line="256" w:lineRule="auto"/>
        <w:tabs>
          <w:tab w:leader="none" w:pos="287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employment shall terminate automatically upon Executive’s death and may be terminated at any time, in the Company’s sole discretion, upon Executive’s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purposes of this Agreement, “Disability” shall mean that because of physical or mental illness or incapacity Executive is unable to substantially perform all of the essential functions of Executive’s position on a full-time basis with or without reasonable accommodation, for a period of 90 consecutive days or in excess of 180 days in any one-year period. This provision does not limit Executive’s access to and use of benefits made available to Executive by the Company pursuant to this Agreement. Further, this provision is not intended to replace or supersede any applicable laws.</w:t>
      </w:r>
    </w:p>
    <w:p>
      <w:pPr>
        <w:spacing w:after="0" w:line="187" w:lineRule="exact"/>
        <w:rPr>
          <w:rFonts w:ascii="Times New Roman" w:cs="Times New Roman" w:eastAsia="Times New Roman" w:hAnsi="Times New Roman"/>
          <w:sz w:val="18"/>
          <w:szCs w:val="18"/>
          <w:color w:val="auto"/>
        </w:rPr>
      </w:pPr>
    </w:p>
    <w:p>
      <w:pPr>
        <w:ind w:left="-8" w:right="100" w:firstLine="1952"/>
        <w:spacing w:after="0" w:line="269" w:lineRule="auto"/>
        <w:tabs>
          <w:tab w:leader="none" w:pos="2830" w:val="left"/>
        </w:tabs>
        <w:numPr>
          <w:ilvl w:val="2"/>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terminate Executive’s employment for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without advance notice and with no other continuing obligations of the Company to Executive under this Agreement. For purposes of this Agreement,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(A) the commitment by Executive of a material breach of this Agreement (including but not limited to Sections 6, 7, or 8 hereof); (B) Executive’s knowing, willful and continuing failure to perform Executive’s duties or obligations to the Company or any corporation or other legal entity of which the Company has at least 51% equity ownership (a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including, but not limited to, those duties that may arise from time to time out of the Company’s business or strategic goals;</w:t>
      </w:r>
    </w:p>
    <w:p>
      <w:pPr>
        <w:spacing w:after="0" w:line="2" w:lineRule="exact"/>
        <w:rPr>
          <w:rFonts w:ascii="Times New Roman" w:cs="Times New Roman" w:eastAsia="Times New Roman" w:hAnsi="Times New Roman"/>
          <w:sz w:val="17"/>
          <w:szCs w:val="17"/>
          <w:color w:val="auto"/>
        </w:rPr>
      </w:pPr>
    </w:p>
    <w:p>
      <w:pPr>
        <w:ind w:left="-8" w:firstLine="8"/>
        <w:spacing w:after="0" w:line="251" w:lineRule="auto"/>
        <w:tabs>
          <w:tab w:leader="none" w:pos="27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willful misconduct or gross negligence with regard to the Company or any Subsidiary or their business, assets or employees; (D) material dishonesty, unethical, fraudulent or similar misconduct on the part of Executive in connection with Executive’s employment by, or performance of services for, the Company or any Subsidiary; (E) Executive’s use of non-prescription controlled substances, misuse of prescription drugs, or habitual intoxication during work hours due to alcohol or any non-prescription drugs or other substances; (F) Executive’s indictment for any felony, if in the reasonable determination of the CEO or his or her designee, such indictment has caused or is reasonably likely to cause material adverse consequences to the Company, its businesses or prospects, or Executive’s conviction (which includes a guilty plea or plea of nolo contendere) of a felony or any other crime involving fraud, dishonesty or moral turpitude; (G) Executive’s material violation of any policy of the Company or of any Subsidiary for which Executive performs services, including, but not limited to, sexual harassment; or (H) Executive’s breach of a fiduciary duty owed to the Company in good faith or repeated, willful refusal to follow any directions of the CEO or the Board that are reasonable, lawful and consistent with the Company’s Code of Conduct, policies, practices, procedures, and rules. Notwithstanding the foregoing, the parties agree that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does not include any act of Executive covered by (A), (B), (G) or (H) of the foregoing sentence, that in the sole discretion of the CEO or his or her designee, is capable of cure and is cured by Executive within thirty (30) days after written notice thereof has been provided to Executive. Cause shall not include any act or omission by Executive consistent with the direction of any superior officers of the Company or the Board or the failure to achieve any performance targets.</w:t>
      </w:r>
    </w:p>
    <w:p>
      <w:pPr>
        <w:spacing w:after="0" w:line="191" w:lineRule="exact"/>
        <w:rPr>
          <w:rFonts w:ascii="Times New Roman" w:cs="Times New Roman" w:eastAsia="Times New Roman" w:hAnsi="Times New Roman"/>
          <w:sz w:val="18"/>
          <w:szCs w:val="18"/>
          <w:color w:val="auto"/>
        </w:rPr>
      </w:pPr>
    </w:p>
    <w:p>
      <w:pPr>
        <w:ind w:left="-8" w:right="20" w:firstLine="1952"/>
        <w:spacing w:after="0" w:line="253" w:lineRule="auto"/>
        <w:tabs>
          <w:tab w:leader="none" w:pos="2791"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without Cause upon thirty (30) days’ written notice to Executive (or, at the Company's option, the Company may provide Executive a maximum of thirty (30) days’ pay in lieu of such notice). In the event of (x) any termination by the Company without Cause pursuant to this subparagraph 2(b)(iii), or (y) any termination by Executive for Good Reason (as defined below) pursuant to subparagraph 2(b)(vi), provided, in any case, Executive first signs a general separation agreement and release of claims against the Company, its Subsidiaries and affiliates, in form to be provided by the Company that is substantially similar to the sample form attached hereto as Appendix A (“Release”), and further provided that Executive remains in compliance with his continuing obligations under paragraphs 6 and 7 of this Agreement, Executive will be entitled to the following: (a) payment of Executive’s Base Salary (as defined below) under Section 3(a) at the rate in effect on the date of termination of employment for a period of twelve (12) months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and (b) if Executive timely elects continuation coverage under COBRA, payment of insurance premiums in order to continue Executive’s then-existing health insurance coverage for a period of eighteen (18) months, or, at the Company’s option, payment to Executive as additional severance pay in an amount equal to the premium payments for such continuation coverage. The health insurance continuation (or equivalent payment as additional severance) shall be at the Company’s expense, but shall in all events terminate on the date Executive becomes eligible for health insurance coverage under the medical plan of a new employer.</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72" w:hanging="99"/>
        <w:spacing w:after="0"/>
        <w:tabs>
          <w:tab w:leader="none" w:pos="5572" w:val="left"/>
        </w:tabs>
        <w:numPr>
          <w:ilvl w:val="3"/>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08" w:name="page209"/>
    <w:bookmarkEnd w:id="208"/>
    <w:p>
      <w:pPr>
        <w:ind w:left="-1120" w:right="40" w:firstLine="1952"/>
        <w:spacing w:after="0" w:line="266" w:lineRule="auto"/>
        <w:tabs>
          <w:tab w:leader="none" w:pos="1713"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may terminate Executive’s employment for any reason or no reason upon at least thirty (30) days’ written notice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such notice of termination, the Company may, at its option, select a shorter notice period and earlier termination date than Executive provided, without incurring liability hereunder or changing the nature of Executive’s termination.</w:t>
      </w:r>
    </w:p>
    <w:p>
      <w:pPr>
        <w:spacing w:after="0" w:line="175" w:lineRule="exact"/>
        <w:rPr>
          <w:rFonts w:ascii="Times New Roman" w:cs="Times New Roman" w:eastAsia="Times New Roman" w:hAnsi="Times New Roman"/>
          <w:sz w:val="18"/>
          <w:szCs w:val="18"/>
          <w:color w:val="auto"/>
        </w:rPr>
      </w:pPr>
    </w:p>
    <w:p>
      <w:pPr>
        <w:ind w:left="-1120" w:right="20" w:firstLine="1952"/>
        <w:spacing w:after="0" w:line="253" w:lineRule="auto"/>
        <w:tabs>
          <w:tab w:leader="none" w:pos="1753"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subparagraph 2(b)(iii), in the event of termination of employment for any reason, Executive (or Executive’s estate, as applicable) shall be entitled to no payments or benefits following the date of termination other than payment of (i) accrued but unpaid Base Salary earned through the termination date; (ii) the unpaid portion of incentive compensation, if any, earned by Executive with respect to the calendar year preceding the calendar year in which the date of termination occurs, subject to the terms and conditions of any plan governing such incentive compensation; (iii) expenses reimbursable under Section 5 incurred but not yet reimbursed to Executive prior to the termination date; and (iv) any vested benefits or amounts through the date of termination due and owing to Executive under the terms of any plan, program, or arrangement of the Company, less any amounts then owed by Executive to the Company. For the avoidance of doubt, if Executive’s employment shall terminate as a result of Executive’s death or Disability pursuant to Section 2(b)(i), pursuant to Section 2(b)(ii) for Cause, or pursuant to Section 2(b)(iv) for Executive’s resignation from the Company without Good Reason or for no reason, then Executive shall not be entitled to any payments or benefits, except for those payments and benefits provided in clauses (i), (ii), (iii) and (iv) of this Section 2(b)(v).</w:t>
      </w:r>
    </w:p>
    <w:p>
      <w:pPr>
        <w:spacing w:after="0" w:line="194" w:lineRule="exact"/>
        <w:rPr>
          <w:rFonts w:ascii="Times New Roman" w:cs="Times New Roman" w:eastAsia="Times New Roman" w:hAnsi="Times New Roman"/>
          <w:sz w:val="18"/>
          <w:szCs w:val="18"/>
          <w:color w:val="auto"/>
        </w:rPr>
      </w:pPr>
    </w:p>
    <w:p>
      <w:pPr>
        <w:ind w:left="-1120" w:right="20" w:firstLine="1952"/>
        <w:spacing w:after="0" w:line="255" w:lineRule="auto"/>
        <w:tabs>
          <w:tab w:leader="none" w:pos="1713"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may terminate Executive’s employment for Good Reason. “Good Reason” means, unless otherwise consented to by Executive, any action taken by the Company that causes (i) a material breach of this Agreement, (ii) the material diminution of Executive’s duties, (iii) a material decrease in Base Salary or (iv) any relocation of Executive’s principal office to a location more than fifty (50) miles from Executive’s then current office. Before resigning for Good Reason, Executive shall provide written notice to the Company of the ground giving rise to Good Reason. The notice shall be provided within sixty (60) days of the occurrence of the event giving rise to Good Reason. The Company shall then have thirty (30) days within which to cure such event. If the Company fails to cure, Executive shall have the right to resign for Good Reason, provided the resignation occurs no later than one hundred and twenty (120) days from the date of the occurrence of the event giving rise to Good Reason.</w:t>
      </w:r>
    </w:p>
    <w:p>
      <w:pPr>
        <w:spacing w:after="0" w:line="188" w:lineRule="exact"/>
        <w:rPr>
          <w:rFonts w:ascii="Times New Roman" w:cs="Times New Roman" w:eastAsia="Times New Roman" w:hAnsi="Times New Roman"/>
          <w:sz w:val="18"/>
          <w:szCs w:val="18"/>
          <w:color w:val="auto"/>
        </w:rPr>
      </w:pPr>
    </w:p>
    <w:p>
      <w:pPr>
        <w:ind w:left="-1120" w:firstLine="1304"/>
        <w:spacing w:after="0" w:line="253" w:lineRule="auto"/>
        <w:tabs>
          <w:tab w:leader="none" w:pos="10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under this Agreement that are subject to Executive’s execution of the Release shall commence on the sixtieth day after Executive’s separation from service. Executive shall not be entitled to any such payments unless Executive executes the Release within forty-five days of the later of the date Executive receives the Release or Executive’s separation from service, and does not revoke the Release; provided, however, that in no event shall the Company provide such Release to Executive later than five (5) business days after Executive’s separation from service. Any amounts payable under this Agreement as an uninterrupted continuation of Executive’s Base Salary or health insurance coverage that are delayed pending Executive’s execution of a Release shall be paid in an aggregate lump sum upon such sixtieth day; provided, however, that Executive shall be responsible for paying any premiums that are due and necessary for the continuation of Executive’s health insurance coverage prior to such sixtieth day, subject to reimbursement of such amounts to Executive by the Company upon the lapse of such sixty-day period. In the event Executive commits a material breach of Section 6 or Section 7 that, in the sole discretion of the CEO or his or her designee, is not capable of cure, or is not cured by Executive within thirty (30) days after notice thereof to Executive, then, without limiting the availability to the Company of any other relief or remedy, Executive shall no longer be entitled to any severance compensation or benefits provided for above in subparagraph 2(b)(iii) that have not yet been paid, and shall be required to repay to the Company any amounts theretofore paid under such subsection.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2"/>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9" w:name="page210"/>
    <w:bookmarkEnd w:id="209"/>
    <w:p>
      <w:pPr>
        <w:ind w:firstLine="1304"/>
        <w:spacing w:after="0" w:line="254" w:lineRule="auto"/>
        <w:tabs>
          <w:tab w:leader="none" w:pos="222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following any termination of employment, (i) Executive shall not disparage the professional or personal reputation of the Company, its Subsidiaries and affiliates or any of their officers, shareholders, directors, management, or employees or any products or services of the Company, its Subsidiaries and affiliates (other than good faith statements made in the performance of his duties during his employment); and (ii) the Board shall not disparage the professional or personal reputation of Executive (other than good faith statements made during his employment). Nothing in this paragraph shall preclude any party from making truthful statements that are reasonably necessary to comply with applicable law, regulation or legal process, or to defend or enforce a party’s rights under this Agreement. The Company agrees that, in the event it receives inquiries from prospective employers concerning Executive, the Company will refer such inquiries to its Human Resources department, which will respond by providing only the following information: Executive’s dates of employment and job title while employed with the Company.</w:t>
      </w:r>
    </w:p>
    <w:p>
      <w:pPr>
        <w:spacing w:after="0" w:line="191" w:lineRule="exact"/>
        <w:rPr>
          <w:rFonts w:ascii="Times New Roman" w:cs="Times New Roman" w:eastAsia="Times New Roman" w:hAnsi="Times New Roman"/>
          <w:sz w:val="18"/>
          <w:szCs w:val="18"/>
          <w:color w:val="auto"/>
        </w:rPr>
      </w:pPr>
    </w:p>
    <w:p>
      <w:pPr>
        <w:ind w:right="40" w:firstLine="1304"/>
        <w:spacing w:after="0" w:line="282" w:lineRule="auto"/>
        <w:tabs>
          <w:tab w:leader="none" w:pos="22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event of termination of Executive’s employment for any reason, Executive shall be deemed to have resigned from each position he holds as an officer or director of the Company and any Subsidiary or affiliate of the Company effective as of no later than the termination date.</w:t>
      </w:r>
    </w:p>
    <w:p>
      <w:pPr>
        <w:spacing w:after="0" w:line="162" w:lineRule="exact"/>
        <w:rPr>
          <w:sz w:val="20"/>
          <w:szCs w:val="20"/>
          <w:color w:val="auto"/>
        </w:rPr>
      </w:pPr>
    </w:p>
    <w:p>
      <w:pPr>
        <w:ind w:left="2300" w:hanging="996"/>
        <w:spacing w:after="0"/>
        <w:tabs>
          <w:tab w:leader="none" w:pos="2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1304"/>
        <w:spacing w:after="0" w:line="261" w:lineRule="auto"/>
        <w:tabs>
          <w:tab w:leader="none" w:pos="221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r>
        <w:rPr>
          <w:rFonts w:ascii="Times New Roman" w:cs="Times New Roman" w:eastAsia="Times New Roman" w:hAnsi="Times New Roman"/>
          <w:sz w:val="18"/>
          <w:szCs w:val="18"/>
          <w:color w:val="auto"/>
        </w:rPr>
        <w:t>. Beginning on the Effective Date, Executive’s annual base salary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shall be four hundred twenty-one thousand six hundred twenty-five dollars ($421,625), payable in accordance with the Company’s generally applicable payroll practices and subject to any payroll or other deductions required by law, government or court order, or by agreement with, or consent of, Executive. The Base Salary may be increased from time to time in the discretion of the Board or the CEO or his or her designee.</w:t>
      </w:r>
    </w:p>
    <w:p>
      <w:pPr>
        <w:spacing w:after="0" w:line="179"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80" w:firstLine="1952"/>
        <w:spacing w:after="0" w:line="258" w:lineRule="auto"/>
        <w:tabs>
          <w:tab w:leader="none" w:pos="287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continue to be eligible to participate in the incentive compensation plans the Company may implement from time to time. The target bonus amounts and performance targets for Executive shall be established at the same time such amounts and targets are established for other executive officers of the Company, shall be as determined by the Board, and shall be payable only upon the Company’s achievement of established targets as determined by the Board. Notwithstanding the foregoing, the Company and Executive agree that Executive’s target annual bonus will equal sixty percent (60%) of Executive’s Base Salary.</w:t>
      </w:r>
    </w:p>
    <w:p>
      <w:pPr>
        <w:spacing w:after="0" w:line="183" w:lineRule="exact"/>
        <w:rPr>
          <w:rFonts w:ascii="Times New Roman" w:cs="Times New Roman" w:eastAsia="Times New Roman" w:hAnsi="Times New Roman"/>
          <w:sz w:val="18"/>
          <w:szCs w:val="18"/>
          <w:color w:val="auto"/>
        </w:rPr>
      </w:pPr>
    </w:p>
    <w:p>
      <w:pPr>
        <w:ind w:left="2840" w:hanging="888"/>
        <w:spacing w:after="0"/>
        <w:tabs>
          <w:tab w:leader="none" w:pos="28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Executive received a signing bonus in the amount of $240,000 (the</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in connection with his commencement of employment with the Company on January 1, 2020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If, prior to the eighteen (18) month anniversary of the Commencement Date, Executive terminates his employment with the Company for any reason other than for Good Reason, or if Executive is terminated by the Company for Cause pursuant to paragraph 2(b)(ii) of this Agreement, Executive shall repay the Company the Signing Bonus as follows: (1) if such termination occurs after the six (6) month anniversary of the Commencement Date and prior to the twelve (12) month anniversary of the Commencement Date, Executive shall repay the Company 75% of the Signing Bonus; or (2) if such termination occurs on or after the twelve (12) month anniversary of the Commencement Date and prior to the eighteen (18) month anniversary of the Commencement Date, Executive shall repay the Company 50% of the Signing Bonus.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0" w:name="page211"/>
    <w:bookmarkEnd w:id="210"/>
    <w:p>
      <w:pPr>
        <w:ind w:left="1180" w:hanging="996"/>
        <w:spacing w:after="0"/>
        <w:tabs>
          <w:tab w:leader="none" w:pos="11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Executive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20" w:firstLine="1304"/>
        <w:spacing w:after="0" w:line="261" w:lineRule="auto"/>
        <w:tabs>
          <w:tab w:leader="none" w:pos="10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twenty-three (23) days of paid time off (“</w:t>
      </w:r>
      <w:r>
        <w:rPr>
          <w:rFonts w:ascii="Times New Roman" w:cs="Times New Roman" w:eastAsia="Times New Roman" w:hAnsi="Times New Roman"/>
          <w:sz w:val="18"/>
          <w:szCs w:val="18"/>
          <w:u w:val="single" w:color="auto"/>
          <w:color w:val="auto"/>
        </w:rPr>
        <w:t>PTO</w:t>
      </w:r>
      <w:r>
        <w:rPr>
          <w:rFonts w:ascii="Times New Roman" w:cs="Times New Roman" w:eastAsia="Times New Roman" w:hAnsi="Times New Roman"/>
          <w:sz w:val="18"/>
          <w:szCs w:val="18"/>
          <w:color w:val="auto"/>
        </w:rPr>
        <w:t>”) during calendar year 2020. Following calendar year 2020, Executive shall be entitled to PTO in accordance with the Company’s standard PTO policy, as well as five (5) days PTO in addition to what is provided under the Company’s standard PTO policy. Executive will use his reasonable discretion, taking into account the Company’s needs, when determining the time to take vacation.</w:t>
      </w:r>
    </w:p>
    <w:p>
      <w:pPr>
        <w:spacing w:after="0" w:line="179" w:lineRule="exact"/>
        <w:rPr>
          <w:rFonts w:ascii="Times New Roman" w:cs="Times New Roman" w:eastAsia="Times New Roman" w:hAnsi="Times New Roman"/>
          <w:sz w:val="18"/>
          <w:szCs w:val="18"/>
          <w:color w:val="auto"/>
        </w:rPr>
      </w:pPr>
    </w:p>
    <w:p>
      <w:pPr>
        <w:ind w:left="-1120" w:firstLine="1304"/>
        <w:spacing w:after="0" w:line="261" w:lineRule="auto"/>
        <w:tabs>
          <w:tab w:leader="none" w:pos="110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participate in the same manner and under the same terms and conditions as similarly-situated executives of the Company, in the Company’s medical insurance, retirement plans, and other fringe benefit programs, including, for the avoidance of doubt, any group life and/or long-term disability insurance plans or programs adopted by the Company after the Effective Date, with Executive's rights and responsibilities under these programs governed by the terms of those plans and programs as they may be in effect and modified from time-to-time.</w:t>
      </w:r>
    </w:p>
    <w:p>
      <w:pPr>
        <w:spacing w:after="0" w:line="180" w:lineRule="exact"/>
        <w:rPr>
          <w:sz w:val="20"/>
          <w:szCs w:val="20"/>
          <w:color w:val="auto"/>
        </w:rPr>
      </w:pPr>
    </w:p>
    <w:p>
      <w:pPr>
        <w:ind w:left="-1120" w:right="60" w:firstLine="1304"/>
        <w:spacing w:after="0" w:line="266" w:lineRule="auto"/>
        <w:tabs>
          <w:tab w:leader="none" w:pos="11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reimburse Executive for all reasonable and substantiated ordinary and necessary business expenses incurred in performing Executive’s duties under this Agreement, provided that Executive shall comply with all Company requirements relating to the submission and documentation of such expenses.</w:t>
      </w:r>
    </w:p>
    <w:p>
      <w:pPr>
        <w:spacing w:after="0" w:line="175" w:lineRule="exact"/>
        <w:rPr>
          <w:rFonts w:ascii="Times New Roman" w:cs="Times New Roman" w:eastAsia="Times New Roman" w:hAnsi="Times New Roman"/>
          <w:sz w:val="18"/>
          <w:szCs w:val="18"/>
          <w:color w:val="auto"/>
        </w:rPr>
      </w:pPr>
    </w:p>
    <w:p>
      <w:pPr>
        <w:ind w:left="1180" w:hanging="996"/>
        <w:spacing w:after="0"/>
        <w:tabs>
          <w:tab w:leader="none" w:pos="11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Loyalty, Best Efforts, Non-Competition,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60" w:firstLine="1304"/>
        <w:spacing w:after="0" w:line="254" w:lineRule="auto"/>
        <w:tabs>
          <w:tab w:leader="none" w:pos="109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 while employed by the Company, devote all of Executive’s full time and best efforts and, during work hours, all of Executive’s attention, to the business of the Company, its Subsidiaries and affiliates and to the performance of Executive’s duties. Further, Executive will not, without the advance, written permission of the CEO or his or her designee, engage in any activity that would in any way or to any extent, interfere with the performance of Executive’s duties, including, without limitation, engaging to any extent in any other employment or occupation, whether or not for compensation, or undertaking any financial or other investment, provided that Executive may serve on the board of directors of not-for-profit organizations, subject to compliance with this Agreement and provided that such service does not materially interfere with Executive’s performance of Executive’s duties and responsibilities under this Agreement. Executive is expressly permitted to continue serving on the Board of Directors of Penn Capital mutual fund(s) through the end of calendar year 2020. Executive shall obtain written approval from the CEO for any continued service beyond calendar year 2020 on the Board of Directors of Penn Capital mutual fund(s).</w:t>
      </w:r>
    </w:p>
    <w:p>
      <w:pPr>
        <w:spacing w:after="0" w:line="188" w:lineRule="exact"/>
        <w:rPr>
          <w:rFonts w:ascii="Times New Roman" w:cs="Times New Roman" w:eastAsia="Times New Roman" w:hAnsi="Times New Roman"/>
          <w:sz w:val="18"/>
          <w:szCs w:val="18"/>
          <w:color w:val="auto"/>
        </w:rPr>
      </w:pPr>
    </w:p>
    <w:p>
      <w:pPr>
        <w:ind w:left="-1120" w:right="60" w:firstLine="1304"/>
        <w:spacing w:after="0" w:line="253" w:lineRule="auto"/>
        <w:tabs>
          <w:tab w:leader="none" w:pos="110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hereby agrees that during Executive’s employment with the Company and for the period of twelve (12) months after termination of employment for any reason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will not, without the advance, written permission of the CEO or his or her designee, engage in Competition (as defined below) with the Company. Executive shall be deemed to be engaging in “</w:t>
      </w:r>
      <w:r>
        <w:rPr>
          <w:rFonts w:ascii="Times New Roman" w:cs="Times New Roman" w:eastAsia="Times New Roman" w:hAnsi="Times New Roman"/>
          <w:sz w:val="18"/>
          <w:szCs w:val="18"/>
          <w:u w:val="single" w:color="auto"/>
          <w:color w:val="auto"/>
        </w:rPr>
        <w:t>Competition</w:t>
      </w:r>
      <w:r>
        <w:rPr>
          <w:rFonts w:ascii="Times New Roman" w:cs="Times New Roman" w:eastAsia="Times New Roman" w:hAnsi="Times New Roman"/>
          <w:sz w:val="18"/>
          <w:szCs w:val="18"/>
          <w:color w:val="auto"/>
        </w:rPr>
        <w:t>” if Executive (A) engages anywhere within the United States of America or any other place where the Company, its Subsidiaries or affiliates are engaged during Executive’s employment or actively preparing to be engaged in business (the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in any business in which the Company, any of its Subsidiaries or affiliates is engaged or has invested material funds in development at the time of such termination of employment, and/or (B) owns, in whole or in part, is employed by, provides financing to, consults with or otherwise renders services to any person or entity who is engaged in any business (or proposes to engage in any business) in which the Company, any of its Subsidiaries or affiliates is engaged or has invested material funds in development at the time of such termination of employment anywhere within the Restricted Territory (for avoidance of doubt, such persons or entities include, but are not limited to, any of the following entities or their successors: Thomson Reuters, CCH/Wolters Kluwer, Avalara, Longview Solutions, MLM CorpTax, Taxware, TaxJar). Notwithstanding anything herein to the contrary, Executive may make passive investments in any enterprise the shares of which are publicly traded if such investment constitutes less than two percent (2%) of the equity of such enterprise.</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1" w:name="page212"/>
    <w:bookmarkEnd w:id="211"/>
    <w:p>
      <w:pPr>
        <w:ind w:left="-1120" w:right="40" w:firstLine="1304"/>
        <w:spacing w:after="0" w:line="256" w:lineRule="auto"/>
        <w:tabs>
          <w:tab w:leader="none" w:pos="10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will not, directly or indirectly, (i) hire or assist any other person or entity to hire any current or former employee of the Company, its Subsidiaries or its affiliates, or (ii) recruit, solicit or induce, or assist any other person or entity to recruit, solicit or induce, any current or former employee to leave the employment of the Company, its Subsidiaries or its affiliates. For purposes of this subparagraph (c), “former employee” shall mean an individual who was employed by the Company, any of its Subsidiaries or any of its affiliates at any time within the twelve months prior to this prohibited activity. A general advertisement to which an employee or former employee of the Company responds shall in no event be deemed to result in a breach of this Section 6(c).</w:t>
      </w:r>
    </w:p>
    <w:p>
      <w:pPr>
        <w:spacing w:after="0" w:line="187" w:lineRule="exact"/>
        <w:rPr>
          <w:rFonts w:ascii="Times New Roman" w:cs="Times New Roman" w:eastAsia="Times New Roman" w:hAnsi="Times New Roman"/>
          <w:sz w:val="18"/>
          <w:szCs w:val="18"/>
          <w:color w:val="auto"/>
        </w:rPr>
      </w:pPr>
    </w:p>
    <w:p>
      <w:pPr>
        <w:ind w:left="-1120" w:right="60" w:firstLine="1304"/>
        <w:spacing w:after="0" w:line="258" w:lineRule="auto"/>
        <w:tabs>
          <w:tab w:leader="none" w:pos="110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will not, directly or indirectly, solicit, induce, or attempt to induce any customer, client, or prospect of the Company, its Subsidiaries or its affiliates, to stop doing business in whole or in part with or through the Company, its Subsidiaries or affiliates, or to do business with any person or entity that competes with the Company. For the purposes of this subparagraph (d), “prospect” means any person or entity which the Company, its Subsidiaries or its affiliates had solicited for business within one year prior to the termination of Executive’s employment.</w:t>
      </w:r>
    </w:p>
    <w:p>
      <w:pPr>
        <w:spacing w:after="0" w:line="183" w:lineRule="exact"/>
        <w:rPr>
          <w:rFonts w:ascii="Times New Roman" w:cs="Times New Roman" w:eastAsia="Times New Roman" w:hAnsi="Times New Roman"/>
          <w:sz w:val="18"/>
          <w:szCs w:val="18"/>
          <w:color w:val="auto"/>
        </w:rPr>
      </w:pPr>
    </w:p>
    <w:p>
      <w:pPr>
        <w:ind w:left="-1120" w:right="60" w:firstLine="1304"/>
        <w:spacing w:after="0" w:line="261" w:lineRule="auto"/>
        <w:tabs>
          <w:tab w:leader="none" w:pos="10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Executive will promptly disclose to the Company any and all direct contacts, solicitations, inquiries or other actual or potential business opportunities of which Executive may become aware and which relate to the business of the Company or any of its Subsidiaries or affiliates;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disclosure obligation under this paragraph shall apply only to such contacts, solicitations, inquiries, and opportunities of which Executive became aware during his employment with the Company.</w:t>
      </w:r>
    </w:p>
    <w:p>
      <w:pPr>
        <w:spacing w:after="0" w:line="179" w:lineRule="exact"/>
        <w:rPr>
          <w:rFonts w:ascii="Times New Roman" w:cs="Times New Roman" w:eastAsia="Times New Roman" w:hAnsi="Times New Roman"/>
          <w:sz w:val="18"/>
          <w:szCs w:val="18"/>
          <w:color w:val="auto"/>
        </w:rPr>
      </w:pPr>
    </w:p>
    <w:p>
      <w:pPr>
        <w:ind w:left="-1120" w:firstLine="1304"/>
        <w:spacing w:after="0" w:line="254" w:lineRule="auto"/>
        <w:tabs>
          <w:tab w:leader="none" w:pos="11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the restrictions imposed by this Paragraph 6 are a condition of Executive’s employment with the Company; are fair and reasonably required for the protection of the Company; and will not preclude Executive from becoming gainfully employed following the termination of employment with the Company, regardless of reason. Executive further acknowledges and agrees that Executive provides and/or will provide unique services to the Company and that this Agreement has unique, substantial, and immeasurable value to the Company. If the Company seeks enforcement based on a breach of the provisions of this Section 6, the Company shall be entitled to reimbursement for the reasonable attorney’s fees and expenses incurred by the Company in that effort if the Company prevails in whole or in substantial part in its action. In the event of any breach of subparagraphs (b) through (e) above, the time periods set forth in those paragraphs shall be extended by the length of time Executive is in breach. In the event that the provisions of this Paragraph 6 should ever be deemed to exceed the limitations permitted by applicable laws, Executive and the Company agree that such provisions shall be reformed to the maximum limitations permitted by the applicable laws.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212" w:name="page213"/>
    <w:bookmarkEnd w:id="212"/>
    <w:p>
      <w:pPr>
        <w:ind w:left="1180" w:hanging="996"/>
        <w:spacing w:after="0"/>
        <w:tabs>
          <w:tab w:leader="none" w:pos="11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and Ownership of Documents, Methods and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20" w:firstLine="1304"/>
        <w:spacing w:after="0" w:line="254" w:lineRule="auto"/>
        <w:tabs>
          <w:tab w:leader="none" w:pos="10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both during employment with the Company and thereafter, Executive will treat the business affairs of the Company, its Subsidiaries and its affiliates as confidential and will not discuss or disclose any Confidential Information (as hereafter defined) of the Company, its Subsidiaries or its affiliates with or to any third party, except (i) as required in connection with the performance of duties on behalf of the Company or (ii) as authorized in advance by the CEO or his or her designee, and in each such case only after ensuring that the recipient has agreed in writing to appropriate confidentiality obligations, unless Executive has been otherwise instructed by the CEO or his or her designee or advised by the Company’s General Counsel. Further, Executive shall take reasonable steps and security precautions to prevent the unauthorized disclosure of Confidential Information and all components thereof, and to maintain the confidentiality of the Company’s intellectual property. Notwithstanding the foregoing, Executive may disclose Confidential Information to the extent required by law or regulation; provided that Executive promptly notifies the Company of the disclosure request and, at the Company’s request, provides reasonable assistance in any effort to prevent or limit such disclosure.</w:t>
      </w:r>
    </w:p>
    <w:p>
      <w:pPr>
        <w:spacing w:after="0" w:line="188" w:lineRule="exact"/>
        <w:rPr>
          <w:rFonts w:ascii="Times New Roman" w:cs="Times New Roman" w:eastAsia="Times New Roman" w:hAnsi="Times New Roman"/>
          <w:sz w:val="18"/>
          <w:szCs w:val="18"/>
          <w:color w:val="auto"/>
        </w:rPr>
      </w:pPr>
    </w:p>
    <w:p>
      <w:pPr>
        <w:ind w:left="-1120" w:firstLine="1304"/>
        <w:spacing w:after="0" w:line="251" w:lineRule="auto"/>
        <w:tabs>
          <w:tab w:leader="none" w:pos="110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all Confidential Information, Documents, materials, business methods and other information created by, disclosed to or otherwise acquired by Executive in the course of employment with the Company (collectively, “Works”) are and remain the exclusive property of the Company and are “works made for hire” for the Company under the copyright laws; that Executive will not retain, copy or otherwise appropriate any Work for Executive’s own use or purposes or the use or purposes of any third party and that, upon the termination of employment, Executive will return all Works, including all copies or multiple versions thereof, to the Company and, in the case of Confidential Information, will destroy all electronic versions Executive may have on any device in his possession or under his control and in any format or media, and all excerpts and references that may be in any items Executive may have created, and, to the extent that Executive is not able to destroy all such copies, excerpts and references shall continue to hold them as the confidential and proprietary property of the Company and not disclose them or use them for any purpose. Further, in return for good and valuable consideration including Executive’s employment relationship with the Company, Executive hereby assigns to the Company Executive’s entire right, title and interest in and to all Works. Executive also agrees, at the Company’s request and expense, to execute specific assignments to the Works, and execute, acknowledge and deliver such other documents and take such further action as the Company may require, at any time during or subsequent to the period of Executive’s employment with the Company, to vest title in such Works in the Company and to obtain and defend copyright registrations in any and all countries. In addition, all inventions conceived and/or reduced to practice during Executive’s employment with the Company and which relate to the business of the Company are hereby assigned to the Company, in return for good and valuable consideration including Executive’s employment relationship with the Company. Executive agrees, at the Company’s request and expense, to execute specific assignments to any inventions and to execute, acknowledge and deliver such other documents and take such further action as the Company may require, at any time during or subsequent to the period of Executive’s employment with the Company, to vest title in all such inventions in the Company in any and all countries; to obtain patents covering such inventions in any and all countries; and to vest title in such patents in the Company. Executive also agrees that an invention disclosed by Executive to a third person or described in a patent application filed by or on Executive’s behalf within twelve months following termination of Executive’s employment with the Company for any reason shall be presumed to have been conceived or made by Executive during the period of employment, unless proved to have been conceived or made by Executive following the termination of Executive’s employment with the Company. Executive hereby assigns Executive’s entire right, title and interest in and to such inventions to the Company, and agrees to execute and deliver any documents or take any such actions as requested by the Company to vest title in such inventions exclusively in the Company.</w:t>
      </w:r>
    </w:p>
    <w:p>
      <w:pPr>
        <w:spacing w:after="0" w:line="205" w:lineRule="exact"/>
        <w:rPr>
          <w:rFonts w:ascii="Times New Roman" w:cs="Times New Roman" w:eastAsia="Times New Roman" w:hAnsi="Times New Roman"/>
          <w:sz w:val="18"/>
          <w:szCs w:val="18"/>
          <w:color w:val="auto"/>
        </w:rPr>
      </w:pPr>
    </w:p>
    <w:p>
      <w:pPr>
        <w:ind w:left="-1120" w:right="60" w:firstLine="1304"/>
        <w:spacing w:after="0" w:line="261" w:lineRule="auto"/>
        <w:tabs>
          <w:tab w:leader="none" w:pos="10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hereby notified that the requirements of paragraph (b) above do not apply to an invention for which no equipment, supplies, facility or Confidential Information of the Company was used and which was developed entirely on Executive’s own time, unless (i) the invention relates to (A) the business of the Company, its Subsidiaries or its affiliates, or (B) the Company’s actual or demonstrably anticipated research or development, or (ii) the invention results from any work performed by Executive for the Company.</w:t>
      </w:r>
    </w:p>
    <w:p>
      <w:pPr>
        <w:spacing w:after="0" w:line="395"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213" w:name="page214"/>
    <w:bookmarkEnd w:id="213"/>
    <w:p>
      <w:pPr>
        <w:ind w:left="-1120" w:firstLine="1304"/>
        <w:spacing w:after="0" w:line="253" w:lineRule="auto"/>
        <w:tabs>
          <w:tab w:leader="none" w:pos="110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shall include correspondence, email, other written communications, data processing and storage units, computer software, tapes, contracts, agreements, notes, memoranda, telephone messages, analyses, projections, indices, work papers, studies, surveys, diaries, calendars, films, photographs, minutes of meetings, management or sales proposals, operations manuals or any other writing, including copies of any of the foregoing, in any format or media, past, current or future, including, without limitation, written, printed, typed, recorded or graphic matter or electronic media, however produced or reproduced. For the purposes of this Agreement the term “Confidential Information” means information (i) developed by, disclosed to or known by Executive as a consequence of Executive’s employment with the Company, (ii) not generally known to others outside the Company, and (iii) which relates to the business of the Company, its Subsidiaries and its affiliates. Confidential Information includes but is not limited to the trade secrets, equipment, equipment configuration, research, development efforts, methodologies, testing, engineering, manufacturing, marketing, sales, finances, operations, processes, formulas, methods, techniques, devices, software programs, projections, strategies and plans, personnel information, and customer information, including customer needs, contacts, particular projects, lists, and pricing of the Company, its Subsidiaries and its affiliates. Confidential Information shall not include any information which has been published in a form generally available to the public prior to the date upon which Executive either wrongfully discloses or proposes to disclose such information.</w:t>
      </w:r>
    </w:p>
    <w:p>
      <w:pPr>
        <w:spacing w:after="0" w:line="189" w:lineRule="exact"/>
        <w:rPr>
          <w:rFonts w:ascii="Times New Roman" w:cs="Times New Roman" w:eastAsia="Times New Roman" w:hAnsi="Times New Roman"/>
          <w:sz w:val="18"/>
          <w:szCs w:val="18"/>
          <w:color w:val="auto"/>
        </w:rPr>
      </w:pPr>
    </w:p>
    <w:p>
      <w:pPr>
        <w:ind w:left="-1120" w:firstLine="1304"/>
        <w:spacing w:after="0" w:line="253" w:lineRule="auto"/>
        <w:tabs>
          <w:tab w:leader="none" w:pos="10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92" w:lineRule="exact"/>
        <w:rPr>
          <w:sz w:val="20"/>
          <w:szCs w:val="20"/>
          <w:color w:val="auto"/>
        </w:rPr>
      </w:pPr>
    </w:p>
    <w:p>
      <w:pPr>
        <w:ind w:left="-1120" w:right="40" w:firstLine="1304"/>
        <w:spacing w:after="0" w:line="258" w:lineRule="auto"/>
        <w:tabs>
          <w:tab w:leader="none" w:pos="116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of Interest; Avoiding the Appearance of Impropriety</w:t>
      </w:r>
      <w:r>
        <w:rPr>
          <w:rFonts w:ascii="Times New Roman" w:cs="Times New Roman" w:eastAsia="Times New Roman" w:hAnsi="Times New Roman"/>
          <w:sz w:val="18"/>
          <w:szCs w:val="18"/>
          <w:color w:val="auto"/>
        </w:rPr>
        <w:t>. Executive agrees that Executive’s duty of loyalty to the Company requires both complete fidelity to the interests of the Company in fact and the avoidance of any appearance of impropriety, favoritism, personal benefit or aggrandizement or confusion between Executive’s personal and business activities. Executive further agrees that Executive’s conduct must be consistent with the Company’s Code of Conduct. To that end, while an executive officer of the Company, Executive shall not, without the advance, written approval of the CEO or his or her designee:</w:t>
      </w:r>
    </w:p>
    <w:p>
      <w:pPr>
        <w:spacing w:after="0" w:line="183" w:lineRule="exact"/>
        <w:rPr>
          <w:sz w:val="20"/>
          <w:szCs w:val="20"/>
          <w:color w:val="auto"/>
        </w:rPr>
      </w:pPr>
    </w:p>
    <w:p>
      <w:pPr>
        <w:ind w:left="-1120" w:firstLine="1304"/>
        <w:spacing w:after="0" w:line="266" w:lineRule="auto"/>
        <w:tabs>
          <w:tab w:leader="none" w:pos="10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gifts, gratuities or favors of more than nominal value from any person or organization doing business or seeking to do business with the Company, its Subsidiaries or its affiliates, or from any employee of the Company with whom Executive has a direct or indirect reporting relationship;</w:t>
      </w:r>
    </w:p>
    <w:p>
      <w:pPr>
        <w:spacing w:after="0" w:line="391"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214" w:name="page215"/>
    <w:bookmarkEnd w:id="214"/>
    <w:p>
      <w:pPr>
        <w:ind w:left="-1120" w:right="120" w:firstLine="1304"/>
        <w:spacing w:after="0" w:line="261" w:lineRule="auto"/>
        <w:tabs>
          <w:tab w:leader="none" w:pos="115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or provide any gift, gratuity or favor of more than nominal value to any person or organization with whom or which the Company, any of its Subsidiaries or any of its affiliates is doing business or seeking to do business or take any other action in respect of such person or organization, specifically including but not limited to, any public entity, officer thereof or federal, state or local government employee or officeholder, suggestive of any intent or effort to influence such individual or organization in the performance of their or its duties; or</w:t>
      </w:r>
    </w:p>
    <w:p>
      <w:pPr>
        <w:spacing w:after="0" w:line="179" w:lineRule="exact"/>
        <w:rPr>
          <w:rFonts w:ascii="Times New Roman" w:cs="Times New Roman" w:eastAsia="Times New Roman" w:hAnsi="Times New Roman"/>
          <w:sz w:val="18"/>
          <w:szCs w:val="18"/>
          <w:color w:val="auto"/>
        </w:rPr>
      </w:pPr>
    </w:p>
    <w:p>
      <w:pPr>
        <w:ind w:left="-1120" w:right="160" w:firstLine="1304"/>
        <w:spacing w:after="0" w:line="266" w:lineRule="auto"/>
        <w:tabs>
          <w:tab w:leader="none" w:pos="11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use of Executive’s job title or affiliation with the Company in connection with participation in outside organizations (with the exception of professional and industry organizations relating to Executive’s job duties) or support of political, legal or other causes or organizations.</w:t>
      </w:r>
    </w:p>
    <w:p>
      <w:pPr>
        <w:spacing w:after="0" w:line="176" w:lineRule="exact"/>
        <w:rPr>
          <w:sz w:val="20"/>
          <w:szCs w:val="20"/>
          <w:color w:val="auto"/>
        </w:rPr>
      </w:pPr>
    </w:p>
    <w:p>
      <w:pPr>
        <w:ind w:left="-1120" w:right="40" w:firstLine="1304"/>
        <w:spacing w:after="0" w:line="258" w:lineRule="auto"/>
        <w:tabs>
          <w:tab w:leader="none" w:pos="116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Subject to the provisions of Paragraph 10, the Company will, in addition to other remedies provided by law, have the right to injunctive relief in court to the extent such relief may be available at law or in equity. Executive acknowledges that any breach or threatened breach of the provisions of this Agreement, including but not limited to the provisions of Paragraphs 6 and 7, will cause irreparable damage to the Company for which monetary damages will not provide an adequate remedy. Nothing contained herein will be construed as prohibiting the parties from pursuing any other remedies available to them for such breach or threatened breach, including any recovery of damages.</w:t>
      </w:r>
    </w:p>
    <w:p>
      <w:pPr>
        <w:spacing w:after="0" w:line="183" w:lineRule="exact"/>
        <w:rPr>
          <w:rFonts w:ascii="Times New Roman" w:cs="Times New Roman" w:eastAsia="Times New Roman" w:hAnsi="Times New Roman"/>
          <w:sz w:val="18"/>
          <w:szCs w:val="18"/>
          <w:color w:val="auto"/>
        </w:rPr>
      </w:pPr>
    </w:p>
    <w:p>
      <w:pPr>
        <w:ind w:left="-1120" w:firstLine="1304"/>
        <w:spacing w:after="0" w:line="253" w:lineRule="auto"/>
        <w:tabs>
          <w:tab w:leader="none" w:pos="116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With the specific exception only of the Company’s right at any time to seek equitable relief to enforce the provisions of Paragraphs 6 and 7 of this Agreement in the courts, in the event of any dispute between the Company and Executive, whether arising out of or relating to this Agreement, the breach of this Agreement, or Executive’s employment with the Company, Executive and the Company hereby agree that, after making a good-faith effort to resolve any dispute, such dispute shall be resolved by final and binding arbitration in Chester County, Pennsylvania, administered by the American Arbitration Association (“AAA”) in accordance with its Commercial Arbitration Rules then in effect, and judgment on the award rendered by the arbitrator may be entered in any court having jurisdiction thereof, subject to the provisions of subparagraph 16(b). Any arbitration shall be held before a single arbitrator who shall be selected by mutual agreement of the Company and Executive, unless the parties are unable to agree to an arbitrator, in which case the arbitrator will be selected under the procedures of the AAA. The arbitrator shall have the authority to award any remedy or relief that a court of competent jurisdiction could order or grant, including, without limitation, the issuance of an injunction, and the parties hereby agree to the emergency procedures of the AAA. Issues of arbitrability are to be decided by the arbitrator. A demand for arbitration under this paragraph must be made in writing to the other party within the time limit set by law for bringing that claim in court, or that claim shall be forever barred. The prevailing party shall be entitled to an award which shall include all costs of arbitration, including reasonable attorneys’ fees, unless the arbitrator determines that to do so would be inconsistent with applicable law.</w:t>
      </w:r>
    </w:p>
    <w:p>
      <w:pPr>
        <w:spacing w:after="0" w:line="187" w:lineRule="exact"/>
        <w:rPr>
          <w:rFonts w:ascii="Times New Roman" w:cs="Times New Roman" w:eastAsia="Times New Roman" w:hAnsi="Times New Roman"/>
          <w:sz w:val="18"/>
          <w:szCs w:val="18"/>
          <w:color w:val="auto"/>
        </w:rPr>
      </w:pPr>
    </w:p>
    <w:p>
      <w:pPr>
        <w:ind w:left="-1120" w:firstLine="1304"/>
        <w:spacing w:after="0" w:line="255" w:lineRule="auto"/>
        <w:tabs>
          <w:tab w:leader="none" w:pos="115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demand, or other communication required to be given pursuant to the provisions of this Agreement shall be in writing and shall be personally delivered to the other party in person or at their place of business or to Executive at Executive’s residence, delivered by a nationally recognized overnight delivery service, or sent by certified mail, email or other electronic means, return receipt requested, postage prepaid (as applicable), addressed to the respective addresses last given by each party to the other, and such notice shall be deemed to have been given upon personal delivery, if personally delivered, as of the close of the third business day following the date of mailing if mailed (except that notice of change of address shall be effective only upon receipt), or on the next business day in the case of overnight delivery service, email or other electronic means. Any notice to the Company shall be addressed to the attention of the General Counsel.</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5" w:name="page216"/>
    <w:bookmarkEnd w:id="215"/>
    <w:p>
      <w:pPr>
        <w:ind w:right="100" w:firstLine="1304"/>
        <w:spacing w:after="0" w:line="256" w:lineRule="auto"/>
        <w:tabs>
          <w:tab w:leader="none" w:pos="228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Modification</w:t>
      </w:r>
      <w:r>
        <w:rPr>
          <w:rFonts w:ascii="Times New Roman" w:cs="Times New Roman" w:eastAsia="Times New Roman" w:hAnsi="Times New Roman"/>
          <w:sz w:val="18"/>
          <w:szCs w:val="18"/>
          <w:color w:val="auto"/>
        </w:rPr>
        <w:t>. This Agreement represents the entire agreement between the parties with respect to its subject matter and supersedes all prior agreements and understandings, oral or written, between them, with respect to its subject matter, including the Prior Agreement. This Agreement may not be modified or amended except by a writing signed by both parties; provided, however, that this paragraph shall not limit the right of the Company to promulgate nor excuse Executive from compliance with, such workplace rules, policies and procedures as it may, from time-to-time, deem appropriate or to alter, amend, modify or terminate any employee benefit plan (whether or not referenced in this Agreement) in accordance with the terms of such plan.</w:t>
      </w:r>
    </w:p>
    <w:p>
      <w:pPr>
        <w:spacing w:after="0" w:line="187" w:lineRule="exact"/>
        <w:rPr>
          <w:rFonts w:ascii="Times New Roman" w:cs="Times New Roman" w:eastAsia="Times New Roman" w:hAnsi="Times New Roman"/>
          <w:sz w:val="18"/>
          <w:szCs w:val="18"/>
          <w:color w:val="auto"/>
        </w:rPr>
      </w:pPr>
    </w:p>
    <w:p>
      <w:pPr>
        <w:ind w:firstLine="1304"/>
        <w:spacing w:after="0" w:line="258" w:lineRule="auto"/>
        <w:tabs>
          <w:tab w:leader="none" w:pos="228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the Company’s successors and permitted assigns. Executive’s rights and obligations under this Agreement are personal and not assignable or delegable by Executive in any manner or to any extent. Executive agrees that the Company can assign this Agreement to an entity that is a successor to the Company by statutory merger or otherwise, or that has purchased substantially all of the assets of the Company, without the consent or approval of Executive. As used in this Agreement, the term “Company” shall include any successor to the Company’s business and/or assets which assumes and agrees to perform this Agreement by operation of law or otherwise.</w:t>
      </w:r>
    </w:p>
    <w:p>
      <w:pPr>
        <w:spacing w:after="0" w:line="183" w:lineRule="exact"/>
        <w:rPr>
          <w:rFonts w:ascii="Times New Roman" w:cs="Times New Roman" w:eastAsia="Times New Roman" w:hAnsi="Times New Roman"/>
          <w:sz w:val="18"/>
          <w:szCs w:val="18"/>
          <w:color w:val="auto"/>
        </w:rPr>
      </w:pPr>
    </w:p>
    <w:p>
      <w:pPr>
        <w:ind w:right="220" w:firstLine="1304"/>
        <w:spacing w:after="0" w:line="312" w:lineRule="auto"/>
        <w:tabs>
          <w:tab w:leader="none" w:pos="2286"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and Survivability</w:t>
      </w:r>
      <w:r>
        <w:rPr>
          <w:rFonts w:ascii="Times New Roman" w:cs="Times New Roman" w:eastAsia="Times New Roman" w:hAnsi="Times New Roman"/>
          <w:sz w:val="17"/>
          <w:szCs w:val="17"/>
          <w:color w:val="auto"/>
        </w:rPr>
        <w:t>. This Agreement shall terminate upon the termination of Executive’s employment with the Company; provided, however, that the provisions of Paragraphs 2 and 6 through 20 shall survive the termination and any expiration of the Agreement.</w:t>
      </w:r>
    </w:p>
    <w:p>
      <w:pPr>
        <w:spacing w:after="0" w:line="139" w:lineRule="exact"/>
        <w:rPr>
          <w:rFonts w:ascii="Times New Roman" w:cs="Times New Roman" w:eastAsia="Times New Roman" w:hAnsi="Times New Roman"/>
          <w:sz w:val="17"/>
          <w:szCs w:val="17"/>
          <w:color w:val="auto"/>
        </w:rPr>
      </w:pPr>
    </w:p>
    <w:p>
      <w:pPr>
        <w:ind w:right="160" w:firstLine="1304"/>
        <w:spacing w:after="0" w:line="282" w:lineRule="auto"/>
        <w:tabs>
          <w:tab w:leader="none" w:pos="228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waiver by any party of a breach of any provision of this Agreement by any other party shall not operate or be construed as a waiver of any subsequent breach.</w:t>
      </w:r>
    </w:p>
    <w:p>
      <w:pPr>
        <w:spacing w:after="0" w:line="161"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Choice of Forum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304"/>
        <w:spacing w:after="0" w:line="282" w:lineRule="auto"/>
        <w:tabs>
          <w:tab w:leader="none" w:pos="230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and enforced in accordance with the laws of the Commonwealth of Pennsylvania (and United States federal law, to the extent applicable), without giving effect to otherwise applicable principles of conflicts of law.</w:t>
      </w:r>
    </w:p>
    <w:p>
      <w:pPr>
        <w:spacing w:after="0" w:line="161" w:lineRule="exact"/>
        <w:rPr>
          <w:rFonts w:ascii="Times New Roman" w:cs="Times New Roman" w:eastAsia="Times New Roman" w:hAnsi="Times New Roman"/>
          <w:sz w:val="18"/>
          <w:szCs w:val="18"/>
          <w:color w:val="auto"/>
        </w:rPr>
      </w:pPr>
    </w:p>
    <w:p>
      <w:pPr>
        <w:jc w:val="both"/>
        <w:ind w:right="140" w:firstLine="1304"/>
        <w:spacing w:after="0" w:line="261" w:lineRule="auto"/>
        <w:tabs>
          <w:tab w:leader="none" w:pos="227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in any way the Company’s right to enforce the provisions of Paragraphs 6, 7 &amp; 8 of this Agreement, any action to enforce the decision or award of the arbitrator under Paragraph 10 hereof may be brought and maintained only in the Court of Common Pleas of Montgomery County, Pennsylvania or the United States District Court for the Eastern District of Pennsylvania (to the extent that the latter court may have jurisdiction over the subject matter).</w:t>
      </w:r>
    </w:p>
    <w:p>
      <w:pPr>
        <w:spacing w:after="0" w:line="180" w:lineRule="exact"/>
        <w:rPr>
          <w:sz w:val="20"/>
          <w:szCs w:val="20"/>
          <w:color w:val="auto"/>
        </w:rPr>
      </w:pPr>
    </w:p>
    <w:p>
      <w:pPr>
        <w:ind w:left="2300" w:hanging="996"/>
        <w:spacing w:after="0"/>
        <w:tabs>
          <w:tab w:leader="none" w:pos="2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herein are for convenience of reference only and shall not affect the interpretation of any term</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provision hereof.</w:t>
      </w:r>
    </w:p>
    <w:p>
      <w:pPr>
        <w:spacing w:after="0" w:line="206" w:lineRule="exact"/>
        <w:rPr>
          <w:rFonts w:ascii="Times New Roman" w:cs="Times New Roman" w:eastAsia="Times New Roman" w:hAnsi="Times New Roman"/>
          <w:sz w:val="18"/>
          <w:szCs w:val="18"/>
          <w:color w:val="auto"/>
        </w:rPr>
      </w:pPr>
    </w:p>
    <w:p>
      <w:pPr>
        <w:ind w:firstLine="1304"/>
        <w:spacing w:after="0" w:line="258" w:lineRule="auto"/>
        <w:tabs>
          <w:tab w:leader="none" w:pos="233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found invalid or unenforceable for any reason, in whole or in part, then such provision shall be deemed modified, restricted, or reformulated to the extent and in the manner necessary to render the same valid and enforceable, or shall be deemed excised from this Agreement, as the case may require, and this Agreement shall be construed and enforced to the maximum extent permitted by law, as if such provision had been originally incorporated herein as so modified, restricted, or reformulated or as if such provision had not been originally incorporated herein, as the case may be.</w:t>
      </w:r>
    </w:p>
    <w:p>
      <w:pPr>
        <w:spacing w:after="0" w:line="183" w:lineRule="exact"/>
        <w:rPr>
          <w:rFonts w:ascii="Times New Roman" w:cs="Times New Roman" w:eastAsia="Times New Roman" w:hAnsi="Times New Roman"/>
          <w:sz w:val="18"/>
          <w:szCs w:val="18"/>
          <w:color w:val="auto"/>
        </w:rPr>
      </w:pPr>
    </w:p>
    <w:p>
      <w:pPr>
        <w:jc w:val="both"/>
        <w:ind w:right="100" w:firstLine="1304"/>
        <w:spacing w:after="0" w:line="266" w:lineRule="auto"/>
        <w:tabs>
          <w:tab w:leader="none" w:pos="22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Base Salary, incentive compensation, expense reimbursements, severance pay, and other payments made by the Company to Executive under this Agreement shall be subject to customary withholding for applicable federal, state and local taxes, FICA and other amounts required by applicable law.</w:t>
      </w:r>
    </w:p>
    <w:p>
      <w:pPr>
        <w:spacing w:after="0" w:line="391" w:lineRule="exact"/>
        <w:rPr>
          <w:rFonts w:ascii="Times New Roman" w:cs="Times New Roman" w:eastAsia="Times New Roman" w:hAnsi="Times New Roman"/>
          <w:sz w:val="18"/>
          <w:szCs w:val="18"/>
          <w:color w:val="auto"/>
        </w:rPr>
      </w:pPr>
    </w:p>
    <w:p>
      <w:pPr>
        <w:ind w:left="5540" w:hanging="104"/>
        <w:spacing w:after="0"/>
        <w:tabs>
          <w:tab w:leader="none" w:pos="55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ind w:left="1180" w:hanging="996"/>
        <w:spacing w:after="0"/>
        <w:tabs>
          <w:tab w:leader="none" w:pos="11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Revenue Code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20" w:right="60" w:firstLine="1304"/>
        <w:spacing w:after="0" w:line="254" w:lineRule="auto"/>
        <w:tabs>
          <w:tab w:leader="none" w:pos="10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comply with Section 409A of the Internal Revenue Code of 1986, as amended (the “Code”), and the corresponding regulations, and the payments and benefits provided hereunder are intended to qualify for any applicable exemptions from the definition of deferred compensation under Code Section 409A. To the maximum extent permitted, the parties agree that (i) this Agreement shall be interpreted as being in compliance with Code Section 409A, and (ii) the payments and benefits will be reported to the Internal Revenue Service as being in compliance with Code Section 409A. For purposes of Code Section 409A, each payment made under this Agreement shall be treated as a separate payment. Severance benefits under this Agreement are intended to be exempt from Code Section 409A under the “short term deferral” exemption, to the extent applicable. A portion, the amount of which to be determined in accordance with Treas. Reg. § 1.409A-1(b)(9)(iii), of any additional monthly severance compensation under this Agreement shall be considered payments under a “separation pay plan” under Code Section 409A. In no event may Executive designate, directly or indirectly, the calendar year of payment.</w:t>
      </w:r>
    </w:p>
    <w:p>
      <w:pPr>
        <w:spacing w:after="0" w:line="188" w:lineRule="exact"/>
        <w:rPr>
          <w:rFonts w:ascii="Times New Roman" w:cs="Times New Roman" w:eastAsia="Times New Roman" w:hAnsi="Times New Roman"/>
          <w:sz w:val="18"/>
          <w:szCs w:val="18"/>
          <w:color w:val="auto"/>
        </w:rPr>
      </w:pPr>
    </w:p>
    <w:p>
      <w:pPr>
        <w:ind w:left="-1120" w:right="120" w:firstLine="1304"/>
        <w:spacing w:after="0" w:line="256" w:lineRule="auto"/>
        <w:tabs>
          <w:tab w:leader="none" w:pos="110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to the extent required by Code Section 409A if Executive is considered a “specified employee” for purposes of Code Section 409A, and if the payment of any amounts under this Agreement is required to be delayed for a period of six months after “separation from service” pursuant to Code Section 409A, payment of such amounts shall be delayed as required by Code Section 409A and the accumulated amounts shall be paid in a single lump sum within five days after the end of the six-month period. If Executive dies during the postponement period prior to the payment of benefits, amounts withheld on account of Code Section 409A shall be paid to the personal representative of Executive’s estate within sixty days after the date of Executive’s death.</w:t>
      </w:r>
    </w:p>
    <w:p>
      <w:pPr>
        <w:spacing w:after="0" w:line="187" w:lineRule="exact"/>
        <w:rPr>
          <w:rFonts w:ascii="Times New Roman" w:cs="Times New Roman" w:eastAsia="Times New Roman" w:hAnsi="Times New Roman"/>
          <w:sz w:val="18"/>
          <w:szCs w:val="18"/>
          <w:color w:val="auto"/>
        </w:rPr>
      </w:pPr>
    </w:p>
    <w:p>
      <w:pPr>
        <w:ind w:left="-1120" w:right="720" w:firstLine="1304"/>
        <w:spacing w:after="0" w:line="282" w:lineRule="auto"/>
        <w:tabs>
          <w:tab w:leader="none" w:pos="10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“separation from service” shall mean Executive’s separation from service with the Company and its affiliates within the meaning of Treas. Reg. Section 1.409A-1(h).</w:t>
      </w:r>
    </w:p>
    <w:p>
      <w:pPr>
        <w:spacing w:after="0" w:line="161" w:lineRule="exact"/>
        <w:rPr>
          <w:rFonts w:ascii="Times New Roman" w:cs="Times New Roman" w:eastAsia="Times New Roman" w:hAnsi="Times New Roman"/>
          <w:sz w:val="18"/>
          <w:szCs w:val="18"/>
          <w:color w:val="auto"/>
        </w:rPr>
      </w:pPr>
    </w:p>
    <w:p>
      <w:pPr>
        <w:ind w:left="-1120" w:firstLine="1304"/>
        <w:spacing w:after="0" w:line="258" w:lineRule="auto"/>
        <w:tabs>
          <w:tab w:leader="none" w:pos="110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in-kind benefits or any expenses eligible for reimbursement provided hereunder that are subject to Code Section 409A, (i) the benefits provided or the amount of expenses eligible for reimbursement during any calendar year shall not affect the benefits provided or expenses eligible for reimbursement in any other calendar year, except as provided in Treas. Reg. § 1.409A-3(i)(1)(iv)(B), and (ii) the reimbursement of an eligible expense shall be made as soon as possible after Executive requests such reimbursement, but not later than December 31 following the calendar year in which the expense was incurred.</w:t>
      </w:r>
    </w:p>
    <w:p>
      <w:pPr>
        <w:spacing w:after="0" w:line="183" w:lineRule="exact"/>
        <w:rPr>
          <w:rFonts w:ascii="Times New Roman" w:cs="Times New Roman" w:eastAsia="Times New Roman" w:hAnsi="Times New Roman"/>
          <w:sz w:val="18"/>
          <w:szCs w:val="18"/>
          <w:color w:val="auto"/>
        </w:rPr>
      </w:pPr>
    </w:p>
    <w:p>
      <w:pPr>
        <w:ind w:left="-1120" w:right="80" w:firstLine="1304"/>
        <w:spacing w:after="0" w:line="261" w:lineRule="auto"/>
        <w:tabs>
          <w:tab w:leader="none" w:pos="10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right to receive any installment payments of deferred compensation shall be treated as a right to receive a series of separate payments and, accordingly, each such installment payment shall at all times be considered a separate and distinct payment as permitted under Code Section 409A. Except as otherwise permitted under Code Section 409A, no payment to you shall be accelerated or deferred unless such acceleration or deferral would not result in additional tax or interest pursuant to Code Section 409A.</w:t>
      </w:r>
    </w:p>
    <w:p>
      <w:pPr>
        <w:spacing w:after="0" w:line="180" w:lineRule="exact"/>
        <w:rPr>
          <w:sz w:val="20"/>
          <w:szCs w:val="20"/>
          <w:color w:val="auto"/>
        </w:rPr>
      </w:pPr>
    </w:p>
    <w:p>
      <w:pPr>
        <w:jc w:val="both"/>
        <w:ind w:left="-1120" w:right="720" w:firstLine="1304"/>
        <w:spacing w:after="0" w:line="282" w:lineRule="auto"/>
        <w:tabs>
          <w:tab w:leader="none" w:pos="116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with the same effect as if the parties executing the counterparts all had executed one counterpart as of the date hereof. All such counterparts taken together shall be deemed the original Agreement.</w:t>
      </w:r>
    </w:p>
    <w:p>
      <w:pPr>
        <w:spacing w:after="0" w:line="377" w:lineRule="exact"/>
        <w:rPr>
          <w:rFonts w:ascii="Times New Roman" w:cs="Times New Roman" w:eastAsia="Times New Roman" w:hAnsi="Times New Roman"/>
          <w:sz w:val="18"/>
          <w:szCs w:val="18"/>
          <w:color w:val="auto"/>
        </w:rPr>
      </w:pPr>
    </w:p>
    <w:p>
      <w:pPr>
        <w:ind w:left="4420" w:hanging="101"/>
        <w:spacing w:after="0"/>
        <w:tabs>
          <w:tab w:leader="none" w:pos="44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217" w:name="page218"/>
    <w:bookmarkEnd w:id="217"/>
    <w:p>
      <w:pPr>
        <w:jc w:val="center"/>
        <w:ind w:right="10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day, month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R. S</w:t>
            </w:r>
            <w:r>
              <w:rPr>
                <w:rFonts w:ascii="Times New Roman" w:cs="Times New Roman" w:eastAsia="Times New Roman" w:hAnsi="Times New Roman"/>
                <w:sz w:val="12"/>
                <w:szCs w:val="12"/>
                <w:color w:val="auto"/>
              </w:rPr>
              <w:t>CHWAB</w:t>
            </w:r>
          </w:p>
        </w:tc>
        <w:tc>
          <w:tcPr>
            <w:tcW w:w="6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TEFANO</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R. Schwab</w:t>
            </w:r>
          </w:p>
        </w:tc>
        <w:tc>
          <w:tcPr>
            <w:tcW w:w="780" w:type="dxa"/>
            <w:vAlign w:val="bottom"/>
          </w:tcPr>
          <w:p>
            <w:pPr>
              <w:spacing w:after="0"/>
              <w:rPr>
                <w:sz w:val="19"/>
                <w:szCs w:val="19"/>
                <w:color w:val="auto"/>
              </w:rPr>
            </w:pPr>
          </w:p>
        </w:tc>
        <w:tc>
          <w:tcPr>
            <w:tcW w:w="5280" w:type="dxa"/>
            <w:vAlign w:val="bottom"/>
            <w:tcBorders>
              <w:top w:val="single" w:sz="8" w:color="auto"/>
            </w:tcBorders>
          </w:tcPr>
          <w:p>
            <w:pPr>
              <w:spacing w:after="0"/>
              <w:rPr>
                <w:sz w:val="19"/>
                <w:szCs w:val="19"/>
                <w:color w:val="auto"/>
              </w:rPr>
            </w:pPr>
          </w:p>
        </w:tc>
      </w:tr>
      <w:tr>
        <w:trPr>
          <w:trHeight w:val="41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18, 2020</w:t>
            </w:r>
          </w:p>
        </w:tc>
        <w:tc>
          <w:tcPr>
            <w:tcW w:w="78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18, 2020</w:t>
            </w: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630"/>
        </w:trPr>
        <w:tc>
          <w:tcPr>
            <w:tcW w:w="5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8" w:name="page219"/>
    <w:bookmarkEnd w:id="218"/>
    <w:p>
      <w:pPr>
        <w:jc w:val="center"/>
        <w:ind w:right="-79"/>
        <w:spacing w:after="0"/>
        <w:rPr>
          <w:sz w:val="20"/>
          <w:szCs w:val="20"/>
          <w:color w:val="auto"/>
        </w:rPr>
      </w:pPr>
      <w:r>
        <w:rPr>
          <w:rFonts w:ascii="Times New Roman" w:cs="Times New Roman" w:eastAsia="Times New Roman" w:hAnsi="Times New Roman"/>
          <w:sz w:val="18"/>
          <w:szCs w:val="18"/>
          <w:color w:val="auto"/>
        </w:rPr>
        <w:t>APPENDIX A</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EXECUTIVE EMPLOYMENT AGREEMENT</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AGREEMENT AND RELEASE</w:t>
      </w:r>
    </w:p>
    <w:p>
      <w:pPr>
        <w:spacing w:after="0" w:line="227" w:lineRule="exact"/>
        <w:rPr>
          <w:sz w:val="20"/>
          <w:szCs w:val="20"/>
          <w:color w:val="auto"/>
        </w:rPr>
      </w:pPr>
    </w:p>
    <w:p>
      <w:pPr>
        <w:ind w:right="100" w:firstLine="1296"/>
        <w:spacing w:after="0" w:line="277" w:lineRule="auto"/>
        <w:rPr>
          <w:sz w:val="20"/>
          <w:szCs w:val="20"/>
          <w:color w:val="auto"/>
        </w:rPr>
      </w:pPr>
      <w:r>
        <w:rPr>
          <w:rFonts w:ascii="Times New Roman" w:cs="Times New Roman" w:eastAsia="Times New Roman" w:hAnsi="Times New Roman"/>
          <w:sz w:val="17"/>
          <w:szCs w:val="17"/>
          <w:color w:val="auto"/>
        </w:rPr>
        <w:t>This confidential Separation Agreement and Release (“</w:t>
      </w:r>
      <w:r>
        <w:rPr>
          <w:rFonts w:ascii="Times New Roman" w:cs="Times New Roman" w:eastAsia="Times New Roman" w:hAnsi="Times New Roman"/>
          <w:sz w:val="17"/>
          <w:szCs w:val="17"/>
          <w:i w:val="1"/>
          <w:iCs w:val="1"/>
          <w:u w:val="single" w:color="auto"/>
          <w:color w:val="auto"/>
        </w:rPr>
        <w:t>Agreement</w:t>
      </w:r>
      <w:r>
        <w:rPr>
          <w:rFonts w:ascii="Times New Roman" w:cs="Times New Roman" w:eastAsia="Times New Roman" w:hAnsi="Times New Roman"/>
          <w:sz w:val="17"/>
          <w:szCs w:val="17"/>
          <w:color w:val="auto"/>
        </w:rPr>
        <w:t>”) is entered into by and between Vertex, Inc., a Delaware corporation (the “</w:t>
      </w:r>
      <w:r>
        <w:rPr>
          <w:rFonts w:ascii="Times New Roman" w:cs="Times New Roman" w:eastAsia="Times New Roman" w:hAnsi="Times New Roman"/>
          <w:sz w:val="17"/>
          <w:szCs w:val="17"/>
          <w:i w:val="1"/>
          <w:iCs w:val="1"/>
          <w:u w:val="single" w:color="auto"/>
          <w:color w:val="auto"/>
        </w:rPr>
        <w:t>Company</w:t>
      </w:r>
      <w:r>
        <w:rPr>
          <w:rFonts w:ascii="Times New Roman" w:cs="Times New Roman" w:eastAsia="Times New Roman" w:hAnsi="Times New Roman"/>
          <w:sz w:val="17"/>
          <w:szCs w:val="17"/>
          <w:color w:val="auto"/>
        </w:rPr>
        <w:t>”) and _____________ (hereinafter referred to as “you,” or “your”) to resolve any and all disputes concerning your employment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your separation from employment on ______________. The actual date of separation is referred to herein as the “</w:t>
      </w:r>
      <w:r>
        <w:rPr>
          <w:rFonts w:ascii="Times New Roman" w:cs="Times New Roman" w:eastAsia="Times New Roman" w:hAnsi="Times New Roman"/>
          <w:sz w:val="18"/>
          <w:szCs w:val="18"/>
          <w:i w:val="1"/>
          <w:iCs w:val="1"/>
          <w:u w:val="single" w:color="auto"/>
          <w:color w:val="auto"/>
        </w:rPr>
        <w:t>Separation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you are employed by the Company as ___________________, pursuant to an Employment Agreement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 (“</w:t>
      </w:r>
      <w:r>
        <w:rPr>
          <w:rFonts w:ascii="Times New Roman" w:cs="Times New Roman" w:eastAsia="Times New Roman" w:hAnsi="Times New Roman"/>
          <w:sz w:val="18"/>
          <w:szCs w:val="18"/>
          <w:i w:val="1"/>
          <w:iCs w:val="1"/>
          <w:u w:val="single" w:color="auto"/>
          <w:color w:val="auto"/>
        </w:rPr>
        <w:t>Employment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has decided to terminate your employment without Cause or you have decided to resign for Good Reason under the Employment Agreement, entitling you to certain payments and benefits pursuant to paragraph 2(b)(iii) thereunder (“</w:t>
      </w:r>
      <w:r>
        <w:rPr>
          <w:rFonts w:ascii="Times New Roman" w:cs="Times New Roman" w:eastAsia="Times New Roman" w:hAnsi="Times New Roman"/>
          <w:sz w:val="18"/>
          <w:szCs w:val="18"/>
          <w:i w:val="1"/>
          <w:iCs w:val="1"/>
          <w:u w:val="single" w:color="auto"/>
          <w:color w:val="auto"/>
        </w:rPr>
        <w:t>Severance Benefits</w:t>
      </w:r>
      <w:r>
        <w:rPr>
          <w:rFonts w:ascii="Times New Roman" w:cs="Times New Roman" w:eastAsia="Times New Roman" w:hAnsi="Times New Roman"/>
          <w:sz w:val="18"/>
          <w:szCs w:val="18"/>
          <w:color w:val="auto"/>
        </w:rPr>
        <w:t>”), provided you first sign (and do not revoke) this Agreement and are otherwise in compliance with the Employment Agreement;</w:t>
      </w:r>
    </w:p>
    <w:p>
      <w:pPr>
        <w:spacing w:after="0" w:line="176" w:lineRule="exact"/>
        <w:rPr>
          <w:sz w:val="20"/>
          <w:szCs w:val="20"/>
          <w:color w:val="auto"/>
        </w:rPr>
      </w:pPr>
    </w:p>
    <w:p>
      <w:pPr>
        <w:jc w:val="both"/>
        <w:ind w:right="260" w:firstLine="1296"/>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agreements, and promises hereinafter set forth, and of other good and valuable consideration, the receipt and sufficiency of which is hereby acknowledged, the parties hereto, intending to be legally bound, agree as follows:</w:t>
      </w:r>
    </w:p>
    <w:p>
      <w:pPr>
        <w:spacing w:after="0" w:line="138" w:lineRule="exact"/>
        <w:rPr>
          <w:sz w:val="20"/>
          <w:szCs w:val="20"/>
          <w:color w:val="auto"/>
        </w:rPr>
      </w:pPr>
    </w:p>
    <w:p>
      <w:pPr>
        <w:ind w:right="60" w:firstLine="1304"/>
        <w:spacing w:after="0" w:line="284" w:lineRule="auto"/>
        <w:tabs>
          <w:tab w:leader="none" w:pos="22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On the eighth day after you execute this Agreement (“</w:t>
      </w:r>
      <w:r>
        <w:rPr>
          <w:rFonts w:ascii="Times New Roman" w:cs="Times New Roman" w:eastAsia="Times New Roman" w:hAnsi="Times New Roman"/>
          <w:sz w:val="18"/>
          <w:szCs w:val="18"/>
          <w:i w:val="1"/>
          <w:iCs w:val="1"/>
          <w:u w:val="single" w:color="auto"/>
          <w:color w:val="auto"/>
        </w:rPr>
        <w:t>Effective Date</w:t>
      </w:r>
      <w:r>
        <w:rPr>
          <w:rFonts w:ascii="Times New Roman" w:cs="Times New Roman" w:eastAsia="Times New Roman" w:hAnsi="Times New Roman"/>
          <w:sz w:val="18"/>
          <w:szCs w:val="18"/>
          <w:color w:val="auto"/>
        </w:rPr>
        <w:t>”), provided that you do not revoke this Agreement under paragraph 6(e), the Company agrees to begin to provide you the Severance Benefits as set forth in the Employment Agreement.</w:t>
      </w:r>
    </w:p>
    <w:p>
      <w:pPr>
        <w:spacing w:after="0" w:line="160" w:lineRule="exact"/>
        <w:rPr>
          <w:rFonts w:ascii="Times New Roman" w:cs="Times New Roman" w:eastAsia="Times New Roman" w:hAnsi="Times New Roman"/>
          <w:sz w:val="18"/>
          <w:szCs w:val="18"/>
          <w:color w:val="auto"/>
        </w:rPr>
      </w:pPr>
    </w:p>
    <w:p>
      <w:pPr>
        <w:ind w:right="360" w:firstLine="1304"/>
        <w:spacing w:after="0" w:line="261" w:lineRule="auto"/>
        <w:tabs>
          <w:tab w:leader="none" w:pos="22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You understand and agree that your employment with the Company and any affiliates, including any positions on any Company boards and committees, will terminate effective the Separation Date, and such termination shall be deemed a resignation effective the Separation Date from each position you hold as an officer or director of the Company and any subsidiary or affiliate of the Company.</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2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Payments</w:t>
      </w:r>
      <w:r>
        <w:rPr>
          <w:rFonts w:ascii="Times New Roman" w:cs="Times New Roman" w:eastAsia="Times New Roman" w:hAnsi="Times New Roman"/>
          <w:sz w:val="18"/>
          <w:szCs w:val="18"/>
          <w:color w:val="auto"/>
        </w:rPr>
        <w:t>. You acknowledge and agree that you will receive no additional payments or benefits other than as set forth herein or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19" w:name="page220"/>
    <w:bookmarkEnd w:id="219"/>
    <w:p>
      <w:pPr>
        <w:ind w:left="-1120" w:firstLine="1304"/>
        <w:spacing w:after="0" w:line="252" w:lineRule="auto"/>
        <w:tabs>
          <w:tab w:leader="none" w:pos="11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exchange for the promises herein which you acknowledge as good and valuable consideration, and except as provided in paragraph 5, you release and discharge the Company and its past, present and future parents, divisions, subsidiaries, and affiliates, predecessors, successors and assigns, and their past, present, and future officers, directors, members, partners, attorneys, employees, independent contractors, agents, clients, and representatives (“</w:t>
      </w:r>
      <w:r>
        <w:rPr>
          <w:rFonts w:ascii="Times New Roman" w:cs="Times New Roman" w:eastAsia="Times New Roman" w:hAnsi="Times New Roman"/>
          <w:sz w:val="18"/>
          <w:szCs w:val="18"/>
          <w:i w:val="1"/>
          <w:iCs w:val="1"/>
          <w:u w:val="single" w:color="auto"/>
          <w:color w:val="auto"/>
        </w:rPr>
        <w:t>Released Parties</w:t>
      </w:r>
      <w:r>
        <w:rPr>
          <w:rFonts w:ascii="Times New Roman" w:cs="Times New Roman" w:eastAsia="Times New Roman" w:hAnsi="Times New Roman"/>
          <w:sz w:val="18"/>
          <w:szCs w:val="18"/>
          <w:color w:val="auto"/>
        </w:rPr>
        <w:t>”) from any and all actions, causes of action, debts, dues, claims and demands of every name and nature, without limitation, at law, in equity, or administrative, against the Released Parties which you may have had, now have, or may have, by reason of any matter or thing arising up to the date you execute this Agreement, including the ending of your employment. Those claims and causes of action from which you release the Released Parties include, but are not limited to, any known or unknown claim or action sounding in tort, contract, or discrimination of any kind, any claim arising under the Employment Agreement, and/or any cause of action arising under federal, state or local constitution, statute or ordinance, including, but not limited to, Title VII of the Civil Rights Act of 1964, as amended, the Age Discrimination in Employment Act (including the Older Worker Benefit Protection Act), as amended, the Americans With Disabilities Act, as amended, the Employee Retirement Income Security Act, as amended, the Family and Medical Leave Act, as amended, the Equal Pay Act, as amended, Section 1981 of the Civil Rights Act of 1866, as amended, the Worker Adjustment and Retraining Notification Act, as amended, the Sarbanes Oxley Act of 2002, as amended, the Pennsylvania Human Relations Act, as amended, the Pennsylvania Equal Pay Law, as amended, the Pennsylvania Wage Payment and Collection Law, as amended, the Pennsylvania Minimum Wage Act, as amended, and any other employee-protective law of any jurisdiction that may apply, and/or any claim for attorneys’ fees or costs, whether presently accrued, accruing to, or to accrue to you on account of, arising out of, or in any way connected with any acts or activities by you or the Released Parties arising up to the date you execute this Agreement. You expressly acknowledge that no claim or cause of action against the Released Parties from the beginning of time to the date you execute this Agreement (other than as provided in paragraph 5) shall be deemed to be outside the scope of this Agreement whether mentioned herein or not. You agree that this release should be interpreted as broadly as possible to achieve your intention to waive, to the maximum extent permitted by law, any and all claims against the Released Parties. Excluded from the release set forth in this paragraph is any claim which cannot be waived as a matter of law and your right to indemnification by the Company or any of its affiliates pursuant to contract or applicable law.</w:t>
      </w:r>
    </w:p>
    <w:p>
      <w:pPr>
        <w:spacing w:after="0" w:line="187" w:lineRule="exact"/>
        <w:rPr>
          <w:rFonts w:ascii="Times New Roman" w:cs="Times New Roman" w:eastAsia="Times New Roman" w:hAnsi="Times New Roman"/>
          <w:sz w:val="18"/>
          <w:szCs w:val="18"/>
          <w:color w:val="auto"/>
        </w:rPr>
      </w:pPr>
    </w:p>
    <w:p>
      <w:pPr>
        <w:ind w:left="-1120" w:right="80" w:firstLine="1304"/>
        <w:spacing w:after="0" w:line="256" w:lineRule="auto"/>
        <w:tabs>
          <w:tab w:leader="none" w:pos="11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Claims Preserved</w:t>
      </w:r>
      <w:r>
        <w:rPr>
          <w:rFonts w:ascii="Times New Roman" w:cs="Times New Roman" w:eastAsia="Times New Roman" w:hAnsi="Times New Roman"/>
          <w:sz w:val="18"/>
          <w:szCs w:val="18"/>
          <w:color w:val="auto"/>
        </w:rPr>
        <w:t>. Nothing in this Agreement limits your right, where applicable, to file or participate in an investigative proceeding of any federal, state, or local governmental agency, including filing a charge with the United States Equal Employment Opportunity Commission (“</w:t>
      </w:r>
      <w:r>
        <w:rPr>
          <w:rFonts w:ascii="Times New Roman" w:cs="Times New Roman" w:eastAsia="Times New Roman" w:hAnsi="Times New Roman"/>
          <w:sz w:val="18"/>
          <w:szCs w:val="18"/>
          <w:i w:val="1"/>
          <w:iCs w:val="1"/>
          <w:u w:val="single" w:color="auto"/>
          <w:color w:val="auto"/>
        </w:rPr>
        <w:t>EEOC</w:t>
      </w:r>
      <w:r>
        <w:rPr>
          <w:rFonts w:ascii="Times New Roman" w:cs="Times New Roman" w:eastAsia="Times New Roman" w:hAnsi="Times New Roman"/>
          <w:sz w:val="18"/>
          <w:szCs w:val="18"/>
          <w:color w:val="auto"/>
        </w:rPr>
        <w:t>”). To the extent permitted by law, you agree that if such an administrative claim is made, you shall not be entitled to recover, accept, or retain any individual monetary relief or other individual remedies with respect to any matter covered by this Agreement. Nothing in this Agreement prevents you from filing a lawsuit limited to challenging the validity of your waiver of federal age discrimination claims under the Age Discrimination in Employment Act and the Older Workers Benefit Protection Act.</w:t>
      </w:r>
    </w:p>
    <w:p>
      <w:pPr>
        <w:spacing w:after="0" w:line="187" w:lineRule="exact"/>
        <w:rPr>
          <w:rFonts w:ascii="Times New Roman" w:cs="Times New Roman" w:eastAsia="Times New Roman" w:hAnsi="Times New Roman"/>
          <w:sz w:val="18"/>
          <w:szCs w:val="18"/>
          <w:color w:val="auto"/>
        </w:rPr>
      </w:pPr>
    </w:p>
    <w:p>
      <w:pPr>
        <w:jc w:val="both"/>
        <w:ind w:left="-1120" w:right="180" w:firstLine="1304"/>
        <w:spacing w:after="0" w:line="266" w:lineRule="auto"/>
        <w:tabs>
          <w:tab w:leader="none" w:pos="113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The release in paragraph 4 of this Agreement includes a waiver of claims against the Released Parties under the Age Discrimination in Employment Act (“</w:t>
      </w:r>
      <w:r>
        <w:rPr>
          <w:rFonts w:ascii="Times New Roman" w:cs="Times New Roman" w:eastAsia="Times New Roman" w:hAnsi="Times New Roman"/>
          <w:sz w:val="18"/>
          <w:szCs w:val="18"/>
          <w:i w:val="1"/>
          <w:iCs w:val="1"/>
          <w:u w:val="single" w:color="auto"/>
          <w:color w:val="auto"/>
        </w:rPr>
        <w:t>ADEA</w:t>
      </w:r>
      <w:r>
        <w:rPr>
          <w:rFonts w:ascii="Times New Roman" w:cs="Times New Roman" w:eastAsia="Times New Roman" w:hAnsi="Times New Roman"/>
          <w:sz w:val="18"/>
          <w:szCs w:val="18"/>
          <w:color w:val="auto"/>
        </w:rPr>
        <w:t>”) and the Older Workers Benefit Protection Act (“</w:t>
      </w:r>
      <w:r>
        <w:rPr>
          <w:rFonts w:ascii="Times New Roman" w:cs="Times New Roman" w:eastAsia="Times New Roman" w:hAnsi="Times New Roman"/>
          <w:sz w:val="18"/>
          <w:szCs w:val="18"/>
          <w:i w:val="1"/>
          <w:iCs w:val="1"/>
          <w:u w:val="single" w:color="auto"/>
          <w:color w:val="auto"/>
        </w:rPr>
        <w:t>OWBPA</w:t>
      </w:r>
      <w:r>
        <w:rPr>
          <w:rFonts w:ascii="Times New Roman" w:cs="Times New Roman" w:eastAsia="Times New Roman" w:hAnsi="Times New Roman"/>
          <w:sz w:val="18"/>
          <w:szCs w:val="18"/>
          <w:color w:val="auto"/>
        </w:rPr>
        <w:t>”). Therefore, pursuant to the requirements of the ADEA and the OWBPA, you specifically acknowledge that:</w:t>
      </w:r>
    </w:p>
    <w:p>
      <w:pPr>
        <w:spacing w:after="0" w:line="176" w:lineRule="exact"/>
        <w:rPr>
          <w:sz w:val="20"/>
          <w:szCs w:val="20"/>
          <w:color w:val="auto"/>
        </w:rPr>
      </w:pPr>
    </w:p>
    <w:p>
      <w:pPr>
        <w:ind w:left="840" w:hanging="656"/>
        <w:spacing w:after="0"/>
        <w:tabs>
          <w:tab w:leader="none" w:pos="8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and have been advised to consult with an attorney of your choosing concerning the legal significance of this Agreement;</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written in a manner you understand;</w:t>
      </w:r>
    </w:p>
    <w:p>
      <w:pPr>
        <w:spacing w:after="0" w:line="225" w:lineRule="exact"/>
        <w:rPr>
          <w:rFonts w:ascii="Times New Roman" w:cs="Times New Roman" w:eastAsia="Times New Roman" w:hAnsi="Times New Roman"/>
          <w:sz w:val="18"/>
          <w:szCs w:val="18"/>
          <w:color w:val="auto"/>
        </w:rPr>
      </w:pPr>
    </w:p>
    <w:p>
      <w:pPr>
        <w:ind w:left="840" w:right="100" w:hanging="656"/>
        <w:spacing w:after="0" w:line="282" w:lineRule="auto"/>
        <w:tabs>
          <w:tab w:leader="none" w:pos="8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set forth in paragraph 1 of the Agreement is adequate and sufficient for your entering into this Agreement and consists of benefits to which you are not otherwise entitled;</w:t>
      </w:r>
    </w:p>
    <w:p>
      <w:pPr>
        <w:spacing w:after="0" w:line="161" w:lineRule="exact"/>
        <w:rPr>
          <w:rFonts w:ascii="Times New Roman" w:cs="Times New Roman" w:eastAsia="Times New Roman" w:hAnsi="Times New Roman"/>
          <w:sz w:val="18"/>
          <w:szCs w:val="18"/>
          <w:color w:val="auto"/>
        </w:rPr>
      </w:pPr>
    </w:p>
    <w:p>
      <w:pPr>
        <w:ind w:left="840" w:right="80" w:hanging="656"/>
        <w:spacing w:after="0" w:line="266" w:lineRule="auto"/>
        <w:tabs>
          <w:tab w:leader="none" w:pos="8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afforded twenty-one (21) days to consider this Agreement before signing it, although you may sign it at any time within those 21 days, and that any changes to this Agreement subsequently agreed upon by the parties, whether material or immaterial, do not restart this period for consideration; and</w:t>
      </w:r>
    </w:p>
    <w:p>
      <w:pPr>
        <w:spacing w:after="0" w:line="175" w:lineRule="exact"/>
        <w:rPr>
          <w:rFonts w:ascii="Times New Roman" w:cs="Times New Roman" w:eastAsia="Times New Roman" w:hAnsi="Times New Roman"/>
          <w:sz w:val="18"/>
          <w:szCs w:val="18"/>
          <w:color w:val="auto"/>
        </w:rPr>
      </w:pPr>
    </w:p>
    <w:p>
      <w:pPr>
        <w:ind w:left="840" w:right="240" w:hanging="656"/>
        <w:spacing w:after="0" w:line="266" w:lineRule="auto"/>
        <w:tabs>
          <w:tab w:leader="none" w:pos="8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been advised that during the seven (7) day period after you sign the Agreement, you may revoke your acceptance of this Agreement by delivering written notice to ________________________________, and that this Agreement shall not become effective or enforceable until after the revocation period has expired.</w:t>
      </w:r>
    </w:p>
    <w:p>
      <w:pPr>
        <w:spacing w:after="0" w:line="391"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0" w:name="page221"/>
    <w:bookmarkEnd w:id="220"/>
    <w:p>
      <w:pPr>
        <w:ind w:right="40" w:firstLine="1304"/>
        <w:spacing w:after="0" w:line="266" w:lineRule="auto"/>
        <w:tabs>
          <w:tab w:leader="none" w:pos="2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Wrongdoing</w:t>
      </w:r>
      <w:r>
        <w:rPr>
          <w:rFonts w:ascii="Times New Roman" w:cs="Times New Roman" w:eastAsia="Times New Roman" w:hAnsi="Times New Roman"/>
          <w:sz w:val="18"/>
          <w:szCs w:val="18"/>
          <w:color w:val="auto"/>
        </w:rPr>
        <w:t>. The Company denies any wrongdoing whatsoever in connection with its dealings with you, including but not limited to your employment and termination. It is expressly understood and agreed that nothing contained in this Agreement shall constitute or be treated as an admission of any wrongdoing or liability on the part of the Company.</w:t>
      </w:r>
    </w:p>
    <w:p>
      <w:pPr>
        <w:spacing w:after="0" w:line="175" w:lineRule="exact"/>
        <w:rPr>
          <w:rFonts w:ascii="Times New Roman" w:cs="Times New Roman" w:eastAsia="Times New Roman" w:hAnsi="Times New Roman"/>
          <w:sz w:val="18"/>
          <w:szCs w:val="18"/>
          <w:color w:val="auto"/>
        </w:rPr>
      </w:pPr>
    </w:p>
    <w:p>
      <w:pPr>
        <w:ind w:right="20" w:firstLine="1304"/>
        <w:spacing w:after="0" w:line="258" w:lineRule="auto"/>
        <w:tabs>
          <w:tab w:leader="none" w:pos="2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The parties understand and agree that this Agreement, and the matters discussed in negotiating its terms, are entirely confidential. It is therefore expressly understood and agreed that neither party will reveal, discuss, publish or in any way communicate any of the terms, amount or fact of this Agreement to any person, organization or other entity, with the exception of your immediate family members and professional representatives, or, with respect to the Company, with the exception of its professional representatives or as otherwise consistent with business need or necessity, or with respect to both parties, in an action to enforce the Agreement’s terms, unless required by subpoena or court order.</w:t>
      </w:r>
    </w:p>
    <w:p>
      <w:pPr>
        <w:spacing w:after="0" w:line="183" w:lineRule="exact"/>
        <w:rPr>
          <w:rFonts w:ascii="Times New Roman" w:cs="Times New Roman" w:eastAsia="Times New Roman" w:hAnsi="Times New Roman"/>
          <w:sz w:val="18"/>
          <w:szCs w:val="18"/>
          <w:color w:val="auto"/>
        </w:rPr>
      </w:pPr>
    </w:p>
    <w:p>
      <w:pPr>
        <w:ind w:right="960" w:firstLine="1304"/>
        <w:spacing w:after="0" w:line="282" w:lineRule="auto"/>
        <w:tabs>
          <w:tab w:leader="none" w:pos="2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agree that you will not disparage any of the Released Parties or make or publish any communication that reflects adversely upon any of them, consistent with paragraph 2(d) of the Employment Agreement.</w:t>
      </w:r>
    </w:p>
    <w:p>
      <w:pPr>
        <w:spacing w:after="0" w:line="161" w:lineRule="exact"/>
        <w:rPr>
          <w:rFonts w:ascii="Times New Roman" w:cs="Times New Roman" w:eastAsia="Times New Roman" w:hAnsi="Times New Roman"/>
          <w:sz w:val="18"/>
          <w:szCs w:val="18"/>
          <w:color w:val="auto"/>
        </w:rPr>
      </w:pPr>
    </w:p>
    <w:p>
      <w:pPr>
        <w:ind w:right="80" w:firstLine="1304"/>
        <w:spacing w:after="0" w:line="256" w:lineRule="auto"/>
        <w:tabs>
          <w:tab w:leader="none" w:pos="2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Filing of Claims</w:t>
      </w:r>
      <w:r>
        <w:rPr>
          <w:rFonts w:ascii="Times New Roman" w:cs="Times New Roman" w:eastAsia="Times New Roman" w:hAnsi="Times New Roman"/>
          <w:sz w:val="18"/>
          <w:szCs w:val="18"/>
          <w:color w:val="auto"/>
        </w:rPr>
        <w:t>. You represent that you have not filed, and to the maximum extent permitted by law and except as provided in paragraph 5, you agree that you will not file, any charge, complaint, lawsuit or claim (collectively, “</w:t>
      </w:r>
      <w:r>
        <w:rPr>
          <w:rFonts w:ascii="Times New Roman" w:cs="Times New Roman" w:eastAsia="Times New Roman" w:hAnsi="Times New Roman"/>
          <w:sz w:val="18"/>
          <w:szCs w:val="18"/>
          <w:i w:val="1"/>
          <w:iCs w:val="1"/>
          <w:u w:val="single" w:color="auto"/>
          <w:color w:val="auto"/>
        </w:rPr>
        <w:t>Claim</w:t>
      </w:r>
      <w:r>
        <w:rPr>
          <w:rFonts w:ascii="Times New Roman" w:cs="Times New Roman" w:eastAsia="Times New Roman" w:hAnsi="Times New Roman"/>
          <w:sz w:val="18"/>
          <w:szCs w:val="18"/>
          <w:color w:val="auto"/>
        </w:rPr>
        <w:t>”) with any administrative agency, federal, state or local court (collectively, “</w:t>
      </w:r>
      <w:r>
        <w:rPr>
          <w:rFonts w:ascii="Times New Roman" w:cs="Times New Roman" w:eastAsia="Times New Roman" w:hAnsi="Times New Roman"/>
          <w:sz w:val="18"/>
          <w:szCs w:val="18"/>
          <w:i w:val="1"/>
          <w:iCs w:val="1"/>
          <w:u w:val="single" w:color="auto"/>
          <w:color w:val="auto"/>
        </w:rPr>
        <w:t>Agency</w:t>
      </w:r>
      <w:r>
        <w:rPr>
          <w:rFonts w:ascii="Times New Roman" w:cs="Times New Roman" w:eastAsia="Times New Roman" w:hAnsi="Times New Roman"/>
          <w:sz w:val="18"/>
          <w:szCs w:val="18"/>
          <w:color w:val="auto"/>
        </w:rPr>
        <w:t>”) related in any way to your employment or the separation of your employment with the Company. You further agree that you will not accept, and will not be entitled to retain, any judgment, award, settlement or other payment or other relief resulting from, or related to, any Claim filed with any Agency related in any way to your employment with the Company or the termination of your employment. Nothing in this Agreement prevents you from filing for a state claim of unemployment compensation should you choose to do so.</w:t>
      </w:r>
    </w:p>
    <w:p>
      <w:pPr>
        <w:spacing w:after="0" w:line="187" w:lineRule="exact"/>
        <w:rPr>
          <w:rFonts w:ascii="Times New Roman" w:cs="Times New Roman" w:eastAsia="Times New Roman" w:hAnsi="Times New Roman"/>
          <w:sz w:val="18"/>
          <w:szCs w:val="18"/>
          <w:color w:val="auto"/>
        </w:rPr>
      </w:pPr>
    </w:p>
    <w:p>
      <w:pPr>
        <w:ind w:right="20" w:firstLine="1304"/>
        <w:spacing w:after="0" w:line="255" w:lineRule="auto"/>
        <w:tabs>
          <w:tab w:leader="none" w:pos="229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Voluntary Cooperation</w:t>
      </w:r>
      <w:r>
        <w:rPr>
          <w:rFonts w:ascii="Times New Roman" w:cs="Times New Roman" w:eastAsia="Times New Roman" w:hAnsi="Times New Roman"/>
          <w:sz w:val="18"/>
          <w:szCs w:val="18"/>
          <w:color w:val="auto"/>
        </w:rPr>
        <w:t>. Except as provided in paragraph 5, and/or unless required to do so by court order or subpoena, you agree that you will not (i) voluntarily make statements, take action, or give testimony adverse or detrimental to the interests of the Company; or (ii) aid or assist in any manner the efforts of any third party to sue or prosecute a claim against the Company. Should you ever be required to give testimony concerning any matter related to your employment with the Company, you agree to provide notice of such compulsory process to</w:t>
      </w:r>
    </w:p>
    <w:p>
      <w:pPr>
        <w:spacing w:after="0" w:line="2"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 within two (2) business days of its receipt so that the Company may take appropriate measures to quash or otherwise defend its interests.</w:t>
      </w:r>
    </w:p>
    <w:p>
      <w:pPr>
        <w:spacing w:after="0" w:line="181" w:lineRule="exact"/>
        <w:rPr>
          <w:rFonts w:ascii="Times New Roman" w:cs="Times New Roman" w:eastAsia="Times New Roman" w:hAnsi="Times New Roman"/>
          <w:sz w:val="18"/>
          <w:szCs w:val="18"/>
          <w:color w:val="auto"/>
        </w:rPr>
      </w:pPr>
    </w:p>
    <w:p>
      <w:pPr>
        <w:ind w:right="140" w:firstLine="1304"/>
        <w:spacing w:after="0" w:line="266" w:lineRule="auto"/>
        <w:tabs>
          <w:tab w:leader="none" w:pos="2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with the Company</w:t>
      </w:r>
      <w:r>
        <w:rPr>
          <w:rFonts w:ascii="Times New Roman" w:cs="Times New Roman" w:eastAsia="Times New Roman" w:hAnsi="Times New Roman"/>
          <w:sz w:val="18"/>
          <w:szCs w:val="18"/>
          <w:color w:val="auto"/>
        </w:rPr>
        <w:t>. Upon request of the Company, you agree to fully cooperate with the Company and to provide information and/or testimony regarding any current or future litigation arising from actions or events occurring during your employment with the Company.</w:t>
      </w:r>
    </w:p>
    <w:p>
      <w:pPr>
        <w:spacing w:after="0" w:line="175" w:lineRule="exact"/>
        <w:rPr>
          <w:rFonts w:ascii="Times New Roman" w:cs="Times New Roman" w:eastAsia="Times New Roman" w:hAnsi="Times New Roman"/>
          <w:sz w:val="18"/>
          <w:szCs w:val="18"/>
          <w:color w:val="auto"/>
        </w:rPr>
      </w:pPr>
    </w:p>
    <w:p>
      <w:pPr>
        <w:ind w:right="660" w:firstLine="1304"/>
        <w:spacing w:after="0" w:line="282" w:lineRule="auto"/>
        <w:tabs>
          <w:tab w:leader="none" w:pos="2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Reemployment</w:t>
      </w:r>
      <w:r>
        <w:rPr>
          <w:rFonts w:ascii="Times New Roman" w:cs="Times New Roman" w:eastAsia="Times New Roman" w:hAnsi="Times New Roman"/>
          <w:sz w:val="18"/>
          <w:szCs w:val="18"/>
          <w:color w:val="auto"/>
        </w:rPr>
        <w:t>. You agree that you will not seek reemployment with the Company or any current or future parent, subsidiary, or affiliate, except at the request of the Company.</w:t>
      </w:r>
    </w:p>
    <w:p>
      <w:pPr>
        <w:spacing w:after="0" w:line="161" w:lineRule="exact"/>
        <w:rPr>
          <w:rFonts w:ascii="Times New Roman" w:cs="Times New Roman" w:eastAsia="Times New Roman" w:hAnsi="Times New Roman"/>
          <w:sz w:val="18"/>
          <w:szCs w:val="18"/>
          <w:color w:val="auto"/>
        </w:rPr>
      </w:pPr>
    </w:p>
    <w:p>
      <w:pPr>
        <w:ind w:firstLine="1304"/>
        <w:spacing w:after="0" w:line="261" w:lineRule="auto"/>
        <w:tabs>
          <w:tab w:leader="none" w:pos="2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You agree that, as a condition precedent to receiving any payment under this Agreement, you will by the Separation Date return all property belonging to the Company, including, but not limited to, corporate credit cards; keys and access cards; documents; tapes; cell phones; computers, laptops, iPhone and other computer equipment and software; and any and all confidential and proprietary information.</w:t>
      </w:r>
    </w:p>
    <w:p>
      <w:pPr>
        <w:spacing w:after="0" w:line="395" w:lineRule="exact"/>
        <w:rPr>
          <w:rFonts w:ascii="Times New Roman" w:cs="Times New Roman" w:eastAsia="Times New Roman" w:hAnsi="Times New Roman"/>
          <w:sz w:val="18"/>
          <w:szCs w:val="18"/>
          <w:color w:val="auto"/>
        </w:rPr>
      </w:pPr>
    </w:p>
    <w:p>
      <w:pPr>
        <w:ind w:left="5580" w:hanging="99"/>
        <w:spacing w:after="0"/>
        <w:tabs>
          <w:tab w:leader="none" w:pos="55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1" w:name="page222"/>
    <w:bookmarkEnd w:id="221"/>
    <w:p>
      <w:pPr>
        <w:jc w:val="both"/>
        <w:ind w:left="-1120" w:firstLine="1304"/>
        <w:spacing w:after="0" w:line="261"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You acknowledge that you remain bound by and affirm that you will comply with all continuing obligations under the Employment Agreement, including, but not limited to, those set forth in paragraphs 6 and 7 thereof (pertaining to non-competition, non-solicitation, and confidentiality), and that such compliance is a condition of receipt of the Severance Benefits. You affirm that you have not violated the terms of the Employment Agreement during your employment with the Company.</w:t>
      </w:r>
    </w:p>
    <w:p>
      <w:pPr>
        <w:spacing w:after="0" w:line="179" w:lineRule="exact"/>
        <w:rPr>
          <w:rFonts w:ascii="Times New Roman" w:cs="Times New Roman" w:eastAsia="Times New Roman" w:hAnsi="Times New Roman"/>
          <w:sz w:val="18"/>
          <w:szCs w:val="18"/>
          <w:color w:val="auto"/>
        </w:rPr>
      </w:pPr>
    </w:p>
    <w:p>
      <w:pPr>
        <w:ind w:left="-1120" w:right="180" w:firstLine="1304"/>
        <w:spacing w:after="0" w:line="258"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Consideration in Event of Breach</w:t>
      </w:r>
      <w:r>
        <w:rPr>
          <w:rFonts w:ascii="Times New Roman" w:cs="Times New Roman" w:eastAsia="Times New Roman" w:hAnsi="Times New Roman"/>
          <w:sz w:val="18"/>
          <w:szCs w:val="18"/>
          <w:color w:val="auto"/>
        </w:rPr>
        <w:t>. You agree that receipt of any consideration and all payments under this Agreement is contingent on your full compliance with its terms and conditions. Should you breach any provision of this Agreement (including but not limited to filing a lawsuit based upon any claim covered by this Agreement (but excluding a lawsuit covered by paragraph 5 of this Agreement)) or any continuing obligation under the Employment Agreement, the Company shall have the right to recover from you any Severance Benefits already paid, and the Company shall no longer be obligated to provide you any Severance Benefits otherwise due.</w:t>
      </w:r>
    </w:p>
    <w:p>
      <w:pPr>
        <w:spacing w:after="0" w:line="183" w:lineRule="exact"/>
        <w:rPr>
          <w:rFonts w:ascii="Times New Roman" w:cs="Times New Roman" w:eastAsia="Times New Roman" w:hAnsi="Times New Roman"/>
          <w:sz w:val="18"/>
          <w:szCs w:val="18"/>
          <w:color w:val="auto"/>
        </w:rPr>
      </w:pPr>
    </w:p>
    <w:p>
      <w:pPr>
        <w:jc w:val="both"/>
        <w:ind w:left="-1120" w:right="460" w:firstLine="1304"/>
        <w:spacing w:after="0" w:line="266"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 and Jury Waiver</w:t>
      </w:r>
      <w:r>
        <w:rPr>
          <w:rFonts w:ascii="Times New Roman" w:cs="Times New Roman" w:eastAsia="Times New Roman" w:hAnsi="Times New Roman"/>
          <w:sz w:val="18"/>
          <w:szCs w:val="18"/>
          <w:color w:val="auto"/>
        </w:rPr>
        <w:t>. The prevailing party in an action for breach of this Agreement (except for a lawsuit covered by paragraph 5) will have its reasonable costs and attorneys’ fees paid for by the party found to have breached. You and the Company hereby waive trial by jury as to any and all litigation arising out of and/or relating to this Agreement.</w:t>
      </w:r>
    </w:p>
    <w:p>
      <w:pPr>
        <w:spacing w:after="0" w:line="175" w:lineRule="exact"/>
        <w:rPr>
          <w:rFonts w:ascii="Times New Roman" w:cs="Times New Roman" w:eastAsia="Times New Roman" w:hAnsi="Times New Roman"/>
          <w:sz w:val="18"/>
          <w:szCs w:val="18"/>
          <w:color w:val="auto"/>
        </w:rPr>
      </w:pPr>
    </w:p>
    <w:p>
      <w:pPr>
        <w:ind w:left="-1120" w:right="200" w:firstLine="1304"/>
        <w:spacing w:after="0" w:line="282"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dispute, controversy, or difference arising out of, or related to, this Agreement or your employment with the Company shall be resolved by binding arbitration pursuant to paragraph 10 of the Employment Agreement.</w:t>
      </w:r>
    </w:p>
    <w:p>
      <w:pPr>
        <w:spacing w:after="0" w:line="161" w:lineRule="exact"/>
        <w:rPr>
          <w:rFonts w:ascii="Times New Roman" w:cs="Times New Roman" w:eastAsia="Times New Roman" w:hAnsi="Times New Roman"/>
          <w:sz w:val="18"/>
          <w:szCs w:val="18"/>
          <w:color w:val="auto"/>
        </w:rPr>
      </w:pPr>
    </w:p>
    <w:p>
      <w:pPr>
        <w:ind w:left="-1120" w:right="120" w:firstLine="1304"/>
        <w:spacing w:after="0" w:line="256"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Understanding and Competence</w:t>
      </w:r>
      <w:r>
        <w:rPr>
          <w:rFonts w:ascii="Times New Roman" w:cs="Times New Roman" w:eastAsia="Times New Roman" w:hAnsi="Times New Roman"/>
          <w:sz w:val="18"/>
          <w:szCs w:val="18"/>
          <w:color w:val="auto"/>
        </w:rPr>
        <w:t>. You acknowledge and agree that (a) you have read this Agreement in its entirety; (b) you are competent to understand, and do understand, the content and effect of this Agreement; (c) by entering into this Agreement, you are releasing forever the Released Parties from any claim or liability (including claims for attorney’s fees and costs) arising from your employment with the Company; (d) you are entering this Agreement of your own free will in exchange for the consideration herein, which you agree is adequate and satisfactory; and (e) neither the Company nor the Released Parties have made any representations to you concerning the terms or effect of this Agreement, other than those contained in the Agreement.</w:t>
      </w:r>
    </w:p>
    <w:p>
      <w:pPr>
        <w:spacing w:after="0" w:line="187" w:lineRule="exact"/>
        <w:rPr>
          <w:rFonts w:ascii="Times New Roman" w:cs="Times New Roman" w:eastAsia="Times New Roman" w:hAnsi="Times New Roman"/>
          <w:sz w:val="18"/>
          <w:szCs w:val="18"/>
          <w:color w:val="auto"/>
        </w:rPr>
      </w:pPr>
    </w:p>
    <w:p>
      <w:pPr>
        <w:ind w:left="-1120" w:right="40" w:firstLine="1304"/>
        <w:spacing w:after="0" w:line="256"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You acknowledge and agree that (a) except for amounts due under Section 2(b)(v) of the Employment Agreement, you are not owed any wages by the Company for work performed, whether as wages or salary, overtime, bonuses or commissions, or for accrued but unused paid time off, and that you have been fully compensated for all hours worked; (b) you are not aware of any factual basis for a claim that the Company has defrauded the government of the United States or any state; (c) you have incurred no work related injuries; (d) you have received all family or medical leave to which you were entitled under the law; and (e) you have been and hereby are advised to consult with legal counsel of your choice prior to execution and delivery of this Agreement, and that you have done so or voluntarily elected not to do so.</w:t>
      </w:r>
    </w:p>
    <w:p>
      <w:pPr>
        <w:spacing w:after="0" w:line="187" w:lineRule="exact"/>
        <w:rPr>
          <w:rFonts w:ascii="Times New Roman" w:cs="Times New Roman" w:eastAsia="Times New Roman" w:hAnsi="Times New Roman"/>
          <w:sz w:val="18"/>
          <w:szCs w:val="18"/>
          <w:color w:val="auto"/>
        </w:rPr>
      </w:pPr>
    </w:p>
    <w:p>
      <w:pPr>
        <w:ind w:left="-1120" w:right="120" w:firstLine="1304"/>
        <w:spacing w:after="0" w:line="266"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Claims</w:t>
      </w:r>
      <w:r>
        <w:rPr>
          <w:rFonts w:ascii="Times New Roman" w:cs="Times New Roman" w:eastAsia="Times New Roman" w:hAnsi="Times New Roman"/>
          <w:sz w:val="18"/>
          <w:szCs w:val="18"/>
          <w:color w:val="auto"/>
        </w:rPr>
        <w:t>. You represent and warrant that you are the sole and lawful owner of all rights, title and interest in and to all released matters, claims and demands referred to herein. You further represent and warrant that there has been no assignment or other transfer of any interest in any such matters, claims or demands which you may have against the Released Parties.</w:t>
      </w:r>
    </w:p>
    <w:p>
      <w:pPr>
        <w:spacing w:after="0" w:line="175" w:lineRule="exact"/>
        <w:rPr>
          <w:rFonts w:ascii="Times New Roman" w:cs="Times New Roman" w:eastAsia="Times New Roman" w:hAnsi="Times New Roman"/>
          <w:sz w:val="18"/>
          <w:szCs w:val="18"/>
          <w:color w:val="auto"/>
        </w:rPr>
      </w:pPr>
    </w:p>
    <w:p>
      <w:pPr>
        <w:ind w:left="-1120" w:right="160" w:firstLine="1304"/>
        <w:spacing w:after="0" w:line="282" w:lineRule="auto"/>
        <w:tabs>
          <w:tab w:leader="none" w:pos="11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and by facsimile, and each such counterpart shall be deemed an original with the same effect as if all parties had signed the same document.</w:t>
      </w:r>
    </w:p>
    <w:p>
      <w:pPr>
        <w:spacing w:after="0" w:line="377" w:lineRule="exact"/>
        <w:rPr>
          <w:rFonts w:ascii="Times New Roman" w:cs="Times New Roman" w:eastAsia="Times New Roman" w:hAnsi="Times New Roman"/>
          <w:sz w:val="18"/>
          <w:szCs w:val="18"/>
          <w:color w:val="auto"/>
        </w:rPr>
      </w:pPr>
    </w:p>
    <w:p>
      <w:pPr>
        <w:ind w:left="4460" w:hanging="99"/>
        <w:spacing w:after="0"/>
        <w:tabs>
          <w:tab w:leader="none" w:pos="446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2" w:name="page223"/>
    <w:bookmarkEnd w:id="222"/>
    <w:p>
      <w:pPr>
        <w:ind w:right="80" w:firstLine="1304"/>
        <w:spacing w:after="0" w:line="261" w:lineRule="auto"/>
        <w:tabs>
          <w:tab w:leader="none" w:pos="2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Understandings</w:t>
      </w:r>
      <w:r>
        <w:rPr>
          <w:rFonts w:ascii="Times New Roman" w:cs="Times New Roman" w:eastAsia="Times New Roman" w:hAnsi="Times New Roman"/>
          <w:sz w:val="18"/>
          <w:szCs w:val="18"/>
          <w:color w:val="auto"/>
        </w:rPr>
        <w:t>. This Agreement, consisting of six (6) pages, together with the Employment Agreement, constitutes the entire Agreement between the parties with respect to its subject matter, and is binding upon and shall inure to the benefit of the parties and their respective heirs, executors, administrators, personal or legal representatives, successors and/or assigns. This Agreement may be amended only by a written agreement signed by you and the Company.</w:t>
      </w:r>
    </w:p>
    <w:p>
      <w:pPr>
        <w:spacing w:after="0" w:line="179" w:lineRule="exact"/>
        <w:rPr>
          <w:rFonts w:ascii="Times New Roman" w:cs="Times New Roman" w:eastAsia="Times New Roman" w:hAnsi="Times New Roman"/>
          <w:sz w:val="18"/>
          <w:szCs w:val="18"/>
          <w:color w:val="auto"/>
        </w:rPr>
      </w:pPr>
    </w:p>
    <w:p>
      <w:pPr>
        <w:ind w:left="2300" w:hanging="996"/>
        <w:spacing w:after="0"/>
        <w:tabs>
          <w:tab w:leader="none" w:pos="2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and are not to be considered a construction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hereof.</w:t>
      </w:r>
    </w:p>
    <w:p>
      <w:pPr>
        <w:spacing w:after="0" w:line="206" w:lineRule="exact"/>
        <w:rPr>
          <w:rFonts w:ascii="Times New Roman" w:cs="Times New Roman" w:eastAsia="Times New Roman" w:hAnsi="Times New Roman"/>
          <w:sz w:val="18"/>
          <w:szCs w:val="18"/>
          <w:color w:val="auto"/>
        </w:rPr>
      </w:pPr>
    </w:p>
    <w:p>
      <w:pPr>
        <w:ind w:firstLine="1304"/>
        <w:spacing w:after="0" w:line="266" w:lineRule="auto"/>
        <w:tabs>
          <w:tab w:leader="none" w:pos="2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Governing Law</w:t>
      </w:r>
      <w:r>
        <w:rPr>
          <w:rFonts w:ascii="Times New Roman" w:cs="Times New Roman" w:eastAsia="Times New Roman" w:hAnsi="Times New Roman"/>
          <w:sz w:val="18"/>
          <w:szCs w:val="18"/>
          <w:color w:val="auto"/>
        </w:rPr>
        <w:t>. If any provision of this Agreement is found to be invalid, unenforceable or void for any reason, such provision shall be severed from the Agreement and shall not affect the validity or enforceability of the remaining provisions. This Agreement shall be interpreted, enforced and governed by the laws of the Commonwealth of Pennsylvania, without regard to the conflicts of law provisions thereof.</w:t>
      </w:r>
    </w:p>
    <w:p>
      <w:pPr>
        <w:spacing w:after="0" w:line="175" w:lineRule="exact"/>
        <w:rPr>
          <w:rFonts w:ascii="Times New Roman" w:cs="Times New Roman" w:eastAsia="Times New Roman" w:hAnsi="Times New Roman"/>
          <w:sz w:val="18"/>
          <w:szCs w:val="18"/>
          <w:color w:val="auto"/>
        </w:rPr>
      </w:pPr>
    </w:p>
    <w:p>
      <w:pPr>
        <w:jc w:val="both"/>
        <w:ind w:right="120" w:firstLine="1304"/>
        <w:spacing w:after="0" w:line="266" w:lineRule="auto"/>
        <w:tabs>
          <w:tab w:leader="none" w:pos="2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Agreement</w:t>
      </w:r>
      <w:r>
        <w:rPr>
          <w:rFonts w:ascii="Times New Roman" w:cs="Times New Roman" w:eastAsia="Times New Roman" w:hAnsi="Times New Roman"/>
          <w:sz w:val="18"/>
          <w:szCs w:val="18"/>
          <w:color w:val="auto"/>
        </w:rPr>
        <w:t>. As provided in paragraph 6(d), the Company is providing you 21 days to consider whether to accept this Agreement (although you may accept it at any time within those 21 days), after which time the offer expires and is withdrawn if you have not yet accepted it. To accept the Agreement, you must sign below and send it to __________________________.</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63436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17145</wp:posOffset>
            </wp:positionV>
            <wp:extent cx="63436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Vertex, Inc.</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 CORPORATION TERMINATION AND TAX SHARING AGREEMENT</w:t>
      </w:r>
    </w:p>
    <w:p>
      <w:pPr>
        <w:spacing w:after="0" w:line="2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 Corporation Termination and Tax Sharing Agreement, dated as of July 27, 2020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by and between Vertex,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trusts and individuals identified on the signature page hereto (each a “</w:t>
      </w:r>
      <w:r>
        <w:rPr>
          <w:rFonts w:ascii="Times New Roman" w:cs="Times New Roman" w:eastAsia="Times New Roman" w:hAnsi="Times New Roman"/>
          <w:sz w:val="18"/>
          <w:szCs w:val="18"/>
          <w:b w:val="1"/>
          <w:bCs w:val="1"/>
          <w:i w:val="1"/>
          <w:iCs w:val="1"/>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6" w:lineRule="auto"/>
        <w:tabs>
          <w:tab w:leader="none" w:pos="1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elected to be an S corporation (the “</w:t>
      </w:r>
      <w:r>
        <w:rPr>
          <w:rFonts w:ascii="Times New Roman" w:cs="Times New Roman" w:eastAsia="Times New Roman" w:hAnsi="Times New Roman"/>
          <w:sz w:val="18"/>
          <w:szCs w:val="18"/>
          <w:b w:val="1"/>
          <w:bCs w:val="1"/>
          <w:i w:val="1"/>
          <w:iCs w:val="1"/>
          <w:color w:val="auto"/>
        </w:rPr>
        <w:t>S Election</w:t>
      </w:r>
      <w:r>
        <w:rPr>
          <w:rFonts w:ascii="Times New Roman" w:cs="Times New Roman" w:eastAsia="Times New Roman" w:hAnsi="Times New Roman"/>
          <w:sz w:val="18"/>
          <w:szCs w:val="18"/>
          <w:color w:val="auto"/>
        </w:rPr>
        <w:t>”) under Section 1362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conduct an initial public offering registered under the Securities Act of 1933, as amended (the “</w:t>
      </w:r>
      <w:r>
        <w:rPr>
          <w:rFonts w:ascii="Times New Roman" w:cs="Times New Roman" w:eastAsia="Times New Roman" w:hAnsi="Times New Roman"/>
          <w:sz w:val="18"/>
          <w:szCs w:val="18"/>
          <w:b w:val="1"/>
          <w:bCs w:val="1"/>
          <w:i w:val="1"/>
          <w:iCs w:val="1"/>
          <w:color w:val="auto"/>
        </w:rPr>
        <w:t>Public</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Termination Date (as defined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Company’s status as an S corporation will terminate.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64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are currently the only shareholders of the Company and will continue to be so until immediately before the consummation of the Public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3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Public Offering, and in order to induce the investment by the public in the Company, the Company and the Shareholders desire to provide for the termination of the Company’s status as an S Corporation and a tax allocation and indemnification agreement in connection with the tax periods prior to and following the Termination Date, as well as the other agreements set forth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mutual consideration, the receipt and sufficiency of which are hereby acknowledged, the Company and the Shareholders do hereby covenant and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shall mean “accumulated adjustments account” as set forth in Section 1368(e)(1) of the Code.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“Assumed Tax Rate” </w:t>
      </w:r>
      <w:r>
        <w:rPr>
          <w:rFonts w:ascii="Times New Roman" w:cs="Times New Roman" w:eastAsia="Times New Roman" w:hAnsi="Times New Roman"/>
          <w:sz w:val="18"/>
          <w:szCs w:val="18"/>
          <w:color w:val="auto"/>
        </w:rPr>
        <w:t>shall mean, with respect to any tax period, the maximum combined federal income tax rate and applicable state blended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rates (as determined in accordance with the Company’s past practices) for taxpayers who are married and filing jointly, applicable for such period, taking into account the deductibility of state income tax for federal income tax purposes.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 Short Year</w:t>
      </w:r>
      <w:r>
        <w:rPr>
          <w:rFonts w:ascii="Times New Roman" w:cs="Times New Roman" w:eastAsia="Times New Roman" w:hAnsi="Times New Roman"/>
          <w:sz w:val="18"/>
          <w:szCs w:val="18"/>
          <w:color w:val="auto"/>
        </w:rPr>
        <w:t>” shall have the meaning set forth in Section 1362(e)(1)(B)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4" w:name="page225"/>
    <w:bookmarkEnd w:id="2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Recital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Distribution</w:t>
      </w:r>
      <w:r>
        <w:rPr>
          <w:rFonts w:ascii="Times New Roman" w:cs="Times New Roman" w:eastAsia="Times New Roman" w:hAnsi="Times New Roman"/>
          <w:sz w:val="18"/>
          <w:szCs w:val="18"/>
          <w:color w:val="auto"/>
        </w:rPr>
        <w:t>” shall mean a cash distribution during the Post-Termination Transition Period as set forth in Section 1371(e) of the Code to the extent it does not exceed the AAA.</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Transition Period</w:t>
      </w:r>
      <w:r>
        <w:rPr>
          <w:rFonts w:ascii="Times New Roman" w:cs="Times New Roman" w:eastAsia="Times New Roman" w:hAnsi="Times New Roman"/>
          <w:sz w:val="18"/>
          <w:szCs w:val="18"/>
          <w:color w:val="auto"/>
        </w:rPr>
        <w:t>” shall have the meaning set forth in Section 1377(b)(1) of the Code and shall begin on the day after the last day of the Company’s S Short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Recital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Corporation</w:t>
      </w:r>
      <w:r>
        <w:rPr>
          <w:rFonts w:ascii="Times New Roman" w:cs="Times New Roman" w:eastAsia="Times New Roman" w:hAnsi="Times New Roman"/>
          <w:sz w:val="18"/>
          <w:szCs w:val="18"/>
          <w:color w:val="auto"/>
        </w:rPr>
        <w:t>” shall have the meaning set forth in Section 1361 of the Code.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Corporation Taxable Income</w:t>
      </w:r>
      <w:r>
        <w:rPr>
          <w:rFonts w:ascii="Times New Roman" w:cs="Times New Roman" w:eastAsia="Times New Roman" w:hAnsi="Times New Roman"/>
          <w:sz w:val="18"/>
          <w:szCs w:val="18"/>
          <w:color w:val="auto"/>
        </w:rPr>
        <w:t>” shall mean, for periods beginning on or after the date the Company became an S Corporation and ending with the close of the last day of the Company’s S Short Year, the sum of (i) the Company’s items of separately stated income and gain (within the meaning of Section 1366(a)(1)(A) of the Code) reduced, to the extent applicable, by the Company’s separately stated items of deduction and loss (within the meaning of Section 1366(a)(1)(A) of the Code) and (ii) the Company’s non-separately computed net income (within the meaning of Section 1366(a)(l)(B) of the Code).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Corporation Tax Year</w:t>
      </w:r>
      <w:r>
        <w:rPr>
          <w:rFonts w:ascii="Times New Roman" w:cs="Times New Roman" w:eastAsia="Times New Roman" w:hAnsi="Times New Roman"/>
          <w:sz w:val="18"/>
          <w:szCs w:val="18"/>
          <w:color w:val="auto"/>
        </w:rPr>
        <w:t>” shall mean any taxable period during which the Company had an S Election in effect, including the S Short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Election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Recital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Short Year</w:t>
      </w:r>
      <w:r>
        <w:rPr>
          <w:rFonts w:ascii="Times New Roman" w:cs="Times New Roman" w:eastAsia="Times New Roman" w:hAnsi="Times New Roman"/>
          <w:sz w:val="18"/>
          <w:szCs w:val="18"/>
          <w:color w:val="auto"/>
        </w:rPr>
        <w:t>” shall have the meaning set forth in Section 1362(e)(1)(A)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Termination Year</w:t>
      </w:r>
      <w:r>
        <w:rPr>
          <w:rFonts w:ascii="Times New Roman" w:cs="Times New Roman" w:eastAsia="Times New Roman" w:hAnsi="Times New Roman"/>
          <w:sz w:val="18"/>
          <w:szCs w:val="18"/>
          <w:color w:val="auto"/>
        </w:rPr>
        <w:t>” shall have the meaning set forth in Section 1362(e)(4)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Proceeding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shall mean the regulations promulgated by the United States Treasury Department under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 CORPORATION TERMINATION AND TAX SHARING</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Termination of S Election</w:t>
      </w:r>
      <w:r>
        <w:rPr>
          <w:rFonts w:ascii="Times New Roman" w:cs="Times New Roman" w:eastAsia="Times New Roman" w:hAnsi="Times New Roman"/>
          <w:sz w:val="18"/>
          <w:szCs w:val="18"/>
          <w:color w:val="auto"/>
        </w:rPr>
        <w:t>. Pursuant to Section 1362(d) of the Code, the Company’s status as an S Corporation shall terminate on the earlier of (i) the effective date of the Company’s revocation of the S Election as agreed by the Shareholders holding more than one-half of the shares of the Company stock and set forth on the statement filed in accordance with and in the manner provided by Treasury Regulations Section 1.1362-6(a)(3) or</w:t>
      </w:r>
    </w:p>
    <w:p>
      <w:pPr>
        <w:spacing w:after="0" w:line="1" w:lineRule="exact"/>
        <w:rPr>
          <w:sz w:val="20"/>
          <w:szCs w:val="20"/>
          <w:color w:val="auto"/>
        </w:rPr>
      </w:pPr>
    </w:p>
    <w:p>
      <w:pPr>
        <w:ind w:firstLine="8"/>
        <w:spacing w:after="0" w:line="260" w:lineRule="auto"/>
        <w:tabs>
          <w:tab w:leader="none" w:pos="2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on which the Company issues shares of the Company’s common stock in the Public Offering to one or more shareholders which causes the Company to no longer qualify as an S Corporation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Payments Related to Future Adjustments</w:t>
      </w:r>
      <w:r>
        <w:rPr>
          <w:rFonts w:ascii="Times New Roman" w:cs="Times New Roman" w:eastAsia="Times New Roman" w:hAnsi="Times New Roman"/>
          <w:sz w:val="18"/>
          <w:szCs w:val="18"/>
          <w:color w:val="auto"/>
        </w:rPr>
        <w:t>. In the event that any final determination of an adjustment (by reason of an amended return, claim for refund, audit, judicial decision or otherwise, which determination occurs after the Termination Date (each, a “</w:t>
      </w:r>
      <w:r>
        <w:rPr>
          <w:rFonts w:ascii="Times New Roman" w:cs="Times New Roman" w:eastAsia="Times New Roman" w:hAnsi="Times New Roman"/>
          <w:sz w:val="18"/>
          <w:szCs w:val="18"/>
          <w:b w:val="1"/>
          <w:bCs w:val="1"/>
          <w:i w:val="1"/>
          <w:iCs w:val="1"/>
          <w:color w:val="auto"/>
        </w:rPr>
        <w:t>Tax Proceeding</w:t>
      </w:r>
      <w:r>
        <w:rPr>
          <w:rFonts w:ascii="Times New Roman" w:cs="Times New Roman" w:eastAsia="Times New Roman" w:hAnsi="Times New Roman"/>
          <w:sz w:val="18"/>
          <w:szCs w:val="18"/>
          <w:color w:val="auto"/>
        </w:rPr>
        <w:t>”)) results in an increase in S Corporation Taxable Income, the Company shall distribute to each Shareholder within 30 days of such final determination, cash in an amount equal to</w:t>
      </w:r>
    </w:p>
    <w:p>
      <w:pPr>
        <w:spacing w:after="0" w:line="1" w:lineRule="exact"/>
        <w:rPr>
          <w:sz w:val="20"/>
          <w:szCs w:val="20"/>
          <w:color w:val="auto"/>
        </w:rPr>
      </w:pPr>
    </w:p>
    <w:p>
      <w:pPr>
        <w:ind w:left="240" w:hanging="232"/>
        <w:spacing w:after="0"/>
        <w:tabs>
          <w:tab w:leader="none" w:pos="2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amount of increase in taxable income to such Shareholder resulting from the adjustment and (B) the Assumed Tax Rate plus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and penalties imposed thereon.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Liability for Taxes Incurred During the S Short Year and for Tax Periods Ending Prior to the Termination Date</w:t>
      </w:r>
      <w:r>
        <w:rPr>
          <w:rFonts w:ascii="Times New Roman" w:cs="Times New Roman" w:eastAsia="Times New Roman" w:hAnsi="Times New Roman"/>
          <w:sz w:val="18"/>
          <w:szCs w:val="18"/>
          <w:color w:val="auto"/>
        </w:rPr>
        <w:t>. Each Shareholder severally, and not jointly, covenants and agrees that: (i) such Shareholder has duly included (to the best of such Shareholder’s knowledge), or will duly include, in such Shareholder’s federal, state and local income tax returns, such Shareholder’s respective allocable shares of all items of income, gain, loss, deduction, or credit attributable to the S Short Year of the Company, (ii) its federal, state and local income tax returns shall, to the extent required by applicable law, include such Shareholder’s allocable share of S Corporation Taxable Income of the Company from all sources through and including the close of business on the last day of the S Short Year of the Company, and (iii) such Shareholder shall, to the extent required by applicable law, pay any and all taxes such Shareholder is required to pay, as a result of being a shareholder of the Company, for all taxable periods (or that portion of any period) during which the Company was an S Corporation.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Shareholder Indemnification for Tax Liabilities</w:t>
      </w:r>
      <w:r>
        <w:rPr>
          <w:rFonts w:ascii="Times New Roman" w:cs="Times New Roman" w:eastAsia="Times New Roman" w:hAnsi="Times New Roman"/>
          <w:sz w:val="18"/>
          <w:szCs w:val="18"/>
          <w:color w:val="auto"/>
        </w:rPr>
        <w:t>. The Shareholders severally (according to the relative percentage of the outstanding shares of the Company’s common stock owned by each Shareholder on the last day of any applicable period to which a liability described below relates) and not jointly, each hereby agree to indemnify and hold the Company harmless from, against and in respect of any unpaid income tax liabilities of the Company (including interest and penalties imposed thereon) (i) which are attributable to the Company’s S Corporation Taxable Income for the S Short Year or</w:t>
      </w:r>
    </w:p>
    <w:p>
      <w:pPr>
        <w:spacing w:after="0" w:line="3" w:lineRule="exact"/>
        <w:rPr>
          <w:sz w:val="20"/>
          <w:szCs w:val="20"/>
          <w:color w:val="auto"/>
        </w:rPr>
      </w:pPr>
    </w:p>
    <w:p>
      <w:pPr>
        <w:jc w:val="both"/>
        <w:ind w:firstLine="8"/>
        <w:spacing w:after="0" w:line="255" w:lineRule="auto"/>
        <w:tabs>
          <w:tab w:leader="none" w:pos="27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incurred by the Company as a result of a final determination of an adjustment (by reason of a Tax Proceeding) to the taxable income of the Shareholders for any period, including the S Short Year or thereafter, and which (in the case of this clause (ii)) are attributable to a decrease for any period in the Shareholders’ taxable income and a corresponding increase for any period in the taxable income of the Company.</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u w:val="single" w:color="auto"/>
          <w:color w:val="auto"/>
        </w:rPr>
        <w:t>Company Indemnification for Tax Liabilities</w:t>
      </w:r>
      <w:r>
        <w:rPr>
          <w:rFonts w:ascii="Times New Roman" w:cs="Times New Roman" w:eastAsia="Times New Roman" w:hAnsi="Times New Roman"/>
          <w:sz w:val="18"/>
          <w:szCs w:val="18"/>
          <w:color w:val="auto"/>
        </w:rPr>
        <w:t>. The Company hereby indemnifies and agrees to hold the Shareholders harmless from, against and in respect of income tax liabilities (including interest and penalties imposed thereon), if any, incurred by the Shareholders as a result of a final determination of an adjustment (by reason of a Tax Proceeding) to the taxable income of the Company for any period ending after the Termination Date (including, without limitation, the C Short Year) which results in an increase for any period in the taxable income of the Shareholders. The Company shall distribute to each Shareholder cash in an amount equal to (i) the product of (A) the amount of such increase in the taxable income of such Shareholder resulting from such final determination and (B) the Assumed Tax Rate, plus (ii) any interest and penalties imposed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6" w:name="page227"/>
    <w:bookmarkEnd w:id="2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The Shareholders or the Company, as the case may be, shall make any payment required under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within 30 days after receipt of notice from the other party that a final determination of an adjustment (by reason of a Tax Proceeding) has occurred and a payment is due by such party to the appropriate taxing authority.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Termination Payments to Shareholders</w:t>
      </w:r>
      <w:r>
        <w:rPr>
          <w:rFonts w:ascii="Times New Roman" w:cs="Times New Roman" w:eastAsia="Times New Roman" w:hAnsi="Times New Roman"/>
          <w:sz w:val="18"/>
          <w:szCs w:val="18"/>
          <w:color w:val="auto"/>
        </w:rPr>
        <w:t>. Immediately prior to the Termination Date, the Company shall distribute to the Shareholders their pro rata share (the ownership of the shares of the Company’s common stock owned by each Shareholder) of an amount equal to the estimated federal and state tax liabilities of the Shareholders attributable to the operations of the Company during the S Short Year, and in respect of which no prior tax distribution shall have been made (the “</w:t>
      </w:r>
      <w:r>
        <w:rPr>
          <w:rFonts w:ascii="Times New Roman" w:cs="Times New Roman" w:eastAsia="Times New Roman" w:hAnsi="Times New Roman"/>
          <w:sz w:val="18"/>
          <w:szCs w:val="18"/>
          <w:b w:val="1"/>
          <w:bCs w:val="1"/>
          <w:i w:val="1"/>
          <w:iCs w:val="1"/>
          <w:color w:val="auto"/>
        </w:rPr>
        <w:t>Estimated Distribution</w:t>
      </w:r>
      <w:r>
        <w:rPr>
          <w:rFonts w:ascii="Times New Roman" w:cs="Times New Roman" w:eastAsia="Times New Roman" w:hAnsi="Times New Roman"/>
          <w:sz w:val="18"/>
          <w:szCs w:val="18"/>
          <w:color w:val="auto"/>
        </w:rPr>
        <w:t>”). No later than June 30, 2021, the Company shall make any necessary adjustments to finalize the Company’s taxable income for the S Short Year allocable to the Shareholders, and (x) if the amount of the Estimated Distribution to the Shareholders is less than the adjusted income tax liability of the Shareholders taking into account such finalized taxable income of the Company for the S Short Year, each Shareholder’s state income tax liabilities attributable to the operations of the Company for the S Short Year, and the Assumed Tax Rate (the “</w:t>
      </w:r>
      <w:r>
        <w:rPr>
          <w:rFonts w:ascii="Times New Roman" w:cs="Times New Roman" w:eastAsia="Times New Roman" w:hAnsi="Times New Roman"/>
          <w:sz w:val="18"/>
          <w:szCs w:val="18"/>
          <w:b w:val="1"/>
          <w:bCs w:val="1"/>
          <w:i w:val="1"/>
          <w:i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then the Company shall, within 30 days thereafter, distribute to the Shareholders their pro rata share of an amount equal to the excess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Final Distribution over the Estimated Distribution; and (y) if the amount of the Final Distribution is less than the Estimated Distribution, then each Shareholder shall, within 30 days thereafter, deliver to the Company such Shareholder’s pro rata share of an amount equal to the excess of the Estimated Distribution over the Final Distribution. Promptly upon request, each Shareholder shall provide the Company with information related to such Shareholder reasonably necessary to allow the Company to determine the Final Distribution.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ALLOCATION OF INCOME</w:t>
      </w:r>
    </w:p>
    <w:p>
      <w:pPr>
        <w:spacing w:after="0" w:line="20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3.01 </w:t>
      </w:r>
      <w:r>
        <w:rPr>
          <w:rFonts w:ascii="Times New Roman" w:cs="Times New Roman" w:eastAsia="Times New Roman" w:hAnsi="Times New Roman"/>
          <w:sz w:val="17"/>
          <w:szCs w:val="17"/>
          <w:u w:val="single" w:color="auto"/>
          <w:color w:val="auto"/>
        </w:rPr>
        <w:t>Short Taxable Years</w:t>
      </w:r>
      <w:r>
        <w:rPr>
          <w:rFonts w:ascii="Times New Roman" w:cs="Times New Roman" w:eastAsia="Times New Roman" w:hAnsi="Times New Roman"/>
          <w:sz w:val="17"/>
          <w:szCs w:val="17"/>
          <w:color w:val="auto"/>
        </w:rPr>
        <w:t xml:space="preserve">. The parties acknowledge that the taxable year in which the Company’s status as an S Corporation is terminated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will be an S Termination Year with respect to the Company. Pursuant to Section 1362(e)(1) of the Code, the S Termination Year of the Company shall be divided into two short taxable years: an “S Short Year” and a “C Short Year.” The S Short Year shall be that portion of the Company’s S Termination Year ending on the day immediately preceding the Termination Date. Pursuant to Section 1362(e)(1)(B) of the Code, that portion of the S Termination Year beginning on the Termination Date and ending on the last day of the taxable year shall be the C Short Year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u w:val="single" w:color="auto"/>
          <w:color w:val="auto"/>
        </w:rPr>
        <w:t>Closing of the Books</w:t>
      </w:r>
      <w:r>
        <w:rPr>
          <w:rFonts w:ascii="Times New Roman" w:cs="Times New Roman" w:eastAsia="Times New Roman" w:hAnsi="Times New Roman"/>
          <w:sz w:val="18"/>
          <w:szCs w:val="18"/>
          <w:color w:val="auto"/>
        </w:rPr>
        <w:t>. The Company and each Shareholder agree that for income tax purposes (including for purposes of determining the Company’s S Corporation Taxable Income for its S Short Year), the Company shall allocate its items of income, gain, loss, deduction and credit for its calendar year between the S Short Year and the C Short Year in accordance with normal tax accounting rules (the “closing of the books” method). The Company shall timely make the election under Section 1362(e)(3) of the Code. Each Shareholder and the Company agree to provide such information and documentation (including any statement or consent required under Treasury Regulations Section 1.1362-6(b)) necessary to permit the Company to make such election validly.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Refunds</w:t>
      </w:r>
      <w:r>
        <w:rPr>
          <w:rFonts w:ascii="Times New Roman" w:cs="Times New Roman" w:eastAsia="Times New Roman" w:hAnsi="Times New Roman"/>
          <w:sz w:val="18"/>
          <w:szCs w:val="18"/>
          <w:color w:val="auto"/>
        </w:rPr>
        <w:t>. If the Company receives a refund of any income tax (including penalties and interest) for any period prior to the Termination Date, or as to which it has previously been indemnified by any Shareholder pursuant to this Agreement, the Company shall pay an amount equal to such refund, within 30 days after receipt thereof, to such Shareholder in accordance with such Shareholder’s proportionate ownership of the shares of the Company’s common stock on the last day of any applicable period to which the refund relates. If a Shareholder receives a refund of any income tax (including penalties and interest) as to which such Shareholder has previously been indemnified by the Company pursuant to this Agreement, such Shareholder shall, within 30 days after receipt thereon, remit an amount equal to such refund to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Notice and Tax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Shareholders agree that upon receipt of written notice of any Tax Proceeding or related matters that may affect the income tax liability of a party under this Agreement, such person shall use reasonable efforts to promptly (and in any event, not later than 10 days after receipt of such notice) notify each other party hereto.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the option to represent itself in any Tax Proceeding involving the Company at its own expense and using advisors of the Company’s choice. Each Shareholder shall have the right, but not the obligation, to participate in such Tax Proceeding at such Shareholder’s own expense.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Shareholders shall reasonably cooperate with each other in any applicable Tax Proceeding, including executing all instruments reasonably required to effectuate the provisions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parties shall make available to each other, as reasonably requested, and to any taxing authority as required by applicable law, all information, records or documents relating to the liability for taxes covered by this Agreement and will preserve any such information, records or documents until the expiration of the applicable statute of limitations (taking into account extensions thereof). The party requesting such information shall reimburse the other party for all reasonable out-of-pocket expenses incurred in providing such requested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ind w:left="1300" w:hanging="644"/>
        <w:spacing w:after="0" w:line="282" w:lineRule="auto"/>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 party shall take any action in any Tax Proceeding without the prior written consent of each affected party, which consent shall not be unreasonably withheld, conditioned or delayed.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 by a Shareholder of any of the provisions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will terminate the Company’s obligation to make payments to such Shareholder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to the extent any such breach materially prejudices the result of any Tax Proceeding.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Inconsistent Reporting</w:t>
      </w:r>
      <w:r>
        <w:rPr>
          <w:rFonts w:ascii="Times New Roman" w:cs="Times New Roman" w:eastAsia="Times New Roman" w:hAnsi="Times New Roman"/>
          <w:sz w:val="18"/>
          <w:szCs w:val="18"/>
          <w:color w:val="auto"/>
        </w:rPr>
        <w:t>. If a Shareholder hereafter reports an item on such Shareholder’s income tax return in a manner materially inconsistent with the tax treatment reflected in the Schedule K-1 or other tax information provided to the Shareholders by the Company for a taxable period during which the Company’s S Election was in effect, the Shareholder shall notify the Company of such treatment before filing the Shareholder’s income tax return. If such Shareholder fails to notify the Company of such inconsistent reporting, such Shareholder shall be liable to the Company for any losses, costs or expenses (including reasonable attorneys’ fees) arising from such inconsistent reporting, including an audit.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Post-Termination Distributions</w:t>
      </w:r>
      <w:r>
        <w:rPr>
          <w:rFonts w:ascii="Times New Roman" w:cs="Times New Roman" w:eastAsia="Times New Roman" w:hAnsi="Times New Roman"/>
          <w:sz w:val="18"/>
          <w:szCs w:val="18"/>
          <w:color w:val="auto"/>
        </w:rPr>
        <w:t xml:space="preserve">. To the extent practicable and to the extent consistent with applicable law, payments or other distributions made to the Shareholders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will be treated as Post-Termination Distributions for U.S. federal income tax purposes and any correspondingly applicable state and/or local tax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xml:space="preserve">. To the extent that the Company’s tax return preparers determine that such payments or distributions cannot be properly treated as Post-Termination Distributions, then the amount of any distribution made to the Shareholders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shall be increased by the amount of the Shareholders’ additional tax liability, if any, resulting from such payments or distributions, as reasonably determined by the Company’s tax return preparers, assuming that the Shareholders pay tax at the Assumed Tax Rate.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parties agrees that any information furnished pursuant to this Agreement is confidential and, except as and to the extent required by law, or otherwise during the course of an audit or contest or other administrative or legal proceeding, shall not be disclosed to any person or entity.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5.04 </w:t>
      </w:r>
      <w:r>
        <w:rPr>
          <w:rFonts w:ascii="Times New Roman" w:cs="Times New Roman" w:eastAsia="Times New Roman" w:hAnsi="Times New Roman"/>
          <w:sz w:val="18"/>
          <w:szCs w:val="18"/>
          <w:u w:val="single" w:color="auto"/>
          <w:color w:val="auto"/>
        </w:rPr>
        <w:t>Successors and Access to Information</w:t>
      </w:r>
      <w:r>
        <w:rPr>
          <w:rFonts w:ascii="Times New Roman" w:cs="Times New Roman" w:eastAsia="Times New Roman" w:hAnsi="Times New Roman"/>
          <w:sz w:val="18"/>
          <w:szCs w:val="18"/>
          <w:color w:val="auto"/>
        </w:rPr>
        <w:t xml:space="preserve">. This Agreement shall be binding upon and inure to the benefit of any successor, heirs or personal representatives to any of the parties, by merger, acquisition of assets or stock in the Company or otherwise, to the same extent as if the successor, heir or personal representative had been an original party to this Agreement or the applicable Shareholder for the taxable period in question, and in such event, all references herein to a party shall refer instead to the successor, heir or personal representative of such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calculating the tax liability to which any payments under this Agreement would relate, an original Shareholder’s tax liability shall be taken into account, but any payments in connection therewith shall be made to the successor, heir or personal representative of such original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excluding (to the greatest extent permissible by law) any rule of law that would cause the application of the laws of any jurisdiction other than the State of Delaware.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5.06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and shall not be deemed for any purpose to constitute a part or to affect the interpretation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two or more counterparts, each of which will be deemed an original, and it shall not be necessary in making proof of this Agreement to produce or account for more than one counterpart.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5.08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Any facsimile or electronically transmitted copies hereof or signature hereon shall, for all purposes, be deemed originals.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5.09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required or permitted to be given under this Agreement shall be in writing (including telecopy communication) and mailed, telecopied or delivered to the parties at the addresses specified in the Company’s books and records relating to ownership of Company stock or at such other address as one party may specify by notice to the other party. All such notices and communications shall be effective when received. Any payment required to be made under this Agreement shall be mailed or delivered to the parties at the addresses specified in the Company’s books and records relating to ownership of Company stock or at such other address or account as one party may specify by notice to the other party.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unenforceable for any reason, it shall be adjusted rather than voided, if possible, in order to achieve the intent of the parties to the maximum extent practicable. In any event, all other provisions of this Agreement shall be deemed valid, binding, and enforceable to their full extent.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Successor Provisions</w:t>
      </w:r>
      <w:r>
        <w:rPr>
          <w:rFonts w:ascii="Times New Roman" w:cs="Times New Roman" w:eastAsia="Times New Roman" w:hAnsi="Times New Roman"/>
          <w:sz w:val="18"/>
          <w:szCs w:val="18"/>
          <w:color w:val="auto"/>
        </w:rPr>
        <w:t>. Any reference herein to any provisions of the Code or Treasury Regulations shall be deemed to include any amendments or successor provisions thereto as appropriate.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Integration; Amendments</w:t>
      </w:r>
      <w:r>
        <w:rPr>
          <w:rFonts w:ascii="Times New Roman" w:cs="Times New Roman" w:eastAsia="Times New Roman" w:hAnsi="Times New Roman"/>
          <w:sz w:val="18"/>
          <w:szCs w:val="18"/>
          <w:color w:val="auto"/>
        </w:rPr>
        <w:t>. Except as explicitly stated herein, this Agreement embodies the entire understanding between the parties relating to its subject matter and supersedes and terminates all prior agreements and understandings among the parties with respect to such matters. No promises, covenants or representations of any kind, other than those expressly stated herein, have been made to induce any party to enter into this Agreement. This Agreement shall not be modified or terminated except by a writing duly signed by each of the parties hereto, and no waiver of any provisions of this Agreement shall be effective unless in a writing duly signed by the party sought to be bound.</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WAIVES, TO THE FULLEST EXTENT PERMITTED BY APPLICABLE LAW, ANY RIGHT IT MAY HAVE TO A TRIAL BY JURY WITH RESPECT TO ANY DISPUTE ARISING OUT OF THIS AGREEMENT. EACH PARTY</w:t>
      </w:r>
    </w:p>
    <w:p>
      <w:pPr>
        <w:jc w:val="both"/>
        <w:ind w:firstLine="8"/>
        <w:spacing w:after="0" w:line="253" w:lineRule="auto"/>
        <w:tabs>
          <w:tab w:leader="none" w:pos="33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ind w:left="4400"/>
        <w:spacing w:after="0"/>
        <w:rPr>
          <w:sz w:val="20"/>
          <w:szCs w:val="20"/>
          <w:color w:val="auto"/>
        </w:rPr>
      </w:pPr>
      <w:r>
        <w:rPr>
          <w:rFonts w:ascii="Times New Roman" w:cs="Times New Roman" w:eastAsia="Times New Roman" w:hAnsi="Times New Roman"/>
          <w:sz w:val="18"/>
          <w:szCs w:val="18"/>
          <w:b w:val="1"/>
          <w:bCs w:val="1"/>
          <w:color w:val="auto"/>
        </w:rPr>
        <w:t>VERTEX, INC.</w:t>
      </w:r>
    </w:p>
    <w:p>
      <w:pPr>
        <w:spacing w:after="0" w:line="22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David DeStefano</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President, Chief Executive Officer and Chairperson</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EFFREY</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Jeffrey R. Westphal</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Stefanie W. Thompson</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MANDA</w:t>
      </w:r>
      <w:r>
        <w:rPr>
          <w:rFonts w:ascii="Times New Roman" w:cs="Times New Roman" w:eastAsia="Times New Roman" w:hAnsi="Times New Roman"/>
          <w:sz w:val="18"/>
          <w:szCs w:val="18"/>
          <w:color w:val="auto"/>
        </w:rPr>
        <w:t xml:space="preserve"> W.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Amanda W. Radcliffe</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J.J.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Conrad J. J. Radcliffe</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J.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Christopher J. Thompson</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ENJAMIN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CHMERIN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Benjamin Schmerin</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M. F</w:t>
      </w:r>
      <w:r>
        <w:rPr>
          <w:rFonts w:ascii="Times New Roman" w:cs="Times New Roman" w:eastAsia="Times New Roman" w:hAnsi="Times New Roman"/>
          <w:sz w:val="12"/>
          <w:szCs w:val="12"/>
          <w:color w:val="auto"/>
        </w:rPr>
        <w:t>ERRAIOLI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John M. Ferraioli</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G. H</w:t>
      </w:r>
      <w:r>
        <w:rPr>
          <w:rFonts w:ascii="Times New Roman" w:cs="Times New Roman" w:eastAsia="Times New Roman" w:hAnsi="Times New Roman"/>
          <w:sz w:val="12"/>
          <w:szCs w:val="12"/>
          <w:color w:val="auto"/>
        </w:rPr>
        <w:t>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17145</wp:posOffset>
            </wp:positionV>
            <wp:extent cx="36347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John G.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231" w:name="page232"/>
    <w:bookmarkEnd w:id="231"/>
    <w:p>
      <w:pPr>
        <w:ind w:left="4400"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IRREVOCABLE TRUST FBO KAILEY RADCLIFFE u/a of AMANDA W RADCLIFFE dated 10/05/2001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J.J.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Conrad J. J. Radcliffe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K</w:t>
      </w:r>
      <w:r>
        <w:rPr>
          <w:rFonts w:ascii="Times New Roman" w:cs="Times New Roman" w:eastAsia="Times New Roman" w:hAnsi="Times New Roman"/>
          <w:sz w:val="12"/>
          <w:szCs w:val="12"/>
          <w:color w:val="auto"/>
        </w:rPr>
        <w:t>AILEY</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Kailey A. Radcliffe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ITEM SECOND IRREVOCABLE TRUST FBO ANTOINETTE R.</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RADCLIFFE u/a of AMANDA W RADCLIFFE dated 10/05/2001</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J.J.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Conrad J. J. Radcliffe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NTOINETTE</w:t>
      </w:r>
      <w:r>
        <w:rPr>
          <w:rFonts w:ascii="Times New Roman" w:cs="Times New Roman" w:eastAsia="Times New Roman" w:hAnsi="Times New Roman"/>
          <w:sz w:val="18"/>
          <w:szCs w:val="18"/>
          <w:color w:val="auto"/>
        </w:rPr>
        <w:t xml:space="preserve"> R.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Antoinette R. Radcliffe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THIRD PARTY FUNDED SPECIAL NEEDS TRUST FOR CALLUM W.</w:t>
      </w:r>
    </w:p>
    <w:p>
      <w:pPr>
        <w:spacing w:after="0" w:line="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RADCLIFFE u/a of AMANDA W RADCLIFFE dated May 15, 2015</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C</w:t>
      </w:r>
      <w:r>
        <w:rPr>
          <w:rFonts w:ascii="Times New Roman" w:cs="Times New Roman" w:eastAsia="Times New Roman" w:hAnsi="Times New Roman"/>
          <w:sz w:val="12"/>
          <w:szCs w:val="12"/>
          <w:color w:val="auto"/>
        </w:rPr>
        <w:t>ONRAD</w:t>
      </w:r>
      <w:r>
        <w:rPr>
          <w:rFonts w:ascii="Times New Roman" w:cs="Times New Roman" w:eastAsia="Times New Roman" w:hAnsi="Times New Roman"/>
          <w:sz w:val="18"/>
          <w:szCs w:val="18"/>
          <w:color w:val="auto"/>
        </w:rPr>
        <w:t xml:space="preserve"> J. J. R</w:t>
      </w:r>
      <w:r>
        <w:rPr>
          <w:rFonts w:ascii="Times New Roman" w:cs="Times New Roman" w:eastAsia="Times New Roman" w:hAnsi="Times New Roman"/>
          <w:sz w:val="12"/>
          <w:szCs w:val="12"/>
          <w:color w:val="auto"/>
        </w:rPr>
        <w:t>ACLIFFE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Conrad J. J. Radcliffe</w:t>
      </w:r>
    </w:p>
    <w:p>
      <w:pPr>
        <w:spacing w:after="0" w:line="23" w:lineRule="exact"/>
        <w:rPr>
          <w:sz w:val="20"/>
          <w:szCs w:val="20"/>
          <w:color w:val="auto"/>
        </w:rPr>
      </w:pPr>
    </w:p>
    <w:p>
      <w:pPr>
        <w:jc w:val="center"/>
        <w:ind w:right="200"/>
        <w:spacing w:after="0"/>
        <w:tabs>
          <w:tab w:leader="none" w:pos="1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60"/>
          </w:cols>
          <w:pgMar w:left="1440" w:top="900" w:right="399" w:bottom="1440" w:gutter="0" w:footer="0" w:header="0"/>
        </w:sectPr>
      </w:pPr>
    </w:p>
    <w:bookmarkStart w:id="232" w:name="page233"/>
    <w:bookmarkEnd w:id="232"/>
    <w:p>
      <w:pPr>
        <w:ind w:left="440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 TRUST FBO ANNE MARIE WESTPHAL u/a of JEFFREY R. WESTPHAL dated October 5, 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NNE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ARIE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Anne Marie Westphal</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Joshua R. Levine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Steve Treat</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 TRUST FBO KYLE R. WESTPHAL u/a of JEFFREY R. WESTPHAL dated October 5, 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K</w:t>
      </w:r>
      <w:r>
        <w:rPr>
          <w:rFonts w:ascii="Times New Roman" w:cs="Times New Roman" w:eastAsia="Times New Roman" w:hAnsi="Times New Roman"/>
          <w:sz w:val="12"/>
          <w:szCs w:val="12"/>
          <w:color w:val="auto"/>
        </w:rPr>
        <w:t>YLE</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Kyle R. Westphal</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Joshua R. Levine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Steve Treat</w:t>
      </w:r>
    </w:p>
    <w:p>
      <w:pPr>
        <w:spacing w:after="0" w:line="23" w:lineRule="exact"/>
        <w:rPr>
          <w:sz w:val="20"/>
          <w:szCs w:val="20"/>
          <w:color w:val="auto"/>
        </w:rPr>
      </w:pPr>
    </w:p>
    <w:p>
      <w:pPr>
        <w:jc w:val="center"/>
        <w:ind w:right="60"/>
        <w:spacing w:after="0"/>
        <w:tabs>
          <w:tab w:leader="none" w:pos="1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0"/>
          </w:cols>
          <w:pgMar w:left="1440" w:top="900" w:right="539" w:bottom="1440" w:gutter="0" w:footer="0" w:header="0"/>
        </w:sectPr>
      </w:pPr>
    </w:p>
    <w:bookmarkStart w:id="233" w:name="page234"/>
    <w:bookmarkEnd w:id="233"/>
    <w:p>
      <w:pPr>
        <w:ind w:left="4400"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 TRUST FBO JACOB J. WESTPHAL u/a of JEFFREY R. WESTPHAL dated October 5, 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ACOB</w:t>
      </w:r>
      <w:r>
        <w:rPr>
          <w:rFonts w:ascii="Times New Roman" w:cs="Times New Roman" w:eastAsia="Times New Roman" w:hAnsi="Times New Roman"/>
          <w:sz w:val="18"/>
          <w:szCs w:val="18"/>
          <w:color w:val="auto"/>
        </w:rPr>
        <w:t xml:space="preserve"> J. W</w:t>
      </w:r>
      <w:r>
        <w:rPr>
          <w:rFonts w:ascii="Times New Roman" w:cs="Times New Roman" w:eastAsia="Times New Roman" w:hAnsi="Times New Roman"/>
          <w:sz w:val="12"/>
          <w:szCs w:val="12"/>
          <w:color w:val="auto"/>
        </w:rPr>
        <w:t>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Jacob J. Westphal</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Joshua R. Levine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TEVE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Steve Treat</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 TRUST FBO MELANIE H. LUCAS u/a of STEFANIE W. LUCAS dated October 5, 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M</w:t>
      </w:r>
      <w:r>
        <w:rPr>
          <w:rFonts w:ascii="Times New Roman" w:cs="Times New Roman" w:eastAsia="Times New Roman" w:hAnsi="Times New Roman"/>
          <w:sz w:val="12"/>
          <w:szCs w:val="12"/>
          <w:color w:val="auto"/>
        </w:rPr>
        <w:t>ELANIE</w:t>
      </w:r>
      <w:r>
        <w:rPr>
          <w:rFonts w:ascii="Times New Roman" w:cs="Times New Roman" w:eastAsia="Times New Roman" w:hAnsi="Times New Roman"/>
          <w:sz w:val="18"/>
          <w:szCs w:val="18"/>
          <w:color w:val="auto"/>
        </w:rPr>
        <w:t xml:space="preserve"> H. L</w:t>
      </w:r>
      <w:r>
        <w:rPr>
          <w:rFonts w:ascii="Times New Roman" w:cs="Times New Roman" w:eastAsia="Times New Roman" w:hAnsi="Times New Roman"/>
          <w:sz w:val="12"/>
          <w:szCs w:val="12"/>
          <w:color w:val="auto"/>
        </w:rPr>
        <w:t>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Melanie H. Lucas</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 TRUST FBO SAMANTHA W. LUCAS u/a of STEFANIE W. LUCAS dated October 5, 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AMANTHA</w:t>
      </w:r>
      <w:r>
        <w:rPr>
          <w:rFonts w:ascii="Times New Roman" w:cs="Times New Roman" w:eastAsia="Times New Roman" w:hAnsi="Times New Roman"/>
          <w:sz w:val="18"/>
          <w:szCs w:val="18"/>
          <w:color w:val="auto"/>
        </w:rPr>
        <w:t xml:space="preserve"> W. L</w:t>
      </w:r>
      <w:r>
        <w:rPr>
          <w:rFonts w:ascii="Times New Roman" w:cs="Times New Roman" w:eastAsia="Times New Roman" w:hAnsi="Times New Roman"/>
          <w:sz w:val="12"/>
          <w:szCs w:val="12"/>
          <w:color w:val="auto"/>
        </w:rPr>
        <w:t>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Samantha W. Lucas</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 TRUST FBO MACKENZIE S. LUCAS u/a of STEFANIE W. LUCAS dated October 5, 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M</w:t>
      </w:r>
      <w:r>
        <w:rPr>
          <w:rFonts w:ascii="Times New Roman" w:cs="Times New Roman" w:eastAsia="Times New Roman" w:hAnsi="Times New Roman"/>
          <w:sz w:val="12"/>
          <w:szCs w:val="12"/>
          <w:color w:val="auto"/>
        </w:rPr>
        <w:t>ACKENZIE</w:t>
      </w:r>
      <w:r>
        <w:rPr>
          <w:rFonts w:ascii="Times New Roman" w:cs="Times New Roman" w:eastAsia="Times New Roman" w:hAnsi="Times New Roman"/>
          <w:sz w:val="18"/>
          <w:szCs w:val="18"/>
          <w:color w:val="auto"/>
        </w:rPr>
        <w:t xml:space="preserve"> S. L</w:t>
      </w:r>
      <w:r>
        <w:rPr>
          <w:rFonts w:ascii="Times New Roman" w:cs="Times New Roman" w:eastAsia="Times New Roman" w:hAnsi="Times New Roman"/>
          <w:sz w:val="12"/>
          <w:szCs w:val="12"/>
          <w:color w:val="auto"/>
        </w:rPr>
        <w:t>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Mackenzie S. Lucas</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40"/>
          </w:cols>
          <w:pgMar w:left="1440" w:top="900" w:right="819" w:bottom="1440" w:gutter="0" w:footer="0" w:header="0"/>
        </w:sectPr>
      </w:pPr>
    </w:p>
    <w:bookmarkStart w:id="234" w:name="page235"/>
    <w:bookmarkEnd w:id="234"/>
    <w:p>
      <w:pPr>
        <w:ind w:left="4400"/>
        <w:spacing w:after="0" w:line="286" w:lineRule="auto"/>
        <w:rPr>
          <w:sz w:val="20"/>
          <w:szCs w:val="20"/>
          <w:color w:val="auto"/>
        </w:rPr>
      </w:pPr>
      <w:r>
        <w:rPr>
          <w:rFonts w:ascii="Times New Roman" w:cs="Times New Roman" w:eastAsia="Times New Roman" w:hAnsi="Times New Roman"/>
          <w:sz w:val="18"/>
          <w:szCs w:val="18"/>
          <w:b w:val="1"/>
          <w:bCs w:val="1"/>
          <w:color w:val="auto"/>
        </w:rPr>
        <w:t>ITEM SECOND IRR. TRUST FBO ANDREA P. LUCAS u/a of STEFANIE W. LUCAS dated October 5, 2001</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NDREA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CHMERIN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Andrea P. Schmerin (f/k/a Andrea P. Lucas)</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The 2009 Jeffrey R. Westphal Generation Skipping Trust</w:t>
      </w:r>
    </w:p>
    <w:p>
      <w:pPr>
        <w:spacing w:after="0" w:line="22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EFFREY</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Jeffrey R. Westphal</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The 2009 Stefanie Lucas Generation Skipping Trust</w:t>
      </w:r>
    </w:p>
    <w:p>
      <w:pPr>
        <w:spacing w:after="0" w:line="22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Stefanie W. Thompson (f/k/a Stefanie W. Lucas)</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The 2009 Amanda W. Radcliffe Generation Skipping Trust</w:t>
      </w:r>
    </w:p>
    <w:p>
      <w:pPr>
        <w:spacing w:after="0" w:line="22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MANDA</w:t>
      </w:r>
      <w:r>
        <w:rPr>
          <w:rFonts w:ascii="Times New Roman" w:cs="Times New Roman" w:eastAsia="Times New Roman" w:hAnsi="Times New Roman"/>
          <w:sz w:val="18"/>
          <w:szCs w:val="18"/>
          <w:color w:val="auto"/>
        </w:rPr>
        <w:t xml:space="preserve"> W.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Amanda W. Radcliffe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1116" w:right="1179" w:bottom="1440" w:gutter="0" w:footer="0" w:header="0"/>
        </w:sectPr>
      </w:pPr>
    </w:p>
    <w:bookmarkStart w:id="235" w:name="page236"/>
    <w:bookmarkEnd w:id="235"/>
    <w:p>
      <w:pPr>
        <w:ind w:left="4400" w:right="200"/>
        <w:spacing w:after="0" w:line="268" w:lineRule="auto"/>
        <w:rPr>
          <w:sz w:val="20"/>
          <w:szCs w:val="20"/>
          <w:color w:val="auto"/>
        </w:rPr>
      </w:pPr>
      <w:r>
        <w:rPr>
          <w:rFonts w:ascii="Times New Roman" w:cs="Times New Roman" w:eastAsia="Times New Roman" w:hAnsi="Times New Roman"/>
          <w:sz w:val="18"/>
          <w:szCs w:val="18"/>
          <w:b w:val="1"/>
          <w:bCs w:val="1"/>
          <w:color w:val="auto"/>
        </w:rPr>
        <w:t>The Irrevocable Deed of Trust of Antoinette M. Westphal, dated March 31, 1987, Stefanie W. Thompson and Sterling Trustees LLC, Trustees</w:t>
      </w:r>
    </w:p>
    <w:p>
      <w:pPr>
        <w:spacing w:after="0" w:line="175"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Stefanie W. Thompson</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78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w:t>
      </w:r>
      <w:r>
        <w:rPr>
          <w:rFonts w:ascii="Times New Roman" w:cs="Times New Roman" w:eastAsia="Times New Roman" w:hAnsi="Times New Roman"/>
          <w:sz w:val="12"/>
          <w:szCs w:val="12"/>
          <w:color w:val="auto"/>
        </w:rPr>
        <w:t>TERLING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RUSTEES</w:t>
      </w:r>
      <w:r>
        <w:rPr>
          <w:rFonts w:ascii="Times New Roman" w:cs="Times New Roman" w:eastAsia="Times New Roman" w:hAnsi="Times New Roman"/>
          <w:sz w:val="18"/>
          <w:szCs w:val="18"/>
          <w:color w:val="auto"/>
        </w:rPr>
        <w:t xml:space="preserv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17145</wp:posOffset>
            </wp:positionV>
            <wp:extent cx="31203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Trustee</w:t>
      </w:r>
    </w:p>
    <w:p>
      <w:pPr>
        <w:spacing w:after="0" w:line="220" w:lineRule="exact"/>
        <w:rPr>
          <w:sz w:val="20"/>
          <w:szCs w:val="20"/>
          <w:color w:val="auto"/>
        </w:rPr>
      </w:pPr>
    </w:p>
    <w:p>
      <w:pPr>
        <w:ind w:left="5060"/>
        <w:spacing w:after="0"/>
        <w:tabs>
          <w:tab w:leader="none" w:pos="556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NTHONY</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17145</wp:posOffset>
            </wp:positionV>
            <wp:extent cx="28803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Anthony Joffe</w:t>
      </w:r>
    </w:p>
    <w:p>
      <w:pPr>
        <w:spacing w:after="0" w:line="23" w:lineRule="exact"/>
        <w:rPr>
          <w:sz w:val="20"/>
          <w:szCs w:val="20"/>
          <w:color w:val="auto"/>
        </w:rPr>
      </w:pPr>
    </w:p>
    <w:p>
      <w:pPr>
        <w:ind w:left="5060"/>
        <w:spacing w:after="0"/>
        <w:tabs>
          <w:tab w:leader="none" w:pos="55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4400"/>
        <w:spacing w:after="0" w:line="286" w:lineRule="auto"/>
        <w:rPr>
          <w:sz w:val="20"/>
          <w:szCs w:val="20"/>
          <w:color w:val="auto"/>
        </w:rPr>
      </w:pPr>
      <w:r>
        <w:rPr>
          <w:rFonts w:ascii="Times New Roman" w:cs="Times New Roman" w:eastAsia="Times New Roman" w:hAnsi="Times New Roman"/>
          <w:sz w:val="18"/>
          <w:szCs w:val="18"/>
          <w:b w:val="1"/>
          <w:bCs w:val="1"/>
          <w:color w:val="auto"/>
        </w:rPr>
        <w:t>Irrevocable Trust of Rainer J. Westphal, Settlor, dated July 19, 2007 – Separate Trust for Benefit of Stefanie W. Lucas</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TEFANIE</w:t>
      </w:r>
      <w:r>
        <w:rPr>
          <w:rFonts w:ascii="Times New Roman" w:cs="Times New Roman" w:eastAsia="Times New Roman" w:hAnsi="Times New Roman"/>
          <w:sz w:val="18"/>
          <w:szCs w:val="18"/>
          <w:color w:val="auto"/>
        </w:rPr>
        <w:t xml:space="preserve"> W.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Stefanie W. Thompson (f/k/a Stefanie W. Lucas)</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line="286" w:lineRule="auto"/>
        <w:rPr>
          <w:sz w:val="20"/>
          <w:szCs w:val="20"/>
          <w:color w:val="auto"/>
        </w:rPr>
      </w:pPr>
      <w:r>
        <w:rPr>
          <w:rFonts w:ascii="Times New Roman" w:cs="Times New Roman" w:eastAsia="Times New Roman" w:hAnsi="Times New Roman"/>
          <w:sz w:val="18"/>
          <w:szCs w:val="18"/>
          <w:b w:val="1"/>
          <w:bCs w:val="1"/>
          <w:color w:val="auto"/>
        </w:rPr>
        <w:t>Irrevocable Trust of Rainer J. Westphal, Settlor, dated July 19, 2007 – Separate Trust for Benefit of Amanda W. Radcliffe</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MANDA</w:t>
      </w:r>
      <w:r>
        <w:rPr>
          <w:rFonts w:ascii="Times New Roman" w:cs="Times New Roman" w:eastAsia="Times New Roman" w:hAnsi="Times New Roman"/>
          <w:sz w:val="18"/>
          <w:szCs w:val="18"/>
          <w:color w:val="auto"/>
        </w:rPr>
        <w:t xml:space="preserve"> W. R</w:t>
      </w:r>
      <w:r>
        <w:rPr>
          <w:rFonts w:ascii="Times New Roman" w:cs="Times New Roman" w:eastAsia="Times New Roman" w:hAnsi="Times New Roman"/>
          <w:sz w:val="12"/>
          <w:szCs w:val="12"/>
          <w:color w:val="auto"/>
        </w:rPr>
        <w:t>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Amanda W. Radcliffe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line="286" w:lineRule="auto"/>
        <w:rPr>
          <w:sz w:val="20"/>
          <w:szCs w:val="20"/>
          <w:color w:val="auto"/>
        </w:rPr>
      </w:pPr>
      <w:r>
        <w:rPr>
          <w:rFonts w:ascii="Times New Roman" w:cs="Times New Roman" w:eastAsia="Times New Roman" w:hAnsi="Times New Roman"/>
          <w:sz w:val="18"/>
          <w:szCs w:val="18"/>
          <w:b w:val="1"/>
          <w:bCs w:val="1"/>
          <w:color w:val="auto"/>
        </w:rPr>
        <w:t>Irrevocable Trust of Rainer J. Westphal, Settlor, dated July 19, 2007 – Separate Trust for Benefit of Jeffrey Westphal</w:t>
      </w:r>
    </w:p>
    <w:p>
      <w:pPr>
        <w:spacing w:after="0" w:line="159"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EFFREY</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2"/>
          <w:szCs w:val="12"/>
          <w:color w:val="auto"/>
        </w:rPr>
        <w:t>ESTPHAL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Jeffrey R. Westphal</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60"/>
          </w:cols>
          <w:pgMar w:left="1440" w:top="900" w:right="699" w:bottom="1440" w:gutter="0" w:footer="0" w:header="0"/>
        </w:sectPr>
      </w:pPr>
    </w:p>
    <w:bookmarkStart w:id="236" w:name="page237"/>
    <w:bookmarkEnd w:id="236"/>
    <w:p>
      <w:pPr>
        <w:ind w:left="4400"/>
        <w:spacing w:after="0"/>
        <w:rPr>
          <w:sz w:val="20"/>
          <w:szCs w:val="20"/>
          <w:color w:val="auto"/>
        </w:rPr>
      </w:pPr>
      <w:r>
        <w:rPr>
          <w:rFonts w:ascii="Times New Roman" w:cs="Times New Roman" w:eastAsia="Times New Roman" w:hAnsi="Times New Roman"/>
          <w:sz w:val="17"/>
          <w:szCs w:val="17"/>
          <w:b w:val="1"/>
          <w:bCs w:val="1"/>
          <w:color w:val="auto"/>
        </w:rPr>
        <w:t>2020 IRREVOCABLE TRUST FOR BENEFIT OF CONSTANCE A.</w:t>
      </w:r>
    </w:p>
    <w:p>
      <w:pPr>
        <w:spacing w:after="0" w:line="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THOMPSON</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C</w:t>
      </w:r>
      <w:r>
        <w:rPr>
          <w:rFonts w:ascii="Times New Roman" w:cs="Times New Roman" w:eastAsia="Times New Roman" w:hAnsi="Times New Roman"/>
          <w:sz w:val="12"/>
          <w:szCs w:val="12"/>
          <w:color w:val="auto"/>
        </w:rPr>
        <w:t>ONSTANCE</w:t>
      </w:r>
      <w:r>
        <w:rPr>
          <w:rFonts w:ascii="Times New Roman" w:cs="Times New Roman" w:eastAsia="Times New Roman" w:hAnsi="Times New Roman"/>
          <w:sz w:val="18"/>
          <w:szCs w:val="18"/>
          <w:color w:val="auto"/>
        </w:rPr>
        <w:t xml:space="preserve"> A.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Constance A. Thompson</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J. T</w:t>
      </w:r>
      <w:r>
        <w:rPr>
          <w:rFonts w:ascii="Times New Roman" w:cs="Times New Roman" w:eastAsia="Times New Roman" w:hAnsi="Times New Roman"/>
          <w:sz w:val="12"/>
          <w:szCs w:val="12"/>
          <w:color w:val="auto"/>
        </w:rPr>
        <w: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Christopher J. Thompson</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2020 IRREVOCABLE TRUST FOR BENEFIT OF NICHOLAS A.</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SHUHAN</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N</w:t>
      </w:r>
      <w:r>
        <w:rPr>
          <w:rFonts w:ascii="Times New Roman" w:cs="Times New Roman" w:eastAsia="Times New Roman" w:hAnsi="Times New Roman"/>
          <w:sz w:val="12"/>
          <w:szCs w:val="12"/>
          <w:color w:val="auto"/>
        </w:rPr>
        <w:t>ICHOLAS</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2"/>
          <w:szCs w:val="12"/>
          <w:color w:val="auto"/>
        </w:rPr>
        <w:t>HUHAN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Nicholas A. Shuhan</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w:t>
      </w:r>
      <w:r>
        <w:rPr>
          <w:rFonts w:ascii="Times New Roman" w:cs="Times New Roman" w:eastAsia="Times New Roman" w:hAnsi="Times New Roman"/>
          <w:sz w:val="12"/>
          <w:szCs w:val="12"/>
          <w:color w:val="auto"/>
        </w:rPr>
        <w:t>OSHUA</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2"/>
          <w:szCs w:val="12"/>
          <w:color w:val="auto"/>
        </w:rPr>
        <w:t>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Joshua R. Levine</w:t>
      </w:r>
    </w:p>
    <w:p>
      <w:pPr>
        <w:spacing w:after="0" w:line="23"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S</w:t>
      </w:r>
      <w:r>
        <w:rPr>
          <w:rFonts w:ascii="Times New Roman" w:cs="Times New Roman" w:eastAsia="Times New Roman" w:hAnsi="Times New Roman"/>
          <w:sz w:val="12"/>
          <w:szCs w:val="12"/>
          <w:color w:val="auto"/>
        </w:rPr>
        <w:t>TEPHEN</w:t>
      </w:r>
      <w:r>
        <w:rPr>
          <w:rFonts w:ascii="Times New Roman" w:cs="Times New Roman" w:eastAsia="Times New Roman" w:hAnsi="Times New Roman"/>
          <w:sz w:val="18"/>
          <w:szCs w:val="18"/>
          <w:color w:val="auto"/>
        </w:rPr>
        <w:t xml:space="preserve"> R. T</w:t>
      </w:r>
      <w:r>
        <w:rPr>
          <w:rFonts w:ascii="Times New Roman" w:cs="Times New Roman" w:eastAsia="Times New Roman" w:hAnsi="Times New Roman"/>
          <w:sz w:val="12"/>
          <w:szCs w:val="12"/>
          <w:color w:val="auto"/>
        </w:rPr>
        <w:t>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33000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Stephen R. Treat</w:t>
      </w:r>
    </w:p>
    <w:p>
      <w:pPr>
        <w:spacing w:after="0" w:line="23" w:lineRule="exact"/>
        <w:rPr>
          <w:sz w:val="20"/>
          <w:szCs w:val="20"/>
          <w:color w:val="auto"/>
        </w:rPr>
      </w:pPr>
    </w:p>
    <w:p>
      <w:pPr>
        <w:jc w:val="center"/>
        <w:ind w:right="-139"/>
        <w:spacing w:after="0"/>
        <w:tabs>
          <w:tab w:leader="none" w:pos="1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20"/>
          </w:cols>
          <w:pgMar w:left="1440" w:top="900" w:right="7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8"/>
          <w:szCs w:val="18"/>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DeStefano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11, 2020</w:t>
      </w:r>
      <w:r>
        <w:rPr>
          <w:sz w:val="20"/>
          <w:szCs w:val="20"/>
          <w:color w:val="auto"/>
        </w:rPr>
        <w:tab/>
      </w:r>
      <w:r>
        <w:rPr>
          <w:rFonts w:ascii="Times New Roman" w:cs="Times New Roman" w:eastAsia="Times New Roman" w:hAnsi="Times New Roman"/>
          <w:sz w:val="18"/>
          <w:szCs w:val="18"/>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Schwab</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June 30,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2020</w:t>
            </w:r>
          </w:p>
        </w:tc>
        <w:tc>
          <w:tcPr>
            <w:tcW w:w="75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David DeStefano</w:t>
            </w:r>
          </w:p>
        </w:tc>
      </w:tr>
      <w:tr>
        <w:trPr>
          <w:trHeight w:val="178"/>
        </w:trPr>
        <w:tc>
          <w:tcPr>
            <w:tcW w:w="3740" w:type="dxa"/>
            <w:vAlign w:val="bottom"/>
          </w:tcPr>
          <w:p>
            <w:pPr>
              <w:spacing w:after="0"/>
              <w:rPr>
                <w:sz w:val="15"/>
                <w:szCs w:val="15"/>
                <w:color w:val="auto"/>
              </w:rPr>
            </w:pPr>
          </w:p>
        </w:tc>
        <w:tc>
          <w:tcPr>
            <w:tcW w:w="2220" w:type="dxa"/>
            <w:vAlign w:val="bottom"/>
          </w:tcPr>
          <w:p>
            <w:pPr>
              <w:ind w:left="1880"/>
              <w:spacing w:after="0" w:line="177" w:lineRule="exact"/>
              <w:rPr>
                <w:sz w:val="20"/>
                <w:szCs w:val="20"/>
                <w:color w:val="auto"/>
              </w:rPr>
            </w:pPr>
            <w:r>
              <w:rPr>
                <w:rFonts w:ascii="Times New Roman" w:cs="Times New Roman" w:eastAsia="Times New Roman" w:hAnsi="Times New Roman"/>
                <w:sz w:val="18"/>
                <w:szCs w:val="18"/>
                <w:color w:val="auto"/>
                <w:w w:val="72"/>
              </w:rPr>
              <w:t>David</w:t>
            </w:r>
          </w:p>
        </w:tc>
        <w:tc>
          <w:tcPr>
            <w:tcW w:w="5280" w:type="dxa"/>
            <w:vAlign w:val="bottom"/>
            <w:tcBorders>
              <w:top w:val="single" w:sz="8" w:color="auto"/>
            </w:tcBorders>
          </w:tcPr>
          <w:p>
            <w:pPr>
              <w:ind w:left="140"/>
              <w:spacing w:after="0" w:line="177" w:lineRule="exact"/>
              <w:rPr>
                <w:sz w:val="20"/>
                <w:szCs w:val="20"/>
                <w:color w:val="auto"/>
              </w:rPr>
            </w:pPr>
            <w:r>
              <w:rPr>
                <w:rFonts w:ascii="Times New Roman" w:cs="Times New Roman" w:eastAsia="Times New Roman" w:hAnsi="Times New Roman"/>
                <w:sz w:val="18"/>
                <w:szCs w:val="18"/>
                <w:color w:val="auto"/>
              </w:rPr>
              <w:t>DeStefano</w:t>
            </w:r>
          </w:p>
        </w:tc>
      </w:tr>
      <w:tr>
        <w:trPr>
          <w:trHeight w:val="214"/>
        </w:trPr>
        <w:tc>
          <w:tcPr>
            <w:tcW w:w="3740" w:type="dxa"/>
            <w:vAlign w:val="bottom"/>
          </w:tcPr>
          <w:p>
            <w:pPr>
              <w:spacing w:after="0"/>
              <w:rPr>
                <w:sz w:val="18"/>
                <w:szCs w:val="18"/>
                <w:color w:val="auto"/>
              </w:rPr>
            </w:pPr>
          </w:p>
        </w:tc>
        <w:tc>
          <w:tcPr>
            <w:tcW w:w="75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740" w:type="dxa"/>
            <w:vAlign w:val="bottom"/>
          </w:tcPr>
          <w:p>
            <w:pPr>
              <w:spacing w:after="0"/>
              <w:rPr>
                <w:sz w:val="20"/>
                <w:szCs w:val="20"/>
                <w:color w:val="auto"/>
              </w:rPr>
            </w:pPr>
          </w:p>
        </w:tc>
        <w:tc>
          <w:tcPr>
            <w:tcW w:w="7500" w:type="dxa"/>
            <w:vAlign w:val="bottom"/>
            <w:gridSpan w:val="2"/>
          </w:tcPr>
          <w:p>
            <w:pPr>
              <w:ind w:left="18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June 30,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11, 2020</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78"/>
        </w:trPr>
        <w:tc>
          <w:tcPr>
            <w:tcW w:w="3760" w:type="dxa"/>
            <w:vAlign w:val="bottom"/>
          </w:tcPr>
          <w:p>
            <w:pPr>
              <w:spacing w:after="0"/>
              <w:rPr>
                <w:sz w:val="15"/>
                <w:szCs w:val="15"/>
                <w:color w:val="auto"/>
              </w:rPr>
            </w:pPr>
          </w:p>
        </w:tc>
        <w:tc>
          <w:tcPr>
            <w:tcW w:w="2200" w:type="dxa"/>
            <w:vAlign w:val="bottom"/>
          </w:tcPr>
          <w:p>
            <w:pPr>
              <w:ind w:left="1880"/>
              <w:spacing w:after="0" w:line="177" w:lineRule="exact"/>
              <w:rPr>
                <w:sz w:val="20"/>
                <w:szCs w:val="20"/>
                <w:color w:val="auto"/>
              </w:rPr>
            </w:pPr>
            <w:r>
              <w:rPr>
                <w:rFonts w:ascii="Times New Roman" w:cs="Times New Roman" w:eastAsia="Times New Roman" w:hAnsi="Times New Roman"/>
                <w:sz w:val="18"/>
                <w:szCs w:val="18"/>
                <w:color w:val="auto"/>
                <w:w w:val="88"/>
              </w:rPr>
              <w:t>John</w:t>
            </w:r>
          </w:p>
        </w:tc>
        <w:tc>
          <w:tcPr>
            <w:tcW w:w="5280" w:type="dxa"/>
            <w:vAlign w:val="bottom"/>
            <w:tcBorders>
              <w:top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Schwab</w:t>
            </w:r>
          </w:p>
        </w:tc>
      </w:tr>
      <w:tr>
        <w:trPr>
          <w:trHeight w:val="214"/>
        </w:trPr>
        <w:tc>
          <w:tcPr>
            <w:tcW w:w="3760" w:type="dxa"/>
            <w:vAlign w:val="bottom"/>
          </w:tcPr>
          <w:p>
            <w:pPr>
              <w:spacing w:after="0"/>
              <w:rPr>
                <w:sz w:val="18"/>
                <w:szCs w:val="18"/>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
      <w:numFmt w:val="bullet"/>
      <w:start w:val="1"/>
    </w:lvl>
  </w:abstractNum>
  <w:abstractNum w:abstractNumId="3">
    <w:nsid w:val="69E373"/>
    <w:multiLevelType w:val="hybridMultilevel"/>
    <w:lvl w:ilvl="0">
      <w:lvlJc w:val="left"/>
      <w:lvlText w:val="(*)"/>
      <w:numFmt w:val="bullet"/>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1."/>
      <w:numFmt w:val="decimal"/>
      <w:start w:val="1"/>
    </w:lvl>
  </w:abstractNum>
  <w:abstractNum w:abstractNumId="7">
    <w:nsid w:val="1DF029D3"/>
    <w:multiLevelType w:val="hybridMultilevel"/>
    <w:lvl w:ilvl="0">
      <w:lvlJc w:val="left"/>
      <w:lvlText w:val="$"/>
      <w:numFmt w:val="bullet"/>
      <w:start w:val="1"/>
    </w:lvl>
  </w:abstractNum>
  <w:abstractNum w:abstractNumId="8">
    <w:nsid w:val="5675FF36"/>
    <w:multiLevelType w:val="hybridMultilevel"/>
    <w:lvl w:ilvl="0">
      <w:lvlJc w:val="left"/>
      <w:lvlText w:val="$"/>
      <w:numFmt w:val="bullet"/>
      <w:start w:val="1"/>
    </w:lvl>
  </w:abstractNum>
  <w:abstractNum w:abstractNumId="9">
    <w:nsid w:val="3DD15094"/>
    <w:multiLevelType w:val="hybridMultilevel"/>
    <w:lvl w:ilvl="0">
      <w:lvlJc w:val="left"/>
      <w:lvlText w:val="%1."/>
      <w:numFmt w:val="decimal"/>
      <w:start w:val="4"/>
    </w:lvl>
  </w:abstractNum>
  <w:abstractNum w:abstractNumId="10">
    <w:nsid w:val="3DB012B3"/>
    <w:multiLevelType w:val="hybridMultilevel"/>
    <w:lvl w:ilvl="0">
      <w:lvlJc w:val="left"/>
      <w:lvlText w:val="%1."/>
      <w:numFmt w:val="decimal"/>
      <w:start w:val="5"/>
    </w:lvl>
  </w:abstractNum>
  <w:abstractNum w:abstractNumId="11">
    <w:nsid w:val="2708C9AF"/>
    <w:multiLevelType w:val="hybridMultilevel"/>
    <w:lvl w:ilvl="0">
      <w:lvlJc w:val="left"/>
      <w:lvlText w:val="%1."/>
      <w:numFmt w:val="decimal"/>
      <w:start w:val="6"/>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1."/>
      <w:numFmt w:val="decimal"/>
      <w:start w:val="7"/>
    </w:lvl>
  </w:abstractNum>
  <w:abstractNum w:abstractNumId="15">
    <w:nsid w:val="53B0A9E"/>
    <w:multiLevelType w:val="hybridMultilevel"/>
    <w:lvl w:ilvl="0">
      <w:lvlJc w:val="left"/>
      <w:lvlText w:val="%1."/>
      <w:numFmt w:val="decimal"/>
      <w:start w:val="8"/>
    </w:lvl>
  </w:abstractNum>
  <w:abstractNum w:abstractNumId="16">
    <w:nsid w:val="34FD6B4F"/>
    <w:multiLevelType w:val="hybridMultilevel"/>
    <w:lvl w:ilvl="0">
      <w:lvlJc w:val="left"/>
      <w:lvlText w:val="%1."/>
      <w:numFmt w:val="decimal"/>
      <w:start w:val="9"/>
    </w:lvl>
  </w:abstractNum>
  <w:abstractNum w:abstractNumId="17">
    <w:nsid w:val="5915FF32"/>
    <w:multiLevelType w:val="hybridMultilevel"/>
    <w:lvl w:ilvl="0">
      <w:lvlJc w:val="left"/>
      <w:lvlText w:val="%1."/>
      <w:numFmt w:val="decimal"/>
      <w:start w:val="10"/>
    </w:lvl>
  </w:abstractNum>
  <w:abstractNum w:abstractNumId="18">
    <w:nsid w:val="56438D15"/>
    <w:multiLevelType w:val="hybridMultilevel"/>
    <w:lvl w:ilvl="0">
      <w:lvlJc w:val="left"/>
      <w:lvlText w:val="(%1)"/>
      <w:numFmt w:val="decimal"/>
      <w:start w:val="1"/>
    </w:lvl>
    <w:lvl w:ilvl="1">
      <w:lvlJc w:val="left"/>
      <w:lvlText w:val="-"/>
      <w:numFmt w:val="bullet"/>
      <w:start w:val="1"/>
    </w:lvl>
  </w:abstractNum>
  <w:abstractNum w:abstractNumId="19">
    <w:nsid w:val="519E3149"/>
    <w:multiLevelType w:val="hybridMultilevel"/>
    <w:lvl w:ilvl="0">
      <w:lvlJc w:val="left"/>
      <w:lvlText w:val="·"/>
      <w:numFmt w:val="bullet"/>
      <w:start w:val="1"/>
    </w:lvl>
    <w:lvl w:ilvl="1">
      <w:lvlJc w:val="left"/>
      <w:lvlText w:val="-"/>
      <w:numFmt w:val="bullet"/>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
      <w:numFmt w:val="bullet"/>
      <w:start w:val="1"/>
    </w:lvl>
    <w:lvl w:ilvl="1">
      <w:lvlJc w:val="left"/>
      <w:lvlText w:val="-"/>
      <w:numFmt w:val="bullet"/>
      <w:start w:val="1"/>
    </w:lvl>
  </w:abstractNum>
  <w:abstractNum w:abstractNumId="22">
    <w:nsid w:val="4DF72E4E"/>
    <w:multiLevelType w:val="hybridMultilevel"/>
    <w:lvl w:ilvl="0">
      <w:lvlJc w:val="left"/>
      <w:lvlText w:val="•"/>
      <w:numFmt w:val="bullet"/>
      <w:start w:val="1"/>
    </w:lvl>
  </w:abstractNum>
  <w:abstractNum w:abstractNumId="23">
    <w:nsid w:val="5046B5A9"/>
    <w:multiLevelType w:val="hybridMultilevel"/>
    <w:lvl w:ilvl="0">
      <w:lvlJc w:val="left"/>
      <w:lvlText w:val="•"/>
      <w:numFmt w:val="bullet"/>
      <w:start w:val="1"/>
    </w:lvl>
    <w:lvl w:ilvl="1">
      <w:lvlJc w:val="left"/>
      <w:lvlText w:val="-"/>
      <w:numFmt w:val="bullet"/>
      <w:start w:val="1"/>
    </w:lvl>
  </w:abstractNum>
  <w:abstractNum w:abstractNumId="24">
    <w:nsid w:val="5D888A08"/>
    <w:multiLevelType w:val="hybridMultilevel"/>
    <w:lvl w:ilvl="0">
      <w:lvlJc w:val="left"/>
      <w:lvlText w:val="•"/>
      <w:numFmt w:val="bullet"/>
      <w:start w:val="1"/>
    </w:lvl>
    <w:lvl w:ilvl="1">
      <w:lvlJc w:val="left"/>
      <w:lvlText w:val="-"/>
      <w:numFmt w:val="bullet"/>
      <w:start w:val="1"/>
    </w:lvl>
  </w:abstractNum>
  <w:abstractNum w:abstractNumId="25">
    <w:nsid w:val="2A082C70"/>
    <w:multiLevelType w:val="hybridMultilevel"/>
    <w:lvl w:ilvl="0">
      <w:lvlJc w:val="left"/>
      <w:lvlText w:val="•"/>
      <w:numFmt w:val="bullet"/>
      <w:start w:val="1"/>
    </w:lvl>
  </w:abstractNum>
  <w:abstractNum w:abstractNumId="26">
    <w:nsid w:val="5EC6AFD4"/>
    <w:multiLevelType w:val="hybridMultilevel"/>
    <w:lvl w:ilvl="0">
      <w:lvlJc w:val="left"/>
      <w:lvlText w:val="(%1)"/>
      <w:numFmt w:val="lowerRoman"/>
      <w:start w:val="3"/>
    </w:lvl>
    <w:lvl w:ilvl="1">
      <w:lvlJc w:val="left"/>
      <w:lvlText w:val="-"/>
      <w:numFmt w:val="bullet"/>
      <w:start w:val="1"/>
    </w:lvl>
  </w:abstractNum>
  <w:abstractNum w:abstractNumId="27">
    <w:nsid w:val="19E21BB2"/>
    <w:multiLevelType w:val="hybridMultilevel"/>
    <w:lvl w:ilvl="0">
      <w:lvlJc w:val="left"/>
      <w:lvlText w:val="(%1)"/>
      <w:numFmt w:val="lowerRoman"/>
      <w:start w:val="1"/>
    </w:lvl>
  </w:abstractNum>
  <w:abstractNum w:abstractNumId="28">
    <w:nsid w:val="75E0858A"/>
    <w:multiLevelType w:val="hybridMultilevel"/>
    <w:lvl w:ilvl="0">
      <w:lvlJc w:val="left"/>
      <w:lvlText w:val="%1"/>
      <w:numFmt w:val="decimal"/>
      <w:start w:val="1"/>
    </w:lvl>
    <w:lvl w:ilvl="1">
      <w:lvlJc w:val="left"/>
      <w:lvlText w:val="%2."/>
      <w:numFmt w:val="decimal"/>
      <w:start w:val="1"/>
    </w:lvl>
  </w:abstractNum>
  <w:abstractNum w:abstractNumId="29">
    <w:nsid w:val="57A61A29"/>
    <w:multiLevelType w:val="hybridMultilevel"/>
    <w:lvl w:ilvl="0">
      <w:lvlJc w:val="left"/>
      <w:lvlText w:val="%1."/>
      <w:numFmt w:val="decimal"/>
      <w:start w:val="2"/>
    </w:lvl>
    <w:lvl w:ilvl="1">
      <w:lvlJc w:val="left"/>
      <w:lvlText w:val="%2"/>
      <w:numFmt w:val="decimal"/>
      <w:start w:val="1"/>
    </w:lvl>
  </w:abstractNum>
  <w:abstractNum w:abstractNumId="30">
    <w:nsid w:val="5399C654"/>
    <w:multiLevelType w:val="hybridMultilevel"/>
    <w:lvl w:ilvl="0">
      <w:lvlJc w:val="left"/>
      <w:lvlText w:val="%1"/>
      <w:numFmt w:val="lowerLetter"/>
      <w:start w:val="1"/>
    </w:lvl>
    <w:lvl w:ilvl="1">
      <w:lvlJc w:val="left"/>
      <w:lvlText w:val="(%2)"/>
      <w:numFmt w:val="lowerLetter"/>
      <w:start w:val="1"/>
    </w:lvl>
  </w:abstractNum>
  <w:abstractNum w:abstractNumId="31">
    <w:nsid w:val="20EE1348"/>
    <w:multiLevelType w:val="hybridMultilevel"/>
    <w:lvl w:ilvl="0">
      <w:lvlJc w:val="left"/>
      <w:lvlText w:val="(%1)"/>
      <w:numFmt w:val="lowerLetter"/>
      <w:start w:val="61"/>
    </w:lvl>
    <w:lvl w:ilvl="1">
      <w:lvlJc w:val="left"/>
      <w:lvlText w:val="%2"/>
      <w:numFmt w:val="lowerLetter"/>
      <w:start w:val="1"/>
    </w:lvl>
  </w:abstractNum>
  <w:abstractNum w:abstractNumId="32">
    <w:nsid w:val="4427069A"/>
    <w:multiLevelType w:val="hybridMultilevel"/>
    <w:lvl w:ilvl="0">
      <w:lvlJc w:val="left"/>
      <w:lvlText w:val="(%1)"/>
      <w:numFmt w:val="lowerLetter"/>
      <w:start w:val="3"/>
    </w:lvl>
  </w:abstractNum>
  <w:abstractNum w:abstractNumId="33">
    <w:nsid w:val="B37E80A"/>
    <w:multiLevelType w:val="hybridMultilevel"/>
    <w:lvl w:ilvl="0">
      <w:lvlJc w:val="left"/>
      <w:lvlText w:val="(%1)"/>
      <w:numFmt w:val="lowerLetter"/>
      <w:start w:val="6"/>
    </w:lvl>
    <w:lvl w:ilvl="1">
      <w:lvlJc w:val="left"/>
      <w:lvlText w:val="(%2)"/>
      <w:numFmt w:val="decimal"/>
      <w:start w:val="1"/>
    </w:lvl>
  </w:abstractNum>
  <w:abstractNum w:abstractNumId="34">
    <w:nsid w:val="2157F6B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5">
    <w:nsid w:val="704E1DD5"/>
    <w:multiLevelType w:val="hybridMultilevel"/>
    <w:lvl w:ilvl="0">
      <w:lvlJc w:val="left"/>
      <w:lvlText w:val="%1"/>
      <w:numFmt w:val="decimal"/>
      <w:start w:val="1"/>
    </w:lvl>
    <w:lvl w:ilvl="1">
      <w:lvlJc w:val="left"/>
      <w:lvlText w:val="(%2)"/>
      <w:numFmt w:val="lowerLetter"/>
      <w:start w:val="8"/>
    </w:lvl>
    <w:lvl w:ilvl="2">
      <w:lvlJc w:val="left"/>
      <w:lvlText w:val="(%3)"/>
      <w:numFmt w:val="decimal"/>
      <w:start w:val="1"/>
    </w:lvl>
  </w:abstractNum>
  <w:abstractNum w:abstractNumId="36">
    <w:nsid w:val="57D2F10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7">
    <w:nsid w:val="BFFAE18"/>
    <w:multiLevelType w:val="hybridMultilevel"/>
    <w:lvl w:ilvl="0">
      <w:lvlJc w:val="left"/>
      <w:lvlText w:val="(%1)"/>
      <w:numFmt w:val="decimal"/>
      <w:start w:val="2"/>
    </w:lvl>
    <w:lvl w:ilvl="1">
      <w:lvlJc w:val="left"/>
      <w:lvlText w:val="(%2)"/>
      <w:numFmt w:val="upperLetter"/>
      <w:start w:val="1"/>
    </w:lvl>
  </w:abstractNum>
  <w:abstractNum w:abstractNumId="38">
    <w:nsid w:val="E3E47A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4"/>
    </w:lvl>
  </w:abstractNum>
  <w:abstractNum w:abstractNumId="39">
    <w:nsid w:val="2E48F044"/>
    <w:multiLevelType w:val="hybridMultilevel"/>
    <w:lvl w:ilvl="0">
      <w:lvlJc w:val="left"/>
      <w:lvlText w:val="%1"/>
      <w:numFmt w:val="upperLetter"/>
      <w:start w:val="1"/>
    </w:lvl>
    <w:lvl w:ilvl="1">
      <w:lvlJc w:val="left"/>
      <w:lvlText w:val="(%2)"/>
      <w:numFmt w:val="lowerLetter"/>
      <w:start w:val="9"/>
    </w:lvl>
    <w:lvl w:ilvl="2">
      <w:lvlJc w:val="left"/>
      <w:lvlText w:val="(%3)"/>
      <w:numFmt w:val="decimal"/>
      <w:start w:val="1"/>
    </w:lvl>
  </w:abstractNum>
  <w:abstractNum w:abstractNumId="40">
    <w:nsid w:val="49D0FEAC"/>
    <w:multiLevelType w:val="hybridMultilevel"/>
    <w:lvl w:ilvl="0">
      <w:lvlJc w:val="left"/>
      <w:lvlText w:val="(%1)"/>
      <w:numFmt w:val="decimal"/>
      <w:start w:val="2"/>
    </w:lvl>
    <w:lvl w:ilvl="1">
      <w:lvlJc w:val="left"/>
      <w:lvlText w:val="(%2)"/>
      <w:numFmt w:val="upperLetter"/>
      <w:start w:val="1"/>
    </w:lvl>
  </w:abstractNum>
  <w:abstractNum w:abstractNumId="41">
    <w:nsid w:val="4BEE5A5B"/>
    <w:multiLevelType w:val="hybridMultilevel"/>
    <w:lvl w:ilvl="0">
      <w:lvlJc w:val="left"/>
      <w:lvlText w:val="%1"/>
      <w:numFmt w:val="upperLetter"/>
      <w:start w:val="1"/>
    </w:lvl>
    <w:lvl w:ilvl="1">
      <w:lvlJc w:val="left"/>
      <w:lvlText w:val="(%2)"/>
      <w:numFmt w:val="decimal"/>
      <w:start w:val="6"/>
    </w:lvl>
    <w:lvl w:ilvl="2">
      <w:lvlJc w:val="left"/>
      <w:lvlText w:val="(%3)"/>
      <w:numFmt w:val="upperLetter"/>
      <w:start w:val="1"/>
    </w:lvl>
  </w:abstractNum>
  <w:abstractNum w:abstractNumId="42">
    <w:nsid w:val="5551B9F3"/>
    <w:multiLevelType w:val="hybridMultilevel"/>
    <w:lvl w:ilvl="0">
      <w:lvlJc w:val="left"/>
      <w:lvlText w:val="%1"/>
      <w:numFmt w:val="lowerRoman"/>
      <w:start w:val="1"/>
    </w:lvl>
    <w:lvl w:ilvl="1">
      <w:lvlJc w:val="left"/>
      <w:lvlText w:val="(%2)"/>
      <w:numFmt w:val="decimal"/>
      <w:start w:val="15"/>
    </w:lvl>
    <w:lvl w:ilvl="2">
      <w:lvlJc w:val="left"/>
      <w:lvlText w:val="(%3)"/>
      <w:numFmt w:val="upperLetter"/>
      <w:start w:val="1"/>
    </w:lvl>
  </w:abstractNum>
  <w:abstractNum w:abstractNumId="43">
    <w:nsid w:val="24F6AB8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5"/>
    </w:lvl>
  </w:abstractNum>
  <w:abstractNum w:abstractNumId="44">
    <w:nsid w:val="634C574C"/>
    <w:multiLevelType w:val="hybridMultilevel"/>
    <w:lvl w:ilvl="0">
      <w:lvlJc w:val="left"/>
      <w:lvlText w:val="(%1)"/>
      <w:numFmt w:val="decimal"/>
      <w:start w:val="16"/>
    </w:lvl>
  </w:abstractNum>
  <w:abstractNum w:abstractNumId="45">
    <w:nsid w:val="24E99DD7"/>
    <w:multiLevelType w:val="hybridMultilevel"/>
    <w:lvl w:ilvl="0">
      <w:lvlJc w:val="left"/>
      <w:lvlText w:val="(%1)"/>
      <w:numFmt w:val="decimal"/>
      <w:start w:val="18"/>
    </w:lvl>
    <w:lvl w:ilvl="1">
      <w:lvlJc w:val="left"/>
      <w:lvlText w:val="(%2)"/>
      <w:numFmt w:val="upperLetter"/>
      <w:start w:val="1"/>
    </w:lvl>
  </w:abstractNum>
  <w:abstractNum w:abstractNumId="46">
    <w:nsid w:val="2A31B62D"/>
    <w:multiLevelType w:val="hybridMultilevel"/>
    <w:lvl w:ilvl="0">
      <w:lvlJc w:val="left"/>
      <w:lvlText w:val="%1"/>
      <w:numFmt w:val="lowerRoman"/>
      <w:start w:val="1"/>
    </w:lvl>
    <w:lvl w:ilvl="1">
      <w:lvlJc w:val="left"/>
      <w:lvlText w:val="(%2)"/>
      <w:numFmt w:val="upperLetter"/>
      <w:start w:val="1"/>
    </w:lvl>
  </w:abstractNum>
  <w:abstractNum w:abstractNumId="47">
    <w:nsid w:val="1849C29B"/>
    <w:multiLevelType w:val="hybridMultilevel"/>
    <w:lvl w:ilvl="0">
      <w:lvlJc w:val="left"/>
      <w:lvlText w:val="(%1)"/>
      <w:numFmt w:val="lowerRoman"/>
      <w:start w:val="3"/>
    </w:lvl>
    <w:lvl w:ilvl="1">
      <w:lvlJc w:val="left"/>
      <w:lvlText w:val="%2"/>
      <w:numFmt w:val="upperLetter"/>
      <w:start w:val="1"/>
    </w:lvl>
  </w:abstractNum>
  <w:abstractNum w:abstractNumId="48">
    <w:nsid w:val="7DFF9D09"/>
    <w:multiLevelType w:val="hybridMultilevel"/>
    <w:lvl w:ilvl="0">
      <w:lvlJc w:val="left"/>
      <w:lvlText w:val="(%1)"/>
      <w:numFmt w:val="upperLetter"/>
      <w:start w:val="5"/>
    </w:lvl>
  </w:abstractNum>
  <w:abstractNum w:abstractNumId="49">
    <w:nsid w:val="754342"/>
    <w:multiLevelType w:val="hybridMultilevel"/>
    <w:lvl w:ilvl="0">
      <w:lvlJc w:val="left"/>
      <w:lvlText w:val="(%1)"/>
      <w:numFmt w:val="decimal"/>
      <w:start w:val="24"/>
    </w:lvl>
    <w:lvl w:ilvl="1">
      <w:lvlJc w:val="left"/>
      <w:lvlText w:val="(%2)"/>
      <w:numFmt w:val="upperLetter"/>
      <w:start w:val="1"/>
    </w:lvl>
  </w:abstractNum>
  <w:abstractNum w:abstractNumId="50">
    <w:nsid w:val="69E7F3E5"/>
    <w:multiLevelType w:val="hybridMultilevel"/>
    <w:lvl w:ilvl="0">
      <w:lvlJc w:val="left"/>
      <w:lvlText w:val="(%1)"/>
      <w:numFmt w:val="upperLetter"/>
      <w:start w:val="7"/>
    </w:lvl>
  </w:abstractNum>
  <w:abstractNum w:abstractNumId="51">
    <w:nsid w:val="2A6DE806"/>
    <w:multiLevelType w:val="hybridMultilevel"/>
    <w:lvl w:ilvl="0">
      <w:lvlJc w:val="left"/>
      <w:lvlText w:val="(%1)"/>
      <w:numFmt w:val="decimal"/>
      <w:start w:val="2"/>
    </w:lvl>
  </w:abstractNum>
  <w:abstractNum w:abstractNumId="52">
    <w:nsid w:val="1816F8C4"/>
    <w:multiLevelType w:val="hybridMultilevel"/>
    <w:lvl w:ilvl="0">
      <w:lvlJc w:val="left"/>
      <w:lvlText w:val="(%1)"/>
      <w:numFmt w:val="lowerLetter"/>
      <w:start w:val="1"/>
    </w:lvl>
  </w:abstractNum>
  <w:abstractNum w:abstractNumId="53">
    <w:nsid w:val="37DF2233"/>
    <w:multiLevelType w:val="hybridMultilevel"/>
    <w:lvl w:ilvl="0">
      <w:lvlJc w:val="left"/>
      <w:lvlText w:val="(%1)"/>
      <w:numFmt w:val="lowerLetter"/>
      <w:start w:val="1"/>
    </w:lvl>
  </w:abstractNum>
  <w:abstractNum w:abstractNumId="54">
    <w:nsid w:val="7AB49DAF"/>
    <w:multiLevelType w:val="hybridMultilevel"/>
    <w:lvl w:ilvl="0">
      <w:lvlJc w:val="left"/>
      <w:lvlText w:val="(%1)"/>
      <w:numFmt w:val="lowerLetter"/>
      <w:start w:val="3"/>
    </w:lvl>
  </w:abstractNum>
  <w:abstractNum w:abstractNumId="55">
    <w:nsid w:val="759F82CD"/>
    <w:multiLevelType w:val="hybridMultilevel"/>
    <w:lvl w:ilvl="0">
      <w:lvlJc w:val="left"/>
      <w:lvlText w:val="%1"/>
      <w:numFmt w:val="upperLetter"/>
      <w:start w:val="1"/>
    </w:lvl>
    <w:lvl w:ilvl="1">
      <w:lvlJc w:val="left"/>
      <w:lvlText w:val="(%2)"/>
      <w:numFmt w:val="lowerRoman"/>
      <w:start w:val="1"/>
    </w:lvl>
  </w:abstractNum>
  <w:abstractNum w:abstractNumId="56">
    <w:nsid w:val="61E74EA3"/>
    <w:multiLevelType w:val="hybridMultilevel"/>
    <w:lvl w:ilvl="0">
      <w:lvlJc w:val="left"/>
      <w:lvlText w:val="(%1)"/>
      <w:numFmt w:val="upperLetter"/>
      <w:start w:val="2"/>
    </w:lvl>
    <w:lvl w:ilvl="1">
      <w:lvlJc w:val="left"/>
      <w:lvlText w:val="%2"/>
      <w:numFmt w:val="lowerRoman"/>
      <w:start w:val="1"/>
    </w:lvl>
  </w:abstractNum>
  <w:abstractNum w:abstractNumId="57">
    <w:nsid w:val="597B4D84"/>
    <w:multiLevelType w:val="hybridMultilevel"/>
    <w:lvl w:ilvl="0">
      <w:lvlJc w:val="left"/>
      <w:lvlText w:val="%1"/>
      <w:numFmt w:val="upperLetter"/>
      <w:start w:val="1"/>
    </w:lvl>
    <w:lvl w:ilvl="1">
      <w:lvlJc w:val="left"/>
      <w:lvlText w:val="(%2)"/>
      <w:numFmt w:val="lowerRoman"/>
      <w:start w:val="3"/>
    </w:lvl>
  </w:abstractNum>
  <w:abstractNum w:abstractNumId="58">
    <w:nsid w:val="F819E7F"/>
    <w:multiLevelType w:val="hybridMultilevel"/>
    <w:lvl w:ilvl="0">
      <w:lvlJc w:val="left"/>
      <w:lvlText w:val="(%1)"/>
      <w:numFmt w:val="upperLetter"/>
      <w:start w:val="4"/>
    </w:lvl>
    <w:lvl w:ilvl="1">
      <w:lvlJc w:val="left"/>
      <w:lvlText w:val="%2"/>
      <w:numFmt w:val="lowerRoman"/>
      <w:start w:val="1"/>
    </w:lvl>
  </w:abstractNum>
  <w:abstractNum w:abstractNumId="59">
    <w:nsid w:val="57C7D42D"/>
    <w:multiLevelType w:val="hybridMultilevel"/>
    <w:lvl w:ilvl="0">
      <w:lvlJc w:val="left"/>
      <w:lvlText w:val="(%1)"/>
      <w:numFmt w:val="lowerLetter"/>
      <w:start w:val="4"/>
    </w:lvl>
  </w:abstractNum>
  <w:abstractNum w:abstractNumId="60">
    <w:nsid w:val="312167AD"/>
    <w:multiLevelType w:val="hybridMultilevel"/>
    <w:lvl w:ilvl="0">
      <w:lvlJc w:val="left"/>
      <w:lvlText w:val="(%1)"/>
      <w:numFmt w:val="lowerLetter"/>
      <w:start w:val="6"/>
    </w:lvl>
  </w:abstractNum>
  <w:abstractNum w:abstractNumId="61">
    <w:nsid w:val="631B64D4"/>
    <w:multiLevelType w:val="hybridMultilevel"/>
    <w:lvl w:ilvl="0">
      <w:lvlJc w:val="left"/>
      <w:lvlText w:val="(%1)"/>
      <w:numFmt w:val="lowerLetter"/>
      <w:start w:val="1"/>
    </w:lvl>
  </w:abstractNum>
  <w:abstractNum w:abstractNumId="62">
    <w:nsid w:val="78B5E776"/>
    <w:multiLevelType w:val="hybridMultilevel"/>
    <w:lvl w:ilvl="0">
      <w:lvlJc w:val="left"/>
      <w:lvlText w:val="(%1)"/>
      <w:numFmt w:val="lowerRoman"/>
      <w:start w:val="2"/>
    </w:lvl>
  </w:abstractNum>
  <w:abstractNum w:abstractNumId="63">
    <w:nsid w:val="75486E47"/>
    <w:multiLevelType w:val="hybridMultilevel"/>
    <w:lvl w:ilvl="0">
      <w:lvlJc w:val="left"/>
      <w:lvlText w:val="(%1)"/>
      <w:numFmt w:val="lowerRoman"/>
      <w:start w:val="3"/>
    </w:lvl>
  </w:abstractNum>
  <w:abstractNum w:abstractNumId="64">
    <w:nsid w:val="6E534CDE"/>
    <w:multiLevelType w:val="hybridMultilevel"/>
    <w:lvl w:ilvl="0">
      <w:lvlJc w:val="left"/>
      <w:lvlText w:val="(%1)"/>
      <w:numFmt w:val="lowerLetter"/>
      <w:start w:val="3"/>
    </w:lvl>
  </w:abstractNum>
  <w:abstractNum w:abstractNumId="65">
    <w:nsid w:val="1A0DDE32"/>
    <w:multiLevelType w:val="hybridMultilevel"/>
    <w:lvl w:ilvl="0">
      <w:lvlJc w:val="left"/>
      <w:lvlText w:val="(%1)"/>
      <w:numFmt w:val="lowerRoman"/>
      <w:start w:val="1"/>
    </w:lvl>
  </w:abstractNum>
  <w:abstractNum w:abstractNumId="66">
    <w:nsid w:val="65968C1C"/>
    <w:multiLevelType w:val="hybridMultilevel"/>
    <w:lvl w:ilvl="0">
      <w:lvlJc w:val="left"/>
      <w:lvlText w:val="(%1)"/>
      <w:numFmt w:val="lowerLetter"/>
      <w:start w:val="4"/>
    </w:lvl>
  </w:abstractNum>
  <w:abstractNum w:abstractNumId="67">
    <w:nsid w:val="46263DEC"/>
    <w:multiLevelType w:val="hybridMultilevel"/>
    <w:lvl w:ilvl="0">
      <w:lvlJc w:val="left"/>
      <w:lvlText w:val="(%1)"/>
      <w:numFmt w:val="lowerLetter"/>
      <w:start w:val="1"/>
    </w:lvl>
  </w:abstractNum>
  <w:abstractNum w:abstractNumId="68">
    <w:nsid w:val="260D8C4A"/>
    <w:multiLevelType w:val="hybridMultilevel"/>
    <w:lvl w:ilvl="0">
      <w:lvlJc w:val="left"/>
      <w:lvlText w:val="(%1)"/>
      <w:numFmt w:val="lowerLetter"/>
      <w:start w:val="2"/>
    </w:lvl>
  </w:abstractNum>
  <w:abstractNum w:abstractNumId="69">
    <w:nsid w:val="73D4D3C4"/>
    <w:multiLevelType w:val="hybridMultilevel"/>
    <w:lvl w:ilvl="0">
      <w:lvlJc w:val="left"/>
      <w:lvlText w:val="(%1)"/>
      <w:numFmt w:val="lowerRoman"/>
      <w:start w:val="2"/>
    </w:lvl>
  </w:abstractNum>
  <w:abstractNum w:abstractNumId="70">
    <w:nsid w:val="746F2E30"/>
    <w:multiLevelType w:val="hybridMultilevel"/>
    <w:lvl w:ilvl="0">
      <w:lvlJc w:val="left"/>
      <w:lvlText w:val="(%1)"/>
      <w:numFmt w:val="lowerRoman"/>
      <w:start w:val="1"/>
    </w:lvl>
  </w:abstractNum>
  <w:abstractNum w:abstractNumId="71">
    <w:nsid w:val="6FDE8AF6"/>
    <w:multiLevelType w:val="hybridMultilevel"/>
    <w:lvl w:ilvl="0">
      <w:lvlJc w:val="left"/>
      <w:lvlText w:val="(%1)"/>
      <w:numFmt w:val="lowerRoman"/>
      <w:start w:val="1"/>
    </w:lvl>
  </w:abstractNum>
  <w:abstractNum w:abstractNumId="72">
    <w:nsid w:val="3FC32E20"/>
    <w:multiLevelType w:val="hybridMultilevel"/>
    <w:lvl w:ilvl="0">
      <w:lvlJc w:val="left"/>
      <w:lvlText w:val="(%1)"/>
      <w:numFmt w:val="lowerRoman"/>
      <w:start w:val="1"/>
    </w:lvl>
  </w:abstractNum>
  <w:abstractNum w:abstractNumId="73">
    <w:nsid w:val="49C0E823"/>
    <w:multiLevelType w:val="hybridMultilevel"/>
    <w:lvl w:ilvl="0">
      <w:lvlJc w:val="left"/>
      <w:lvlText w:val="(%1)"/>
      <w:numFmt w:val="lowerRoman"/>
      <w:start w:val="1"/>
    </w:lvl>
  </w:abstractNum>
  <w:abstractNum w:abstractNumId="74">
    <w:nsid w:val="14D53685"/>
    <w:multiLevelType w:val="hybridMultilevel"/>
    <w:lvl w:ilvl="0">
      <w:lvlJc w:val="left"/>
      <w:lvlText w:val="(%1)"/>
      <w:numFmt w:val="lowerRoman"/>
      <w:start w:val="2"/>
    </w:lvl>
  </w:abstractNum>
  <w:abstractNum w:abstractNumId="75">
    <w:nsid w:val="230F856C"/>
    <w:multiLevelType w:val="hybridMultilevel"/>
    <w:lvl w:ilvl="0">
      <w:lvlJc w:val="left"/>
      <w:lvlText w:val="(%1)"/>
      <w:numFmt w:val="lowerRoman"/>
      <w:start w:val="3"/>
    </w:lvl>
  </w:abstractNum>
  <w:abstractNum w:abstractNumId="76">
    <w:nsid w:val="6EAA85FB"/>
    <w:multiLevelType w:val="hybridMultilevel"/>
    <w:lvl w:ilvl="0">
      <w:lvlJc w:val="left"/>
      <w:lvlText w:val="(%1)"/>
      <w:numFmt w:val="lowerRoman"/>
      <w:start w:val="1"/>
    </w:lvl>
  </w:abstractNum>
  <w:abstractNum w:abstractNumId="77">
    <w:nsid w:val="3F06ECB2"/>
    <w:multiLevelType w:val="hybridMultilevel"/>
    <w:lvl w:ilvl="0">
      <w:lvlJc w:val="left"/>
      <w:lvlText w:val="(%1)"/>
      <w:numFmt w:val="lowerRoman"/>
      <w:start w:val="1"/>
    </w:lvl>
  </w:abstractNum>
  <w:abstractNum w:abstractNumId="78">
    <w:nsid w:val="3B594807"/>
    <w:multiLevelType w:val="hybridMultilevel"/>
    <w:lvl w:ilvl="0">
      <w:lvlJc w:val="left"/>
      <w:lvlText w:val="%1."/>
      <w:numFmt w:val="decimal"/>
      <w:start w:val="1"/>
    </w:lvl>
  </w:abstractNum>
  <w:abstractNum w:abstractNumId="79">
    <w:nsid w:val="6CAA2304"/>
    <w:multiLevelType w:val="hybridMultilevel"/>
    <w:lvl w:ilvl="0">
      <w:lvlJc w:val="left"/>
      <w:lvlText w:val="%1."/>
      <w:numFmt w:val="decimal"/>
      <w:start w:val="2"/>
    </w:lvl>
    <w:lvl w:ilvl="1">
      <w:lvlJc w:val="left"/>
      <w:lvlText w:val="(%2)"/>
      <w:numFmt w:val="lowerLetter"/>
      <w:start w:val="1"/>
    </w:lvl>
  </w:abstractNum>
  <w:abstractNum w:abstractNumId="80">
    <w:nsid w:val="3F7C2FF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1">
    <w:nsid w:val="25413B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2">
    <w:nsid w:val="17180B0B"/>
    <w:multiLevelType w:val="hybridMultilevel"/>
    <w:lvl w:ilvl="0">
      <w:lvlJc w:val="left"/>
      <w:lvlText w:val="%1."/>
      <w:numFmt w:val="decimal"/>
      <w:start w:val="5"/>
    </w:lvl>
  </w:abstractNum>
  <w:abstractNum w:abstractNumId="83">
    <w:nsid w:val="579328B9"/>
    <w:multiLevelType w:val="hybridMultilevel"/>
    <w:lvl w:ilvl="0">
      <w:lvlJc w:val="left"/>
      <w:lvlText w:val="%1."/>
      <w:numFmt w:val="decimal"/>
      <w:start w:val="6"/>
    </w:lvl>
    <w:lvl w:ilvl="1">
      <w:lvlJc w:val="left"/>
      <w:lvlText w:val="(%2)"/>
      <w:numFmt w:val="lowerLetter"/>
      <w:start w:val="1"/>
    </w:lvl>
  </w:abstractNum>
  <w:abstractNum w:abstractNumId="84">
    <w:nsid w:val="5D205E20"/>
    <w:multiLevelType w:val="hybridMultilevel"/>
    <w:lvl w:ilvl="0">
      <w:lvlJc w:val="left"/>
      <w:lvlText w:val="(%1)"/>
      <w:numFmt w:val="lowerLetter"/>
      <w:start w:val="2"/>
    </w:lvl>
  </w:abstractNum>
  <w:abstractNum w:abstractNumId="85">
    <w:nsid w:val="11CCA8BA"/>
    <w:multiLevelType w:val="hybridMultilevel"/>
    <w:lvl w:ilvl="0">
      <w:lvlJc w:val="left"/>
      <w:lvlText w:val="(%1)"/>
      <w:numFmt w:val="lowerLetter"/>
      <w:start w:val="4"/>
    </w:lvl>
  </w:abstractNum>
  <w:abstractNum w:abstractNumId="86">
    <w:nsid w:val="4D32AB86"/>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7">
    <w:nsid w:val="3F07ACC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8">
    <w:nsid w:val="6B47F63E"/>
    <w:multiLevelType w:val="hybridMultilevel"/>
    <w:lvl w:ilvl="0">
      <w:lvlJc w:val="left"/>
      <w:lvlText w:val="%1."/>
      <w:numFmt w:val="decimal"/>
      <w:start w:val="8"/>
    </w:lvl>
    <w:lvl w:ilvl="1">
      <w:lvlJc w:val="left"/>
      <w:lvlText w:val="(%2)"/>
      <w:numFmt w:val="lowerLetter"/>
      <w:start w:val="1"/>
    </w:lvl>
  </w:abstractNum>
  <w:abstractNum w:abstractNumId="89">
    <w:nsid w:val="5CB44A05"/>
    <w:multiLevelType w:val="hybridMultilevel"/>
    <w:lvl w:ilvl="0">
      <w:lvlJc w:val="left"/>
      <w:lvlText w:val="(%1)"/>
      <w:numFmt w:val="lowerLetter"/>
      <w:start w:val="2"/>
    </w:lvl>
    <w:lvl w:ilvl="1">
      <w:lvlJc w:val="left"/>
      <w:lvlText w:val="(%2)"/>
      <w:numFmt w:val="lowerRoman"/>
      <w:start w:val="1"/>
    </w:lvl>
  </w:abstractNum>
  <w:abstractNum w:abstractNumId="90">
    <w:nsid w:val="16CF80F1"/>
    <w:multiLevelType w:val="hybridMultilevel"/>
    <w:lvl w:ilvl="0">
      <w:lvlJc w:val="left"/>
      <w:lvlText w:val="%1"/>
      <w:numFmt w:val="decimal"/>
      <w:start w:val="1"/>
    </w:lvl>
    <w:lvl w:ilvl="1">
      <w:lvlJc w:val="left"/>
      <w:lvlText w:val="(%2)"/>
      <w:numFmt w:val="lowerLetter"/>
      <w:start w:val="6"/>
    </w:lvl>
  </w:abstractNum>
  <w:abstractNum w:abstractNumId="91">
    <w:nsid w:val="1C695DEC"/>
    <w:multiLevelType w:val="hybridMultilevel"/>
    <w:lvl w:ilvl="0">
      <w:lvlJc w:val="left"/>
      <w:lvlText w:val="%1."/>
      <w:numFmt w:val="decimal"/>
      <w:start w:val="10"/>
    </w:lvl>
    <w:lvl w:ilvl="1">
      <w:lvlJc w:val="left"/>
      <w:lvlText w:val="(%2)"/>
      <w:numFmt w:val="lowerLetter"/>
      <w:start w:val="1"/>
    </w:lvl>
  </w:abstractNum>
  <w:abstractNum w:abstractNumId="92">
    <w:nsid w:val="3FCFAED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93">
    <w:nsid w:val="F856867"/>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4">
    <w:nsid w:val="11B1CC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5">
    <w:nsid w:val="2E22FBB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96">
    <w:nsid w:val="2993469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7">
    <w:nsid w:val="77485850"/>
    <w:multiLevelType w:val="hybridMultilevel"/>
    <w:lvl w:ilvl="0">
      <w:lvlJc w:val="left"/>
      <w:lvlText w:val="%1"/>
      <w:numFmt w:val="lowerLetter"/>
      <w:start w:val="1"/>
    </w:lvl>
    <w:lvl w:ilvl="1">
      <w:lvlJc w:val="left"/>
      <w:lvlText w:val="(%2)"/>
      <w:numFmt w:val="lowerRoman"/>
      <w:start w:val="3"/>
    </w:lvl>
  </w:abstractNum>
  <w:abstractNum w:abstractNumId="98">
    <w:nsid w:val="744939A3"/>
    <w:multiLevelType w:val="hybridMultilevel"/>
    <w:lvl w:ilvl="0">
      <w:lvlJc w:val="left"/>
      <w:lvlText w:val="%1"/>
      <w:numFmt w:val="lowerLetter"/>
      <w:start w:val="1"/>
    </w:lvl>
    <w:lvl w:ilvl="1">
      <w:lvlJc w:val="left"/>
      <w:lvlText w:val="(%2)"/>
      <w:numFmt w:val="lowerRoman"/>
      <w:start w:val="3"/>
    </w:lvl>
  </w:abstractNum>
  <w:abstractNum w:abstractNumId="99">
    <w:nsid w:val="4FA0D2E3"/>
    <w:multiLevelType w:val="hybridMultilevel"/>
    <w:lvl w:ilvl="0">
      <w:lvlJc w:val="left"/>
      <w:lvlText w:val="(%1)"/>
      <w:numFmt w:val="lowerLetter"/>
      <w:start w:val="2"/>
    </w:lvl>
    <w:lvl w:ilvl="1">
      <w:lvlJc w:val="left"/>
      <w:lvlText w:val="(%2)"/>
      <w:numFmt w:val="lowerRoman"/>
      <w:start w:val="1"/>
    </w:lvl>
  </w:abstractNum>
  <w:abstractNum w:abstractNumId="100">
    <w:nsid w:val="6B1D2C14"/>
    <w:multiLevelType w:val="hybridMultilevel"/>
    <w:lvl w:ilvl="0">
      <w:lvlJc w:val="left"/>
      <w:lvlText w:val="%1"/>
      <w:numFmt w:val="lowerLetter"/>
      <w:start w:val="1"/>
    </w:lvl>
    <w:lvl w:ilvl="1">
      <w:lvlJc w:val="left"/>
      <w:lvlText w:val="(%2)"/>
      <w:numFmt w:val="lowerRoman"/>
      <w:start w:val="2"/>
    </w:lvl>
  </w:abstractNum>
  <w:abstractNum w:abstractNumId="101">
    <w:nsid w:val="68B867D3"/>
    <w:multiLevelType w:val="hybridMultilevel"/>
    <w:lvl w:ilvl="0">
      <w:lvlJc w:val="left"/>
      <w:lvlText w:val="(%1)"/>
      <w:numFmt w:val="lowerLetter"/>
      <w:start w:val="3"/>
    </w:lvl>
    <w:lvl w:ilvl="1">
      <w:lvlJc w:val="left"/>
      <w:lvlText w:val="(%2)"/>
      <w:numFmt w:val="lowerRoman"/>
      <w:start w:val="1"/>
    </w:lvl>
  </w:abstractNum>
  <w:abstractNum w:abstractNumId="102">
    <w:nsid w:val="3F7F5DD9"/>
    <w:multiLevelType w:val="hybridMultilevel"/>
    <w:lvl w:ilvl="0">
      <w:lvlJc w:val="left"/>
      <w:lvlText w:val="(%1)"/>
      <w:numFmt w:val="lowerLetter"/>
      <w:start w:val="4"/>
    </w:lvl>
    <w:lvl w:ilvl="1">
      <w:lvlJc w:val="left"/>
      <w:lvlText w:val="(%2)"/>
      <w:numFmt w:val="lowerRoman"/>
      <w:start w:val="1"/>
    </w:lvl>
  </w:abstractNum>
  <w:abstractNum w:abstractNumId="103">
    <w:nsid w:val="2AE05A34"/>
    <w:multiLevelType w:val="hybridMultilevel"/>
    <w:lvl w:ilvl="0">
      <w:lvlJc w:val="left"/>
      <w:lvlText w:val="%1"/>
      <w:numFmt w:val="lowerLetter"/>
      <w:start w:val="1"/>
    </w:lvl>
    <w:lvl w:ilvl="1">
      <w:lvlJc w:val="left"/>
      <w:lvlText w:val="(%2)"/>
      <w:numFmt w:val="lowerRoman"/>
      <w:start w:val="1"/>
    </w:lvl>
  </w:abstractNum>
  <w:abstractNum w:abstractNumId="104">
    <w:nsid w:val="32794FF7"/>
    <w:multiLevelType w:val="hybridMultilevel"/>
    <w:lvl w:ilvl="0">
      <w:lvlJc w:val="left"/>
      <w:lvlText w:val="%1"/>
      <w:numFmt w:val="lowerLetter"/>
      <w:start w:val="1"/>
    </w:lvl>
    <w:lvl w:ilvl="1">
      <w:lvlJc w:val="left"/>
      <w:lvlText w:val="(%2)"/>
      <w:numFmt w:val="lowerRoman"/>
      <w:start w:val="3"/>
    </w:lvl>
  </w:abstractNum>
  <w:abstractNum w:abstractNumId="105">
    <w:nsid w:val="5454945E"/>
    <w:multiLevelType w:val="hybridMultilevel"/>
    <w:lvl w:ilvl="0">
      <w:lvlJc w:val="left"/>
      <w:lvlText w:val="(%1)"/>
      <w:numFmt w:val="lowerRoman"/>
      <w:start w:val="6"/>
    </w:lvl>
  </w:abstractNum>
  <w:abstractNum w:abstractNumId="106">
    <w:nsid w:val="4DEFDFA0"/>
    <w:multiLevelType w:val="hybridMultilevel"/>
    <w:lvl w:ilvl="0">
      <w:lvlJc w:val="left"/>
      <w:lvlText w:val="(%1)"/>
      <w:numFmt w:val="lowerRoman"/>
      <w:start w:val="12"/>
    </w:lvl>
  </w:abstractNum>
  <w:abstractNum w:abstractNumId="107">
    <w:nsid w:val="2123D5F2"/>
    <w:multiLevelType w:val="hybridMultilevel"/>
    <w:lvl w:ilvl="0">
      <w:lvlJc w:val="left"/>
      <w:lvlText w:val="(%1)"/>
      <w:numFmt w:val="lowerLetter"/>
      <w:start w:val="5"/>
    </w:lvl>
    <w:lvl w:ilvl="1">
      <w:lvlJc w:val="left"/>
      <w:lvlText w:val="(%2)"/>
      <w:numFmt w:val="lowerRoman"/>
      <w:start w:val="1"/>
    </w:lvl>
  </w:abstractNum>
  <w:abstractNum w:abstractNumId="108">
    <w:nsid w:val="135B8110"/>
    <w:multiLevelType w:val="hybridMultilevel"/>
    <w:lvl w:ilvl="0">
      <w:lvlJc w:val="left"/>
      <w:lvlText w:val="(%1)"/>
      <w:numFmt w:val="lowerRoman"/>
      <w:start w:val="2"/>
    </w:lvl>
  </w:abstractNum>
  <w:abstractNum w:abstractNumId="109">
    <w:nsid w:val="94927A8"/>
    <w:multiLevelType w:val="hybridMultilevel"/>
    <w:lvl w:ilvl="0">
      <w:lvlJc w:val="left"/>
      <w:lvlText w:val="(%1)"/>
      <w:numFmt w:val="lowerRoman"/>
      <w:start w:val="2"/>
    </w:lvl>
  </w:abstractNum>
  <w:abstractNum w:abstractNumId="110">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11">
    <w:nsid w:val="52D7B105"/>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112">
    <w:nsid w:val="2E8A6394"/>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abstractNum>
  <w:abstractNum w:abstractNumId="113">
    <w:nsid w:val="24E60401"/>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14">
    <w:nsid w:val="2A6AD9B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15">
    <w:nsid w:val="BAAC1B4"/>
    <w:multiLevelType w:val="hybridMultilevel"/>
    <w:lvl w:ilvl="0">
      <w:lvlJc w:val="left"/>
      <w:lvlText w:val="%1."/>
      <w:numFmt w:val="decimal"/>
      <w:start w:val="17"/>
    </w:lvl>
  </w:abstractNum>
  <w:abstractNum w:abstractNumId="116">
    <w:nsid w:val="36B2ACBC"/>
    <w:multiLevelType w:val="hybridMultilevel"/>
    <w:lvl w:ilvl="0">
      <w:lvlJc w:val="left"/>
      <w:lvlText w:val="%1."/>
      <w:numFmt w:val="decimal"/>
      <w:start w:val="1"/>
    </w:lvl>
  </w:abstractNum>
  <w:abstractNum w:abstractNumId="117">
    <w:nsid w:val="779D8544"/>
    <w:multiLevelType w:val="hybridMultilevel"/>
    <w:lvl w:ilvl="0">
      <w:lvlJc w:val="left"/>
      <w:lvlText w:val="%1."/>
      <w:numFmt w:val="decimal"/>
      <w:start w:val="5"/>
    </w:lvl>
  </w:abstractNum>
  <w:abstractNum w:abstractNumId="118">
    <w:nsid w:val="4AB26E78"/>
    <w:multiLevelType w:val="hybridMultilevel"/>
    <w:lvl w:ilvl="0">
      <w:lvlJc w:val="left"/>
      <w:lvlText w:val="%1."/>
      <w:numFmt w:val="decimal"/>
      <w:start w:val="1"/>
    </w:lvl>
  </w:abstractNum>
  <w:abstractNum w:abstractNumId="119">
    <w:nsid w:val="21FAA2FA"/>
    <w:multiLevelType w:val="hybridMultilevel"/>
    <w:lvl w:ilvl="0">
      <w:lvlJc w:val="left"/>
      <w:lvlText w:val="(%1)"/>
      <w:numFmt w:val="lowerLetter"/>
      <w:start w:val="1"/>
    </w:lvl>
  </w:abstractNum>
  <w:abstractNum w:abstractNumId="120">
    <w:nsid w:val="5451CF4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21">
    <w:nsid w:val="6181EF69"/>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22">
    <w:nsid w:val="3E6400E6"/>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23">
    <w:nsid w:val="14217E23"/>
    <w:multiLevelType w:val="hybridMultilevel"/>
    <w:lvl w:ilvl="0">
      <w:lvlJc w:val="left"/>
      <w:lvlText w:val="(%1)"/>
      <w:numFmt w:val="lowerLetter"/>
      <w:start w:val="4"/>
    </w:lvl>
  </w:abstractNum>
  <w:abstractNum w:abstractNumId="124">
    <w:nsid w:val="710757D0"/>
    <w:multiLevelType w:val="hybridMultilevel"/>
    <w:lvl w:ilvl="0">
      <w:lvlJc w:val="left"/>
      <w:lvlText w:val="%1."/>
      <w:numFmt w:val="decimal"/>
      <w:start w:val="3"/>
    </w:lvl>
  </w:abstractNum>
  <w:abstractNum w:abstractNumId="125">
    <w:nsid w:val="5015CD1A"/>
    <w:multiLevelType w:val="hybridMultilevel"/>
    <w:lvl w:ilvl="0">
      <w:lvlJc w:val="left"/>
      <w:lvlText w:val="(%1)"/>
      <w:numFmt w:val="lowerLetter"/>
      <w:start w:val="1"/>
    </w:lvl>
  </w:abstractNum>
  <w:abstractNum w:abstractNumId="126">
    <w:nsid w:val="424479DA"/>
    <w:multiLevelType w:val="hybridMultilevel"/>
    <w:lvl w:ilvl="0">
      <w:lvlJc w:val="left"/>
      <w:lvlText w:val="(%1)"/>
      <w:numFmt w:val="lowerLetter"/>
      <w:start w:val="4"/>
    </w:lvl>
    <w:lvl w:ilvl="1">
      <w:lvlJc w:val="left"/>
      <w:lvlText w:val="-"/>
      <w:numFmt w:val="bullet"/>
      <w:start w:val="1"/>
    </w:lvl>
  </w:abstractNum>
  <w:abstractNum w:abstractNumId="127">
    <w:nsid w:val="1A9A9E69"/>
    <w:multiLevelType w:val="hybridMultilevel"/>
    <w:lvl w:ilvl="0">
      <w:lvlJc w:val="left"/>
      <w:lvlText w:val="(%1)"/>
      <w:numFmt w:val="lowerLetter"/>
      <w:start w:val="5"/>
    </w:lvl>
  </w:abstractNum>
  <w:abstractNum w:abstractNumId="128">
    <w:nsid w:val="475E256A"/>
    <w:multiLevelType w:val="hybridMultilevel"/>
    <w:lvl w:ilvl="0">
      <w:lvlJc w:val="left"/>
      <w:lvlText w:val="%1."/>
      <w:numFmt w:val="decimal"/>
      <w:start w:val="4"/>
    </w:lvl>
  </w:abstractNum>
  <w:abstractNum w:abstractNumId="129">
    <w:nsid w:val="368DB37E"/>
    <w:multiLevelType w:val="hybridMultilevel"/>
    <w:lvl w:ilvl="0">
      <w:lvlJc w:val="left"/>
      <w:lvlText w:val="(%1)"/>
      <w:numFmt w:val="lowerLetter"/>
      <w:start w:val="1"/>
    </w:lvl>
  </w:abstractNum>
  <w:abstractNum w:abstractNumId="130">
    <w:nsid w:val="6A3B714C"/>
    <w:multiLevelType w:val="hybridMultilevel"/>
    <w:lvl w:ilvl="0">
      <w:lvlJc w:val="left"/>
      <w:lvlText w:val="%1."/>
      <w:numFmt w:val="decimal"/>
      <w:start w:val="5"/>
    </w:lvl>
  </w:abstractNum>
  <w:abstractNum w:abstractNumId="131">
    <w:nsid w:val="327B517E"/>
    <w:multiLevelType w:val="hybridMultilevel"/>
    <w:lvl w:ilvl="0">
      <w:lvlJc w:val="left"/>
      <w:lvlText w:val="(%1)"/>
      <w:numFmt w:val="lowerLetter"/>
      <w:start w:val="1"/>
    </w:lvl>
    <w:lvl w:ilvl="1">
      <w:lvlJc w:val="left"/>
      <w:lvlText w:val="-"/>
      <w:numFmt w:val="bullet"/>
      <w:start w:val="1"/>
    </w:lvl>
  </w:abstractNum>
  <w:abstractNum w:abstractNumId="132">
    <w:nsid w:val="1F461B51"/>
    <w:multiLevelType w:val="hybridMultilevel"/>
    <w:lvl w:ilvl="0">
      <w:lvlJc w:val="left"/>
      <w:lvlText w:val="(%1)"/>
      <w:numFmt w:val="lowerLetter"/>
      <w:start w:val="3"/>
    </w:lvl>
    <w:lvl w:ilvl="1">
      <w:lvlJc w:val="left"/>
      <w:lvlText w:val="-"/>
      <w:numFmt w:val="bullet"/>
      <w:start w:val="1"/>
    </w:lvl>
  </w:abstractNum>
  <w:abstractNum w:abstractNumId="133">
    <w:nsid w:val="29BACF25"/>
    <w:multiLevelType w:val="hybridMultilevel"/>
    <w:lvl w:ilvl="0">
      <w:lvlJc w:val="left"/>
      <w:lvlText w:val="%1."/>
      <w:numFmt w:val="decimal"/>
      <w:start w:val="7"/>
    </w:lvl>
  </w:abstractNum>
  <w:abstractNum w:abstractNumId="134">
    <w:nsid w:val="5D5BABB3"/>
    <w:multiLevelType w:val="hybridMultilevel"/>
    <w:lvl w:ilvl="0">
      <w:lvlJc w:val="left"/>
      <w:lvlText w:val="(%1)"/>
      <w:numFmt w:val="lowerLetter"/>
      <w:start w:val="1"/>
    </w:lvl>
    <w:lvl w:ilvl="1">
      <w:lvlJc w:val="left"/>
      <w:lvlText w:val="-"/>
      <w:numFmt w:val="bullet"/>
      <w:start w:val="1"/>
    </w:lvl>
  </w:abstractNum>
  <w:abstractNum w:abstractNumId="135">
    <w:nsid w:val="51BF6B48"/>
    <w:multiLevelType w:val="hybridMultilevel"/>
    <w:lvl w:ilvl="0">
      <w:lvlJc w:val="left"/>
      <w:lvlText w:val="(%1)"/>
      <w:numFmt w:val="lowerLetter"/>
      <w:start w:val="3"/>
    </w:lvl>
  </w:abstractNum>
  <w:abstractNum w:abstractNumId="136">
    <w:nsid w:val="7E0F6384"/>
    <w:multiLevelType w:val="hybridMultilevel"/>
    <w:lvl w:ilvl="0">
      <w:lvlJc w:val="left"/>
      <w:lvlText w:val="%1."/>
      <w:numFmt w:val="decimal"/>
      <w:start w:val="8"/>
    </w:lvl>
  </w:abstractNum>
  <w:abstractNum w:abstractNumId="137">
    <w:nsid w:val="2B4B8B53"/>
    <w:multiLevelType w:val="hybridMultilevel"/>
    <w:lvl w:ilvl="0">
      <w:lvlJc w:val="left"/>
      <w:lvlText w:val="(%1)"/>
      <w:numFmt w:val="lowerLetter"/>
      <w:start w:val="1"/>
    </w:lvl>
    <w:lvl w:ilvl="1">
      <w:lvlJc w:val="left"/>
      <w:lvlText w:val="-"/>
      <w:numFmt w:val="bullet"/>
      <w:start w:val="1"/>
    </w:lvl>
  </w:abstractNum>
  <w:abstractNum w:abstractNumId="138">
    <w:nsid w:val="72E3413A"/>
    <w:multiLevelType w:val="hybridMultilevel"/>
    <w:lvl w:ilvl="0">
      <w:lvlJc w:val="left"/>
      <w:lvlText w:val="(%1)"/>
      <w:numFmt w:val="lowerLetter"/>
      <w:start w:val="2"/>
    </w:lvl>
  </w:abstractNum>
  <w:abstractNum w:abstractNumId="139">
    <w:nsid w:val="116AE494"/>
    <w:multiLevelType w:val="hybridMultilevel"/>
    <w:lvl w:ilvl="0">
      <w:lvlJc w:val="left"/>
      <w:lvlText w:val="%1."/>
      <w:numFmt w:val="decimal"/>
      <w:start w:val="9"/>
    </w:lvl>
    <w:lvl w:ilvl="1">
      <w:lvlJc w:val="left"/>
      <w:lvlText w:val="-"/>
      <w:numFmt w:val="bullet"/>
      <w:start w:val="1"/>
    </w:lvl>
  </w:abstractNum>
  <w:abstractNum w:abstractNumId="140">
    <w:nsid w:val="3494B2FB"/>
    <w:multiLevelType w:val="hybridMultilevel"/>
    <w:lvl w:ilvl="0">
      <w:lvlJc w:val="left"/>
      <w:lvlText w:val="%1."/>
      <w:numFmt w:val="decimal"/>
      <w:start w:val="12"/>
    </w:lvl>
  </w:abstractNum>
  <w:abstractNum w:abstractNumId="141">
    <w:nsid w:val="B13A31"/>
    <w:multiLevelType w:val="hybridMultilevel"/>
    <w:lvl w:ilvl="0">
      <w:lvlJc w:val="left"/>
      <w:lvlText w:val="(%1)"/>
      <w:numFmt w:val="lowerLetter"/>
      <w:start w:val="1"/>
    </w:lvl>
  </w:abstractNum>
  <w:abstractNum w:abstractNumId="142">
    <w:nsid w:val="64429599"/>
    <w:multiLevelType w:val="hybridMultilevel"/>
    <w:lvl w:ilvl="0">
      <w:lvlJc w:val="left"/>
      <w:lvlText w:val="%1."/>
      <w:numFmt w:val="decimal"/>
      <w:start w:val="17"/>
    </w:lvl>
  </w:abstractNum>
  <w:abstractNum w:abstractNumId="143">
    <w:nsid w:val="631F1690"/>
    <w:multiLevelType w:val="hybridMultilevel"/>
    <w:lvl w:ilvl="0">
      <w:lvlJc w:val="left"/>
      <w:lvlText w:val="%1."/>
      <w:numFmt w:val="decimal"/>
      <w:start w:val="18"/>
    </w:lvl>
    <w:lvl w:ilvl="1">
      <w:lvlJc w:val="left"/>
      <w:lvlText w:val="-"/>
      <w:numFmt w:val="bullet"/>
      <w:start w:val="1"/>
    </w:lvl>
  </w:abstractNum>
  <w:abstractNum w:abstractNumId="144">
    <w:nsid w:val="25973E32"/>
    <w:multiLevelType w:val="hybridMultilevel"/>
    <w:lvl w:ilvl="0">
      <w:lvlJc w:val="left"/>
      <w:lvlText w:val="%1."/>
      <w:numFmt w:val="decimal"/>
      <w:start w:val="19"/>
    </w:lvl>
  </w:abstractNum>
  <w:abstractNum w:abstractNumId="145">
    <w:nsid w:val="EAD6F57"/>
    <w:multiLevelType w:val="hybridMultilevel"/>
    <w:lvl w:ilvl="0">
      <w:lvlJc w:val="left"/>
      <w:lvlText w:val="(%1)"/>
      <w:numFmt w:val="lowerLetter"/>
      <w:start w:val="1"/>
    </w:lvl>
    <w:lvl w:ilvl="1">
      <w:lvlJc w:val="left"/>
      <w:lvlText w:val="-"/>
      <w:numFmt w:val="bullet"/>
      <w:start w:val="1"/>
    </w:lvl>
  </w:abstractNum>
  <w:abstractNum w:abstractNumId="146">
    <w:nsid w:val="6EC9D844"/>
    <w:multiLevelType w:val="hybridMultilevel"/>
    <w:lvl w:ilvl="0">
      <w:lvlJc w:val="left"/>
      <w:lvlText w:val="%1."/>
      <w:numFmt w:val="decimal"/>
      <w:start w:val="21"/>
    </w:lvl>
  </w:abstractNum>
  <w:abstractNum w:abstractNumId="147">
    <w:nsid w:val="5C49EAEE"/>
    <w:multiLevelType w:val="hybridMultilevel"/>
    <w:lvl w:ilvl="0">
      <w:lvlJc w:val="left"/>
      <w:lvlText w:val="%1)"/>
      <w:numFmt w:val="decimal"/>
      <w:start w:val="1"/>
    </w:lvl>
  </w:abstractNum>
  <w:abstractNum w:abstractNumId="148">
    <w:nsid w:val="64AF49B"/>
    <w:multiLevelType w:val="hybridMultilevel"/>
    <w:lvl w:ilvl="0">
      <w:lvlJc w:val="left"/>
      <w:lvlText w:val="%1)"/>
      <w:numFmt w:val="decimal"/>
      <w:start w:val="5"/>
    </w:lvl>
  </w:abstractNum>
  <w:abstractNum w:abstractNumId="149">
    <w:nsid w:val="397C46BC"/>
    <w:multiLevelType w:val="hybridMultilevel"/>
    <w:lvl w:ilvl="0">
      <w:lvlJc w:val="left"/>
      <w:lvlText w:val="(%1)"/>
      <w:numFmt w:val="lowerLetter"/>
      <w:start w:val="1"/>
    </w:lvl>
    <w:lvl w:ilvl="1">
      <w:lvlJc w:val="left"/>
      <w:lvlText w:val="-"/>
      <w:numFmt w:val="bullet"/>
      <w:start w:val="1"/>
    </w:lvl>
  </w:abstractNum>
  <w:abstractNum w:abstractNumId="150">
    <w:nsid w:val="7E448DE9"/>
    <w:multiLevelType w:val="hybridMultilevel"/>
    <w:lvl w:ilvl="0">
      <w:lvlJc w:val="left"/>
      <w:lvlText w:val="%1)"/>
      <w:numFmt w:val="decimal"/>
      <w:start w:val="7"/>
    </w:lvl>
    <w:lvl w:ilvl="1">
      <w:lvlJc w:val="left"/>
      <w:lvlText w:val="-"/>
      <w:numFmt w:val="bullet"/>
      <w:start w:val="1"/>
    </w:lvl>
  </w:abstractNum>
  <w:abstractNum w:abstractNumId="151">
    <w:nsid w:val="5A9CC3E5"/>
    <w:multiLevelType w:val="hybridMultilevel"/>
    <w:lvl w:ilvl="0">
      <w:lvlJc w:val="left"/>
      <w:lvlText w:val="%1)"/>
      <w:numFmt w:val="decimal"/>
      <w:start w:val="15"/>
    </w:lvl>
    <w:lvl w:ilvl="1">
      <w:lvlJc w:val="left"/>
      <w:lvlText w:val="-"/>
      <w:numFmt w:val="bullet"/>
      <w:start w:val="1"/>
    </w:lvl>
  </w:abstractNum>
  <w:abstractNum w:abstractNumId="152">
    <w:nsid w:val="1AFE3625"/>
    <w:multiLevelType w:val="hybridMultilevel"/>
    <w:lvl w:ilvl="0">
      <w:lvlJc w:val="left"/>
      <w:lvlText w:val="%1)"/>
      <w:numFmt w:val="decimal"/>
      <w:start w:val="23"/>
    </w:lvl>
  </w:abstractNum>
  <w:abstractNum w:abstractNumId="153">
    <w:nsid w:val="3CA88ECF"/>
    <w:multiLevelType w:val="hybridMultilevel"/>
    <w:lvl w:ilvl="0">
      <w:lvlJc w:val="left"/>
      <w:lvlText w:val="%1."/>
      <w:numFmt w:val="decimal"/>
      <w:start w:val="1"/>
    </w:lvl>
  </w:abstractNum>
  <w:abstractNum w:abstractNumId="154">
    <w:nsid w:val="6EBE4208"/>
    <w:multiLevelType w:val="hybridMultilevel"/>
    <w:lvl w:ilvl="0">
      <w:lvlJc w:val="left"/>
      <w:lvlText w:val="(%1)"/>
      <w:numFmt w:val="lowerLetter"/>
      <w:start w:val="1"/>
    </w:lvl>
  </w:abstractNum>
  <w:abstractNum w:abstractNumId="155">
    <w:nsid w:val="C058DF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56">
    <w:nsid w:val="CBE5BE9"/>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57">
    <w:nsid w:val="3102BBE2"/>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58">
    <w:nsid w:val="26A02C5E"/>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59">
    <w:nsid w:val="541C8153"/>
    <w:multiLevelType w:val="hybridMultilevel"/>
    <w:lvl w:ilvl="0">
      <w:lvlJc w:val="left"/>
      <w:lvlText w:val="(%1)"/>
      <w:numFmt w:val="lowerLetter"/>
      <w:start w:val="4"/>
    </w:lvl>
  </w:abstractNum>
  <w:abstractNum w:abstractNumId="160">
    <w:nsid w:val="67906F60"/>
    <w:multiLevelType w:val="hybridMultilevel"/>
    <w:lvl w:ilvl="0">
      <w:lvlJc w:val="left"/>
      <w:lvlText w:val="%1."/>
      <w:numFmt w:val="decimal"/>
      <w:start w:val="3"/>
    </w:lvl>
  </w:abstractNum>
  <w:abstractNum w:abstractNumId="161">
    <w:nsid w:val="10DB9DAA"/>
    <w:multiLevelType w:val="hybridMultilevel"/>
    <w:lvl w:ilvl="0">
      <w:lvlJc w:val="left"/>
      <w:lvlText w:val="(%1)"/>
      <w:numFmt w:val="lowerLetter"/>
      <w:start w:val="1"/>
    </w:lvl>
  </w:abstractNum>
  <w:abstractNum w:abstractNumId="162">
    <w:nsid w:val="697D2D2"/>
    <w:multiLevelType w:val="hybridMultilevel"/>
    <w:lvl w:ilvl="0">
      <w:lvlJc w:val="left"/>
      <w:lvlText w:val="%1."/>
      <w:numFmt w:val="decimal"/>
      <w:start w:val="4"/>
    </w:lvl>
  </w:abstractNum>
  <w:abstractNum w:abstractNumId="163">
    <w:nsid w:val="6D68AB2"/>
    <w:multiLevelType w:val="hybridMultilevel"/>
    <w:lvl w:ilvl="0">
      <w:lvlJc w:val="left"/>
      <w:lvlText w:val="(%1)"/>
      <w:numFmt w:val="lowerLetter"/>
      <w:start w:val="1"/>
    </w:lvl>
    <w:lvl w:ilvl="1">
      <w:lvlJc w:val="left"/>
      <w:lvlText w:val="-"/>
      <w:numFmt w:val="bullet"/>
      <w:start w:val="1"/>
    </w:lvl>
  </w:abstractNum>
  <w:abstractNum w:abstractNumId="164">
    <w:nsid w:val="3A966CD0"/>
    <w:multiLevelType w:val="hybridMultilevel"/>
    <w:lvl w:ilvl="0">
      <w:lvlJc w:val="left"/>
      <w:lvlText w:val="%1."/>
      <w:numFmt w:val="decimal"/>
      <w:start w:val="5"/>
    </w:lvl>
  </w:abstractNum>
  <w:abstractNum w:abstractNumId="165">
    <w:nsid w:val="63F37E85"/>
    <w:multiLevelType w:val="hybridMultilevel"/>
    <w:lvl w:ilvl="0">
      <w:lvlJc w:val="left"/>
      <w:lvlText w:val="(%1)"/>
      <w:numFmt w:val="lowerLetter"/>
      <w:start w:val="1"/>
    </w:lvl>
    <w:lvl w:ilvl="1">
      <w:lvlJc w:val="left"/>
      <w:lvlText w:val="-"/>
      <w:numFmt w:val="bullet"/>
      <w:start w:val="1"/>
    </w:lvl>
  </w:abstractNum>
  <w:abstractNum w:abstractNumId="166">
    <w:nsid w:val="5895F5FA"/>
    <w:multiLevelType w:val="hybridMultilevel"/>
    <w:lvl w:ilvl="0">
      <w:lvlJc w:val="left"/>
      <w:lvlText w:val="(%1)"/>
      <w:numFmt w:val="lowerLetter"/>
      <w:start w:val="5"/>
    </w:lvl>
  </w:abstractNum>
  <w:abstractNum w:abstractNumId="167">
    <w:nsid w:val="38A5D054"/>
    <w:multiLevelType w:val="hybridMultilevel"/>
    <w:lvl w:ilvl="0">
      <w:lvlJc w:val="left"/>
      <w:lvlText w:val="%1."/>
      <w:numFmt w:val="decimal"/>
      <w:start w:val="7"/>
    </w:lvl>
  </w:abstractNum>
  <w:abstractNum w:abstractNumId="168">
    <w:nsid w:val="F3F09D8"/>
    <w:multiLevelType w:val="hybridMultilevel"/>
    <w:lvl w:ilvl="0">
      <w:lvlJc w:val="left"/>
      <w:lvlText w:val="(%1)"/>
      <w:numFmt w:val="lowerLetter"/>
      <w:start w:val="1"/>
    </w:lvl>
    <w:lvl w:ilvl="1">
      <w:lvlJc w:val="left"/>
      <w:lvlText w:val="-"/>
      <w:numFmt w:val="bullet"/>
      <w:start w:val="1"/>
    </w:lvl>
  </w:abstractNum>
  <w:abstractNum w:abstractNumId="169">
    <w:nsid w:val="4B793735"/>
    <w:multiLevelType w:val="hybridMultilevel"/>
    <w:lvl w:ilvl="0">
      <w:lvlJc w:val="left"/>
      <w:lvlText w:val="(%1)"/>
      <w:numFmt w:val="lowerLetter"/>
      <w:start w:val="2"/>
    </w:lvl>
    <w:lvl w:ilvl="1">
      <w:lvlJc w:val="left"/>
      <w:lvlText w:val="-"/>
      <w:numFmt w:val="bullet"/>
      <w:start w:val="1"/>
    </w:lvl>
  </w:abstractNum>
  <w:abstractNum w:abstractNumId="170">
    <w:nsid w:val="4A10B4E8"/>
    <w:multiLevelType w:val="hybridMultilevel"/>
    <w:lvl w:ilvl="0">
      <w:lvlJc w:val="left"/>
      <w:lvlText w:val="(%1)"/>
      <w:numFmt w:val="lowerLetter"/>
      <w:start w:val="5"/>
    </w:lvl>
  </w:abstractNum>
  <w:abstractNum w:abstractNumId="171">
    <w:nsid w:val="43D3BCD4"/>
    <w:multiLevelType w:val="hybridMultilevel"/>
    <w:lvl w:ilvl="0">
      <w:lvlJc w:val="left"/>
      <w:lvlText w:val="%1."/>
      <w:numFmt w:val="decimal"/>
      <w:start w:val="8"/>
    </w:lvl>
  </w:abstractNum>
  <w:abstractNum w:abstractNumId="172">
    <w:nsid w:val="4C2A7166"/>
    <w:multiLevelType w:val="hybridMultilevel"/>
    <w:lvl w:ilvl="0">
      <w:lvlJc w:val="left"/>
      <w:lvlText w:val="(%1)"/>
      <w:numFmt w:val="lowerLetter"/>
      <w:start w:val="1"/>
    </w:lvl>
  </w:abstractNum>
  <w:abstractNum w:abstractNumId="173">
    <w:nsid w:val="2E534A82"/>
    <w:multiLevelType w:val="hybridMultilevel"/>
    <w:lvl w:ilvl="0">
      <w:lvlJc w:val="left"/>
      <w:lvlText w:val="%1."/>
      <w:numFmt w:val="decimal"/>
      <w:start w:val="9"/>
    </w:lvl>
    <w:lvl w:ilvl="1">
      <w:lvlJc w:val="left"/>
      <w:lvlText w:val="-"/>
      <w:numFmt w:val="bullet"/>
      <w:start w:val="1"/>
    </w:lvl>
  </w:abstractNum>
  <w:abstractNum w:abstractNumId="174">
    <w:nsid w:val="26F2D364"/>
    <w:multiLevelType w:val="hybridMultilevel"/>
    <w:lvl w:ilvl="0">
      <w:lvlJc w:val="left"/>
      <w:lvlText w:val="%1."/>
      <w:numFmt w:val="decimal"/>
      <w:start w:val="10"/>
    </w:lvl>
    <w:lvl w:ilvl="1">
      <w:lvlJc w:val="left"/>
      <w:lvlText w:val="-"/>
      <w:numFmt w:val="bullet"/>
      <w:start w:val="1"/>
    </w:lvl>
  </w:abstractNum>
  <w:abstractNum w:abstractNumId="175">
    <w:nsid w:val="71C1AF98"/>
    <w:multiLevelType w:val="hybridMultilevel"/>
    <w:lvl w:ilvl="0">
      <w:lvlJc w:val="left"/>
      <w:lvlText w:val="%1."/>
      <w:numFmt w:val="decimal"/>
      <w:start w:val="16"/>
    </w:lvl>
  </w:abstractNum>
  <w:abstractNum w:abstractNumId="176">
    <w:nsid w:val="3D00B9D9"/>
    <w:multiLevelType w:val="hybridMultilevel"/>
    <w:lvl w:ilvl="0">
      <w:lvlJc w:val="left"/>
      <w:lvlText w:val="(%1)"/>
      <w:numFmt w:val="lowerLetter"/>
      <w:start w:val="1"/>
    </w:lvl>
  </w:abstractNum>
  <w:abstractNum w:abstractNumId="177">
    <w:nsid w:val="15BCABA8"/>
    <w:multiLevelType w:val="hybridMultilevel"/>
    <w:lvl w:ilvl="0">
      <w:lvlJc w:val="left"/>
      <w:lvlText w:val="%1."/>
      <w:numFmt w:val="decimal"/>
      <w:start w:val="17"/>
    </w:lvl>
  </w:abstractNum>
  <w:abstractNum w:abstractNumId="178">
    <w:nsid w:val="4E0B9A87"/>
    <w:multiLevelType w:val="hybridMultilevel"/>
    <w:lvl w:ilvl="0">
      <w:lvlJc w:val="left"/>
      <w:lvlText w:val="%1."/>
      <w:numFmt w:val="decimal"/>
      <w:start w:val="18"/>
    </w:lvl>
  </w:abstractNum>
  <w:abstractNum w:abstractNumId="179">
    <w:nsid w:val="434BAE75"/>
    <w:multiLevelType w:val="hybridMultilevel"/>
    <w:lvl w:ilvl="0">
      <w:lvlJc w:val="left"/>
      <w:lvlText w:val="(%1)"/>
      <w:numFmt w:val="lowerLetter"/>
      <w:start w:val="1"/>
    </w:lvl>
    <w:lvl w:ilvl="1">
      <w:lvlJc w:val="left"/>
      <w:lvlText w:val="-"/>
      <w:numFmt w:val="bullet"/>
      <w:start w:val="1"/>
    </w:lvl>
  </w:abstractNum>
  <w:abstractNum w:abstractNumId="180">
    <w:nsid w:val="4F38F265"/>
    <w:multiLevelType w:val="hybridMultilevel"/>
    <w:lvl w:ilvl="0">
      <w:lvlJc w:val="left"/>
      <w:lvlText w:val="(%1)"/>
      <w:numFmt w:val="lowerLetter"/>
      <w:start w:val="3"/>
    </w:lvl>
  </w:abstractNum>
  <w:abstractNum w:abstractNumId="181">
    <w:nsid w:val="4C502870"/>
    <w:multiLevelType w:val="hybridMultilevel"/>
    <w:lvl w:ilvl="0">
      <w:lvlJc w:val="left"/>
      <w:lvlText w:val="%1."/>
      <w:numFmt w:val="decimal"/>
      <w:start w:val="21"/>
    </w:lvl>
  </w:abstractNum>
  <w:abstractNum w:abstractNumId="182">
    <w:nsid w:val="1DE8725A"/>
    <w:multiLevelType w:val="hybridMultilevel"/>
    <w:lvl w:ilvl="0">
      <w:lvlJc w:val="left"/>
      <w:lvlText w:val="%1)"/>
      <w:numFmt w:val="decimal"/>
      <w:start w:val="1"/>
    </w:lvl>
  </w:abstractNum>
  <w:abstractNum w:abstractNumId="183">
    <w:nsid w:val="6A37288A"/>
    <w:multiLevelType w:val="hybridMultilevel"/>
    <w:lvl w:ilvl="0">
      <w:lvlJc w:val="left"/>
      <w:lvlText w:val="%1)"/>
      <w:numFmt w:val="decimal"/>
      <w:start w:val="4"/>
    </w:lvl>
  </w:abstractNum>
  <w:abstractNum w:abstractNumId="184">
    <w:nsid w:val="8F8B73F"/>
    <w:multiLevelType w:val="hybridMultilevel"/>
    <w:lvl w:ilvl="0">
      <w:lvlJc w:val="left"/>
      <w:lvlText w:val="(%1)"/>
      <w:numFmt w:val="lowerLetter"/>
      <w:start w:val="1"/>
    </w:lvl>
    <w:lvl w:ilvl="1">
      <w:lvlJc w:val="left"/>
      <w:lvlText w:val="-"/>
      <w:numFmt w:val="bullet"/>
      <w:start w:val="1"/>
    </w:lvl>
  </w:abstractNum>
  <w:abstractNum w:abstractNumId="185">
    <w:nsid w:val="CA6B462"/>
    <w:multiLevelType w:val="hybridMultilevel"/>
    <w:lvl w:ilvl="0">
      <w:lvlJc w:val="left"/>
      <w:lvlText w:val="%1)"/>
      <w:numFmt w:val="decimal"/>
      <w:start w:val="7"/>
    </w:lvl>
    <w:lvl w:ilvl="1">
      <w:lvlJc w:val="left"/>
      <w:lvlText w:val="-"/>
      <w:numFmt w:val="bullet"/>
      <w:start w:val="1"/>
    </w:lvl>
  </w:abstractNum>
  <w:abstractNum w:abstractNumId="186">
    <w:nsid w:val="763CB680"/>
    <w:multiLevelType w:val="hybridMultilevel"/>
    <w:lvl w:ilvl="0">
      <w:lvlJc w:val="left"/>
      <w:lvlText w:val="%1)"/>
      <w:numFmt w:val="decimal"/>
      <w:start w:val="15"/>
    </w:lvl>
    <w:lvl w:ilvl="1">
      <w:lvlJc w:val="left"/>
      <w:lvlText w:val="-"/>
      <w:numFmt w:val="bullet"/>
      <w:start w:val="1"/>
    </w:lvl>
  </w:abstractNum>
  <w:abstractNum w:abstractNumId="187">
    <w:nsid w:val="15B71329"/>
    <w:multiLevelType w:val="hybridMultilevel"/>
    <w:lvl w:ilvl="0">
      <w:lvlJc w:val="left"/>
      <w:lvlText w:val="%1)"/>
      <w:numFmt w:val="decimal"/>
      <w:start w:val="23"/>
    </w:lvl>
  </w:abstractNum>
  <w:abstractNum w:abstractNumId="188">
    <w:nsid w:val="3DA97044"/>
    <w:multiLevelType w:val="hybridMultilevel"/>
    <w:lvl w:ilvl="0">
      <w:lvlJc w:val="left"/>
      <w:lvlText w:val="%1."/>
      <w:numFmt w:val="decimal"/>
      <w:start w:val="1"/>
    </w:lvl>
  </w:abstractNum>
  <w:abstractNum w:abstractNumId="189">
    <w:nsid w:val="1CDCE2DE"/>
    <w:multiLevelType w:val="hybridMultilevel"/>
    <w:lvl w:ilvl="0">
      <w:lvlJc w:val="left"/>
      <w:lvlText w:val="(%1)"/>
      <w:numFmt w:val="lowerLetter"/>
      <w:start w:val="1"/>
    </w:lvl>
  </w:abstractNum>
  <w:abstractNum w:abstractNumId="190">
    <w:nsid w:val="69D3947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91">
    <w:nsid w:val="2539DFA5"/>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92">
    <w:nsid w:val="2DB88089"/>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93">
    <w:nsid w:val="706B674E"/>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94">
    <w:nsid w:val="2C106A57"/>
    <w:multiLevelType w:val="hybridMultilevel"/>
    <w:lvl w:ilvl="0">
      <w:lvlJc w:val="left"/>
      <w:lvlText w:val="(%1)"/>
      <w:numFmt w:val="lowerLetter"/>
      <w:start w:val="4"/>
    </w:lvl>
  </w:abstractNum>
  <w:abstractNum w:abstractNumId="195">
    <w:nsid w:val="684EED59"/>
    <w:multiLevelType w:val="hybridMultilevel"/>
    <w:lvl w:ilvl="0">
      <w:lvlJc w:val="left"/>
      <w:lvlText w:val="%1."/>
      <w:numFmt w:val="decimal"/>
      <w:start w:val="3"/>
    </w:lvl>
  </w:abstractNum>
  <w:abstractNum w:abstractNumId="196">
    <w:nsid w:val="545EE5D3"/>
    <w:multiLevelType w:val="hybridMultilevel"/>
    <w:lvl w:ilvl="0">
      <w:lvlJc w:val="left"/>
      <w:lvlText w:val="(%1)"/>
      <w:numFmt w:val="lowerLetter"/>
      <w:start w:val="1"/>
    </w:lvl>
    <w:lvl w:ilvl="1">
      <w:lvlJc w:val="left"/>
      <w:lvlText w:val="(%2)"/>
      <w:numFmt w:val="lowerRoman"/>
      <w:start w:val="1"/>
    </w:lvl>
  </w:abstractNum>
  <w:abstractNum w:abstractNumId="197">
    <w:nsid w:val="4A66051"/>
    <w:multiLevelType w:val="hybridMultilevel"/>
    <w:lvl w:ilvl="0">
      <w:lvlJc w:val="left"/>
      <w:lvlText w:val="%1."/>
      <w:numFmt w:val="decimal"/>
      <w:start w:val="4"/>
    </w:lvl>
  </w:abstractNum>
  <w:abstractNum w:abstractNumId="198">
    <w:nsid w:val="20F4BDAD"/>
    <w:multiLevelType w:val="hybridMultilevel"/>
    <w:lvl w:ilvl="0">
      <w:lvlJc w:val="left"/>
      <w:lvlText w:val="(%1)"/>
      <w:numFmt w:val="lowerLetter"/>
      <w:start w:val="1"/>
    </w:lvl>
  </w:abstractNum>
  <w:abstractNum w:abstractNumId="199">
    <w:nsid w:val="639DEFAC"/>
    <w:multiLevelType w:val="hybridMultilevel"/>
    <w:lvl w:ilvl="0">
      <w:lvlJc w:val="left"/>
      <w:lvlText w:val="%1."/>
      <w:numFmt w:val="decimal"/>
      <w:start w:val="5"/>
    </w:lvl>
  </w:abstractNum>
  <w:abstractNum w:abstractNumId="200">
    <w:nsid w:val="501F9786"/>
    <w:multiLevelType w:val="hybridMultilevel"/>
    <w:lvl w:ilvl="0">
      <w:lvlJc w:val="left"/>
      <w:lvlText w:val="(%1)"/>
      <w:numFmt w:val="lowerLetter"/>
      <w:start w:val="1"/>
    </w:lvl>
    <w:lvl w:ilvl="1">
      <w:lvlJc w:val="left"/>
      <w:lvlText w:val="-"/>
      <w:numFmt w:val="bullet"/>
      <w:start w:val="1"/>
    </w:lvl>
  </w:abstractNum>
  <w:abstractNum w:abstractNumId="201">
    <w:nsid w:val="6B057295"/>
    <w:multiLevelType w:val="hybridMultilevel"/>
    <w:lvl w:ilvl="0">
      <w:lvlJc w:val="left"/>
      <w:lvlText w:val="(%1)"/>
      <w:numFmt w:val="lowerLetter"/>
      <w:start w:val="3"/>
    </w:lvl>
    <w:lvl w:ilvl="1">
      <w:lvlJc w:val="left"/>
      <w:lvlText w:val="-"/>
      <w:numFmt w:val="bullet"/>
      <w:start w:val="1"/>
    </w:lvl>
  </w:abstractNum>
  <w:abstractNum w:abstractNumId="202">
    <w:nsid w:val="2771AC80"/>
    <w:multiLevelType w:val="hybridMultilevel"/>
    <w:lvl w:ilvl="0">
      <w:lvlJc w:val="left"/>
      <w:lvlText w:val="%1."/>
      <w:numFmt w:val="decimal"/>
      <w:start w:val="7"/>
    </w:lvl>
  </w:abstractNum>
  <w:abstractNum w:abstractNumId="203">
    <w:nsid w:val="1C4A08EC"/>
    <w:multiLevelType w:val="hybridMultilevel"/>
    <w:lvl w:ilvl="0">
      <w:lvlJc w:val="left"/>
      <w:lvlText w:val="(%1)"/>
      <w:numFmt w:val="lowerLetter"/>
      <w:start w:val="1"/>
    </w:lvl>
    <w:lvl w:ilvl="1">
      <w:lvlJc w:val="left"/>
      <w:lvlText w:val="-"/>
      <w:numFmt w:val="bullet"/>
      <w:start w:val="1"/>
    </w:lvl>
  </w:abstractNum>
  <w:abstractNum w:abstractNumId="204">
    <w:nsid w:val="1958BD17"/>
    <w:multiLevelType w:val="hybridMultilevel"/>
    <w:lvl w:ilvl="0">
      <w:lvlJc w:val="left"/>
      <w:lvlText w:val="(%1)"/>
      <w:numFmt w:val="lowerLetter"/>
      <w:start w:val="4"/>
    </w:lvl>
  </w:abstractNum>
  <w:abstractNum w:abstractNumId="205">
    <w:nsid w:val="4E647FE4"/>
    <w:multiLevelType w:val="hybridMultilevel"/>
    <w:lvl w:ilvl="0">
      <w:lvlJc w:val="left"/>
      <w:lvlText w:val="%1."/>
      <w:numFmt w:val="decimal"/>
      <w:start w:val="8"/>
    </w:lvl>
  </w:abstractNum>
  <w:abstractNum w:abstractNumId="206">
    <w:nsid w:val="E0BB885"/>
    <w:multiLevelType w:val="hybridMultilevel"/>
    <w:lvl w:ilvl="0">
      <w:lvlJc w:val="left"/>
      <w:lvlText w:val="(%1)"/>
      <w:numFmt w:val="lowerLetter"/>
      <w:start w:val="1"/>
    </w:lvl>
    <w:lvl w:ilvl="1">
      <w:lvlJc w:val="left"/>
      <w:lvlText w:val="-"/>
      <w:numFmt w:val="bullet"/>
      <w:start w:val="1"/>
    </w:lvl>
  </w:abstractNum>
  <w:abstractNum w:abstractNumId="207">
    <w:nsid w:val="565976F1"/>
    <w:multiLevelType w:val="hybridMultilevel"/>
    <w:lvl w:ilvl="0">
      <w:lvlJc w:val="left"/>
      <w:lvlText w:val="(%1)"/>
      <w:numFmt w:val="lowerLetter"/>
      <w:start w:val="2"/>
    </w:lvl>
  </w:abstractNum>
  <w:abstractNum w:abstractNumId="208">
    <w:nsid w:val="64212B8C"/>
    <w:multiLevelType w:val="hybridMultilevel"/>
    <w:lvl w:ilvl="0">
      <w:lvlJc w:val="left"/>
      <w:lvlText w:val="%1."/>
      <w:numFmt w:val="decimal"/>
      <w:start w:val="9"/>
    </w:lvl>
    <w:lvl w:ilvl="1">
      <w:lvlJc w:val="left"/>
      <w:lvlText w:val="-"/>
      <w:numFmt w:val="bullet"/>
      <w:start w:val="1"/>
    </w:lvl>
  </w:abstractNum>
  <w:abstractNum w:abstractNumId="209">
    <w:nsid w:val="5C17530C"/>
    <w:multiLevelType w:val="hybridMultilevel"/>
    <w:lvl w:ilvl="0">
      <w:lvlJc w:val="left"/>
      <w:lvlText w:val="%1."/>
      <w:numFmt w:val="decimal"/>
      <w:start w:val="12"/>
    </w:lvl>
  </w:abstractNum>
  <w:abstractNum w:abstractNumId="210">
    <w:nsid w:val="19A52566"/>
    <w:multiLevelType w:val="hybridMultilevel"/>
    <w:lvl w:ilvl="0">
      <w:lvlJc w:val="left"/>
      <w:lvlText w:val="(%1)"/>
      <w:numFmt w:val="lowerLetter"/>
      <w:start w:val="1"/>
    </w:lvl>
  </w:abstractNum>
  <w:abstractNum w:abstractNumId="211">
    <w:nsid w:val="335A1DF1"/>
    <w:multiLevelType w:val="hybridMultilevel"/>
    <w:lvl w:ilvl="0">
      <w:lvlJc w:val="left"/>
      <w:lvlText w:val="%1."/>
      <w:numFmt w:val="decimal"/>
      <w:start w:val="17"/>
    </w:lvl>
    <w:lvl w:ilvl="1">
      <w:lvlJc w:val="left"/>
      <w:lvlText w:val="-"/>
      <w:numFmt w:val="bullet"/>
      <w:start w:val="1"/>
    </w:lvl>
  </w:abstractNum>
  <w:abstractNum w:abstractNumId="212">
    <w:nsid w:val="28677B7C"/>
    <w:multiLevelType w:val="hybridMultilevel"/>
    <w:lvl w:ilvl="0">
      <w:lvlJc w:val="left"/>
      <w:lvlText w:val="%1."/>
      <w:numFmt w:val="decimal"/>
      <w:start w:val="20"/>
    </w:lvl>
  </w:abstractNum>
  <w:abstractNum w:abstractNumId="213">
    <w:nsid w:val="378D97C0"/>
    <w:multiLevelType w:val="hybridMultilevel"/>
    <w:lvl w:ilvl="0">
      <w:lvlJc w:val="left"/>
      <w:lvlText w:val="(%1)"/>
      <w:numFmt w:val="lowerLetter"/>
      <w:start w:val="1"/>
    </w:lvl>
  </w:abstractNum>
  <w:abstractNum w:abstractNumId="214">
    <w:nsid w:val="1D91467C"/>
    <w:multiLevelType w:val="hybridMultilevel"/>
    <w:lvl w:ilvl="0">
      <w:lvlJc w:val="left"/>
      <w:lvlText w:val="%1."/>
      <w:numFmt w:val="decimal"/>
      <w:start w:val="21"/>
    </w:lvl>
    <w:lvl w:ilvl="1">
      <w:lvlJc w:val="left"/>
      <w:lvlText w:val="-"/>
      <w:numFmt w:val="bullet"/>
      <w:start w:val="1"/>
    </w:lvl>
  </w:abstractNum>
  <w:abstractNum w:abstractNumId="215">
    <w:nsid w:val="316032BB"/>
    <w:multiLevelType w:val="hybridMultilevel"/>
    <w:lvl w:ilvl="0">
      <w:lvlJc w:val="left"/>
      <w:lvlText w:val="%1)"/>
      <w:numFmt w:val="decimal"/>
      <w:start w:val="1"/>
    </w:lvl>
  </w:abstractNum>
  <w:abstractNum w:abstractNumId="216">
    <w:nsid w:val="44344C22"/>
    <w:multiLevelType w:val="hybridMultilevel"/>
    <w:lvl w:ilvl="0">
      <w:lvlJc w:val="left"/>
      <w:lvlText w:val="%1)"/>
      <w:numFmt w:val="decimal"/>
      <w:start w:val="4"/>
    </w:lvl>
  </w:abstractNum>
  <w:abstractNum w:abstractNumId="217">
    <w:nsid w:val="13CDFCFC"/>
    <w:multiLevelType w:val="hybridMultilevel"/>
    <w:lvl w:ilvl="0">
      <w:lvlJc w:val="left"/>
      <w:lvlText w:val="(%1)"/>
      <w:numFmt w:val="lowerLetter"/>
      <w:start w:val="1"/>
    </w:lvl>
    <w:lvl w:ilvl="1">
      <w:lvlJc w:val="left"/>
      <w:lvlText w:val="-"/>
      <w:numFmt w:val="bullet"/>
      <w:start w:val="1"/>
    </w:lvl>
  </w:abstractNum>
  <w:abstractNum w:abstractNumId="218">
    <w:nsid w:val="471745E4"/>
    <w:multiLevelType w:val="hybridMultilevel"/>
    <w:lvl w:ilvl="0">
      <w:lvlJc w:val="left"/>
      <w:lvlText w:val="%1)"/>
      <w:numFmt w:val="decimal"/>
      <w:start w:val="7"/>
    </w:lvl>
    <w:lvl w:ilvl="1">
      <w:lvlJc w:val="left"/>
      <w:lvlText w:val="-"/>
      <w:numFmt w:val="bullet"/>
      <w:start w:val="1"/>
    </w:lvl>
  </w:abstractNum>
  <w:abstractNum w:abstractNumId="219">
    <w:nsid w:val="1DDBC66"/>
    <w:multiLevelType w:val="hybridMultilevel"/>
    <w:lvl w:ilvl="0">
      <w:lvlJc w:val="left"/>
      <w:lvlText w:val="%1)"/>
      <w:numFmt w:val="decimal"/>
      <w:start w:val="15"/>
    </w:lvl>
    <w:lvl w:ilvl="1">
      <w:lvlJc w:val="left"/>
      <w:lvlText w:val="-"/>
      <w:numFmt w:val="bullet"/>
      <w:start w:val="1"/>
    </w:lvl>
  </w:abstractNum>
  <w:abstractNum w:abstractNumId="220">
    <w:nsid w:val="30AADFDA"/>
    <w:multiLevelType w:val="hybridMultilevel"/>
    <w:lvl w:ilvl="0">
      <w:lvlJc w:val="left"/>
      <w:lvlText w:val="%1)"/>
      <w:numFmt w:val="decimal"/>
      <w:start w:val="23"/>
    </w:lvl>
  </w:abstractNum>
  <w:abstractNum w:abstractNumId="221">
    <w:nsid w:val="30EADA61"/>
    <w:multiLevelType w:val="hybridMultilevel"/>
    <w:lvl w:ilvl="0">
      <w:lvlJc w:val="left"/>
      <w:lvlText w:val="%1."/>
      <w:numFmt w:val="upperLetter"/>
      <w:start w:val="1"/>
    </w:lvl>
  </w:abstractNum>
  <w:abstractNum w:abstractNumId="222">
    <w:nsid w:val="27179C0B"/>
    <w:multiLevelType w:val="hybridMultilevel"/>
    <w:lvl w:ilvl="0">
      <w:lvlJc w:val="left"/>
      <w:lvlText w:val="(%1)"/>
      <w:numFmt w:val="lowerRoman"/>
      <w:start w:val="2"/>
    </w:lvl>
  </w:abstractNum>
  <w:abstractNum w:abstractNumId="223">
    <w:nsid w:val="5E636063"/>
    <w:multiLevelType w:val="hybridMultilevel"/>
    <w:lvl w:ilvl="0">
      <w:lvlJc w:val="left"/>
      <w:lvlText w:val="(%1)"/>
      <w:numFmt w:val="lowerRoman"/>
      <w:start w:val="1"/>
    </w:lvl>
  </w:abstractNum>
  <w:abstractNum w:abstractNumId="224">
    <w:nsid w:val="215641AF"/>
    <w:multiLevelType w:val="hybridMultilevel"/>
    <w:lvl w:ilvl="0">
      <w:lvlJc w:val="left"/>
      <w:lvlText w:val="(%1)"/>
      <w:numFmt w:val="lowerRoman"/>
      <w:start w:val="2"/>
    </w:lvl>
  </w:abstractNum>
  <w:abstractNum w:abstractNumId="225">
    <w:nsid w:val="53280662"/>
    <w:multiLevelType w:val="hybridMultilevel"/>
    <w:lvl w:ilvl="0">
      <w:lvlJc w:val="left"/>
      <w:lvlText w:val="(%1)"/>
      <w:numFmt w:val="lowerLetter"/>
      <w:start w:val="1"/>
    </w:lvl>
  </w:abstractNum>
  <w:abstractNum w:abstractNumId="226">
    <w:nsid w:val="46B24DBC"/>
    <w:multiLevelType w:val="hybridMultilevel"/>
    <w:lvl w:ilvl="0">
      <w:lvlJc w:val="left"/>
      <w:lvlText w:val="(%1)"/>
      <w:numFmt w:val="lowerLetter"/>
      <w:start w:val="4"/>
    </w:lvl>
  </w:abstractNum>
  <w:abstractNum w:abstractNumId="227">
    <w:nsid w:val="75B52783"/>
    <w:multiLevelType w:val="hybridMultilevel"/>
    <w:lvl w:ilvl="0">
      <w:lvlJc w:val="left"/>
      <w:lvlText w:val="(%1)"/>
      <w:numFmt w:val="upperLetter"/>
      <w:start w:val="1"/>
    </w:lvl>
  </w:abstractNum>
  <w:abstractNum w:abstractNumId="228">
    <w:nsid w:val="57CE66B4"/>
    <w:multiLevelType w:val="hybridMultilevel"/>
    <w:lvl w:ilvl="0">
      <w:lvlJc w:val="left"/>
      <w:lvlText w:val="%1."/>
      <w:numFmt w:val="decimal"/>
      <w:start w:val="1"/>
    </w:lvl>
    <w:lvl w:ilvl="1">
      <w:lvlJc w:val="left"/>
      <w:lvlText w:val="(%2)"/>
      <w:numFmt w:val="lowerLetter"/>
      <w:start w:val="1"/>
    </w:lvl>
  </w:abstractNum>
  <w:abstractNum w:abstractNumId="229">
    <w:nsid w:val="67A70B69"/>
    <w:multiLevelType w:val="hybridMultilevel"/>
    <w:lvl w:ilvl="0">
      <w:lvlJc w:val="left"/>
      <w:lvlText w:val="%1."/>
      <w:numFmt w:val="decimal"/>
      <w:start w:val="1"/>
    </w:lvl>
    <w:lvl w:ilvl="1">
      <w:lvlJc w:val="left"/>
      <w:lvlText w:val="(%2)"/>
      <w:numFmt w:val="lowerLetter"/>
      <w:start w:val="1"/>
    </w:lvl>
  </w:abstractNum>
  <w:abstractNum w:abstractNumId="230">
    <w:nsid w:val="5953172F"/>
    <w:multiLevelType w:val="hybridMultilevel"/>
    <w:lvl w:ilvl="0">
      <w:lvlJc w:val="left"/>
      <w:lvlText w:val="(%1)"/>
      <w:numFmt w:val="decimal"/>
      <w:start w:val="1"/>
    </w:lvl>
  </w:abstractNum>
  <w:abstractNum w:abstractNumId="231">
    <w:nsid w:val="27EDFE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png"/><Relationship Id="rId341" Type="http://schemas.openxmlformats.org/officeDocument/2006/relationships/image" Target="media/image316.png"/><Relationship Id="rId342" Type="http://schemas.openxmlformats.org/officeDocument/2006/relationships/image" Target="media/image317.png"/><Relationship Id="rId343" Type="http://schemas.openxmlformats.org/officeDocument/2006/relationships/image" Target="media/image318.png"/><Relationship Id="rId344" Type="http://schemas.openxmlformats.org/officeDocument/2006/relationships/image" Target="media/image319.png"/><Relationship Id="rId345" Type="http://schemas.openxmlformats.org/officeDocument/2006/relationships/image" Target="media/image320.png"/><Relationship Id="rId346" Type="http://schemas.openxmlformats.org/officeDocument/2006/relationships/image" Target="media/image321.png"/><Relationship Id="rId347" Type="http://schemas.openxmlformats.org/officeDocument/2006/relationships/image" Target="media/image322.png"/><Relationship Id="rId348" Type="http://schemas.openxmlformats.org/officeDocument/2006/relationships/image" Target="media/image323.png"/><Relationship Id="rId349" Type="http://schemas.openxmlformats.org/officeDocument/2006/relationships/image" Target="media/image324.png"/><Relationship Id="rId350" Type="http://schemas.openxmlformats.org/officeDocument/2006/relationships/image" Target="media/image325.png"/><Relationship Id="rId351" Type="http://schemas.openxmlformats.org/officeDocument/2006/relationships/image" Target="media/image326.png"/><Relationship Id="rId352" Type="http://schemas.openxmlformats.org/officeDocument/2006/relationships/image" Target="media/image327.png"/><Relationship Id="rId353" Type="http://schemas.openxmlformats.org/officeDocument/2006/relationships/image" Target="media/image328.png"/><Relationship Id="rId35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146" Type="http://schemas.openxmlformats.org/officeDocument/2006/relationships/hyperlink" Target="http://www.sec.gov/Archives/edgar/data/1806837/000104746920004230/a2242119zex-4_1.htm" TargetMode="External"/><Relationship Id="rId147" Type="http://schemas.openxmlformats.org/officeDocument/2006/relationships/hyperlink" Target="http://www.sec.gov/Archives/edgar/data/1806837/000104746920003952/a2241987zex-10_1.htm" TargetMode="External"/><Relationship Id="rId148" Type="http://schemas.openxmlformats.org/officeDocument/2006/relationships/hyperlink" Target="http://www.sec.gov/Archives/edgar/data/1806837/000104746920003952/a2241987zex-10_2.htm" TargetMode="External"/><Relationship Id="rId149" Type="http://schemas.openxmlformats.org/officeDocument/2006/relationships/hyperlink" Target="http://www.sec.gov/Archives/edgar/data/1806837/000104746920004155/a2242082zex-10_3.htm" TargetMode="External"/><Relationship Id="rId150" Type="http://schemas.openxmlformats.org/officeDocument/2006/relationships/hyperlink" Target="http://www.sec.gov/Archives/edgar/data/1806837/000104746920004155/a2242082zex-10_6.htm" TargetMode="External"/><Relationship Id="rId151" Type="http://schemas.openxmlformats.org/officeDocument/2006/relationships/hyperlink" Target="http://www.sec.gov/Archives/edgar/data/1806837/000104746920004155/a2242082zex-10_21.htm" TargetMode="External"/><Relationship Id="rId152" Type="http://schemas.openxmlformats.org/officeDocument/2006/relationships/hyperlink" Target="http://www.sec.gov/Archives/edgar/data/1806837/000104746920004155/a2242082zex-10_15.htm" TargetMode="External"/><Relationship Id="rId153" Type="http://schemas.openxmlformats.org/officeDocument/2006/relationships/hyperlink" Target="http://www.sec.gov/Archives/edgar/data/1806837/000104746920004155/a2242082zex-10_12.htm" TargetMode="External"/><Relationship Id="rId154" Type="http://schemas.openxmlformats.org/officeDocument/2006/relationships/hyperlink" Target="http://www.sec.gov/Archives/edgar/data/1806837/000104746920004155/a2242082zex-10_13.htm" TargetMode="External"/><Relationship Id="rId155" Type="http://schemas.openxmlformats.org/officeDocument/2006/relationships/hyperlink" Target="http://www.sec.gov/Archives/edgar/data/1806837/000104746920004155/a2242082zex-10_14.htm" TargetMode="External"/><Relationship Id="rId156" Type="http://schemas.openxmlformats.org/officeDocument/2006/relationships/hyperlink" Target="http://www.sec.gov/Archives/edgar/data/1806837/000104746920004155/a2242082zex-10_16.htm" TargetMode="External"/><Relationship Id="rId157" Type="http://schemas.openxmlformats.org/officeDocument/2006/relationships/hyperlink" Target="http://www.sec.gov/Archives/edgar/data/1806837/000104746920004155/a2242082zex-10_17.htm" TargetMode="External"/><Relationship Id="rId158" Type="http://schemas.openxmlformats.org/officeDocument/2006/relationships/hyperlink" Target="http://www.sec.gov/Archives/edgar/data/1806837/000104746920004155/a2242082zex-10_18.htm" TargetMode="External"/><Relationship Id="rId159" Type="http://schemas.openxmlformats.org/officeDocument/2006/relationships/hyperlink" Target="http://www.sec.gov/Archives/edgar/data/1806837/000104746920004155/a2242082zex-10_19.htm" TargetMode="External"/><Relationship Id="rId160" Type="http://schemas.openxmlformats.org/officeDocument/2006/relationships/hyperlink" Target="http://www.sec.gov/Archives/edgar/data/1806837/000104746920004155/a2242082zex-10_20.htm" TargetMode="External"/><Relationship Id="rId161" Type="http://schemas.openxmlformats.org/officeDocument/2006/relationships/hyperlink" Target="http://www.sec.gov/Archives/edgar/data/1806837/000104746920004155/a2242082zex-10_22.htm" TargetMode="External"/><Relationship Id="rId162" Type="http://schemas.openxmlformats.org/officeDocument/2006/relationships/hyperlink" Target="http://www.sec.gov/Archives/edgar/data/1806837/000104746920004155/a2242082zex-10_10.htm" TargetMode="External"/><Relationship Id="rId163" Type="http://schemas.openxmlformats.org/officeDocument/2006/relationships/hyperlink" Target="http://www.sec.gov/Archives/edgar/data/1806837/000104746920004155/a2242082z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2020-09-11T15:16:23Z</dcterms:created>
  <dcterms:modified xsi:type="dcterms:W3CDTF">2020-09-11T15:16:23Z</dcterms:modified>
</cp:coreProperties>
</file>