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verx-20250630x10q.htm"/>
        <w:bookmarkStart w:id="1" w:name="ksverx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rFonts w:ascii="Times New Roman;Times;serif" w:hAnsi="Times New Roman;Times;serif"/>
          <w:sz w:val="2"/>
        </w:rPr>
      </w:pPr>
      <w:r>
        <w:rPr>
          <w:rFonts w:ascii="Times New Roman;Times;serif" w:hAnsi="Times New Roman;Times;serif"/>
          <w:sz w:val="2"/>
        </w:rPr>
        <w:t>v</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8fcab73f_7cd9_4a77_82c6_90bf111d9120"/>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8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8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P4I0xAHz_0qgZL1qLdyjuA_1_2"/>
      <w:bookmarkStart w:id="4" w:name="_bf128692_be5f_4c23_8561_ac62219be472"/>
      <w:bookmarkStart w:id="5" w:name="Tc_P4I0xAHz_0qgZL1qLdyjuA_1_2"/>
      <w:bookmarkStart w:id="6" w:name="_bf128692_be5f_4c23_8561_ac62219be472"/>
      <w:bookmarkEnd w:id="5"/>
      <w:bookmarkEnd w:id="6"/>
    </w:p>
    <w:tbl>
      <w:tblPr>
        <w:tblW w:w="10205" w:type="dxa"/>
        <w:jc w:val="left"/>
        <w:tblInd w:w="0" w:type="dxa"/>
        <w:tblLayout w:type="fixed"/>
        <w:tblCellMar>
          <w:top w:w="0" w:type="dxa"/>
          <w:left w:w="0" w:type="dxa"/>
          <w:bottom w:w="0" w:type="dxa"/>
          <w:right w:w="0" w:type="dxa"/>
        </w:tblCellMar>
      </w:tblPr>
      <w:tblGrid>
        <w:gridCol w:w="331"/>
        <w:gridCol w:w="326"/>
        <w:gridCol w:w="9548"/>
      </w:tblGrid>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4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54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 w:name="Tc_rjUw9G3YqU-BBvkOiJtV8g_1_2"/>
      <w:bookmarkStart w:id="8" w:name="_fcfd63c3_2698_4c49_b53c_deb29d8f9193"/>
      <w:bookmarkStart w:id="9" w:name="Tc_rjUw9G3YqU-BBvkOiJtV8g_1_2"/>
      <w:bookmarkStart w:id="10" w:name="_fcfd63c3_2698_4c49_b53c_deb29d8f9193"/>
      <w:bookmarkEnd w:id="9"/>
      <w:bookmarkEnd w:id="10"/>
    </w:p>
    <w:tbl>
      <w:tblPr>
        <w:tblW w:w="10205" w:type="dxa"/>
        <w:jc w:val="left"/>
        <w:tblInd w:w="0" w:type="dxa"/>
        <w:tblLayout w:type="fixed"/>
        <w:tblCellMar>
          <w:top w:w="0" w:type="dxa"/>
          <w:left w:w="0" w:type="dxa"/>
          <w:bottom w:w="0" w:type="dxa"/>
          <w:right w:w="0" w:type="dxa"/>
        </w:tblCellMar>
      </w:tblPr>
      <w:tblGrid>
        <w:gridCol w:w="331"/>
        <w:gridCol w:w="326"/>
        <w:gridCol w:w="9548"/>
      </w:tblGrid>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4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54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 to 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001-39413</w:t>
      </w:r>
    </w:p>
    <w:p>
      <w:pPr>
        <w:pStyle w:val="TextBody"/>
        <w:bidi w:val="0"/>
        <w:spacing w:before="0" w:after="0"/>
        <w:ind w:left="0" w:right="0" w:hanging="0"/>
        <w:jc w:val="center"/>
        <w:rPr>
          <w:rFonts w:ascii="Times New Roman;Times;serif" w:hAnsi="Times New Roman;Times;serif"/>
          <w:b/>
          <w:i w:val="false"/>
          <w:caps w:val="false"/>
          <w:smallCaps w:val="false"/>
          <w:sz w:val="46"/>
        </w:rPr>
      </w:pPr>
      <w:r>
        <w:rPr>
          <w:rFonts w:ascii="Times New Roman;Times;serif" w:hAnsi="Times New Roman;Times;serif"/>
          <w:b/>
          <w:i w:val="false"/>
          <w:caps w:val="false"/>
          <w:smallCaps w:val="false"/>
          <w:sz w:val="46"/>
        </w:rPr>
        <w:t>VERTEX,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 w:name="Tc_K7pCZY4TkUyfoJcsFkaiHQ_5_4"/>
      <w:bookmarkStart w:id="12" w:name="Tc_dCkrh4kL6UuiVbNliHD09A_5_0"/>
      <w:bookmarkStart w:id="13" w:name="Tc_bY90qcXM3kezC6JlmWc5pg_4_4"/>
      <w:bookmarkStart w:id="14" w:name="Tc_G5AaO5v6bEiFv7WYKJY3Ng_4_0"/>
      <w:bookmarkStart w:id="15" w:name="Tc_Rf09beb_uUmrQbCWaXVr4w_2_4"/>
      <w:bookmarkStart w:id="16" w:name="Tc_2VCz_e_z7kWqelZVh_HY_g_2_0"/>
      <w:bookmarkStart w:id="17" w:name="_b80f365e_57d5_4c51_95d7_52d4c2e246ab"/>
      <w:bookmarkStart w:id="18" w:name="Tc_K7pCZY4TkUyfoJcsFkaiHQ_5_4"/>
      <w:bookmarkStart w:id="19" w:name="Tc_dCkrh4kL6UuiVbNliHD09A_5_0"/>
      <w:bookmarkStart w:id="20" w:name="Tc_bY90qcXM3kezC6JlmWc5pg_4_4"/>
      <w:bookmarkStart w:id="21" w:name="Tc_G5AaO5v6bEiFv7WYKJY3Ng_4_0"/>
      <w:bookmarkStart w:id="22" w:name="Tc_Rf09beb_uUmrQbCWaXVr4w_2_4"/>
      <w:bookmarkStart w:id="23" w:name="Tc_2VCz_e_z7kWqelZVh_HY_g_2_0"/>
      <w:bookmarkStart w:id="24" w:name="_b80f365e_57d5_4c51_95d7_52d4c2e246ab"/>
      <w:bookmarkEnd w:id="18"/>
      <w:bookmarkEnd w:id="19"/>
      <w:bookmarkEnd w:id="20"/>
      <w:bookmarkEnd w:id="21"/>
      <w:bookmarkEnd w:id="22"/>
      <w:bookmarkEnd w:id="23"/>
      <w:bookmarkEnd w:id="24"/>
    </w:p>
    <w:tbl>
      <w:tblPr>
        <w:tblW w:w="4505" w:type="dxa"/>
        <w:jc w:val="left"/>
        <w:tblInd w:w="0" w:type="dxa"/>
        <w:tblLayout w:type="fixed"/>
        <w:tblCellMar>
          <w:top w:w="0" w:type="dxa"/>
          <w:left w:w="0" w:type="dxa"/>
          <w:bottom w:w="0" w:type="dxa"/>
          <w:right w:w="0" w:type="dxa"/>
        </w:tblCellMar>
      </w:tblPr>
      <w:tblGrid>
        <w:gridCol w:w="2461"/>
        <w:gridCol w:w="326"/>
        <w:gridCol w:w="146"/>
        <w:gridCol w:w="326"/>
        <w:gridCol w:w="1246"/>
      </w:tblGrid>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both"/>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23-2081753</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r>
        <w:trPr/>
        <w:tc>
          <w:tcPr>
            <w:tcW w:w="246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2301 Renaissance Blvd</w:t>
            </w:r>
            <w:r>
              <w:rPr>
                <w:rFonts w:ascii="Times New Roman;Times;serif" w:hAnsi="Times New Roman;Times;serif"/>
                <w:sz w:val="18"/>
              </w:rPr>
              <w:br/>
            </w:r>
            <w:r>
              <w:rPr>
                <w:rFonts w:ascii="Times New Roman;Times;serif" w:hAnsi="Times New Roman;Times;serif"/>
                <w:b/>
                <w:sz w:val="18"/>
              </w:rPr>
              <w:t>King of Prussia, Pennsylvania</w:t>
            </w:r>
            <w:r>
              <w:rPr>
                <w:rFonts w:ascii="Times New Roman;Times;serif" w:hAnsi="Times New Roman;Times;serif"/>
                <w:sz w:val="20"/>
              </w:rPr>
              <w:t xml:space="preserve"> </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19406</w:t>
            </w:r>
            <w:r>
              <w:rPr>
                <w:rFonts w:ascii="Times New Roman;Times;serif" w:hAnsi="Times New Roman;Times;serif"/>
                <w:sz w:val="20"/>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(800) 355-3500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4lB_VMJSvUusXacijtEcLQ_1_4"/>
      <w:bookmarkStart w:id="26" w:name="Tc_8dgVFdQ4gEi65vSh2_BrEA_1_2"/>
      <w:bookmarkStart w:id="27" w:name="Tc_3Jo-CbL1REGHPB2c-ivPUQ_1_0"/>
      <w:bookmarkStart w:id="28" w:name="_2de39deb_a515_459a_b1f1_fd289b9c31c6"/>
      <w:bookmarkStart w:id="29" w:name="Tc_4lB_VMJSvUusXacijtEcLQ_1_4"/>
      <w:bookmarkStart w:id="30" w:name="Tc_8dgVFdQ4gEi65vSh2_BrEA_1_2"/>
      <w:bookmarkStart w:id="31" w:name="Tc_3Jo-CbL1REGHPB2c-ivPUQ_1_0"/>
      <w:bookmarkStart w:id="32" w:name="_2de39deb_a515_459a_b1f1_fd289b9c31c6"/>
      <w:bookmarkEnd w:id="29"/>
      <w:bookmarkEnd w:id="30"/>
      <w:bookmarkEnd w:id="31"/>
      <w:bookmarkEnd w:id="32"/>
    </w:p>
    <w:tbl>
      <w:tblPr>
        <w:tblW w:w="8575" w:type="dxa"/>
        <w:jc w:val="left"/>
        <w:tblInd w:w="0" w:type="dxa"/>
        <w:tblLayout w:type="fixed"/>
        <w:tblCellMar>
          <w:top w:w="0" w:type="dxa"/>
          <w:left w:w="0" w:type="dxa"/>
          <w:bottom w:w="0" w:type="dxa"/>
          <w:right w:w="0" w:type="dxa"/>
        </w:tblCellMar>
      </w:tblPr>
      <w:tblGrid>
        <w:gridCol w:w="4156"/>
        <w:gridCol w:w="326"/>
        <w:gridCol w:w="1066"/>
        <w:gridCol w:w="326"/>
        <w:gridCol w:w="2701"/>
      </w:tblGrid>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4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vAlign w:val="center"/>
          </w:tcPr>
          <w:p>
            <w:pPr>
              <w:pStyle w:val="TableContents"/>
              <w:bidi w:val="0"/>
              <w:spacing w:before="0" w:after="0"/>
              <w:ind w:left="0" w:right="0" w:hanging="0"/>
              <w:jc w:val="both"/>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26" w:type="dxa"/>
            <w:tcBorders/>
            <w:vAlign w:val="center"/>
          </w:tcPr>
          <w:p>
            <w:pPr>
              <w:pStyle w:val="TableContents"/>
              <w:bidi w:val="0"/>
              <w:spacing w:before="0" w:after="0"/>
              <w:ind w:left="0" w:right="0" w:hanging="0"/>
              <w:jc w:val="both"/>
              <w:rPr/>
            </w:pPr>
            <w:r>
              <w:rPr/>
              <w:t>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41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Class A Common Stock, Par Value $0.001 Per Share</w:t>
            </w:r>
          </w:p>
        </w:tc>
        <w:tc>
          <w:tcPr>
            <w:tcW w:w="326" w:type="dxa"/>
            <w:tcBorders/>
            <w:vAlign w:val="center"/>
          </w:tcPr>
          <w:p>
            <w:pPr>
              <w:pStyle w:val="TableContents"/>
              <w:bidi w:val="0"/>
              <w:spacing w:before="0" w:after="240"/>
              <w:ind w:left="0" w:right="0" w:hanging="0"/>
              <w:jc w:val="both"/>
              <w:rPr/>
            </w:pPr>
            <w:r>
              <w:rPr/>
              <w:t>​</w:t>
            </w:r>
          </w:p>
        </w:tc>
        <w:tc>
          <w:tcPr>
            <w:tcW w:w="10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VERX</w:t>
            </w:r>
          </w:p>
        </w:tc>
        <w:tc>
          <w:tcPr>
            <w:tcW w:w="326" w:type="dxa"/>
            <w:tcBorders/>
            <w:vAlign w:val="center"/>
          </w:tcPr>
          <w:p>
            <w:pPr>
              <w:pStyle w:val="TableContents"/>
              <w:bidi w:val="0"/>
              <w:spacing w:before="0" w:after="240"/>
              <w:ind w:left="0" w:right="0" w:hanging="0"/>
              <w:jc w:val="both"/>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3" w:name="Tc_DzDGntcDu0i8opaGCzCP_Q_3_3"/>
      <w:bookmarkStart w:id="34" w:name="Tc_cgKaojlK-UmuprXl0TayDQ_2_3"/>
      <w:bookmarkStart w:id="35" w:name="Tc_svj2F67NDkag1ZVnke9HTg_2_1"/>
      <w:bookmarkStart w:id="36" w:name="Tc_mlPhc0_Ls0GsfDXcoXYkMA_2_0"/>
      <w:bookmarkStart w:id="37" w:name="Tc_ZJV8PK1uN0mXIuzE8JZCJA_1_4"/>
      <w:bookmarkStart w:id="38" w:name="Tc_6incxyZZ8EKoojII_7cFJQ_1_3"/>
      <w:bookmarkStart w:id="39" w:name="Tc_XvPABzPD-E-b9QKaQI_DIA_1_1"/>
      <w:bookmarkStart w:id="40" w:name="_7a629acc_e15b_4ae7_90f9_3d0e349b3fdd"/>
      <w:bookmarkStart w:id="41" w:name="Tc_DzDGntcDu0i8opaGCzCP_Q_3_3"/>
      <w:bookmarkStart w:id="42" w:name="Tc_cgKaojlK-UmuprXl0TayDQ_2_3"/>
      <w:bookmarkStart w:id="43" w:name="Tc_svj2F67NDkag1ZVnke9HTg_2_1"/>
      <w:bookmarkStart w:id="44" w:name="Tc_mlPhc0_Ls0GsfDXcoXYkMA_2_0"/>
      <w:bookmarkStart w:id="45" w:name="Tc_ZJV8PK1uN0mXIuzE8JZCJA_1_4"/>
      <w:bookmarkStart w:id="46" w:name="Tc_6incxyZZ8EKoojII_7cFJQ_1_3"/>
      <w:bookmarkStart w:id="47" w:name="Tc_XvPABzPD-E-b9QKaQI_DIA_1_1"/>
      <w:bookmarkStart w:id="48" w:name="_7a629acc_e15b_4ae7_90f9_3d0e349b3fdd"/>
      <w:bookmarkEnd w:id="41"/>
      <w:bookmarkEnd w:id="42"/>
      <w:bookmarkEnd w:id="43"/>
      <w:bookmarkEnd w:id="44"/>
      <w:bookmarkEnd w:id="45"/>
      <w:bookmarkEnd w:id="46"/>
      <w:bookmarkEnd w:id="47"/>
      <w:bookmarkEnd w:id="48"/>
    </w:p>
    <w:tbl>
      <w:tblPr>
        <w:tblW w:w="4770" w:type="dxa"/>
        <w:jc w:val="left"/>
        <w:tblInd w:w="0" w:type="dxa"/>
        <w:tblLayout w:type="fixed"/>
        <w:tblCellMar>
          <w:top w:w="0" w:type="dxa"/>
          <w:left w:w="0" w:type="dxa"/>
          <w:bottom w:w="0" w:type="dxa"/>
          <w:right w:w="0" w:type="dxa"/>
        </w:tblCellMar>
      </w:tblPr>
      <w:tblGrid>
        <w:gridCol w:w="1666"/>
        <w:gridCol w:w="376"/>
        <w:gridCol w:w="326"/>
        <w:gridCol w:w="2041"/>
        <w:gridCol w:w="361"/>
      </w:tblGrid>
      <w:tr>
        <w:trPr/>
        <w:tc>
          <w:tcPr>
            <w:tcW w:w="16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    </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37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40"/>
              <w:ind w:left="0" w:right="0" w:hanging="0"/>
              <w:jc w:val="both"/>
              <w:rPr/>
            </w:pPr>
            <w:r>
              <w:rPr/>
              <w:t>​</w:t>
            </w:r>
          </w:p>
        </w:tc>
        <w:tc>
          <w:tcPr>
            <w:tcW w:w="376" w:type="dxa"/>
            <w:tcBorders/>
            <w:vAlign w:val="center"/>
          </w:tcPr>
          <w:p>
            <w:pPr>
              <w:pStyle w:val="TableContents"/>
              <w:bidi w:val="0"/>
              <w:spacing w:before="0" w:after="240"/>
              <w:ind w:left="0" w:right="0" w:hanging="0"/>
              <w:jc w:val="both"/>
              <w:rPr/>
            </w:pPr>
            <w:r>
              <w:rPr/>
              <w:t>​</w:t>
            </w:r>
          </w:p>
        </w:tc>
        <w:tc>
          <w:tcPr>
            <w:tcW w:w="32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518"/>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As of August 1, 2025, the registrant had 77,318,571 shares of Class A common stock, $0.001 par value per share, and 82,155,641 shares of Class B common stock, $0.001 par value per share, outstanding.</w:t>
      </w:r>
    </w:p>
    <w:p>
      <w:pPr>
        <w:pStyle w:val="TextBody"/>
        <w:bidi w:val="0"/>
        <w:spacing w:before="0" w:after="240"/>
        <w:ind w:left="0" w:right="0" w:firstLine="518"/>
        <w:jc w:val="both"/>
        <w:rPr/>
      </w:pPr>
      <w:r>
        <w:rPr/>
        <w:t>​</w:t>
      </w:r>
    </w:p>
    <w:p>
      <w:pPr>
        <w:pStyle w:val="TextBody"/>
        <w:pBdr>
          <w:top w:val="single" w:sz="2" w:space="1" w:color="000000"/>
          <w:bottom w:val="single" w:sz="24" w:space="1" w:color="000000"/>
        </w:pBdr>
        <w:bidi w:val="0"/>
        <w:spacing w:before="0" w:after="240"/>
        <w:ind w:left="0" w:right="0" w:firstLine="523"/>
        <w:jc w:val="both"/>
        <w:rPr/>
      </w:pPr>
      <w:r>
        <w:rPr/>
        <w:t>​</w:t>
      </w:r>
    </w:p>
    <w:p>
      <w:pPr>
        <w:pStyle w:val="TextBody"/>
        <w:bidi w:val="0"/>
        <w:spacing w:before="0" w:after="240"/>
        <w:ind w:left="0" w:right="0" w:firstLine="523"/>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9" w:name="TOC"/>
      <w:bookmarkStart w:id="50" w:name="_b652162b_d0cd_4439_a146_54e83022890e"/>
      <w:bookmarkEnd w:id="49"/>
      <w:bookmarkEnd w:id="50"/>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5"/>
        <w:gridCol w:w="8918"/>
        <w:gridCol w:w="572"/>
      </w:tblGrid>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left"/>
              <w:rPr/>
            </w:pPr>
            <w:r>
              <w:rPr/>
              <w:t> </w:t>
            </w:r>
          </w:p>
        </w:tc>
        <w:tc>
          <w:tcPr>
            <w:tcW w:w="57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center"/>
              <w:rPr/>
            </w:pPr>
            <w:hyperlink w:anchor="PARTIFINANCIALINFORMATION_19634">
              <w:r>
                <w:rPr>
                  <w:rStyle w:val="InternetLink"/>
                  <w:rFonts w:ascii="Times New Roman;Times;serif" w:hAnsi="Times New Roman;Times;serif"/>
                  <w:b w:val="false"/>
                  <w:i w:val="false"/>
                  <w:caps w:val="false"/>
                  <w:smallCaps w:val="false"/>
                  <w:sz w:val="20"/>
                </w:rPr>
                <w:t>Part I - Financial Information </w:t>
              </w:r>
            </w:hyperlink>
          </w:p>
        </w:tc>
        <w:tc>
          <w:tcPr>
            <w:tcW w:w="572"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715"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Item 1.</w:t>
              </w:r>
            </w:hyperlink>
          </w:p>
        </w:tc>
        <w:tc>
          <w:tcPr>
            <w:tcW w:w="8918"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Financial Statements</w:t>
              </w:r>
            </w:hyperlink>
          </w:p>
        </w:tc>
        <w:tc>
          <w:tcPr>
            <w:tcW w:w="572" w:type="dxa"/>
            <w:tcBorders/>
            <w:vAlign w:val="center"/>
          </w:tcPr>
          <w:p>
            <w:pPr>
              <w:pStyle w:val="TableContents"/>
              <w:bidi w:val="0"/>
              <w:spacing w:before="0" w:after="0"/>
              <w:ind w:left="0" w:right="0" w:hanging="0"/>
              <w:jc w:val="right"/>
              <w:rPr/>
            </w:pPr>
            <w:r>
              <w:rPr/>
              <w:t>​</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CondensedConsolidatedBalanceSheets_41728">
              <w:r>
                <w:rPr>
                  <w:rStyle w:val="InternetLink"/>
                  <w:rFonts w:ascii="Times New Roman;Times;serif" w:hAnsi="Times New Roman;Times;serif"/>
                  <w:b w:val="false"/>
                  <w:i w:val="false"/>
                  <w:caps w:val="false"/>
                  <w:smallCaps w:val="false"/>
                  <w:sz w:val="20"/>
                </w:rPr>
                <w:t xml:space="preserve">Condensed Consolidated Balance Sheets as of June 30, 2025 (unaudited) and December 31, 2024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CondensedConsolidatedStatementsofCompre">
              <w:r>
                <w:rPr>
                  <w:rStyle w:val="InternetLink"/>
                  <w:rFonts w:ascii="Times New Roman;Times;serif" w:hAnsi="Times New Roman;Times;serif"/>
                  <w:b w:val="false"/>
                  <w:i w:val="false"/>
                  <w:caps w:val="false"/>
                  <w:smallCaps w:val="false"/>
                  <w:sz w:val="20"/>
                </w:rPr>
                <w:t>Condensed Consolidated Statements of Comprehensive Income (Loss) for the Three and Six Months Ended June 30, 2025 and 2024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2025 and 2024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CashFlows">
              <w:r>
                <w:rPr>
                  <w:rStyle w:val="InternetLink"/>
                  <w:rFonts w:ascii="Times New Roman;Times;serif" w:hAnsi="Times New Roman;Times;serif"/>
                  <w:b w:val="false"/>
                  <w:i w:val="false"/>
                  <w:caps w:val="false"/>
                  <w:smallCaps w:val="false"/>
                  <w:sz w:val="20"/>
                </w:rPr>
                <w:t>Condensed Consolidated Statements of Cash Flows for the Six Months Ended June 30, 2025 and 2024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a1SUMMARYOFSIGNIFICANTACCOUNTINGPOLICI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15"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Item 2.</w:t>
              </w:r>
            </w:hyperlink>
          </w:p>
        </w:tc>
        <w:tc>
          <w:tcPr>
            <w:tcW w:w="8918"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15"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Item 3.</w:t>
              </w:r>
            </w:hyperlink>
          </w:p>
        </w:tc>
        <w:tc>
          <w:tcPr>
            <w:tcW w:w="8918"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15"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Item 4.</w:t>
              </w:r>
            </w:hyperlink>
          </w:p>
        </w:tc>
        <w:tc>
          <w:tcPr>
            <w:tcW w:w="8918"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15" w:type="dxa"/>
            <w:tcBorders/>
            <w:vAlign w:val="center"/>
          </w:tcPr>
          <w:p>
            <w:pPr>
              <w:pStyle w:val="TableContents"/>
              <w:bidi w:val="0"/>
              <w:spacing w:before="0" w:after="283"/>
              <w:ind w:left="0" w:right="0" w:hanging="0"/>
              <w:jc w:val="left"/>
              <w:rPr>
                <w:sz w:val="4"/>
                <w:szCs w:val="4"/>
              </w:rPr>
            </w:pPr>
            <w:r>
              <w:rPr>
                <w:sz w:val="4"/>
                <w:szCs w:val="4"/>
              </w:rPr>
            </w:r>
          </w:p>
        </w:tc>
        <w:tc>
          <w:tcPr>
            <w:tcW w:w="8918" w:type="dxa"/>
            <w:tcBorders/>
            <w:vAlign w:val="center"/>
          </w:tcPr>
          <w:p>
            <w:pPr>
              <w:pStyle w:val="TableContents"/>
              <w:bidi w:val="0"/>
              <w:spacing w:before="0" w:after="0"/>
              <w:ind w:left="0" w:right="0" w:hanging="0"/>
              <w:jc w:val="center"/>
              <w:rPr/>
            </w:pPr>
            <w:hyperlink w:anchor="PARTIIOTHERINFORMATION_466846">
              <w:r>
                <w:rPr>
                  <w:rStyle w:val="InternetLink"/>
                  <w:rFonts w:ascii="Times New Roman;Times;serif" w:hAnsi="Times New Roman;Times;serif"/>
                  <w:b w:val="false"/>
                  <w:i w:val="false"/>
                  <w:caps w:val="false"/>
                  <w:smallCaps w:val="false"/>
                  <w:sz w:val="20"/>
                </w:rPr>
                <w:t>Part II - 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15"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Item 1.</w:t>
              </w:r>
            </w:hyperlink>
          </w:p>
        </w:tc>
        <w:tc>
          <w:tcPr>
            <w:tcW w:w="8918"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15"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Item 1A.</w:t>
              </w:r>
            </w:hyperlink>
          </w:p>
        </w:tc>
        <w:tc>
          <w:tcPr>
            <w:tcW w:w="8918"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15"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8"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15"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Item 3.</w:t>
              </w:r>
            </w:hyperlink>
          </w:p>
        </w:tc>
        <w:tc>
          <w:tcPr>
            <w:tcW w:w="8918"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15"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Item 4.</w:t>
              </w:r>
            </w:hyperlink>
          </w:p>
        </w:tc>
        <w:tc>
          <w:tcPr>
            <w:tcW w:w="8918"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15"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Item 5.</w:t>
              </w:r>
            </w:hyperlink>
          </w:p>
        </w:tc>
        <w:tc>
          <w:tcPr>
            <w:tcW w:w="8918"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 xml:space="preserve">Other Information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15"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Item 6.</w:t>
              </w:r>
            </w:hyperlink>
          </w:p>
        </w:tc>
        <w:tc>
          <w:tcPr>
            <w:tcW w:w="8918"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15" w:type="dxa"/>
            <w:tcBorders/>
            <w:vAlign w:val="center"/>
          </w:tcPr>
          <w:p>
            <w:pPr>
              <w:pStyle w:val="TableContents"/>
              <w:bidi w:val="0"/>
              <w:spacing w:before="0" w:after="283"/>
              <w:ind w:left="0" w:right="0" w:hanging="0"/>
              <w:jc w:val="left"/>
              <w:rPr>
                <w:sz w:val="4"/>
                <w:szCs w:val="4"/>
              </w:rPr>
            </w:pPr>
            <w:r>
              <w:rPr>
                <w:sz w:val="4"/>
                <w:szCs w:val="4"/>
              </w:rPr>
            </w:r>
          </w:p>
        </w:tc>
        <w:tc>
          <w:tcPr>
            <w:tcW w:w="8918" w:type="dxa"/>
            <w:tcBorders/>
            <w:vAlign w:val="center"/>
          </w:tcPr>
          <w:p>
            <w:pPr>
              <w:pStyle w:val="TableContents"/>
              <w:bidi w:val="0"/>
              <w:spacing w:before="0" w:after="0"/>
              <w:ind w:left="0" w:right="0" w:hanging="0"/>
              <w:jc w:val="both"/>
              <w:rPr/>
            </w:pPr>
            <w:hyperlink w:anchor="SIGNATURES_99336">
              <w:r>
                <w:rPr>
                  <w:rStyle w:val="InternetLink"/>
                  <w:rFonts w:ascii="Times New Roman;Times;serif" w:hAnsi="Times New Roman;Times;serif"/>
                  <w:b w:val="false"/>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51" w:name="_3d8ba403_b735_4c4b_b7af_2f0b5b5a38ce"/>
      <w:bookmarkEnd w:id="51"/>
      <w:r>
        <w:rPr>
          <w:rFonts w:ascii="Times New Roman;Times;serif" w:hAnsi="Times New Roman;Times;serif"/>
          <w:b/>
          <w:sz w:val="20"/>
        </w:rPr>
        <w:t>SPECIAL NOTE REGARDING FORWARD-LOOKING STATEMENTS</w:t>
      </w:r>
      <w:r>
        <w:rPr>
          <w:rFonts w:ascii="Times New Roman;Times;serif" w:hAnsi="Times New Roman;Times;serif"/>
          <w:color w:val="FF0000"/>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grow revenue from existing customers and new customers, and expand their usage of our solutions;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strategic relationships with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technological change and successfully introduce new solutions or provide updates to existing solutions;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failures in information technology or infrastructure;</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using and managing use of Artificial Intelligence (“AI”) in our business;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incorrect or improper implementation, integration or use of our solutions; </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attract and retain qualified technical and tax-content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pressures from other tax software and service providers and challenges of convincing businesses using native enterprise resource planning functions to switch to our software;</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forecast our revenue and other future results of operations based on recent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specific software deployment methods based on changes to customers’ and partners’ software systems;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continue making significant investments in software development and equipment;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and expand revenues, maintain profitability, and to effectively manage our anticipated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diversify our solutions by developing or introducing new solutions or acquiring and integrating additional businesses, products, services, or content;</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acquired businesses and to realize the anticipated benefits of such acquisitions;</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fluctuations in our results of operations;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expanding international operations;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liability from errors, delays, fraud or system failures, which may not be covered by insurance;</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adapt to organizational changes and effectively implement strategic initiatives;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determinations of customers’ transaction tax and tax payments;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changes in tax laws and regulations or their interpretation or enforcement;</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cybersecurity and data privacy risks;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involvement in material legal proceedings and audits; </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undetected errors, bugs or defects in our software;</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utilization of open-source software, business processes and information systems;</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failures in information technology, infrastructure, and third-party service providers; </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protect, maintain, and enhance our brand;</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application, scope, interpretation or enforcement of laws and regulations;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weakness and uncertainties, including the economic uncertainty created by the changing legal, regulatory, or taxation landscape in the United States, and disruption in the capital and credit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disruptions related to natural disasters, epidemic outbreaks, including a global endemic or pandemic, terrorist acts, political events, or other events outside of our control;</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anti-corruption, anti-bribery, and similar laws;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protect our intellectual property;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security ratings and market perceptions of the industry in which we operate, or our ability to obtain capital on commercially reasonable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 effective system of disclosure controls and internal control over financial reporting, or ability to remediate any material weakness in our internal controls;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Class A common stock and controlled company status;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indebtedness and adherence to the covenants under our debt instruments;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effects of the Capped Call Transactions (as defined in the notes to the financial statements) and the actions of the Option Counterparties (as defined in the notes to the financial statements) and/or their respective affiliates; </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of belief and any statements of assumptions underlying any of the foregoing; and</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beyond our control.</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risks included here are not exhaustive, and additional factors could adversely affect our business and financial performance, including factors and risks included in our Annual Report on Form 10-K for the year ended December 31, 2024, filed with the Securities and Exchange Commission (the “SEC”) on February 27, 2025 (the “2024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7"/>
        </w:rPr>
      </w:pPr>
      <w:bookmarkStart w:id="52" w:name="PARTIFINANCIALINFORMATION_19634"/>
      <w:bookmarkStart w:id="53" w:name="_e3ea26ce_18a5_4ac6_9ce2_da5fde38cd66"/>
      <w:bookmarkEnd w:id="52"/>
      <w:bookmarkEnd w:id="53"/>
      <w:r>
        <w:rPr>
          <w:rFonts w:ascii="Times New Roman;Times;serif" w:hAnsi="Times New Roman;Times;serif"/>
          <w:b/>
          <w:sz w:val="17"/>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bookmarkStart w:id="54" w:name="Item1FINANCIALSTATEMENTS_787624"/>
      <w:bookmarkEnd w:id="54"/>
      <w:r>
        <w:rPr>
          <w:rFonts w:ascii="Times New Roman;Times;serif" w:hAnsi="Times New Roman;Times;serif"/>
          <w:b/>
          <w:sz w:val="16"/>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Vertex, Inc. and Subsidiaries</w:t>
      </w:r>
    </w:p>
    <w:p>
      <w:pPr>
        <w:pStyle w:val="TextBody"/>
        <w:bidi w:val="0"/>
        <w:spacing w:before="0" w:after="0"/>
        <w:ind w:left="0" w:right="0" w:hanging="0"/>
        <w:jc w:val="center"/>
        <w:rPr>
          <w:rFonts w:ascii="Times New Roman;Times;serif" w:hAnsi="Times New Roman;Times;serif"/>
          <w:b/>
          <w:sz w:val="16"/>
        </w:rPr>
      </w:pPr>
      <w:bookmarkStart w:id="55" w:name="CondensedConsolidatedBalanceSheets_41728"/>
      <w:bookmarkEnd w:id="55"/>
      <w:r>
        <w:rPr>
          <w:rFonts w:ascii="Times New Roman;Times;serif" w:hAnsi="Times New Roman;Times;serif"/>
          <w:b/>
          <w:sz w:val="16"/>
        </w:rPr>
        <w:t>Condensed Consolidated Balance Sheets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2025 and December 31, 2024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6" w:name="Tc_3ltBN2vBPE6o1z5iFHkLVw_50_4"/>
      <w:bookmarkStart w:id="57" w:name="Tc_NPiVYgeEF0CQIyuEQ5XjKw_50_1"/>
      <w:bookmarkStart w:id="58" w:name="Tc_49a_8_p-DU-0iKmIlgfkGQ_50_0"/>
      <w:bookmarkStart w:id="59" w:name="Tc_zbK-C64ewEGK-Bcg8w6Y0w_49_0"/>
      <w:bookmarkStart w:id="60" w:name="Tc_gCT2UaIJIUGSKUeJ2RWwBw_48_0"/>
      <w:bookmarkStart w:id="61" w:name="Tc_Poc-Nyhrx0SKLxjykCJbQw_47_0"/>
      <w:bookmarkStart w:id="62" w:name="Tc_9M6dO6tgnE6-3U_Ps8GoSw_46_0"/>
      <w:bookmarkStart w:id="63" w:name="Tc_LOoHD9EK406JJc66GzrN5Q_45_0"/>
      <w:bookmarkStart w:id="64" w:name="Tc_KurrGppvEkOyNio8gmynUw_44_0"/>
      <w:bookmarkStart w:id="65" w:name="_c22eb737_72e9_4a57_8485_cb84a75af111_3"/>
      <w:bookmarkStart w:id="66" w:name="_c22eb737_72e9_4a57_8485_cb84a75af111_2"/>
      <w:bookmarkStart w:id="67" w:name="_c22eb737_72e9_4a57_8485_cb84a75af111"/>
      <w:bookmarkStart w:id="68" w:name="Tc_Kfq4iFWFAkSVWaHylIA9HQ_43_0"/>
      <w:bookmarkStart w:id="69" w:name="Tc_EIvys_R9RUi1fZMVwcXTkA_42_0"/>
      <w:bookmarkStart w:id="70" w:name="Tc_-98FdfHd2k-JY4Z76V15SA_41_0"/>
      <w:bookmarkStart w:id="71" w:name="Tc_28zhLL_hqEW-WXjzH0Nljw_40_0"/>
      <w:bookmarkStart w:id="72" w:name="Tc_OwrduLTlo0yzmofFNIyTJg_39_0"/>
      <w:bookmarkStart w:id="73" w:name="Tc_hvvcBEqY4Emg-JpnvoGXzA_38_0"/>
      <w:bookmarkStart w:id="74" w:name="Tc_v5cQN0NwyEafi7GOU0Y-MQ_37_0"/>
      <w:bookmarkStart w:id="75" w:name="Tc_3fUE9WQEzECiX38ExE-Qcw_36_2"/>
      <w:bookmarkStart w:id="76" w:name="Tc_bJLKFVEFbkSgoYUBqSp7Uw_36_0"/>
      <w:bookmarkStart w:id="77" w:name="Tc_CTxpfJZrt0umBZYcW6LjNw_35_0"/>
      <w:bookmarkStart w:id="78" w:name="Tc_4WO2AgYL3ECHMowG2Xc3YQ_34_0"/>
      <w:bookmarkStart w:id="79" w:name="Tc_DbYtqASqUEq_CYN-wgug1Q_33_0"/>
      <w:bookmarkStart w:id="80" w:name="Tc_2jekrwheKkmiPN0XLYrhow_32_0"/>
      <w:bookmarkStart w:id="81" w:name="Tc_CRZrJUFhoUa4irMq5vcxKw_31_0"/>
      <w:bookmarkStart w:id="82" w:name="Tc_nEfpxQT2R0G_QGYv6sLnVg_30_0"/>
      <w:bookmarkStart w:id="83" w:name="Tc_DrWtP6-wkEqVTe-l8TeTBg_29_0"/>
      <w:bookmarkStart w:id="84" w:name="Tc_587vxY1P3UiltJ3OlWhlKw_28_0"/>
      <w:bookmarkStart w:id="85" w:name="Tc_UtEGCKVwIkuuHvzCat1YZg_27_0"/>
      <w:bookmarkStart w:id="86" w:name="Tc_IQA9nxeYWUqzVsXNbNd-XA_26_0"/>
      <w:bookmarkStart w:id="87" w:name="Tc_xfFvCWuSjki0AVmMZoNyjQ_25_0"/>
      <w:bookmarkStart w:id="88" w:name="Tc_GU4rZYLE-kSG-_5fQLRaGg_24_0"/>
      <w:bookmarkStart w:id="89" w:name="Tc_p9xi4HmVZU-2xIWWL3oa2g_23_4"/>
      <w:bookmarkStart w:id="90" w:name="Tc_j4ofYLDx5Ea9YXWWMDL5Bg_23_1"/>
      <w:bookmarkStart w:id="91" w:name="Tc_AOobrh2_00Ou34Zib3B6VA_23_0"/>
      <w:bookmarkStart w:id="92" w:name="Tc_Awttm31gBEeXqDZr0Xyerw_22_0"/>
      <w:bookmarkStart w:id="93" w:name="Tc_CIN1LdC0zkWgcVvGBozT-g_21_5"/>
      <w:bookmarkStart w:id="94" w:name="Tc_YiXDePr-pEupUxTuEoh5kw_21_2"/>
      <w:bookmarkStart w:id="95" w:name="Tc_qD0M1IuuHEiYlE_hpE4HnQ_21_0"/>
      <w:bookmarkStart w:id="96" w:name="Tc_o9CtUodfZECrYJCN7O8FIg_20_4"/>
      <w:bookmarkStart w:id="97" w:name="Tc_BMN98xViwkyq7Y952JYJgQ_20_1"/>
      <w:bookmarkStart w:id="98" w:name="Tc_-k2gmQoTzkC8E_BF0F3NQg_20_0"/>
      <w:bookmarkStart w:id="99" w:name="Tc_PrcU539T9Em8EIEHOtbQfQ_19_0"/>
      <w:bookmarkStart w:id="100" w:name="Tc_NbMkXg6NL0GPthWawJxfmg_18_5"/>
      <w:bookmarkStart w:id="101" w:name="Tc_NyCGAU406E2TIpHHWQuT_g_18_0"/>
      <w:bookmarkStart w:id="102" w:name="Tc_BFqGHZ_KOEOghaHj-FmDEg_17_0"/>
      <w:bookmarkStart w:id="103" w:name="Tc_a8lgVXzONUiqq9TWMAvJrg_16_0"/>
      <w:bookmarkStart w:id="104" w:name="Tc_Z154VsYVC0asx5tGA68_fQ_15_0"/>
      <w:bookmarkStart w:id="105" w:name="Tc_WTcIo-f5BkeLOickorpi_w_14_0"/>
      <w:bookmarkStart w:id="106" w:name="Tc_fm7MIsFJl0OMk0k_YWu-Uw_13_0"/>
      <w:bookmarkStart w:id="107" w:name="Tc_yMnLR8VixEyYZaabvyY35g_12_0"/>
      <w:bookmarkStart w:id="108" w:name="Tc_OIFafDtFuUKqr8ABzup1-Q_11_0"/>
      <w:bookmarkStart w:id="109" w:name="Tc_QrzcWDElSkuvYvPYv-z9zw_10_2"/>
      <w:bookmarkStart w:id="110" w:name="Tc_QAnusq9OnkauO2w1ntpS6g_10_0"/>
      <w:bookmarkStart w:id="111" w:name="Tc_QnHOnRIPvUWkhdLX0wgPFg_9_0"/>
      <w:bookmarkStart w:id="112" w:name="Tc__r-xkJtzW0GSRz1skwtrDQ_8_0"/>
      <w:bookmarkStart w:id="113" w:name="Tc_3ZtGAj26U0emNlBFESKiJQ_7_0"/>
      <w:bookmarkStart w:id="114" w:name="Tc_1X-GrZAluUGCl4BsK_4Z2g_6_4"/>
      <w:bookmarkStart w:id="115" w:name="Tc_5kVrJlFL6kmgNvOGt50g5A_6_1"/>
      <w:bookmarkStart w:id="116" w:name="Tc_7r_AxMUfB0m67TKvU-qwCA_6_0"/>
      <w:bookmarkStart w:id="117" w:name="Tc_X0245tV5z0aBBaq9gnhNIw_5_0"/>
      <w:bookmarkStart w:id="118" w:name="Tc_zAu_IDwBv0W5ifncSyP_vw_4_0"/>
      <w:bookmarkStart w:id="119" w:name="Tc_9LJkNIcJRUeWmJYLGcGfYg_3_1"/>
      <w:bookmarkStart w:id="120" w:name="Tc_GOmkFEPnz0CJhw3X8R2ylw_2_4"/>
      <w:bookmarkStart w:id="121" w:name="Tc_WsU5sMdjIEqYFkUXNPD8-Q_2_1"/>
      <w:bookmarkStart w:id="122" w:name="Tc_SPWsazw_g0abMX4tNlT5yw_1_4"/>
      <w:bookmarkStart w:id="123" w:name="Tc_p09AAkersUSY8CK_jLpO0w_1_1"/>
      <w:bookmarkStart w:id="124" w:name="_bf713315_f8fd_4cb8_8c2b_575f331673ed"/>
      <w:bookmarkStart w:id="125" w:name="Tc_3ltBN2vBPE6o1z5iFHkLVw_50_4"/>
      <w:bookmarkStart w:id="126" w:name="Tc_NPiVYgeEF0CQIyuEQ5XjKw_50_1"/>
      <w:bookmarkStart w:id="127" w:name="Tc_49a_8_p-DU-0iKmIlgfkGQ_50_0"/>
      <w:bookmarkStart w:id="128" w:name="Tc_zbK-C64ewEGK-Bcg8w6Y0w_49_0"/>
      <w:bookmarkStart w:id="129" w:name="Tc_gCT2UaIJIUGSKUeJ2RWwBw_48_0"/>
      <w:bookmarkStart w:id="130" w:name="Tc_Poc-Nyhrx0SKLxjykCJbQw_47_0"/>
      <w:bookmarkStart w:id="131" w:name="Tc_9M6dO6tgnE6-3U_Ps8GoSw_46_0"/>
      <w:bookmarkStart w:id="132" w:name="Tc_LOoHD9EK406JJc66GzrN5Q_45_0"/>
      <w:bookmarkStart w:id="133" w:name="Tc_KurrGppvEkOyNio8gmynUw_44_0"/>
      <w:bookmarkStart w:id="134" w:name="_c22eb737_72e9_4a57_8485_cb84a75af111_3"/>
      <w:bookmarkStart w:id="135" w:name="_c22eb737_72e9_4a57_8485_cb84a75af111_2"/>
      <w:bookmarkStart w:id="136" w:name="_c22eb737_72e9_4a57_8485_cb84a75af111"/>
      <w:bookmarkStart w:id="137" w:name="Tc_Kfq4iFWFAkSVWaHylIA9HQ_43_0"/>
      <w:bookmarkStart w:id="138" w:name="Tc_EIvys_R9RUi1fZMVwcXTkA_42_0"/>
      <w:bookmarkStart w:id="139" w:name="Tc_-98FdfHd2k-JY4Z76V15SA_41_0"/>
      <w:bookmarkStart w:id="140" w:name="Tc_28zhLL_hqEW-WXjzH0Nljw_40_0"/>
      <w:bookmarkStart w:id="141" w:name="Tc_OwrduLTlo0yzmofFNIyTJg_39_0"/>
      <w:bookmarkStart w:id="142" w:name="Tc_hvvcBEqY4Emg-JpnvoGXzA_38_0"/>
      <w:bookmarkStart w:id="143" w:name="Tc_v5cQN0NwyEafi7GOU0Y-MQ_37_0"/>
      <w:bookmarkStart w:id="144" w:name="Tc_3fUE9WQEzECiX38ExE-Qcw_36_2"/>
      <w:bookmarkStart w:id="145" w:name="Tc_bJLKFVEFbkSgoYUBqSp7Uw_36_0"/>
      <w:bookmarkStart w:id="146" w:name="Tc_CTxpfJZrt0umBZYcW6LjNw_35_0"/>
      <w:bookmarkStart w:id="147" w:name="Tc_4WO2AgYL3ECHMowG2Xc3YQ_34_0"/>
      <w:bookmarkStart w:id="148" w:name="Tc_DbYtqASqUEq_CYN-wgug1Q_33_0"/>
      <w:bookmarkStart w:id="149" w:name="Tc_2jekrwheKkmiPN0XLYrhow_32_0"/>
      <w:bookmarkStart w:id="150" w:name="Tc_CRZrJUFhoUa4irMq5vcxKw_31_0"/>
      <w:bookmarkStart w:id="151" w:name="Tc_nEfpxQT2R0G_QGYv6sLnVg_30_0"/>
      <w:bookmarkStart w:id="152" w:name="Tc_DrWtP6-wkEqVTe-l8TeTBg_29_0"/>
      <w:bookmarkStart w:id="153" w:name="Tc_587vxY1P3UiltJ3OlWhlKw_28_0"/>
      <w:bookmarkStart w:id="154" w:name="Tc_UtEGCKVwIkuuHvzCat1YZg_27_0"/>
      <w:bookmarkStart w:id="155" w:name="Tc_IQA9nxeYWUqzVsXNbNd-XA_26_0"/>
      <w:bookmarkStart w:id="156" w:name="Tc_xfFvCWuSjki0AVmMZoNyjQ_25_0"/>
      <w:bookmarkStart w:id="157" w:name="Tc_GU4rZYLE-kSG-_5fQLRaGg_24_0"/>
      <w:bookmarkStart w:id="158" w:name="Tc_p9xi4HmVZU-2xIWWL3oa2g_23_4"/>
      <w:bookmarkStart w:id="159" w:name="Tc_j4ofYLDx5Ea9YXWWMDL5Bg_23_1"/>
      <w:bookmarkStart w:id="160" w:name="Tc_AOobrh2_00Ou34Zib3B6VA_23_0"/>
      <w:bookmarkStart w:id="161" w:name="Tc_Awttm31gBEeXqDZr0Xyerw_22_0"/>
      <w:bookmarkStart w:id="162" w:name="Tc_CIN1LdC0zkWgcVvGBozT-g_21_5"/>
      <w:bookmarkStart w:id="163" w:name="Tc_YiXDePr-pEupUxTuEoh5kw_21_2"/>
      <w:bookmarkStart w:id="164" w:name="Tc_qD0M1IuuHEiYlE_hpE4HnQ_21_0"/>
      <w:bookmarkStart w:id="165" w:name="Tc_o9CtUodfZECrYJCN7O8FIg_20_4"/>
      <w:bookmarkStart w:id="166" w:name="Tc_BMN98xViwkyq7Y952JYJgQ_20_1"/>
      <w:bookmarkStart w:id="167" w:name="Tc_-k2gmQoTzkC8E_BF0F3NQg_20_0"/>
      <w:bookmarkStart w:id="168" w:name="Tc_PrcU539T9Em8EIEHOtbQfQ_19_0"/>
      <w:bookmarkStart w:id="169" w:name="Tc_NbMkXg6NL0GPthWawJxfmg_18_5"/>
      <w:bookmarkStart w:id="170" w:name="Tc_NyCGAU406E2TIpHHWQuT_g_18_0"/>
      <w:bookmarkStart w:id="171" w:name="Tc_BFqGHZ_KOEOghaHj-FmDEg_17_0"/>
      <w:bookmarkStart w:id="172" w:name="Tc_a8lgVXzONUiqq9TWMAvJrg_16_0"/>
      <w:bookmarkStart w:id="173" w:name="Tc_Z154VsYVC0asx5tGA68_fQ_15_0"/>
      <w:bookmarkStart w:id="174" w:name="Tc_WTcIo-f5BkeLOickorpi_w_14_0"/>
      <w:bookmarkStart w:id="175" w:name="Tc_fm7MIsFJl0OMk0k_YWu-Uw_13_0"/>
      <w:bookmarkStart w:id="176" w:name="Tc_yMnLR8VixEyYZaabvyY35g_12_0"/>
      <w:bookmarkStart w:id="177" w:name="Tc_OIFafDtFuUKqr8ABzup1-Q_11_0"/>
      <w:bookmarkStart w:id="178" w:name="Tc_QrzcWDElSkuvYvPYv-z9zw_10_2"/>
      <w:bookmarkStart w:id="179" w:name="Tc_QAnusq9OnkauO2w1ntpS6g_10_0"/>
      <w:bookmarkStart w:id="180" w:name="Tc_QnHOnRIPvUWkhdLX0wgPFg_9_0"/>
      <w:bookmarkStart w:id="181" w:name="Tc__r-xkJtzW0GSRz1skwtrDQ_8_0"/>
      <w:bookmarkStart w:id="182" w:name="Tc_3ZtGAj26U0emNlBFESKiJQ_7_0"/>
      <w:bookmarkStart w:id="183" w:name="Tc_1X-GrZAluUGCl4BsK_4Z2g_6_4"/>
      <w:bookmarkStart w:id="184" w:name="Tc_5kVrJlFL6kmgNvOGt50g5A_6_1"/>
      <w:bookmarkStart w:id="185" w:name="Tc_7r_AxMUfB0m67TKvU-qwCA_6_0"/>
      <w:bookmarkStart w:id="186" w:name="Tc_X0245tV5z0aBBaq9gnhNIw_5_0"/>
      <w:bookmarkStart w:id="187" w:name="Tc_zAu_IDwBv0W5ifncSyP_vw_4_0"/>
      <w:bookmarkStart w:id="188" w:name="Tc_9LJkNIcJRUeWmJYLGcGfYg_3_1"/>
      <w:bookmarkStart w:id="189" w:name="Tc_GOmkFEPnz0CJhw3X8R2ylw_2_4"/>
      <w:bookmarkStart w:id="190" w:name="Tc_WsU5sMdjIEqYFkUXNPD8-Q_2_1"/>
      <w:bookmarkStart w:id="191" w:name="Tc_SPWsazw_g0abMX4tNlT5yw_1_4"/>
      <w:bookmarkStart w:id="192" w:name="Tc_p09AAkersUSY8CK_jLpO0w_1_1"/>
      <w:bookmarkStart w:id="193" w:name="_bf713315_f8fd_4cb8_8c2b_575f331673ed"/>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10205" w:type="dxa"/>
        <w:jc w:val="left"/>
        <w:tblInd w:w="0" w:type="dxa"/>
        <w:tblLayout w:type="fixed"/>
        <w:tblCellMar>
          <w:top w:w="0" w:type="dxa"/>
          <w:left w:w="0" w:type="dxa"/>
          <w:bottom w:w="0" w:type="dxa"/>
          <w:right w:w="0" w:type="dxa"/>
        </w:tblCellMar>
      </w:tblPr>
      <w:tblGrid>
        <w:gridCol w:w="7694"/>
        <w:gridCol w:w="196"/>
        <w:gridCol w:w="826"/>
        <w:gridCol w:w="326"/>
        <w:gridCol w:w="212"/>
        <w:gridCol w:w="951"/>
      </w:tblGrid>
      <w:tr>
        <w:trPr/>
        <w:tc>
          <w:tcPr>
            <w:tcW w:w="7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885690" cy="175260"/>
                      <wp:effectExtent l="0" t="0" r="0" b="0"/>
                      <wp:wrapNone/>
                      <wp:docPr id="1" name="Frame1"/>
                      <a:graphic xmlns:a="http://schemas.openxmlformats.org/drawingml/2006/main">
                        <a:graphicData uri="http://schemas.microsoft.com/office/word/2010/wordprocessingShape">
                          <wps:wsp>
                            <wps:cNvSpPr txBox="1"/>
                            <wps:spPr>
                              <a:xfrm>
                                <a:off x="0" y="0"/>
                                <a:ext cx="4885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4460" cy="175260"/>
                      <wp:effectExtent l="0" t="0" r="0" b="0"/>
                      <wp:wrapNone/>
                      <wp:docPr id="2" name="Frame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4510" cy="175260"/>
                      <wp:effectExtent l="0" t="0" r="0" b="0"/>
                      <wp:wrapNone/>
                      <wp:docPr id="3" name="Frame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4620" cy="175260"/>
                      <wp:effectExtent l="0" t="0" r="0" b="0"/>
                      <wp:wrapNone/>
                      <wp:docPr id="5" name="Frame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3885" cy="175260"/>
                      <wp:effectExtent l="0" t="0" r="0" b="0"/>
                      <wp:wrapNone/>
                      <wp:docPr id="6" name="Frame6"/>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94"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6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694"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1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694"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    </w:t>
            </w:r>
          </w:p>
        </w:tc>
        <w:tc>
          <w:tcPr>
            <w:tcW w:w="212" w:type="dxa"/>
            <w:tcBorders/>
            <w:vAlign w:val="center"/>
          </w:tcPr>
          <w:p>
            <w:pPr>
              <w:pStyle w:val="TableContents"/>
              <w:bidi w:val="0"/>
              <w:spacing w:before="0" w:after="1"/>
              <w:ind w:left="0" w:right="0" w:hanging="0"/>
              <w:jc w:val="center"/>
              <w:rPr/>
            </w:pPr>
            <w:r>
              <w:rPr/>
              <w:t>​</w:t>
            </w:r>
          </w:p>
        </w:tc>
        <w:tc>
          <w:tcPr>
            <w:tcW w:w="951" w:type="dxa"/>
            <w:tcBorders/>
            <w:vAlign w:val="center"/>
          </w:tcPr>
          <w:p>
            <w:pPr>
              <w:pStyle w:val="TableContents"/>
              <w:bidi w:val="0"/>
              <w:spacing w:before="0" w:after="1"/>
              <w:ind w:left="0" w:right="0" w:hanging="0"/>
              <w:jc w:val="center"/>
              <w:rPr/>
            </w:pPr>
            <w:r>
              <w:rPr/>
              <w:t>​</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2" w:type="dxa"/>
            <w:tcBorders/>
            <w:shd w:fill="CCEEFF" w:val="clear"/>
            <w:vAlign w:val="center"/>
          </w:tcPr>
          <w:p>
            <w:pPr>
              <w:pStyle w:val="TableContents"/>
              <w:bidi w:val="0"/>
              <w:spacing w:before="0" w:after="1"/>
              <w:ind w:left="0" w:right="0" w:hanging="0"/>
              <w:jc w:val="center"/>
              <w:rPr/>
            </w:pPr>
            <w:r>
              <w:rPr/>
              <w:t>​</w:t>
            </w:r>
          </w:p>
        </w:tc>
        <w:tc>
          <w:tcPr>
            <w:tcW w:w="951" w:type="dxa"/>
            <w:tcBorders/>
            <w:shd w:fill="CCEEFF" w:val="clear"/>
            <w:vAlign w:val="center"/>
          </w:tcPr>
          <w:p>
            <w:pPr>
              <w:pStyle w:val="TableContents"/>
              <w:bidi w:val="0"/>
              <w:spacing w:before="0" w:after="1"/>
              <w:ind w:left="0" w:right="0" w:hanging="0"/>
              <w:jc w:val="center"/>
              <w:rPr/>
            </w:pPr>
            <w:r>
              <w:rPr/>
              <w:t>​</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pPr>
            <w:r>
              <w:rPr/>
              <w:t>​</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284,386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296,051</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Funds held for customers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26,376</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30,015</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of $16,389 and $16,838, respectively</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143,660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164,432</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48,309</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36,678</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securities available-for-sale, at fair value (amortized cost of $0 and $9,147, respectively)</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9,157</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502,731</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536,333</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 of accumulated depreciation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195,034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177,559</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Capitalized software, net of accumulated amortization</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35,659</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36,350</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Goodwill and other intangible assets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397,312</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363,021</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commissions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27,737</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27,480</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income tax asset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Operating lease right-of-use assets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11,344</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11,956</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Long-term investment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assets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13,352</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14,073</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1,198,189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1,166,791</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pPr>
            <w:r>
              <w:rPr/>
              <w:t>​</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pPr>
            <w:r>
              <w:rPr/>
              <w:t>  </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30,440</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36,215</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42,155</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35,169</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Customer funds obligations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23,913</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27,406</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salaries and benefits</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14,873</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14,581</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variable compensation</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19,000</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45,507</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341,754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339,326</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4,228</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3,995</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finance lease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current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29,900</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35,100</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506,324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537,376</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revenue, net of current portion</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5,496</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4,840</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net of current portion</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336,349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335,220</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11,253</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12,585</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Finance lease liabilities, net of current portion</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net of current portion</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80,200</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87,400</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9,369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9,918</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other liabilities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950,147</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987,439</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12)</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pPr>
            <w:r>
              <w:rPr/>
              <w:t>  </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pPr>
            <w:r>
              <w:rPr/>
              <w:t>  </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shares, $0.001 par value, 30,000 shares authorized; no shares issued and outstanding</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Class A voting common stock, $0.001</w:t>
            </w:r>
            <w:r>
              <w:rPr>
                <w:rFonts w:ascii="Times New Roman;Times;serif" w:hAnsi="Times New Roman;Times;serif"/>
                <w:sz w:val="20"/>
              </w:rPr>
              <w:t xml:space="preserve"> </w:t>
            </w:r>
            <w:r>
              <w:rPr>
                <w:rFonts w:ascii="Times New Roman;Times;serif" w:hAnsi="Times New Roman;Times;serif"/>
                <w:sz w:val="16"/>
              </w:rPr>
              <w:t>par value, 300,000</w:t>
            </w:r>
            <w:r>
              <w:rPr>
                <w:rFonts w:ascii="Times New Roman;Times;serif" w:hAnsi="Times New Roman;Times;serif"/>
                <w:sz w:val="20"/>
              </w:rPr>
              <w:t xml:space="preserve"> </w:t>
            </w:r>
            <w:r>
              <w:rPr>
                <w:rFonts w:ascii="Times New Roman;Times;serif" w:hAnsi="Times New Roman;Times;serif"/>
                <w:sz w:val="16"/>
              </w:rPr>
              <w:t>shares authorized; 77,242</w:t>
            </w:r>
            <w:r>
              <w:rPr>
                <w:rFonts w:ascii="Times New Roman;Times;serif" w:hAnsi="Times New Roman;Times;serif"/>
                <w:sz w:val="20"/>
              </w:rPr>
              <w:t xml:space="preserve"> </w:t>
            </w:r>
            <w:r>
              <w:rPr>
                <w:rFonts w:ascii="Times New Roman;Times;serif" w:hAnsi="Times New Roman;Times;serif"/>
                <w:sz w:val="16"/>
              </w:rPr>
              <w:t>and 70,670</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Class B voting common stock, $0.001</w:t>
            </w:r>
            <w:r>
              <w:rPr>
                <w:rFonts w:ascii="Times New Roman;Times;serif" w:hAnsi="Times New Roman;Times;serif"/>
                <w:sz w:val="20"/>
              </w:rPr>
              <w:t xml:space="preserve"> </w:t>
            </w:r>
            <w:r>
              <w:rPr>
                <w:rFonts w:ascii="Times New Roman;Times;serif" w:hAnsi="Times New Roman;Times;serif"/>
                <w:sz w:val="16"/>
              </w:rPr>
              <w:t>par value, 150,000</w:t>
            </w:r>
            <w:r>
              <w:rPr>
                <w:rFonts w:ascii="Times New Roman;Times;serif" w:hAnsi="Times New Roman;Times;serif"/>
                <w:sz w:val="20"/>
              </w:rPr>
              <w:t xml:space="preserve"> </w:t>
            </w:r>
            <w:r>
              <w:rPr>
                <w:rFonts w:ascii="Times New Roman;Times;serif" w:hAnsi="Times New Roman;Times;serif"/>
                <w:sz w:val="16"/>
              </w:rPr>
              <w:t>shares authorized; 82,156</w:t>
            </w:r>
            <w:r>
              <w:rPr>
                <w:rFonts w:ascii="Times New Roman;Times;serif" w:hAnsi="Times New Roman;Times;serif"/>
                <w:sz w:val="20"/>
              </w:rPr>
              <w:t xml:space="preserve"> </w:t>
            </w:r>
            <w:r>
              <w:rPr>
                <w:rFonts w:ascii="Times New Roman;Times;serif" w:hAnsi="Times New Roman;Times;serif"/>
                <w:sz w:val="16"/>
              </w:rPr>
              <w:t>and 86,481</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 in capital</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292,078</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278,389</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Accumulated deficit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(43,146)</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(53,315)</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(45,879)</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248,042</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179,352</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1,198,189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1,166,791</w:t>
            </w:r>
          </w:p>
        </w:tc>
      </w:tr>
      <w:tr>
        <w:trPr/>
        <w:tc>
          <w:tcPr>
            <w:tcW w:w="10205" w:type="dxa"/>
            <w:gridSpan w:val="6"/>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94" w:name="CondensedConsolidatedStatementsofCompre"/>
      <w:bookmarkStart w:id="195" w:name="_c55387e9_6abb_48e0_a48c_ff3f328f8e5c"/>
      <w:bookmarkEnd w:id="194"/>
      <w:bookmarkEnd w:id="195"/>
      <w:r>
        <w:rPr>
          <w:rFonts w:ascii="Times New Roman;Times;serif" w:hAnsi="Times New Roman;Times;serif"/>
          <w:b/>
          <w:sz w:val="18"/>
        </w:rPr>
        <w:t>Vertex, Inc. and Subsidiaries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Condensed Consolidated Statements of Comprehensive Income (Loss)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and six months ended June 30, 2025 and 2024 (unaudited)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(Amounts in thousands, except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6" w:name="Tc_KEiV1EUWOkiP-6s-AbVO5A_33_10"/>
      <w:bookmarkStart w:id="197" w:name="Tc_Ji2Yzt4mzUOLwoCCc8MKNg_33_7"/>
      <w:bookmarkStart w:id="198" w:name="Tc_C1cKGawt60KoPnnCoYLuIQ_33_4"/>
      <w:bookmarkStart w:id="199" w:name="Tc_yw3QWaMdhUmb4ah1ZwAtIA_33_1"/>
      <w:bookmarkStart w:id="200" w:name="Tc_8oYHyIi1tUKbWoa-YqjxKw_33_0"/>
      <w:bookmarkStart w:id="201" w:name="Tc_HISmiUY_XUq7rxrayW7CcA_32_10"/>
      <w:bookmarkStart w:id="202" w:name="Tc_RewNhVD21EqKy2CO4znO0w_32_7"/>
      <w:bookmarkStart w:id="203" w:name="Tc_mHBvAEd8ZU2MZk4h86D_Tg_32_4"/>
      <w:bookmarkStart w:id="204" w:name="Tc_b8PRdkvQpUG4YRt9Z0T1BQ_32_1"/>
      <w:bookmarkStart w:id="205" w:name="Tc_XOltJgSGE0y6qwSysjh7oQ_32_0"/>
      <w:bookmarkStart w:id="206" w:name="Tc_CWkA2IbHYEG-SY-UmDLAGg_30_10"/>
      <w:bookmarkStart w:id="207" w:name="Tc_KtQnh2sgA0KsBM67qmNX4Q_30_7"/>
      <w:bookmarkStart w:id="208" w:name="Tc_4pG_1eRvQ0mec0HmDXKvPw_30_4"/>
      <w:bookmarkStart w:id="209" w:name="Tc_-SazPzYqAEK4yp3C9l-74A_30_1"/>
      <w:bookmarkStart w:id="210" w:name="Tc_bck0X0RI5Eq1fwX7C5Nmaw_30_0"/>
      <w:bookmarkStart w:id="211" w:name="Tc_5Nq9vAUyy0yGvs14yEGfhw_29_0"/>
      <w:bookmarkStart w:id="212" w:name="Tc_suRn0Yif5UOfMyvDaUp8vw_28_2"/>
      <w:bookmarkStart w:id="213" w:name="Tc_NYGc9qeYYkWC8HqCycEK7Q_28_0"/>
      <w:bookmarkStart w:id="214" w:name="Tc_LiSJM1ww3ECfjrU1iF1oMQ_27_0"/>
      <w:bookmarkStart w:id="215" w:name="Tc_rLUHqCMLOUqRRypeZHs1ug_26_0"/>
      <w:bookmarkStart w:id="216" w:name="Tc_w-y2Xl2ZmEimomwT6cVGEA_25_0"/>
      <w:bookmarkStart w:id="217" w:name="Tc_WRMph5EpckuCMJNKr7fpVA_24_0"/>
      <w:bookmarkStart w:id="218" w:name="Tc_b-BvCXAcN063GJ7JI5hubw_23_0"/>
      <w:bookmarkStart w:id="219" w:name="Tc_F7SE3BMtnEi9QnogrT9Y2A_22_0"/>
      <w:bookmarkStart w:id="220" w:name="Tc_9rSWG7QtpkS79fLmbSOvAg_21_0"/>
      <w:bookmarkStart w:id="221" w:name="Tc_MF-bJBQri0q_ggmLFuVUSg_20_0"/>
      <w:bookmarkStart w:id="222" w:name="Tc_-U4fipfx_0a3cC7iNtDaaw_19_0"/>
      <w:bookmarkStart w:id="223" w:name="Tc_dviTEkr3K0Ch_44lmQajRg_18_11"/>
      <w:bookmarkStart w:id="224" w:name="Tc_G3lrm1AIDUC2cyW3B_W3zA_18_5"/>
      <w:bookmarkStart w:id="225" w:name="Tc_j5n2rJfbwUKbMAoDwa3Skg_18_0"/>
      <w:bookmarkStart w:id="226" w:name="Tc_piLLj910BEqwulHFF7l9VQ_17_0"/>
      <w:bookmarkStart w:id="227" w:name="Tc_u_XmhlklQ0O0Jutr7GZh4A_16_0"/>
      <w:bookmarkStart w:id="228" w:name="Tc_eoi1jsoEWU-vtb9g95zdrA_15_0"/>
      <w:bookmarkStart w:id="229" w:name="Tc_kVnQ28P3x0iBCz_IC20wXQ_14_0"/>
      <w:bookmarkStart w:id="230" w:name="Tc_0VNX3lwe30Gu7g1kGzJ1pw_13_0"/>
      <w:bookmarkStart w:id="231" w:name="Tc_U-Gh9fWI3UGrbDHZ2Y-_ug_12_0"/>
      <w:bookmarkStart w:id="232" w:name="Tc_afqah6gO_kOJbbkni4E4jA_11_0"/>
      <w:bookmarkStart w:id="233" w:name="Tc_rlhyQ7EyGEWte1SqFkgD8w_10_0"/>
      <w:bookmarkStart w:id="234" w:name="Tc_YpDY0s3zM0SbBSsizXlyIQ_9_0"/>
      <w:bookmarkStart w:id="235" w:name="Tc_TxOGZXTCuUKHnZsPmR7nQQ_8_0"/>
      <w:bookmarkStart w:id="236" w:name="Tc_DgADUV4YRUCYhh0ea3v6CA_7_0"/>
      <w:bookmarkStart w:id="237" w:name="Tc_MoZ4Rh4wc0axIwAn5eEHug_6_0"/>
      <w:bookmarkStart w:id="238" w:name="Tc_rKoWHDHdrUS-R39mJ_bmZw_5_10"/>
      <w:bookmarkStart w:id="239" w:name="Tc_npewU1Au70yIIlnNn7VpVg_5_7"/>
      <w:bookmarkStart w:id="240" w:name="Tc_C0yugvhuCk-lVyxZcXHaKQ_5_4"/>
      <w:bookmarkStart w:id="241" w:name="Tc_-nardBGf0k6KQiA2sea6RQ_5_1"/>
      <w:bookmarkStart w:id="242" w:name="Tc_BrptTgsv8EK5SiGLxndP7g_5_0"/>
      <w:bookmarkStart w:id="243" w:name="Tc_aZldYpuL-U2pKbbjwtdPtg_4_0"/>
      <w:bookmarkStart w:id="244" w:name="Tc_xVJczSB5FkqTDI6Exn7aQw_3_7"/>
      <w:bookmarkStart w:id="245" w:name="Tc_uNH_lidRXEOt5d4_NYKWgw_3_1"/>
      <w:bookmarkStart w:id="246" w:name="Tc_uDFtz65GEki6KIoI4PZ4Ew_2_10"/>
      <w:bookmarkStart w:id="247" w:name="Tc_QlR5SoBcAkygyfgcBY9Klg_2_7"/>
      <w:bookmarkStart w:id="248" w:name="Tc_j1jrlG7HYEuOa5rGCc9vvA_2_4"/>
      <w:bookmarkStart w:id="249" w:name="Tc_Kw5TksOCJ0uwi5O5kvS3pg_2_1"/>
      <w:bookmarkStart w:id="250" w:name="Tc_GowBWJ4pdUqqreZQopQSag_1_7"/>
      <w:bookmarkStart w:id="251" w:name="Tc_ax3NiFk1402FLHo1RP_lWA_1_1"/>
      <w:bookmarkStart w:id="252" w:name="_4efb1144_cceb_4af3_a271_720eb64a402b"/>
      <w:bookmarkStart w:id="253" w:name="_da92a681_7ae9_40d0_9170_477a36357bde"/>
      <w:bookmarkStart w:id="254" w:name="Tc_KEiV1EUWOkiP-6s-AbVO5A_33_10"/>
      <w:bookmarkStart w:id="255" w:name="Tc_Ji2Yzt4mzUOLwoCCc8MKNg_33_7"/>
      <w:bookmarkStart w:id="256" w:name="Tc_C1cKGawt60KoPnnCoYLuIQ_33_4"/>
      <w:bookmarkStart w:id="257" w:name="Tc_yw3QWaMdhUmb4ah1ZwAtIA_33_1"/>
      <w:bookmarkStart w:id="258" w:name="Tc_8oYHyIi1tUKbWoa-YqjxKw_33_0"/>
      <w:bookmarkStart w:id="259" w:name="Tc_HISmiUY_XUq7rxrayW7CcA_32_10"/>
      <w:bookmarkStart w:id="260" w:name="Tc_RewNhVD21EqKy2CO4znO0w_32_7"/>
      <w:bookmarkStart w:id="261" w:name="Tc_mHBvAEd8ZU2MZk4h86D_Tg_32_4"/>
      <w:bookmarkStart w:id="262" w:name="Tc_b8PRdkvQpUG4YRt9Z0T1BQ_32_1"/>
      <w:bookmarkStart w:id="263" w:name="Tc_XOltJgSGE0y6qwSysjh7oQ_32_0"/>
      <w:bookmarkStart w:id="264" w:name="Tc_CWkA2IbHYEG-SY-UmDLAGg_30_10"/>
      <w:bookmarkStart w:id="265" w:name="Tc_KtQnh2sgA0KsBM67qmNX4Q_30_7"/>
      <w:bookmarkStart w:id="266" w:name="Tc_4pG_1eRvQ0mec0HmDXKvPw_30_4"/>
      <w:bookmarkStart w:id="267" w:name="Tc_-SazPzYqAEK4yp3C9l-74A_30_1"/>
      <w:bookmarkStart w:id="268" w:name="Tc_bck0X0RI5Eq1fwX7C5Nmaw_30_0"/>
      <w:bookmarkStart w:id="269" w:name="Tc_5Nq9vAUyy0yGvs14yEGfhw_29_0"/>
      <w:bookmarkStart w:id="270" w:name="Tc_suRn0Yif5UOfMyvDaUp8vw_28_2"/>
      <w:bookmarkStart w:id="271" w:name="Tc_NYGc9qeYYkWC8HqCycEK7Q_28_0"/>
      <w:bookmarkStart w:id="272" w:name="Tc_LiSJM1ww3ECfjrU1iF1oMQ_27_0"/>
      <w:bookmarkStart w:id="273" w:name="Tc_rLUHqCMLOUqRRypeZHs1ug_26_0"/>
      <w:bookmarkStart w:id="274" w:name="Tc_w-y2Xl2ZmEimomwT6cVGEA_25_0"/>
      <w:bookmarkStart w:id="275" w:name="Tc_WRMph5EpckuCMJNKr7fpVA_24_0"/>
      <w:bookmarkStart w:id="276" w:name="Tc_b-BvCXAcN063GJ7JI5hubw_23_0"/>
      <w:bookmarkStart w:id="277" w:name="Tc_F7SE3BMtnEi9QnogrT9Y2A_22_0"/>
      <w:bookmarkStart w:id="278" w:name="Tc_9rSWG7QtpkS79fLmbSOvAg_21_0"/>
      <w:bookmarkStart w:id="279" w:name="Tc_MF-bJBQri0q_ggmLFuVUSg_20_0"/>
      <w:bookmarkStart w:id="280" w:name="Tc_-U4fipfx_0a3cC7iNtDaaw_19_0"/>
      <w:bookmarkStart w:id="281" w:name="Tc_dviTEkr3K0Ch_44lmQajRg_18_11"/>
      <w:bookmarkStart w:id="282" w:name="Tc_G3lrm1AIDUC2cyW3B_W3zA_18_5"/>
      <w:bookmarkStart w:id="283" w:name="Tc_j5n2rJfbwUKbMAoDwa3Skg_18_0"/>
      <w:bookmarkStart w:id="284" w:name="Tc_piLLj910BEqwulHFF7l9VQ_17_0"/>
      <w:bookmarkStart w:id="285" w:name="Tc_u_XmhlklQ0O0Jutr7GZh4A_16_0"/>
      <w:bookmarkStart w:id="286" w:name="Tc_eoi1jsoEWU-vtb9g95zdrA_15_0"/>
      <w:bookmarkStart w:id="287" w:name="Tc_kVnQ28P3x0iBCz_IC20wXQ_14_0"/>
      <w:bookmarkStart w:id="288" w:name="Tc_0VNX3lwe30Gu7g1kGzJ1pw_13_0"/>
      <w:bookmarkStart w:id="289" w:name="Tc_U-Gh9fWI3UGrbDHZ2Y-_ug_12_0"/>
      <w:bookmarkStart w:id="290" w:name="Tc_afqah6gO_kOJbbkni4E4jA_11_0"/>
      <w:bookmarkStart w:id="291" w:name="Tc_rlhyQ7EyGEWte1SqFkgD8w_10_0"/>
      <w:bookmarkStart w:id="292" w:name="Tc_YpDY0s3zM0SbBSsizXlyIQ_9_0"/>
      <w:bookmarkStart w:id="293" w:name="Tc_TxOGZXTCuUKHnZsPmR7nQQ_8_0"/>
      <w:bookmarkStart w:id="294" w:name="Tc_DgADUV4YRUCYhh0ea3v6CA_7_0"/>
      <w:bookmarkStart w:id="295" w:name="Tc_MoZ4Rh4wc0axIwAn5eEHug_6_0"/>
      <w:bookmarkStart w:id="296" w:name="Tc_rKoWHDHdrUS-R39mJ_bmZw_5_10"/>
      <w:bookmarkStart w:id="297" w:name="Tc_npewU1Au70yIIlnNn7VpVg_5_7"/>
      <w:bookmarkStart w:id="298" w:name="Tc_C0yugvhuCk-lVyxZcXHaKQ_5_4"/>
      <w:bookmarkStart w:id="299" w:name="Tc_-nardBGf0k6KQiA2sea6RQ_5_1"/>
      <w:bookmarkStart w:id="300" w:name="Tc_BrptTgsv8EK5SiGLxndP7g_5_0"/>
      <w:bookmarkStart w:id="301" w:name="Tc_aZldYpuL-U2pKbbjwtdPtg_4_0"/>
      <w:bookmarkStart w:id="302" w:name="Tc_xVJczSB5FkqTDI6Exn7aQw_3_7"/>
      <w:bookmarkStart w:id="303" w:name="Tc_uNH_lidRXEOt5d4_NYKWgw_3_1"/>
      <w:bookmarkStart w:id="304" w:name="Tc_uDFtz65GEki6KIoI4PZ4Ew_2_10"/>
      <w:bookmarkStart w:id="305" w:name="Tc_QlR5SoBcAkygyfgcBY9Klg_2_7"/>
      <w:bookmarkStart w:id="306" w:name="Tc_j1jrlG7HYEuOa5rGCc9vvA_2_4"/>
      <w:bookmarkStart w:id="307" w:name="Tc_Kw5TksOCJ0uwi5O5kvS3pg_2_1"/>
      <w:bookmarkStart w:id="308" w:name="Tc_GowBWJ4pdUqqreZQopQSag_1_7"/>
      <w:bookmarkStart w:id="309" w:name="Tc_ax3NiFk1402FLHo1RP_lWA_1_1"/>
      <w:bookmarkStart w:id="310" w:name="_4efb1144_cceb_4af3_a271_720eb64a402b"/>
      <w:bookmarkStart w:id="311" w:name="_da92a681_7ae9_40d0_9170_477a36357bde"/>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tbl>
      <w:tblPr>
        <w:tblW w:w="9370" w:type="dxa"/>
        <w:jc w:val="left"/>
        <w:tblInd w:w="0" w:type="dxa"/>
        <w:tblLayout w:type="fixed"/>
        <w:tblCellMar>
          <w:top w:w="0" w:type="dxa"/>
          <w:left w:w="0" w:type="dxa"/>
          <w:bottom w:w="0" w:type="dxa"/>
          <w:right w:w="0" w:type="dxa"/>
        </w:tblCellMar>
      </w:tblPr>
      <w:tblGrid>
        <w:gridCol w:w="4396"/>
        <w:gridCol w:w="219"/>
        <w:gridCol w:w="807"/>
        <w:gridCol w:w="365"/>
        <w:gridCol w:w="219"/>
        <w:gridCol w:w="774"/>
        <w:gridCol w:w="326"/>
        <w:gridCol w:w="204"/>
        <w:gridCol w:w="751"/>
        <w:gridCol w:w="339"/>
        <w:gridCol w:w="204"/>
        <w:gridCol w:w="76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791460" cy="175260"/>
                      <wp:effectExtent l="0" t="0" r="0" b="0"/>
                      <wp:wrapNone/>
                      <wp:docPr id="7" name="Frame7"/>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9065" cy="175260"/>
                      <wp:effectExtent l="0" t="0" r="0" b="0"/>
                      <wp:wrapNone/>
                      <wp:docPr id="8" name="Frame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12445" cy="175260"/>
                      <wp:effectExtent l="0" t="0" r="0" b="0"/>
                      <wp:wrapNone/>
                      <wp:docPr id="9" name="Frame9"/>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31775" cy="175260"/>
                      <wp:effectExtent l="0" t="0" r="0" b="0"/>
                      <wp:wrapNone/>
                      <wp:docPr id="10" name="Frame10"/>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9065" cy="175260"/>
                      <wp:effectExtent l="0" t="0" r="0" b="0"/>
                      <wp:wrapNone/>
                      <wp:docPr id="11" name="Frame1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1490" cy="175260"/>
                      <wp:effectExtent l="0" t="0" r="0" b="0"/>
                      <wp:wrapNone/>
                      <wp:docPr id="12" name="Frame12"/>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9540" cy="175260"/>
                      <wp:effectExtent l="0" t="0" r="0" b="0"/>
                      <wp:wrapNone/>
                      <wp:docPr id="14" name="Frame14"/>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76885" cy="175260"/>
                      <wp:effectExtent l="0" t="0" r="0" b="0"/>
                      <wp:wrapNone/>
                      <wp:docPr id="15" name="Frame1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5265" cy="175260"/>
                      <wp:effectExtent l="0" t="0" r="0" b="0"/>
                      <wp:wrapNone/>
                      <wp:docPr id="16" name="Frame16"/>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9540" cy="175260"/>
                      <wp:effectExtent l="0" t="0" r="0" b="0"/>
                      <wp:wrapNone/>
                      <wp:docPr id="17" name="Frame17"/>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86410" cy="175260"/>
                      <wp:effectExtent l="0" t="0" r="0" b="0"/>
                      <wp:wrapNone/>
                      <wp:docPr id="18" name="Frame1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23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326" w:type="dxa"/>
            <w:tcBorders/>
            <w:vAlign w:val="center"/>
          </w:tcPr>
          <w:p>
            <w:pPr>
              <w:pStyle w:val="TableContents"/>
              <w:bidi w:val="0"/>
              <w:spacing w:before="0" w:after="1"/>
              <w:ind w:left="0" w:right="0" w:hanging="0"/>
              <w:jc w:val="center"/>
              <w:rPr/>
            </w:pPr>
            <w:r>
              <w:rPr/>
              <w:t>​</w:t>
            </w:r>
          </w:p>
        </w:tc>
        <w:tc>
          <w:tcPr>
            <w:tcW w:w="22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4396" w:type="dxa"/>
            <w:tcBorders/>
            <w:vAlign w:val="center"/>
          </w:tcPr>
          <w:p>
            <w:pPr>
              <w:pStyle w:val="TableContents"/>
              <w:bidi w:val="0"/>
              <w:spacing w:before="0" w:after="1"/>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65" w:type="dxa"/>
            <w:tcBorders/>
            <w:vAlign w:val="center"/>
          </w:tcPr>
          <w:p>
            <w:pPr>
              <w:pStyle w:val="TableContents"/>
              <w:bidi w:val="0"/>
              <w:spacing w:before="0" w:after="1"/>
              <w:ind w:left="0" w:right="0" w:hanging="0"/>
              <w:jc w:val="center"/>
              <w:rPr/>
            </w:pPr>
            <w:r>
              <w:rPr/>
              <w:t>​</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center"/>
              <w:rPr/>
            </w:pPr>
            <w:r>
              <w:rPr/>
              <w:t>​</w:t>
            </w:r>
          </w:p>
        </w:tc>
        <w:tc>
          <w:tcPr>
            <w:tcW w:w="9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39" w:type="dxa"/>
            <w:tcBorders/>
            <w:vAlign w:val="center"/>
          </w:tcPr>
          <w:p>
            <w:pPr>
              <w:pStyle w:val="TableContents"/>
              <w:bidi w:val="0"/>
              <w:spacing w:before="0" w:after="1"/>
              <w:ind w:left="0" w:right="0" w:hanging="0"/>
              <w:jc w:val="center"/>
              <w:rPr/>
            </w:pPr>
            <w:r>
              <w:rPr/>
              <w:t>​</w:t>
            </w:r>
          </w:p>
        </w:tc>
        <w:tc>
          <w:tcPr>
            <w:tcW w:w="9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9370"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396" w:type="dxa"/>
            <w:tcBorders/>
            <w:vAlign w:val="center"/>
          </w:tcPr>
          <w:p>
            <w:pPr>
              <w:pStyle w:val="TableContents"/>
              <w:bidi w:val="0"/>
              <w:spacing w:before="0" w:after="1"/>
              <w:ind w:left="0" w:right="0" w:hanging="0"/>
              <w:jc w:val="left"/>
              <w:rPr/>
            </w:pPr>
            <w:r>
              <w:rPr/>
              <w:t>​</w:t>
            </w:r>
          </w:p>
        </w:tc>
        <w:tc>
          <w:tcPr>
            <w:tcW w:w="2384"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c>
          <w:tcPr>
            <w:tcW w:w="326" w:type="dxa"/>
            <w:tcBorders/>
            <w:vAlign w:val="center"/>
          </w:tcPr>
          <w:p>
            <w:pPr>
              <w:pStyle w:val="TableContents"/>
              <w:bidi w:val="0"/>
              <w:spacing w:before="0" w:after="1"/>
              <w:ind w:left="0" w:right="0" w:hanging="0"/>
              <w:jc w:val="center"/>
              <w:rPr/>
            </w:pPr>
            <w:r>
              <w:rPr/>
              <w:t>​</w:t>
            </w:r>
          </w:p>
        </w:tc>
        <w:tc>
          <w:tcPr>
            <w:tcW w:w="2264"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439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Revenues:</w:t>
            </w:r>
          </w:p>
        </w:tc>
        <w:tc>
          <w:tcPr>
            <w:tcW w:w="219"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  </w:t>
            </w:r>
          </w:p>
        </w:tc>
        <w:tc>
          <w:tcPr>
            <w:tcW w:w="365"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    </w:t>
            </w:r>
          </w:p>
        </w:tc>
        <w:tc>
          <w:tcPr>
            <w:tcW w:w="204"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2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157,844</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136,443</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308,605</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268,273</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26,715</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24,661</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53,016</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49,612</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184,559</w:t>
            </w:r>
          </w:p>
        </w:tc>
        <w:tc>
          <w:tcPr>
            <w:tcW w:w="365"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161,104</w:t>
            </w:r>
          </w:p>
        </w:tc>
        <w:tc>
          <w:tcPr>
            <w:tcW w:w="326" w:type="dxa"/>
            <w:tcBorders/>
            <w:vAlign w:val="center"/>
          </w:tcPr>
          <w:p>
            <w:pPr>
              <w:pStyle w:val="TableContents"/>
              <w:bidi w:val="0"/>
              <w:spacing w:before="0" w:after="1"/>
              <w:ind w:left="0" w:right="0" w:hanging="0"/>
              <w:jc w:val="righ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361,621</w:t>
            </w:r>
          </w:p>
        </w:tc>
        <w:tc>
          <w:tcPr>
            <w:tcW w:w="33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317,885</w:t>
            </w:r>
          </w:p>
        </w:tc>
      </w:tr>
      <w:tr>
        <w:trPr/>
        <w:tc>
          <w:tcPr>
            <w:tcW w:w="439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219"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  </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219"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44,459</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42,261</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88,704</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87,389</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18,900</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16,155</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38,723</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32,016</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63,359</w:t>
            </w:r>
          </w:p>
        </w:tc>
        <w:tc>
          <w:tcPr>
            <w:tcW w:w="365"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58,416</w:t>
            </w:r>
          </w:p>
        </w:tc>
        <w:tc>
          <w:tcPr>
            <w:tcW w:w="326" w:type="dxa"/>
            <w:tcBorders/>
            <w:vAlign w:val="center"/>
          </w:tcPr>
          <w:p>
            <w:pPr>
              <w:pStyle w:val="TableContents"/>
              <w:bidi w:val="0"/>
              <w:spacing w:before="0" w:after="1"/>
              <w:ind w:left="0" w:right="0" w:hanging="0"/>
              <w:jc w:val="righ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127,427</w:t>
            </w:r>
          </w:p>
        </w:tc>
        <w:tc>
          <w:tcPr>
            <w:tcW w:w="33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119,405</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121,200</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102,688</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234,194</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198,480</w:t>
            </w:r>
          </w:p>
        </w:tc>
      </w:tr>
      <w:tr>
        <w:trPr/>
        <w:tc>
          <w:tcPr>
            <w:tcW w:w="439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219"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219"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20,582</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14,614</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41,468</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31,459</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and marketing</w:t>
            </w:r>
          </w:p>
        </w:tc>
        <w:tc>
          <w:tcPr>
            <w:tcW w:w="219"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48,454</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40,541</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96,609</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81,032</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219"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43,392</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35,874</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88,420</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71,416</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19"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6,187</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5,212</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12,067</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10,218</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19"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2,300</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(12,400)</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operating expense (income), net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4,149</w:t>
            </w:r>
          </w:p>
        </w:tc>
        <w:tc>
          <w:tcPr>
            <w:tcW w:w="365"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w:t>
            </w:r>
          </w:p>
        </w:tc>
        <w:tc>
          <w:tcPr>
            <w:tcW w:w="326" w:type="dxa"/>
            <w:tcBorders/>
            <w:vAlign w:val="center"/>
          </w:tcPr>
          <w:p>
            <w:pPr>
              <w:pStyle w:val="TableContents"/>
              <w:bidi w:val="0"/>
              <w:spacing w:before="0" w:after="1"/>
              <w:ind w:left="0" w:right="0" w:hanging="0"/>
              <w:jc w:val="righ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7,408</w:t>
            </w:r>
          </w:p>
        </w:tc>
        <w:tc>
          <w:tcPr>
            <w:tcW w:w="33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(1,625)</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125,064</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95,143</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233,572</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192,500</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219"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(3,864)</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7,545</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5,980</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(1,228)</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(2,767)</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219"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(2,636)</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7,364</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3,389</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5,513</w:t>
            </w:r>
          </w:p>
        </w:tc>
      </w:tr>
      <w:tr>
        <w:trPr/>
        <w:tc>
          <w:tcPr>
            <w:tcW w:w="439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Income tax expense (benefit)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(1,675)</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2,200</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(6,780)</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(2,335)</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(961)</w:t>
            </w:r>
          </w:p>
        </w:tc>
        <w:tc>
          <w:tcPr>
            <w:tcW w:w="365"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5,164</w:t>
            </w:r>
          </w:p>
        </w:tc>
        <w:tc>
          <w:tcPr>
            <w:tcW w:w="326" w:type="dxa"/>
            <w:tcBorders/>
            <w:vAlign w:val="center"/>
          </w:tcPr>
          <w:p>
            <w:pPr>
              <w:pStyle w:val="TableContents"/>
              <w:bidi w:val="0"/>
              <w:spacing w:before="0" w:after="1"/>
              <w:ind w:left="0" w:right="0" w:hanging="0"/>
              <w:jc w:val="righ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10,169</w:t>
            </w:r>
          </w:p>
        </w:tc>
        <w:tc>
          <w:tcPr>
            <w:tcW w:w="33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7,848</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219"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219"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(29,734)</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3,335</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(44,839)</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7,346</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 (gain) on investments, net of tax</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(29,734)</w:t>
            </w:r>
          </w:p>
        </w:tc>
        <w:tc>
          <w:tcPr>
            <w:tcW w:w="365"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3,316</w:t>
            </w:r>
          </w:p>
        </w:tc>
        <w:tc>
          <w:tcPr>
            <w:tcW w:w="326" w:type="dxa"/>
            <w:tcBorders/>
            <w:vAlign w:val="center"/>
          </w:tcPr>
          <w:p>
            <w:pPr>
              <w:pStyle w:val="TableContents"/>
              <w:bidi w:val="0"/>
              <w:spacing w:before="0" w:after="1"/>
              <w:ind w:left="0" w:right="0" w:hanging="0"/>
              <w:jc w:val="righ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(44,830)</w:t>
            </w:r>
          </w:p>
        </w:tc>
        <w:tc>
          <w:tcPr>
            <w:tcW w:w="33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7,344</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comprehensive income</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28,773</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1,848</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54,999</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w:t>
            </w:r>
          </w:p>
        </w:tc>
      </w:tr>
      <w:tr>
        <w:trPr/>
        <w:tc>
          <w:tcPr>
            <w:tcW w:w="439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807"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77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right"/>
              <w:rPr/>
            </w:pPr>
            <w:r>
              <w:rPr/>
              <w:t>​</w:t>
            </w:r>
          </w:p>
        </w:tc>
        <w:tc>
          <w:tcPr>
            <w:tcW w:w="751" w:type="dxa"/>
            <w:tcBorders/>
            <w:vAlign w:val="center"/>
          </w:tcPr>
          <w:p>
            <w:pPr>
              <w:pStyle w:val="TableContents"/>
              <w:bidi w:val="0"/>
              <w:spacing w:before="0" w:after="1"/>
              <w:ind w:left="0" w:right="0" w:hanging="0"/>
              <w:jc w:val="right"/>
              <w:rPr/>
            </w:pPr>
            <w:r>
              <w:rPr/>
              <w:t>​</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per share of Class A and Class B, basic</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65"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shd w:fill="CCEEFF" w:val="clear"/>
            <w:vAlign w:val="center"/>
          </w:tcPr>
          <w:p>
            <w:pPr>
              <w:pStyle w:val="TableContents"/>
              <w:bidi w:val="0"/>
              <w:spacing w:before="0" w:after="1"/>
              <w:ind w:left="0" w:right="0" w:hanging="0"/>
              <w:jc w:val="righ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339"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439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per share of Class A and Class B, dilutive</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65"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7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vAlign w:val="center"/>
          </w:tcPr>
          <w:p>
            <w:pPr>
              <w:pStyle w:val="TableContents"/>
              <w:bidi w:val="0"/>
              <w:spacing w:before="0" w:after="1"/>
              <w:ind w:left="0" w:right="0" w:hanging="0"/>
              <w:jc w:val="righ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339" w:type="dxa"/>
            <w:tcBorders/>
            <w:vAlign w:val="center"/>
          </w:tcPr>
          <w:p>
            <w:pPr>
              <w:pStyle w:val="TableContents"/>
              <w:bidi w:val="0"/>
              <w:spacing w:before="0" w:after="1"/>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439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3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 xml:space="preserve">The accompanying notes are an integral part of these condensed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312" w:name="_d97ceff4_a33d_4cc5_a105_3fa018f9287e"/>
      <w:bookmarkEnd w:id="312"/>
      <w:r>
        <w:rPr/>
        <w:t>​</w:t>
      </w:r>
    </w:p>
    <w:p>
      <w:pPr>
        <w:pStyle w:val="Normal"/>
        <w:bidi w:val="0"/>
        <w:spacing w:before="0" w:after="0"/>
        <w:jc w:val="left"/>
        <w:rPr>
          <w:sz w:val="4"/>
          <w:szCs w:val="4"/>
        </w:rPr>
      </w:pPr>
      <w:r>
        <w:rPr>
          <w:sz w:val="4"/>
          <w:szCs w:val="4"/>
        </w:rPr>
      </w:r>
      <w:bookmarkStart w:id="313" w:name="CondensedConsolidatedStatementsofChanges"/>
      <w:bookmarkStart w:id="314" w:name="CondensedConsolidatedStatementsofChanges"/>
      <w:bookmarkEnd w:id="314"/>
    </w:p>
    <w:tbl>
      <w:tblPr>
        <w:tblW w:w="6241" w:type="dxa"/>
        <w:jc w:val="left"/>
        <w:tblInd w:w="0" w:type="dxa"/>
        <w:tblLayout w:type="fixed"/>
        <w:tblCellMar>
          <w:top w:w="0" w:type="dxa"/>
          <w:left w:w="0" w:type="dxa"/>
          <w:bottom w:w="0" w:type="dxa"/>
          <w:right w:w="0" w:type="dxa"/>
        </w:tblCellMar>
      </w:tblPr>
      <w:tblGrid>
        <w:gridCol w:w="6241"/>
      </w:tblGrid>
      <w:tr>
        <w:trPr/>
        <w:tc>
          <w:tcPr>
            <w:tcW w:w="6241" w:type="dxa"/>
            <w:tcBorders/>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Condensed Consolidated Statements of Changes in Stockholders’ Equity</w:t>
            </w:r>
            <w:r>
              <w:rPr>
                <w:rFonts w:ascii="Times New Roman;Times;serif" w:hAnsi="Times New Roman;Times;serif"/>
                <w:sz w:val="20"/>
              </w:rPr>
              <w:t xml:space="preserve"> </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June 30, 2025 and 2024 (unaudited)</w:t>
            </w:r>
          </w:p>
        </w:tc>
      </w:tr>
      <w:tr>
        <w:trPr/>
        <w:tc>
          <w:tcPr>
            <w:tcW w:w="6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5" w:name="Tc_madxuYS0JU6T4rX10K09DA_24_21"/>
      <w:bookmarkStart w:id="316" w:name="Tc_naFU9BGZwkGB_x6vW7swUQ_24_18"/>
      <w:bookmarkStart w:id="317" w:name="Tc_tWbdS1YIX0aKgJ53OJpnBQ_24_15"/>
      <w:bookmarkStart w:id="318" w:name="Tc__G-DFp2lwEGCnAa5l-ua6Q_24_12"/>
      <w:bookmarkStart w:id="319" w:name="Tc_lmzvw8IDVk28qKNniFCE9g_24_9"/>
      <w:bookmarkStart w:id="320" w:name="Tc_7J0XEVW58U-cPfv4hAjtSQ_24_4"/>
      <w:bookmarkStart w:id="321" w:name="Tc_cqFh2YbZnEmEqsV2t6jhOg_24_0"/>
      <w:bookmarkStart w:id="322" w:name="Tc_zrh-kfWaH0WjkVni9E4AnA_23_19"/>
      <w:bookmarkStart w:id="323" w:name="Tc_KoF7tUZ8Wkyrm2hznt4QBA_23_13"/>
      <w:bookmarkStart w:id="324" w:name="Tc_rwlAexAMski0I5OmuBMDvg_23_10"/>
      <w:bookmarkStart w:id="325" w:name="Tc_vXEUD0sXvUyuXui3U-tjyw_23_7"/>
      <w:bookmarkStart w:id="326" w:name="Tc_njoCmxd7V0yneBTF29xydQ_23_5"/>
      <w:bookmarkStart w:id="327" w:name="Tc_6BRbhGiCGkuKR3AkufuV_w_23_2"/>
      <w:bookmarkStart w:id="328" w:name="Tc_4uxRkKYJVUm702AEA5s8vw_23_0"/>
      <w:bookmarkStart w:id="329" w:name="Tc_HQi4EKclg0-0X0t6PWBw8g_22_16"/>
      <w:bookmarkStart w:id="330" w:name="Tc_zHxxQk4PUUqrmKkviLDPog_22_13"/>
      <w:bookmarkStart w:id="331" w:name="Tc_0NQh_-SRD0KEHF1dHTIu0A_22_10"/>
      <w:bookmarkStart w:id="332" w:name="Tc_hTLimOpRU0WGGT-20LwtIw_22_7"/>
      <w:bookmarkStart w:id="333" w:name="Tc_-3elBY3dA0C8LQK8bfF19w_22_5"/>
      <w:bookmarkStart w:id="334" w:name="Tc_p2sjqrT_BkC7oOOciyYDvw_22_2"/>
      <w:bookmarkStart w:id="335" w:name="Tc_J3bpk4jrU0eUgDWbeT_7lw_22_0"/>
      <w:bookmarkStart w:id="336" w:name="Tc_prfs91lw3kaBIuGNM5OUAQ_21_19"/>
      <w:bookmarkStart w:id="337" w:name="Tc_PocuWEu6yku-KzS_AEf2gA_21_16"/>
      <w:bookmarkStart w:id="338" w:name="Tc_ZnJ6SV-cxkGygCIo6Cq8cw_21_10"/>
      <w:bookmarkStart w:id="339" w:name="Tc_Mx8PaCU-6UCAeaQMw0Kkjw_21_7"/>
      <w:bookmarkStart w:id="340" w:name="Tc_GSqqXb-fMUitRahF0e31Wg_21_5"/>
      <w:bookmarkStart w:id="341" w:name="Tc_hrcp0zFfoUO8ScUfXWvd-g_21_2"/>
      <w:bookmarkStart w:id="342" w:name="Tc_0zpLkN_Z0U2dv-gOB6jAUw_21_0"/>
      <w:bookmarkStart w:id="343" w:name="Tc_PmQi9kTAR0q7VWzXlPrKoA_20_22"/>
      <w:bookmarkStart w:id="344" w:name="Tc_STurKvuFKE-Ep5rPDqRC5g_20_19"/>
      <w:bookmarkStart w:id="345" w:name="Tc_5-nYnve6HUCSw8o3FdY5PQ_20_16"/>
      <w:bookmarkStart w:id="346" w:name="Tc_TWvyGj84hUqwAUM6UZm_JA_20_13"/>
      <w:bookmarkStart w:id="347" w:name="Tc_FDUujxQXY0Kke7s9oXoomQ_20_0"/>
      <w:bookmarkStart w:id="348" w:name="Tc_aVJ0g8xiFUmuXYjs63ueKg_19_19"/>
      <w:bookmarkStart w:id="349" w:name="Tc_aXN512YjNEyWLAYFMRUrSQ_19_16"/>
      <w:bookmarkStart w:id="350" w:name="Tc_ufdtuWe7-U-DTuDe1k7rPQ_19_10"/>
      <w:bookmarkStart w:id="351" w:name="Tc_ct5brS7Onkee-F06DDssPw_19_7"/>
      <w:bookmarkStart w:id="352" w:name="Tc_yAgibG2r4Eq-4j0Ru7qlGw_19_5"/>
      <w:bookmarkStart w:id="353" w:name="Tc_KK5USFCRt0CKlmIwJiD93Q_19_0"/>
      <w:bookmarkStart w:id="354" w:name="Tc_rogKlDH2_UObQMY7S8OSwg_18_19"/>
      <w:bookmarkStart w:id="355" w:name="Tc_ssAAZZB6TUWirYLOXt4dow_18_16"/>
      <w:bookmarkStart w:id="356" w:name="Tc_w__253ZZv0K9v1lVhLEYMw_18_10"/>
      <w:bookmarkStart w:id="357" w:name="Tc_FRUJq-HYjE2iUN45jtp2ew_18_7"/>
      <w:bookmarkStart w:id="358" w:name="Tc_NYVKbeDin0KRjGq4GzmKcw_18_5"/>
      <w:bookmarkStart w:id="359" w:name="Tc_ZGsz99A0skSa9PHxTnjx4g_18_2"/>
      <w:bookmarkStart w:id="360" w:name="Tc_1ZG2jrjgT064EvQF-j9fZg_18_0"/>
      <w:bookmarkStart w:id="361" w:name="Tc_0RaXSSbqxUKHaWANGcz2DQ_17_22"/>
      <w:bookmarkStart w:id="362" w:name="Tc_lSRbTppDVkKKoQhehGDo1Q_17_19"/>
      <w:bookmarkStart w:id="363" w:name="Tc_cuHyKYs99kKyTZIY1JzPUA_17_16"/>
      <w:bookmarkStart w:id="364" w:name="Tc_o1bCyMK_0kapAs22K-7Q9g_17_13"/>
      <w:bookmarkStart w:id="365" w:name="Tc_KmCu4u3HJkOyCinc94NJew_17_10"/>
      <w:bookmarkStart w:id="366" w:name="Tc_MjicddVyEkiXqZMEA_3ztw_17_7"/>
      <w:bookmarkStart w:id="367" w:name="Tc_8-0b0PJig06SSeLNJDmdIA_17_5"/>
      <w:bookmarkStart w:id="368" w:name="Tc_jg78ehs-606DKeVM6r_FMA_17_0"/>
      <w:bookmarkStart w:id="369" w:name="Tc_O-gge44wA0yMzMjRuUaHNA_16_19"/>
      <w:bookmarkStart w:id="370" w:name="Tc_835nr_2ExkCGAMbJQJpAIQ_16_16"/>
      <w:bookmarkStart w:id="371" w:name="Tc_8USD4s1xekWdN4tUUkpQSw_16_10"/>
      <w:bookmarkStart w:id="372" w:name="Tc_yMh1npfX8EC_-LaM9BZFyg_16_7"/>
      <w:bookmarkStart w:id="373" w:name="Tc_Vivnsq80JE2VlGXujCM3vg_16_5"/>
      <w:bookmarkStart w:id="374" w:name="Tc_kMDZplPBiU6hxodOZvmGuw_16_0"/>
      <w:bookmarkStart w:id="375" w:name="Tc_aLwdpL7RgEOzi70aQoNLjA_15_19"/>
      <w:bookmarkStart w:id="376" w:name="Tc_Bq4_gqRaOkiElSPBwEwW4w_15_16"/>
      <w:bookmarkStart w:id="377" w:name="Tc_ONPHNh-v70m1OEnd-nE2Xg_15_10"/>
      <w:bookmarkStart w:id="378" w:name="Tc_62SgG3y06UexahN0w1fpAQ_15_7"/>
      <w:bookmarkStart w:id="379" w:name="Tc_QjxspbgSw0m0uiKz0IiXBQ_15_0"/>
      <w:bookmarkStart w:id="380" w:name="Tc_ZnIdFzAm9EmcYM4Df_doiA_14_0"/>
      <w:bookmarkStart w:id="381" w:name="Tc_N7TR-iY9pEGgK1yPrPswWA_13_19"/>
      <w:bookmarkStart w:id="382" w:name="Tc_dVWKRkGnkESBvFYGEqTBvg_13_13"/>
      <w:bookmarkStart w:id="383" w:name="Tc_sAm14PPlHUyIrdoWkog2vg_13_10"/>
      <w:bookmarkStart w:id="384" w:name="Tc_ScaXWzm_80aAI6aTB8UPkw_13_7"/>
      <w:bookmarkStart w:id="385" w:name="Tc_W-FDJDIulEK3PZxeMoCfjg_13_5"/>
      <w:bookmarkStart w:id="386" w:name="Tc__-uPyUrfqU-L4QyyabZAAw_13_2"/>
      <w:bookmarkStart w:id="387" w:name="Tc_-DhjlIrUSUG6tTi523eTjQ_13_0"/>
      <w:bookmarkStart w:id="388" w:name="Tc__kRppqNH3ke5fLGbe8vb-w_12_16"/>
      <w:bookmarkStart w:id="389" w:name="Tc_0RK-lStD_k-9ymcAxJYaPQ_12_13"/>
      <w:bookmarkStart w:id="390" w:name="Tc_30IKPE__m0CCmo0AMFptVw_12_10"/>
      <w:bookmarkStart w:id="391" w:name="Tc_XGAtrAK8W02WqhiIEtq_og_12_7"/>
      <w:bookmarkStart w:id="392" w:name="Tc_I9lUFJ0FpUi0IlrvQXteGA_12_5"/>
      <w:bookmarkStart w:id="393" w:name="Tc_QuCbNjyds0eYHv0NNfViDQ_12_2"/>
      <w:bookmarkStart w:id="394" w:name="Tc_CgDWuIBX7UutPfBgnejHwg_12_0"/>
      <w:bookmarkStart w:id="395" w:name="Tc_xeJJT-u6gUWPjbgw85gVpw_11_16"/>
      <w:bookmarkStart w:id="396" w:name="Tc_nT7u58ngmEmHNljRnM_pjQ_11_13"/>
      <w:bookmarkStart w:id="397" w:name="Tc_bZJXXCOIZEOotLyvQTsMPg_11_10"/>
      <w:bookmarkStart w:id="398" w:name="Tc_y9bsBXiFuEWZwFF1MJ5Byg_11_7"/>
      <w:bookmarkStart w:id="399" w:name="Tc_O4Pcc_cXeE27HFeg7QGXbA_11_5"/>
      <w:bookmarkStart w:id="400" w:name="Tc_5C3Iv93n-0KOYPcy9JAcjA_11_2"/>
      <w:bookmarkStart w:id="401" w:name="Tc_mdAc--7Xw0uSt26L4CbD2g_11_0"/>
      <w:bookmarkStart w:id="402" w:name="Tc_WH4IUmYmREmbhRz_AGqDbQ_10_19"/>
      <w:bookmarkStart w:id="403" w:name="Tc_7OZvNXV9LU254CNOu8e5tw_10_16"/>
      <w:bookmarkStart w:id="404" w:name="Tc_3CV6FIHwlkC5TacwPVTltw_10_10"/>
      <w:bookmarkStart w:id="405" w:name="Tc_E8FwntqkgUOw2Ly5mG153Q_10_7"/>
      <w:bookmarkStart w:id="406" w:name="Tc_-MEBJ3KlmESfo4CYgD3PrA_10_5"/>
      <w:bookmarkStart w:id="407" w:name="Tc_mggvrHEOPEubrdSJgZImCw_10_2"/>
      <w:bookmarkStart w:id="408" w:name="Tc_HzMFHz2QFU2tEWoqB4kDoA_10_0"/>
      <w:bookmarkStart w:id="409" w:name="Tc_Fda4rmrrH0SWdOJBE-7ITA_9_19"/>
      <w:bookmarkStart w:id="410" w:name="Tc_ku5T3CB_JEuNqJqjZs-Kyw_9_16"/>
      <w:bookmarkStart w:id="411" w:name="Tc_oIrOXHnoOEKb4-z5tz6QXg_9_10"/>
      <w:bookmarkStart w:id="412" w:name="Tc_NQamWJmlr0mwoRgXwZBRkA_9_7"/>
      <w:bookmarkStart w:id="413" w:name="Tc_rrca47csWEaLaTYD2xeoJw_9_5"/>
      <w:bookmarkStart w:id="414" w:name="Tc_EtVqp_qyZkStfpxZkgGrzg_9_2"/>
      <w:bookmarkStart w:id="415" w:name="Tc_wIvsw4RlM0Ces9Ax8XHUgg_9_0"/>
      <w:bookmarkStart w:id="416" w:name="Tc_5q_IURYXcU2dTD1UA2Tfwg_8_19"/>
      <w:bookmarkStart w:id="417" w:name="Tc_m311mbwL0kae8NiLXLlFew_8_16"/>
      <w:bookmarkStart w:id="418" w:name="Tc_MARUfySF7UO4ZCisbltV3A_8_10"/>
      <w:bookmarkStart w:id="419" w:name="Tc_WDSdiqGgNEyQlDY52qexQQ_8_7"/>
      <w:bookmarkStart w:id="420" w:name="Tc_GbhYA9VLEkumKkjrMvXLCQ_8_0"/>
      <w:bookmarkStart w:id="421" w:name="Tc_L4N_BwBb9ESl9GsEWkXoEQ_7_19"/>
      <w:bookmarkStart w:id="422" w:name="Tc_wSVlMx2My0ySYM3EoMYO9Q_7_16"/>
      <w:bookmarkStart w:id="423" w:name="Tc_MEG9BUmE_Umqk1vBbJ2I0Q_7_10"/>
      <w:bookmarkStart w:id="424" w:name="Tc_SKgLAKFqYk23ebsPkOmUrQ_7_7"/>
      <w:bookmarkStart w:id="425" w:name="Tc_Taja9DMhBUySj48xXi7zXA_7_5"/>
      <w:bookmarkStart w:id="426" w:name="Tc_qWbmlYHv90Kek7Damtocfg_7_0"/>
      <w:bookmarkStart w:id="427" w:name="Tc_Osz99ImmFUaKisQCbg31Lg_6_21"/>
      <w:bookmarkStart w:id="428" w:name="Tc_MN_XvRYNCUmqzQ0HEC3uIg_6_18"/>
      <w:bookmarkStart w:id="429" w:name="Tc_bqolmiJZmEqtFOUcuisTFg_6_15"/>
      <w:bookmarkStart w:id="430" w:name="Tc_HkTrkQHwGkuUYFibVzhpHg_6_12"/>
      <w:bookmarkStart w:id="431" w:name="Tc_CIa-6XwOmUOjWTte4S0PaA_6_9"/>
      <w:bookmarkStart w:id="432" w:name="Tc_SbMUfY-aHk-mybfok6DLYA_6_4"/>
      <w:bookmarkStart w:id="433" w:name="Tc_fXW3YGvI3kW_eFfeh4c_CA_6_0"/>
      <w:bookmarkStart w:id="434" w:name="Tc_yL4pQBvuuEKcpy49FknU8Q_5_21"/>
      <w:bookmarkStart w:id="435" w:name="Tc_xpF3nRb_Q0mBUZePZyxadQ_5_18"/>
      <w:bookmarkStart w:id="436" w:name="Tc_qrovDAL6lECBTZBFDIEBFw_5_15"/>
      <w:bookmarkStart w:id="437" w:name="Tc_x-_clwbdd0CpiwZugdy-5Q_5_12"/>
      <w:bookmarkStart w:id="438" w:name="Tc_aUxbEWQP0UiTaFfobMtQ-A_5_9"/>
      <w:bookmarkStart w:id="439" w:name="Tc_ZTBPr_uRlEeSdKAIjRka5Q_5_7"/>
      <w:bookmarkStart w:id="440" w:name="Tc_HRekXeEjlEqDXbpt_pOrmA_5_4"/>
      <w:bookmarkStart w:id="441" w:name="Tc_VOabOp-q60uta-5t4WzBhg_5_2"/>
      <w:bookmarkStart w:id="442" w:name="Tc__Ia7E1gp0kS3-znTRjUeZg_4_21"/>
      <w:bookmarkStart w:id="443" w:name="Tc_Xhk2Qkf3g0azTU7smiItDQ_4_18"/>
      <w:bookmarkStart w:id="444" w:name="Tc_PAVB33tmgECkq6DtaDwXfA_4_15"/>
      <w:bookmarkStart w:id="445" w:name="Tc_nwjpqlTkRUaypfTRhpFXLQ_4_12"/>
      <w:bookmarkStart w:id="446" w:name="Tc_ztRkauaQn0mUil1CGZI0yg_4_9"/>
      <w:bookmarkStart w:id="447" w:name="Tc_Zb1ggAqQK0Cs36JtVBUhvA_4_7"/>
      <w:bookmarkStart w:id="448" w:name="Tc_97DeXWRfPUmuDMA4Yjhf3A_4_4"/>
      <w:bookmarkStart w:id="449" w:name="Tc_MNyhekAglkWWJz93NmWhuA_4_2"/>
      <w:bookmarkStart w:id="450" w:name="Tc_1HFJiaXhyEenIfrX_z3ztg_3_21"/>
      <w:bookmarkStart w:id="451" w:name="Tc_btVAOPf50kWCoc1wObhXoA_3_18"/>
      <w:bookmarkStart w:id="452" w:name="Tc_jbRdvr4cjUSnOqBZgX7nvg_3_15"/>
      <w:bookmarkStart w:id="453" w:name="Tc_BpI2xNl4JE2M2OrvzHodnQ_3_12"/>
      <w:bookmarkStart w:id="454" w:name="Tc_EevibvqLfkeSh7ciGb_kHQ_3_9"/>
      <w:bookmarkStart w:id="455" w:name="Tc_e90-QHqw_EWo7soGh9V1eA_3_7"/>
      <w:bookmarkStart w:id="456" w:name="Tc_rSRuvGS80UK-Cb-YnI0bhg_3_4"/>
      <w:bookmarkStart w:id="457" w:name="Tc_L2zvF-e-nUG92zA_TgG4HQ_3_2"/>
      <w:bookmarkStart w:id="458" w:name="Tc_EAVA_ix8h0WLzD0nmkzApA_2_18"/>
      <w:bookmarkStart w:id="459" w:name="Tc_KPte2QdBRUSR-m7etx9MuQ_2_15"/>
      <w:bookmarkStart w:id="460" w:name="_a17fef93_5e71_4b53_a86b_bfc67f6215a5"/>
      <w:bookmarkStart w:id="461" w:name="Tc_madxuYS0JU6T4rX10K09DA_24_21"/>
      <w:bookmarkStart w:id="462" w:name="Tc_naFU9BGZwkGB_x6vW7swUQ_24_18"/>
      <w:bookmarkStart w:id="463" w:name="Tc_tWbdS1YIX0aKgJ53OJpnBQ_24_15"/>
      <w:bookmarkStart w:id="464" w:name="Tc__G-DFp2lwEGCnAa5l-ua6Q_24_12"/>
      <w:bookmarkStart w:id="465" w:name="Tc_lmzvw8IDVk28qKNniFCE9g_24_9"/>
      <w:bookmarkStart w:id="466" w:name="Tc_7J0XEVW58U-cPfv4hAjtSQ_24_4"/>
      <w:bookmarkStart w:id="467" w:name="Tc_cqFh2YbZnEmEqsV2t6jhOg_24_0"/>
      <w:bookmarkStart w:id="468" w:name="Tc_zrh-kfWaH0WjkVni9E4AnA_23_19"/>
      <w:bookmarkStart w:id="469" w:name="Tc_KoF7tUZ8Wkyrm2hznt4QBA_23_13"/>
      <w:bookmarkStart w:id="470" w:name="Tc_rwlAexAMski0I5OmuBMDvg_23_10"/>
      <w:bookmarkStart w:id="471" w:name="Tc_vXEUD0sXvUyuXui3U-tjyw_23_7"/>
      <w:bookmarkStart w:id="472" w:name="Tc_njoCmxd7V0yneBTF29xydQ_23_5"/>
      <w:bookmarkStart w:id="473" w:name="Tc_6BRbhGiCGkuKR3AkufuV_w_23_2"/>
      <w:bookmarkStart w:id="474" w:name="Tc_4uxRkKYJVUm702AEA5s8vw_23_0"/>
      <w:bookmarkStart w:id="475" w:name="Tc_HQi4EKclg0-0X0t6PWBw8g_22_16"/>
      <w:bookmarkStart w:id="476" w:name="Tc_zHxxQk4PUUqrmKkviLDPog_22_13"/>
      <w:bookmarkStart w:id="477" w:name="Tc_0NQh_-SRD0KEHF1dHTIu0A_22_10"/>
      <w:bookmarkStart w:id="478" w:name="Tc_hTLimOpRU0WGGT-20LwtIw_22_7"/>
      <w:bookmarkStart w:id="479" w:name="Tc_-3elBY3dA0C8LQK8bfF19w_22_5"/>
      <w:bookmarkStart w:id="480" w:name="Tc_p2sjqrT_BkC7oOOciyYDvw_22_2"/>
      <w:bookmarkStart w:id="481" w:name="Tc_J3bpk4jrU0eUgDWbeT_7lw_22_0"/>
      <w:bookmarkStart w:id="482" w:name="Tc_prfs91lw3kaBIuGNM5OUAQ_21_19"/>
      <w:bookmarkStart w:id="483" w:name="Tc_PocuWEu6yku-KzS_AEf2gA_21_16"/>
      <w:bookmarkStart w:id="484" w:name="Tc_ZnJ6SV-cxkGygCIo6Cq8cw_21_10"/>
      <w:bookmarkStart w:id="485" w:name="Tc_Mx8PaCU-6UCAeaQMw0Kkjw_21_7"/>
      <w:bookmarkStart w:id="486" w:name="Tc_GSqqXb-fMUitRahF0e31Wg_21_5"/>
      <w:bookmarkStart w:id="487" w:name="Tc_hrcp0zFfoUO8ScUfXWvd-g_21_2"/>
      <w:bookmarkStart w:id="488" w:name="Tc_0zpLkN_Z0U2dv-gOB6jAUw_21_0"/>
      <w:bookmarkStart w:id="489" w:name="Tc_PmQi9kTAR0q7VWzXlPrKoA_20_22"/>
      <w:bookmarkStart w:id="490" w:name="Tc_STurKvuFKE-Ep5rPDqRC5g_20_19"/>
      <w:bookmarkStart w:id="491" w:name="Tc_5-nYnve6HUCSw8o3FdY5PQ_20_16"/>
      <w:bookmarkStart w:id="492" w:name="Tc_TWvyGj84hUqwAUM6UZm_JA_20_13"/>
      <w:bookmarkStart w:id="493" w:name="Tc_FDUujxQXY0Kke7s9oXoomQ_20_0"/>
      <w:bookmarkStart w:id="494" w:name="Tc_aVJ0g8xiFUmuXYjs63ueKg_19_19"/>
      <w:bookmarkStart w:id="495" w:name="Tc_aXN512YjNEyWLAYFMRUrSQ_19_16"/>
      <w:bookmarkStart w:id="496" w:name="Tc_ufdtuWe7-U-DTuDe1k7rPQ_19_10"/>
      <w:bookmarkStart w:id="497" w:name="Tc_ct5brS7Onkee-F06DDssPw_19_7"/>
      <w:bookmarkStart w:id="498" w:name="Tc_yAgibG2r4Eq-4j0Ru7qlGw_19_5"/>
      <w:bookmarkStart w:id="499" w:name="Tc_KK5USFCRt0CKlmIwJiD93Q_19_0"/>
      <w:bookmarkStart w:id="500" w:name="Tc_rogKlDH2_UObQMY7S8OSwg_18_19"/>
      <w:bookmarkStart w:id="501" w:name="Tc_ssAAZZB6TUWirYLOXt4dow_18_16"/>
      <w:bookmarkStart w:id="502" w:name="Tc_w__253ZZv0K9v1lVhLEYMw_18_10"/>
      <w:bookmarkStart w:id="503" w:name="Tc_FRUJq-HYjE2iUN45jtp2ew_18_7"/>
      <w:bookmarkStart w:id="504" w:name="Tc_NYVKbeDin0KRjGq4GzmKcw_18_5"/>
      <w:bookmarkStart w:id="505" w:name="Tc_ZGsz99A0skSa9PHxTnjx4g_18_2"/>
      <w:bookmarkStart w:id="506" w:name="Tc_1ZG2jrjgT064EvQF-j9fZg_18_0"/>
      <w:bookmarkStart w:id="507" w:name="Tc_0RaXSSbqxUKHaWANGcz2DQ_17_22"/>
      <w:bookmarkStart w:id="508" w:name="Tc_lSRbTppDVkKKoQhehGDo1Q_17_19"/>
      <w:bookmarkStart w:id="509" w:name="Tc_cuHyKYs99kKyTZIY1JzPUA_17_16"/>
      <w:bookmarkStart w:id="510" w:name="Tc_o1bCyMK_0kapAs22K-7Q9g_17_13"/>
      <w:bookmarkStart w:id="511" w:name="Tc_KmCu4u3HJkOyCinc94NJew_17_10"/>
      <w:bookmarkStart w:id="512" w:name="Tc_MjicddVyEkiXqZMEA_3ztw_17_7"/>
      <w:bookmarkStart w:id="513" w:name="Tc_8-0b0PJig06SSeLNJDmdIA_17_5"/>
      <w:bookmarkStart w:id="514" w:name="Tc_jg78ehs-606DKeVM6r_FMA_17_0"/>
      <w:bookmarkStart w:id="515" w:name="Tc_O-gge44wA0yMzMjRuUaHNA_16_19"/>
      <w:bookmarkStart w:id="516" w:name="Tc_835nr_2ExkCGAMbJQJpAIQ_16_16"/>
      <w:bookmarkStart w:id="517" w:name="Tc_8USD4s1xekWdN4tUUkpQSw_16_10"/>
      <w:bookmarkStart w:id="518" w:name="Tc_yMh1npfX8EC_-LaM9BZFyg_16_7"/>
      <w:bookmarkStart w:id="519" w:name="Tc_Vivnsq80JE2VlGXujCM3vg_16_5"/>
      <w:bookmarkStart w:id="520" w:name="Tc_kMDZplPBiU6hxodOZvmGuw_16_0"/>
      <w:bookmarkStart w:id="521" w:name="Tc_aLwdpL7RgEOzi70aQoNLjA_15_19"/>
      <w:bookmarkStart w:id="522" w:name="Tc_Bq4_gqRaOkiElSPBwEwW4w_15_16"/>
      <w:bookmarkStart w:id="523" w:name="Tc_ONPHNh-v70m1OEnd-nE2Xg_15_10"/>
      <w:bookmarkStart w:id="524" w:name="Tc_62SgG3y06UexahN0w1fpAQ_15_7"/>
      <w:bookmarkStart w:id="525" w:name="Tc_QjxspbgSw0m0uiKz0IiXBQ_15_0"/>
      <w:bookmarkStart w:id="526" w:name="Tc_ZnIdFzAm9EmcYM4Df_doiA_14_0"/>
      <w:bookmarkStart w:id="527" w:name="Tc_N7TR-iY9pEGgK1yPrPswWA_13_19"/>
      <w:bookmarkStart w:id="528" w:name="Tc_dVWKRkGnkESBvFYGEqTBvg_13_13"/>
      <w:bookmarkStart w:id="529" w:name="Tc_sAm14PPlHUyIrdoWkog2vg_13_10"/>
      <w:bookmarkStart w:id="530" w:name="Tc_ScaXWzm_80aAI6aTB8UPkw_13_7"/>
      <w:bookmarkStart w:id="531" w:name="Tc_W-FDJDIulEK3PZxeMoCfjg_13_5"/>
      <w:bookmarkStart w:id="532" w:name="Tc__-uPyUrfqU-L4QyyabZAAw_13_2"/>
      <w:bookmarkStart w:id="533" w:name="Tc_-DhjlIrUSUG6tTi523eTjQ_13_0"/>
      <w:bookmarkStart w:id="534" w:name="Tc__kRppqNH3ke5fLGbe8vb-w_12_16"/>
      <w:bookmarkStart w:id="535" w:name="Tc_0RK-lStD_k-9ymcAxJYaPQ_12_13"/>
      <w:bookmarkStart w:id="536" w:name="Tc_30IKPE__m0CCmo0AMFptVw_12_10"/>
      <w:bookmarkStart w:id="537" w:name="Tc_XGAtrAK8W02WqhiIEtq_og_12_7"/>
      <w:bookmarkStart w:id="538" w:name="Tc_I9lUFJ0FpUi0IlrvQXteGA_12_5"/>
      <w:bookmarkStart w:id="539" w:name="Tc_QuCbNjyds0eYHv0NNfViDQ_12_2"/>
      <w:bookmarkStart w:id="540" w:name="Tc_CgDWuIBX7UutPfBgnejHwg_12_0"/>
      <w:bookmarkStart w:id="541" w:name="Tc_xeJJT-u6gUWPjbgw85gVpw_11_16"/>
      <w:bookmarkStart w:id="542" w:name="Tc_nT7u58ngmEmHNljRnM_pjQ_11_13"/>
      <w:bookmarkStart w:id="543" w:name="Tc_bZJXXCOIZEOotLyvQTsMPg_11_10"/>
      <w:bookmarkStart w:id="544" w:name="Tc_y9bsBXiFuEWZwFF1MJ5Byg_11_7"/>
      <w:bookmarkStart w:id="545" w:name="Tc_O4Pcc_cXeE27HFeg7QGXbA_11_5"/>
      <w:bookmarkStart w:id="546" w:name="Tc_5C3Iv93n-0KOYPcy9JAcjA_11_2"/>
      <w:bookmarkStart w:id="547" w:name="Tc_mdAc--7Xw0uSt26L4CbD2g_11_0"/>
      <w:bookmarkStart w:id="548" w:name="Tc_WH4IUmYmREmbhRz_AGqDbQ_10_19"/>
      <w:bookmarkStart w:id="549" w:name="Tc_7OZvNXV9LU254CNOu8e5tw_10_16"/>
      <w:bookmarkStart w:id="550" w:name="Tc_3CV6FIHwlkC5TacwPVTltw_10_10"/>
      <w:bookmarkStart w:id="551" w:name="Tc_E8FwntqkgUOw2Ly5mG153Q_10_7"/>
      <w:bookmarkStart w:id="552" w:name="Tc_-MEBJ3KlmESfo4CYgD3PrA_10_5"/>
      <w:bookmarkStart w:id="553" w:name="Tc_mggvrHEOPEubrdSJgZImCw_10_2"/>
      <w:bookmarkStart w:id="554" w:name="Tc_HzMFHz2QFU2tEWoqB4kDoA_10_0"/>
      <w:bookmarkStart w:id="555" w:name="Tc_Fda4rmrrH0SWdOJBE-7ITA_9_19"/>
      <w:bookmarkStart w:id="556" w:name="Tc_ku5T3CB_JEuNqJqjZs-Kyw_9_16"/>
      <w:bookmarkStart w:id="557" w:name="Tc_oIrOXHnoOEKb4-z5tz6QXg_9_10"/>
      <w:bookmarkStart w:id="558" w:name="Tc_NQamWJmlr0mwoRgXwZBRkA_9_7"/>
      <w:bookmarkStart w:id="559" w:name="Tc_rrca47csWEaLaTYD2xeoJw_9_5"/>
      <w:bookmarkStart w:id="560" w:name="Tc_EtVqp_qyZkStfpxZkgGrzg_9_2"/>
      <w:bookmarkStart w:id="561" w:name="Tc_wIvsw4RlM0Ces9Ax8XHUgg_9_0"/>
      <w:bookmarkStart w:id="562" w:name="Tc_5q_IURYXcU2dTD1UA2Tfwg_8_19"/>
      <w:bookmarkStart w:id="563" w:name="Tc_m311mbwL0kae8NiLXLlFew_8_16"/>
      <w:bookmarkStart w:id="564" w:name="Tc_MARUfySF7UO4ZCisbltV3A_8_10"/>
      <w:bookmarkStart w:id="565" w:name="Tc_WDSdiqGgNEyQlDY52qexQQ_8_7"/>
      <w:bookmarkStart w:id="566" w:name="Tc_GbhYA9VLEkumKkjrMvXLCQ_8_0"/>
      <w:bookmarkStart w:id="567" w:name="Tc_L4N_BwBb9ESl9GsEWkXoEQ_7_19"/>
      <w:bookmarkStart w:id="568" w:name="Tc_wSVlMx2My0ySYM3EoMYO9Q_7_16"/>
      <w:bookmarkStart w:id="569" w:name="Tc_MEG9BUmE_Umqk1vBbJ2I0Q_7_10"/>
      <w:bookmarkStart w:id="570" w:name="Tc_SKgLAKFqYk23ebsPkOmUrQ_7_7"/>
      <w:bookmarkStart w:id="571" w:name="Tc_Taja9DMhBUySj48xXi7zXA_7_5"/>
      <w:bookmarkStart w:id="572" w:name="Tc_qWbmlYHv90Kek7Damtocfg_7_0"/>
      <w:bookmarkStart w:id="573" w:name="Tc_Osz99ImmFUaKisQCbg31Lg_6_21"/>
      <w:bookmarkStart w:id="574" w:name="Tc_MN_XvRYNCUmqzQ0HEC3uIg_6_18"/>
      <w:bookmarkStart w:id="575" w:name="Tc_bqolmiJZmEqtFOUcuisTFg_6_15"/>
      <w:bookmarkStart w:id="576" w:name="Tc_HkTrkQHwGkuUYFibVzhpHg_6_12"/>
      <w:bookmarkStart w:id="577" w:name="Tc_CIa-6XwOmUOjWTte4S0PaA_6_9"/>
      <w:bookmarkStart w:id="578" w:name="Tc_SbMUfY-aHk-mybfok6DLYA_6_4"/>
      <w:bookmarkStart w:id="579" w:name="Tc_fXW3YGvI3kW_eFfeh4c_CA_6_0"/>
      <w:bookmarkStart w:id="580" w:name="Tc_yL4pQBvuuEKcpy49FknU8Q_5_21"/>
      <w:bookmarkStart w:id="581" w:name="Tc_xpF3nRb_Q0mBUZePZyxadQ_5_18"/>
      <w:bookmarkStart w:id="582" w:name="Tc_qrovDAL6lECBTZBFDIEBFw_5_15"/>
      <w:bookmarkStart w:id="583" w:name="Tc_x-_clwbdd0CpiwZugdy-5Q_5_12"/>
      <w:bookmarkStart w:id="584" w:name="Tc_aUxbEWQP0UiTaFfobMtQ-A_5_9"/>
      <w:bookmarkStart w:id="585" w:name="Tc_ZTBPr_uRlEeSdKAIjRka5Q_5_7"/>
      <w:bookmarkStart w:id="586" w:name="Tc_HRekXeEjlEqDXbpt_pOrmA_5_4"/>
      <w:bookmarkStart w:id="587" w:name="Tc_VOabOp-q60uta-5t4WzBhg_5_2"/>
      <w:bookmarkStart w:id="588" w:name="Tc__Ia7E1gp0kS3-znTRjUeZg_4_21"/>
      <w:bookmarkStart w:id="589" w:name="Tc_Xhk2Qkf3g0azTU7smiItDQ_4_18"/>
      <w:bookmarkStart w:id="590" w:name="Tc_PAVB33tmgECkq6DtaDwXfA_4_15"/>
      <w:bookmarkStart w:id="591" w:name="Tc_nwjpqlTkRUaypfTRhpFXLQ_4_12"/>
      <w:bookmarkStart w:id="592" w:name="Tc_ztRkauaQn0mUil1CGZI0yg_4_9"/>
      <w:bookmarkStart w:id="593" w:name="Tc_Zb1ggAqQK0Cs36JtVBUhvA_4_7"/>
      <w:bookmarkStart w:id="594" w:name="Tc_97DeXWRfPUmuDMA4Yjhf3A_4_4"/>
      <w:bookmarkStart w:id="595" w:name="Tc_MNyhekAglkWWJz93NmWhuA_4_2"/>
      <w:bookmarkStart w:id="596" w:name="Tc_1HFJiaXhyEenIfrX_z3ztg_3_21"/>
      <w:bookmarkStart w:id="597" w:name="Tc_btVAOPf50kWCoc1wObhXoA_3_18"/>
      <w:bookmarkStart w:id="598" w:name="Tc_jbRdvr4cjUSnOqBZgX7nvg_3_15"/>
      <w:bookmarkStart w:id="599" w:name="Tc_BpI2xNl4JE2M2OrvzHodnQ_3_12"/>
      <w:bookmarkStart w:id="600" w:name="Tc_EevibvqLfkeSh7ciGb_kHQ_3_9"/>
      <w:bookmarkStart w:id="601" w:name="Tc_e90-QHqw_EWo7soGh9V1eA_3_7"/>
      <w:bookmarkStart w:id="602" w:name="Tc_rSRuvGS80UK-Cb-YnI0bhg_3_4"/>
      <w:bookmarkStart w:id="603" w:name="Tc_L2zvF-e-nUG92zA_TgG4HQ_3_2"/>
      <w:bookmarkStart w:id="604" w:name="Tc_EAVA_ix8h0WLzD0nmkzApA_2_18"/>
      <w:bookmarkStart w:id="605" w:name="Tc_KPte2QdBRUSR-m7etx9MuQ_2_15"/>
      <w:bookmarkStart w:id="606" w:name="_a17fef93_5e71_4b53_a86b_bfc67f6215a5"/>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tbl>
      <w:tblPr>
        <w:tblW w:w="10853" w:type="dxa"/>
        <w:jc w:val="left"/>
        <w:tblInd w:w="0" w:type="dxa"/>
        <w:tblLayout w:type="fixed"/>
        <w:tblCellMar>
          <w:top w:w="0" w:type="dxa"/>
          <w:left w:w="0" w:type="dxa"/>
          <w:bottom w:w="0" w:type="dxa"/>
          <w:right w:w="0" w:type="dxa"/>
        </w:tblCellMar>
      </w:tblPr>
      <w:tblGrid>
        <w:gridCol w:w="1321"/>
        <w:gridCol w:w="206"/>
        <w:gridCol w:w="1006"/>
        <w:gridCol w:w="206"/>
        <w:gridCol w:w="276"/>
        <w:gridCol w:w="490"/>
        <w:gridCol w:w="206"/>
        <w:gridCol w:w="1006"/>
        <w:gridCol w:w="206"/>
        <w:gridCol w:w="276"/>
        <w:gridCol w:w="490"/>
        <w:gridCol w:w="206"/>
        <w:gridCol w:w="196"/>
        <w:gridCol w:w="691"/>
        <w:gridCol w:w="206"/>
        <w:gridCol w:w="254"/>
        <w:gridCol w:w="857"/>
        <w:gridCol w:w="206"/>
        <w:gridCol w:w="287"/>
        <w:gridCol w:w="974"/>
        <w:gridCol w:w="206"/>
        <w:gridCol w:w="227"/>
        <w:gridCol w:w="854"/>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838835" cy="175260"/>
                      <wp:effectExtent l="0" t="0" r="0" b="0"/>
                      <wp:wrapNone/>
                      <wp:docPr id="19" name="Frame1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0810" cy="175260"/>
                      <wp:effectExtent l="0" t="0" r="0" b="0"/>
                      <wp:wrapNone/>
                      <wp:docPr id="20" name="Frame2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38810" cy="175260"/>
                      <wp:effectExtent l="0" t="0" r="0" b="0"/>
                      <wp:wrapNone/>
                      <wp:docPr id="21" name="Frame2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0810" cy="175260"/>
                      <wp:effectExtent l="0" t="0" r="0" b="0"/>
                      <wp:wrapNone/>
                      <wp:docPr id="22" name="Frame2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75260" cy="175260"/>
                      <wp:effectExtent l="0" t="0" r="0" b="0"/>
                      <wp:wrapNone/>
                      <wp:docPr id="23" name="Frame23"/>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11150" cy="175260"/>
                      <wp:effectExtent l="0" t="0" r="0" b="0"/>
                      <wp:wrapNone/>
                      <wp:docPr id="24" name="Frame24"/>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0810" cy="175260"/>
                      <wp:effectExtent l="0" t="0" r="0" b="0"/>
                      <wp:wrapNone/>
                      <wp:docPr id="25" name="Frame2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38810" cy="175260"/>
                      <wp:effectExtent l="0" t="0" r="0" b="0"/>
                      <wp:wrapNone/>
                      <wp:docPr id="26" name="Frame2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0810" cy="175260"/>
                      <wp:effectExtent l="0" t="0" r="0" b="0"/>
                      <wp:wrapNone/>
                      <wp:docPr id="27" name="Frame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5260" cy="175260"/>
                      <wp:effectExtent l="0" t="0" r="0" b="0"/>
                      <wp:wrapNone/>
                      <wp:docPr id="28" name="Frame28"/>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11150" cy="175260"/>
                      <wp:effectExtent l="0" t="0" r="0" b="0"/>
                      <wp:wrapNone/>
                      <wp:docPr id="29" name="Frame29"/>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0810" cy="175260"/>
                      <wp:effectExtent l="0" t="0" r="0" b="0"/>
                      <wp:wrapNone/>
                      <wp:docPr id="30" name="Frame3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8785" cy="175260"/>
                      <wp:effectExtent l="0" t="0" r="0" b="0"/>
                      <wp:wrapNone/>
                      <wp:docPr id="32" name="Frame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61290" cy="175260"/>
                      <wp:effectExtent l="0" t="0" r="0" b="0"/>
                      <wp:wrapNone/>
                      <wp:docPr id="34" name="Frame3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44195" cy="175260"/>
                      <wp:effectExtent l="0" t="0" r="0" b="0"/>
                      <wp:wrapNone/>
                      <wp:docPr id="35" name="Frame35"/>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810" cy="175260"/>
                      <wp:effectExtent l="0" t="0" r="0" b="0"/>
                      <wp:wrapNone/>
                      <wp:docPr id="36" name="Frame3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2245" cy="175260"/>
                      <wp:effectExtent l="0" t="0" r="0" b="0"/>
                      <wp:wrapNone/>
                      <wp:docPr id="37" name="Frame37"/>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18490" cy="175260"/>
                      <wp:effectExtent l="0" t="0" r="0" b="0"/>
                      <wp:wrapNone/>
                      <wp:docPr id="38" name="Frame38"/>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810" cy="175260"/>
                      <wp:effectExtent l="0" t="0" r="0" b="0"/>
                      <wp:wrapNone/>
                      <wp:docPr id="39" name="Frame3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4145" cy="175260"/>
                      <wp:effectExtent l="0" t="0" r="0" b="0"/>
                      <wp:wrapNone/>
                      <wp:docPr id="40" name="Frame4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42290" cy="175260"/>
                      <wp:effectExtent l="0" t="0" r="0" b="0"/>
                      <wp:wrapNone/>
                      <wp:docPr id="41" name="Frame41"/>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162" w:type="dxa"/>
            <w:gridSpan w:val="9"/>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0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0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0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20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0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0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0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20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20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20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0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0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2025</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70,670</w:t>
            </w:r>
          </w:p>
        </w:tc>
        <w:tc>
          <w:tcPr>
            <w:tcW w:w="20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86,481</w:t>
            </w:r>
          </w:p>
        </w:tc>
        <w:tc>
          <w:tcPr>
            <w:tcW w:w="20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20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278,389</w:t>
            </w:r>
          </w:p>
        </w:tc>
        <w:tc>
          <w:tcPr>
            <w:tcW w:w="206" w:type="dxa"/>
            <w:tcBorders/>
            <w:shd w:fill="CCEEFF" w:val="clear"/>
            <w:vAlign w:val="center"/>
          </w:tcPr>
          <w:p>
            <w:pPr>
              <w:pStyle w:val="TableContents"/>
              <w:bidi w:val="0"/>
              <w:spacing w:before="0" w:after="0"/>
              <w:ind w:left="0" w:right="0" w:hanging="0"/>
              <w:jc w:val="center"/>
              <w:rPr/>
            </w:pPr>
            <w:r>
              <w:rPr/>
              <w:t>​</w:t>
            </w:r>
          </w:p>
        </w:tc>
        <w:tc>
          <w:tcPr>
            <w:tcW w:w="254"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(53,315)</w:t>
            </w:r>
          </w:p>
        </w:tc>
        <w:tc>
          <w:tcPr>
            <w:tcW w:w="206" w:type="dxa"/>
            <w:tcBorders/>
            <w:shd w:fill="CCEEFF" w:val="clear"/>
            <w:vAlign w:val="center"/>
          </w:tcPr>
          <w:p>
            <w:pPr>
              <w:pStyle w:val="TableContents"/>
              <w:bidi w:val="0"/>
              <w:spacing w:before="0" w:after="0"/>
              <w:ind w:left="0" w:right="0" w:hanging="0"/>
              <w:jc w:val="center"/>
              <w:rPr/>
            </w:pPr>
            <w:r>
              <w:rPr/>
              <w:t>​</w:t>
            </w:r>
          </w:p>
        </w:tc>
        <w:tc>
          <w:tcPr>
            <w:tcW w:w="28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(45,879)</w:t>
            </w:r>
          </w:p>
        </w:tc>
        <w:tc>
          <w:tcPr>
            <w:tcW w:w="206" w:type="dxa"/>
            <w:tcBorders/>
            <w:shd w:fill="CCEEFF" w:val="clear"/>
            <w:vAlign w:val="center"/>
          </w:tcPr>
          <w:p>
            <w:pPr>
              <w:pStyle w:val="TableContents"/>
              <w:bidi w:val="0"/>
              <w:spacing w:before="0" w:after="0"/>
              <w:ind w:left="0" w:right="0" w:hanging="0"/>
              <w:jc w:val="center"/>
              <w:rPr/>
            </w:pPr>
            <w:r>
              <w:rPr/>
              <w:t>​</w:t>
            </w:r>
          </w:p>
        </w:tc>
        <w:tc>
          <w:tcPr>
            <w:tcW w:w="22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179,352</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w:t>
            </w:r>
          </w:p>
        </w:tc>
        <w:tc>
          <w:tcPr>
            <w:tcW w:w="206" w:type="dxa"/>
            <w:tcBorders/>
            <w:vAlign w:val="center"/>
          </w:tcPr>
          <w:p>
            <w:pPr>
              <w:pStyle w:val="TableContents"/>
              <w:bidi w:val="0"/>
              <w:spacing w:before="0" w:after="0"/>
              <w:ind w:left="0" w:right="0" w:hanging="0"/>
              <w:jc w:val="right"/>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(25,035)</w:t>
            </w:r>
          </w:p>
        </w:tc>
        <w:tc>
          <w:tcPr>
            <w:tcW w:w="206" w:type="dxa"/>
            <w:tcBorders/>
            <w:shd w:fill="CCEEFF" w:val="clear"/>
            <w:vAlign w:val="center"/>
          </w:tcPr>
          <w:p>
            <w:pPr>
              <w:pStyle w:val="TableContents"/>
              <w:bidi w:val="0"/>
              <w:spacing w:before="0" w:after="0"/>
              <w:ind w:left="0" w:right="0" w:hanging="0"/>
              <w:jc w:val="right"/>
              <w:rPr/>
            </w:pPr>
            <w:r>
              <w:rPr/>
              <w:t>​</w:t>
            </w:r>
          </w:p>
        </w:tc>
        <w:tc>
          <w:tcPr>
            <w:tcW w:w="254" w:type="dxa"/>
            <w:tcBorders/>
            <w:shd w:fill="CCEEFF" w:val="clear"/>
            <w:vAlign w:val="center"/>
          </w:tcPr>
          <w:p>
            <w:pPr>
              <w:pStyle w:val="TableContents"/>
              <w:bidi w:val="0"/>
              <w:spacing w:before="0" w:after="0"/>
              <w:ind w:left="0" w:right="0" w:hanging="0"/>
              <w:jc w:val="center"/>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center"/>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(25,034)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18,780</w:t>
            </w:r>
          </w:p>
        </w:tc>
        <w:tc>
          <w:tcPr>
            <w:tcW w:w="206" w:type="dxa"/>
            <w:tcBorders/>
            <w:vAlign w:val="center"/>
          </w:tcPr>
          <w:p>
            <w:pPr>
              <w:pStyle w:val="TableContents"/>
              <w:bidi w:val="0"/>
              <w:spacing w:before="0" w:after="0"/>
              <w:ind w:left="0" w:right="0" w:hanging="0"/>
              <w:jc w:val="right"/>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18,780</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impact on capped call transactions</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06" w:type="dxa"/>
            <w:tcBorders/>
            <w:shd w:fill="CCEEFF" w:val="clear"/>
            <w:vAlign w:val="center"/>
          </w:tcPr>
          <w:p>
            <w:pPr>
              <w:pStyle w:val="TableContents"/>
              <w:bidi w:val="0"/>
              <w:spacing w:before="0" w:after="0"/>
              <w:ind w:left="0" w:right="0" w:hanging="0"/>
              <w:jc w:val="right"/>
              <w:rPr/>
            </w:pPr>
            <w:r>
              <w:rPr/>
              <w:t>​</w:t>
            </w:r>
          </w:p>
        </w:tc>
        <w:tc>
          <w:tcPr>
            <w:tcW w:w="254" w:type="dxa"/>
            <w:tcBorders/>
            <w:shd w:fill="CCEEFF" w:val="clear"/>
            <w:vAlign w:val="center"/>
          </w:tcPr>
          <w:p>
            <w:pPr>
              <w:pStyle w:val="TableContents"/>
              <w:bidi w:val="0"/>
              <w:spacing w:before="0" w:after="0"/>
              <w:ind w:left="0" w:right="0" w:hanging="0"/>
              <w:jc w:val="center"/>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center"/>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15,105</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15,105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from available-for-sale investments, net of tax</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54" w:type="dxa"/>
            <w:tcBorders/>
            <w:shd w:fill="CCEEFF" w:val="clear"/>
            <w:vAlign w:val="center"/>
          </w:tcPr>
          <w:p>
            <w:pPr>
              <w:pStyle w:val="TableContents"/>
              <w:bidi w:val="0"/>
              <w:spacing w:before="0" w:after="0"/>
              <w:ind w:left="0" w:right="0" w:hanging="0"/>
              <w:jc w:val="center"/>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20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center"/>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20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11,130</w:t>
            </w:r>
          </w:p>
        </w:tc>
        <w:tc>
          <w:tcPr>
            <w:tcW w:w="20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11,130</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2025</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71,907</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86,481</w:t>
            </w:r>
          </w:p>
        </w:tc>
        <w:tc>
          <w:tcPr>
            <w:tcW w:w="206" w:type="dxa"/>
            <w:tcBorders/>
            <w:shd w:fill="CCEEFF" w:val="clear"/>
            <w:vAlign w:val="center"/>
          </w:tcPr>
          <w:p>
            <w:pPr>
              <w:pStyle w:val="TableContents"/>
              <w:bidi w:val="0"/>
              <w:spacing w:before="0" w:after="0"/>
              <w:ind w:left="0" w:right="0" w:hanging="0"/>
              <w:jc w:val="righ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273,300</w:t>
            </w:r>
          </w:p>
        </w:tc>
        <w:tc>
          <w:tcPr>
            <w:tcW w:w="206" w:type="dxa"/>
            <w:tcBorders/>
            <w:shd w:fill="CCEEFF" w:val="clear"/>
            <w:vAlign w:val="center"/>
          </w:tcPr>
          <w:p>
            <w:pPr>
              <w:pStyle w:val="TableContents"/>
              <w:bidi w:val="0"/>
              <w:spacing w:before="0" w:after="0"/>
              <w:ind w:left="0" w:right="0" w:hanging="0"/>
              <w:jc w:val="righ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(42,185)</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(30,783)</w:t>
            </w:r>
          </w:p>
        </w:tc>
        <w:tc>
          <w:tcPr>
            <w:tcW w:w="20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200,490</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6,371</w:t>
            </w:r>
          </w:p>
        </w:tc>
        <w:tc>
          <w:tcPr>
            <w:tcW w:w="206" w:type="dxa"/>
            <w:tcBorders/>
            <w:vAlign w:val="center"/>
          </w:tcPr>
          <w:p>
            <w:pPr>
              <w:pStyle w:val="TableContents"/>
              <w:bidi w:val="0"/>
              <w:spacing w:before="0" w:after="0"/>
              <w:ind w:left="0" w:right="0" w:hanging="0"/>
              <w:jc w:val="right"/>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6,372</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w:t>
            </w:r>
          </w:p>
        </w:tc>
        <w:tc>
          <w:tcPr>
            <w:tcW w:w="206" w:type="dxa"/>
            <w:tcBorders/>
            <w:shd w:fill="CCEEFF" w:val="clear"/>
            <w:vAlign w:val="center"/>
          </w:tcPr>
          <w:p>
            <w:pPr>
              <w:pStyle w:val="TableContents"/>
              <w:bidi w:val="0"/>
              <w:spacing w:before="0" w:after="0"/>
              <w:ind w:left="0" w:right="0" w:hanging="0"/>
              <w:jc w:val="right"/>
              <w:rPr/>
            </w:pPr>
            <w:r>
              <w:rPr/>
              <w:t>​</w:t>
            </w:r>
          </w:p>
        </w:tc>
        <w:tc>
          <w:tcPr>
            <w:tcW w:w="254" w:type="dxa"/>
            <w:tcBorders/>
            <w:shd w:fill="CCEEFF" w:val="clear"/>
            <w:vAlign w:val="center"/>
          </w:tcPr>
          <w:p>
            <w:pPr>
              <w:pStyle w:val="TableContents"/>
              <w:bidi w:val="0"/>
              <w:spacing w:before="0" w:after="0"/>
              <w:ind w:left="0" w:right="0" w:hanging="0"/>
              <w:jc w:val="center"/>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center"/>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Awards, net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11,545</w:t>
            </w:r>
          </w:p>
        </w:tc>
        <w:tc>
          <w:tcPr>
            <w:tcW w:w="206" w:type="dxa"/>
            <w:tcBorders/>
            <w:shd w:fill="CCEEFF" w:val="clear"/>
            <w:vAlign w:val="center"/>
          </w:tcPr>
          <w:p>
            <w:pPr>
              <w:pStyle w:val="TableContents"/>
              <w:bidi w:val="0"/>
              <w:spacing w:before="0" w:after="0"/>
              <w:ind w:left="0" w:right="0" w:hanging="0"/>
              <w:jc w:val="right"/>
              <w:rPr/>
            </w:pPr>
            <w:r>
              <w:rPr/>
              <w:t>​</w:t>
            </w:r>
          </w:p>
        </w:tc>
        <w:tc>
          <w:tcPr>
            <w:tcW w:w="254" w:type="dxa"/>
            <w:tcBorders/>
            <w:shd w:fill="CCEEFF" w:val="clear"/>
            <w:vAlign w:val="center"/>
          </w:tcPr>
          <w:p>
            <w:pPr>
              <w:pStyle w:val="TableContents"/>
              <w:bidi w:val="0"/>
              <w:spacing w:before="0" w:after="0"/>
              <w:ind w:left="0" w:right="0" w:hanging="0"/>
              <w:jc w:val="center"/>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center"/>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11,545</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under ESPP</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1,782</w:t>
            </w:r>
          </w:p>
        </w:tc>
        <w:tc>
          <w:tcPr>
            <w:tcW w:w="206" w:type="dxa"/>
            <w:tcBorders/>
            <w:vAlign w:val="center"/>
          </w:tcPr>
          <w:p>
            <w:pPr>
              <w:pStyle w:val="TableContents"/>
              <w:bidi w:val="0"/>
              <w:spacing w:before="0" w:after="0"/>
              <w:ind w:left="0" w:right="0" w:hanging="0"/>
              <w:jc w:val="right"/>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1,782</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B shares exchanged for Class A shares</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4,325</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(4,325)</w:t>
            </w:r>
          </w:p>
        </w:tc>
        <w:tc>
          <w:tcPr>
            <w:tcW w:w="206" w:type="dxa"/>
            <w:tcBorders/>
            <w:shd w:fill="CCEEFF" w:val="cle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54" w:type="dxa"/>
            <w:tcBorders/>
            <w:shd w:fill="CCEEFF" w:val="clear"/>
            <w:vAlign w:val="center"/>
          </w:tcPr>
          <w:p>
            <w:pPr>
              <w:pStyle w:val="TableContents"/>
              <w:bidi w:val="0"/>
              <w:spacing w:before="0" w:after="0"/>
              <w:ind w:left="0" w:right="0" w:hanging="0"/>
              <w:jc w:val="center"/>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center"/>
              <w:rPr/>
            </w:pPr>
            <w:r>
              <w:rPr/>
              <w:t>​</w:t>
            </w:r>
          </w:p>
        </w:tc>
        <w:tc>
          <w:tcPr>
            <w:tcW w:w="854"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impact on capped call transactions</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06" w:type="dxa"/>
            <w:tcBorders/>
            <w:vAlign w:val="center"/>
          </w:tcPr>
          <w:p>
            <w:pPr>
              <w:pStyle w:val="TableContents"/>
              <w:bidi w:val="0"/>
              <w:spacing w:before="0" w:after="0"/>
              <w:ind w:left="0" w:right="0" w:hanging="0"/>
              <w:jc w:val="right"/>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54" w:type="dxa"/>
            <w:tcBorders/>
            <w:shd w:fill="CCEEFF" w:val="clear"/>
            <w:vAlign w:val="center"/>
          </w:tcPr>
          <w:p>
            <w:pPr>
              <w:pStyle w:val="TableContents"/>
              <w:bidi w:val="0"/>
              <w:spacing w:before="0" w:after="0"/>
              <w:ind w:left="0" w:right="0" w:hanging="0"/>
              <w:jc w:val="center"/>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29,734</w:t>
            </w:r>
          </w:p>
        </w:tc>
        <w:tc>
          <w:tcPr>
            <w:tcW w:w="20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center"/>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29,734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20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w:t>
            </w:r>
          </w:p>
        </w:tc>
        <w:tc>
          <w:tcPr>
            <w:tcW w:w="20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2025</w:t>
            </w:r>
          </w:p>
        </w:tc>
        <w:tc>
          <w:tcPr>
            <w:tcW w:w="206" w:type="dxa"/>
            <w:tcBorders/>
            <w:shd w:fill="CCEEFF" w:val="clear"/>
            <w:vAlign w:val="center"/>
          </w:tcPr>
          <w:p>
            <w:pPr>
              <w:pStyle w:val="TableContents"/>
              <w:bidi w:val="0"/>
              <w:spacing w:before="0" w:after="0"/>
              <w:ind w:left="0" w:right="0" w:hanging="0"/>
              <w:jc w:val="center"/>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77,242</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82,156</w:t>
            </w:r>
          </w:p>
        </w:tc>
        <w:tc>
          <w:tcPr>
            <w:tcW w:w="206" w:type="dxa"/>
            <w:tcBorders/>
            <w:shd w:fill="CCEEFF" w:val="clear"/>
            <w:vAlign w:val="center"/>
          </w:tcPr>
          <w:p>
            <w:pPr>
              <w:pStyle w:val="TableContents"/>
              <w:bidi w:val="0"/>
              <w:spacing w:before="0" w:after="0"/>
              <w:ind w:left="0" w:right="0" w:hanging="0"/>
              <w:jc w:val="righ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292,078</w:t>
            </w:r>
          </w:p>
        </w:tc>
        <w:tc>
          <w:tcPr>
            <w:tcW w:w="206" w:type="dxa"/>
            <w:tcBorders/>
            <w:shd w:fill="CCEEFF" w:val="clear"/>
            <w:vAlign w:val="center"/>
          </w:tcPr>
          <w:p>
            <w:pPr>
              <w:pStyle w:val="TableContents"/>
              <w:bidi w:val="0"/>
              <w:spacing w:before="0" w:after="0"/>
              <w:ind w:left="0" w:right="0" w:hanging="0"/>
              <w:jc w:val="righ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(43,146)</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w:t>
            </w:r>
          </w:p>
        </w:tc>
        <w:tc>
          <w:tcPr>
            <w:tcW w:w="20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248,042</w:t>
            </w:r>
          </w:p>
        </w:tc>
      </w:tr>
      <w:tr>
        <w:trPr/>
        <w:tc>
          <w:tcPr>
            <w:tcW w:w="13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right"/>
              <w:rPr/>
            </w:pPr>
            <w:r>
              <w:rPr/>
              <w:t>​</w:t>
            </w:r>
          </w:p>
        </w:tc>
        <w:tc>
          <w:tcPr>
            <w:tcW w:w="854" w:type="dxa"/>
            <w:tcBorders/>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85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607" w:name="_6a441884_79a1_4980_b596_1cecc1b1e10b"/>
      <w:bookmarkStart w:id="608" w:name="_59881cb0_832f_4c7d_9980_6c44e7d2f14d"/>
      <w:bookmarkStart w:id="609" w:name="_34c00c6f_061f_410e_8a3f_107b36c0f478"/>
      <w:bookmarkStart w:id="610" w:name="_a6d5e739_0da6_4d36_a3bb_88816631d09e"/>
      <w:bookmarkStart w:id="611" w:name="_6a441884_79a1_4980_b596_1cecc1b1e10b"/>
      <w:bookmarkStart w:id="612" w:name="_59881cb0_832f_4c7d_9980_6c44e7d2f14d"/>
      <w:bookmarkStart w:id="613" w:name="_34c00c6f_061f_410e_8a3f_107b36c0f478"/>
      <w:bookmarkStart w:id="614" w:name="_a6d5e739_0da6_4d36_a3bb_88816631d09e"/>
      <w:bookmarkEnd w:id="611"/>
      <w:bookmarkEnd w:id="612"/>
      <w:bookmarkEnd w:id="613"/>
      <w:bookmarkEnd w:id="614"/>
    </w:p>
    <w:tbl>
      <w:tblPr>
        <w:tblW w:w="7141" w:type="dxa"/>
        <w:jc w:val="left"/>
        <w:tblInd w:w="0" w:type="dxa"/>
        <w:tblLayout w:type="fixed"/>
        <w:tblCellMar>
          <w:top w:w="0" w:type="dxa"/>
          <w:left w:w="0" w:type="dxa"/>
          <w:bottom w:w="0" w:type="dxa"/>
          <w:right w:w="0" w:type="dxa"/>
        </w:tblCellMar>
      </w:tblPr>
      <w:tblGrid>
        <w:gridCol w:w="7141"/>
      </w:tblGrid>
      <w:tr>
        <w:trPr/>
        <w:tc>
          <w:tcPr>
            <w:tcW w:w="7141" w:type="dxa"/>
            <w:tcBorders/>
            <w:vAlign w:val="center"/>
          </w:tcPr>
          <w:p>
            <w:pPr>
              <w:pStyle w:val="TableContents"/>
              <w:bidi w:val="0"/>
              <w:spacing w:before="0" w:after="0"/>
              <w:ind w:left="0" w:right="0" w:hanging="0"/>
              <w:jc w:val="left"/>
              <w:rPr/>
            </w:pPr>
            <w:r>
              <w:rPr/>
              <w:t>​</w:t>
            </w:r>
          </w:p>
        </w:tc>
      </w:tr>
      <w:tr>
        <w:trPr/>
        <w:tc>
          <w:tcPr>
            <w:tcW w:w="7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7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Condensed Consolidated Statements of Changes in Stockholders’ Equity </w:t>
            </w:r>
          </w:p>
        </w:tc>
      </w:tr>
      <w:tr>
        <w:trPr/>
        <w:tc>
          <w:tcPr>
            <w:tcW w:w="7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June 30, 2025 and 2024 (unaudited) (continued)</w:t>
            </w:r>
          </w:p>
        </w:tc>
      </w:tr>
      <w:tr>
        <w:trPr/>
        <w:tc>
          <w:tcPr>
            <w:tcW w:w="7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615" w:name="Tc_ZsQ3Jmqdpkil0lV02SI5Xw_57_21"/>
      <w:bookmarkStart w:id="616" w:name="Tc_pITOp9xODkyJfaxTne6-Ig_57_18"/>
      <w:bookmarkStart w:id="617" w:name="Tc_uqv8GGqb6EOHqCBiD4McMw_57_15"/>
      <w:bookmarkStart w:id="618" w:name="Tc__KAJNM502EuTatqkeoCBoA_57_12"/>
      <w:bookmarkStart w:id="619" w:name="Tc_75HP-Nx6UkOKZS12XnRp5g_57_9"/>
      <w:bookmarkStart w:id="620" w:name="Tc_F0RKonjW_0WeoMBp2PUrQA_57_4"/>
      <w:bookmarkStart w:id="621" w:name="Tc_XZJ7kYwDQ0uS-3ZVsBfKug_57_0"/>
      <w:bookmarkStart w:id="622" w:name="Tc_ynPZnLlj7UibpVXxf-c3RA_56_19"/>
      <w:bookmarkStart w:id="623" w:name="Tc_B4OVdW6oIEiMURWFlxlZHg_56_13"/>
      <w:bookmarkStart w:id="624" w:name="Tc_hRSiNlAgAkC4xuryvB7vZw_56_10"/>
      <w:bookmarkStart w:id="625" w:name="Tc_CZZypj68RUmpqDOr49l0Lg_56_7"/>
      <w:bookmarkStart w:id="626" w:name="Tc_sZEefQ1e2k2p4J6-K0lQqA_56_5"/>
      <w:bookmarkStart w:id="627" w:name="Tc_RmNffQyoJkWUPQIAnFUcQg_56_2"/>
      <w:bookmarkStart w:id="628" w:name="Tc_eaZ_QSfXSkaXbIih40j7KQ_56_0"/>
      <w:bookmarkStart w:id="629" w:name="Tc_RgI6cvvXVUyEExQeSaA3ng_55_16"/>
      <w:bookmarkStart w:id="630" w:name="Tc_q92d-HLqlkm1WQGUesgBRw_55_13"/>
      <w:bookmarkStart w:id="631" w:name="Tc_Gw5sxKHzE0mEj7icEVi7zA_55_10"/>
      <w:bookmarkStart w:id="632" w:name="Tc_HKbOeSa2oUurG4gv5gS_FQ_55_7"/>
      <w:bookmarkStart w:id="633" w:name="Tc_1wKEaq7zTkCjfLZ2ORD9TQ_55_5"/>
      <w:bookmarkStart w:id="634" w:name="Tc_kVEj4s7DjUaMf0-uyu1t5Q_55_2"/>
      <w:bookmarkStart w:id="635" w:name="Tc_wgyN6gYKm0-WW1VdMIyzJw_55_0"/>
      <w:bookmarkStart w:id="636" w:name="Tc_WtYd7VN_1Ea4ohgCjjxMtA_54_16"/>
      <w:bookmarkStart w:id="637" w:name="Tc_ZTR1alxLCUON2TphedlQzw_54_13"/>
      <w:bookmarkStart w:id="638" w:name="Tc_mErRYVqAD0u8iE1IUpZvew_54_10"/>
      <w:bookmarkStart w:id="639" w:name="Tc_8HGAHKxdUEKyZwNRIhy1mg_54_7"/>
      <w:bookmarkStart w:id="640" w:name="Tc_mz2Ljrnm9UqJyRBD1OGWlg_54_5"/>
      <w:bookmarkStart w:id="641" w:name="Tc_V8FrI7QkwkCLCuXJrOV6ow_54_2"/>
      <w:bookmarkStart w:id="642" w:name="Tc_lOlKktGl30uMj7FBvEZEXw_54_0"/>
      <w:bookmarkStart w:id="643" w:name="Tc_5ksLSX1fGUuO8Ch-Uc1Tlw_53_19"/>
      <w:bookmarkStart w:id="644" w:name="Tc_S7UuhuGnoUeCYyRmjfk-2Q_53_16"/>
      <w:bookmarkStart w:id="645" w:name="Tc_SjwWvlRyyE206LTWGcwarA_53_10"/>
      <w:bookmarkStart w:id="646" w:name="Tc_9i5hEGJa-EmWW8IKSET2gw_53_7"/>
      <w:bookmarkStart w:id="647" w:name="Tc_KbL7q532TUSB-oXM2OKdKQ_53_5"/>
      <w:bookmarkStart w:id="648" w:name="Tc_wBAQlo6tk0uhOQOBLkHC8Q_53_2"/>
      <w:bookmarkStart w:id="649" w:name="Tc_WAHzkxvnc0Oa9er1zwVO8A_53_0"/>
      <w:bookmarkStart w:id="650" w:name="Tc_ARMoDMnCLUu5Z-ed4084_Q_52_22"/>
      <w:bookmarkStart w:id="651" w:name="Tc_oPgYzIar5k2XvZI6ewKe5Q_52_19"/>
      <w:bookmarkStart w:id="652" w:name="Tc_21Ixwyv1SUKIGyZ0N8LLfQ_52_16"/>
      <w:bookmarkStart w:id="653" w:name="Tc_YS9tkSC_uU-0TD4OIhgQVw_52_13"/>
      <w:bookmarkStart w:id="654" w:name="Tc_baXUjoGWO0mOu-HltpymUg_52_0"/>
      <w:bookmarkStart w:id="655" w:name="Tc_yoR-oxCMFkafwUufsSUJiw_51_19"/>
      <w:bookmarkStart w:id="656" w:name="Tc_5eW7nS5sNkK0dIka38257Q_51_16"/>
      <w:bookmarkStart w:id="657" w:name="Tc_0cPqpoUxUkG1n0maK0iGvg_51_10"/>
      <w:bookmarkStart w:id="658" w:name="Tc_M4T-zTbkrk6Ar7ELdWr-2w_51_7"/>
      <w:bookmarkStart w:id="659" w:name="Tc_CG7lEfzW_06i5OmWhSqxFg_51_5"/>
      <w:bookmarkStart w:id="660" w:name="Tc_XA7wlsL5ok-fF0ecLUXNaQ_51_0"/>
      <w:bookmarkStart w:id="661" w:name="Tc_1Kuqa--VGkSvtE-rW2IF-w_50_19"/>
      <w:bookmarkStart w:id="662" w:name="Tc_rTMYgt_os0qlQk-9LrKqrA_50_16"/>
      <w:bookmarkStart w:id="663" w:name="Tc_dmh7ZijyRkmEQe9XJy2Rug_50_10"/>
      <w:bookmarkStart w:id="664" w:name="Tc_keHzPO3q1U2CL7nsCi0HYQ_50_7"/>
      <w:bookmarkStart w:id="665" w:name="Tc_6VCQqYoxOkmuOG9ChgQnSw_50_5"/>
      <w:bookmarkStart w:id="666" w:name="Tc_pkGs6b1XoUKUMPOHmMy0PQ_50_2"/>
      <w:bookmarkStart w:id="667" w:name="Tc_Iw1XnEdYCkOJ_d8hsqeKEw_50_0"/>
      <w:bookmarkStart w:id="668" w:name="Tc_KDRkbA8fwkCrKXn1fQZS2w_49_22"/>
      <w:bookmarkStart w:id="669" w:name="Tc_XIPZJMO3akKuE2Du--h2Wg_49_19"/>
      <w:bookmarkStart w:id="670" w:name="Tc_w9kdqPpMH06p3JAWGYV85w_49_16"/>
      <w:bookmarkStart w:id="671" w:name="Tc_S0afZj5CD0WnXJF4yLZaMA_49_13"/>
      <w:bookmarkStart w:id="672" w:name="Tc_Ij4UmBhjf026nix2ABFiaA_49_10"/>
      <w:bookmarkStart w:id="673" w:name="Tc_WZE2oDAhSkG8TXoKGTZ3yA_49_7"/>
      <w:bookmarkStart w:id="674" w:name="Tc_3PholBfITUCvrV54TUl86w_49_5"/>
      <w:bookmarkStart w:id="675" w:name="Tc_fP90RO9BFUmkJLrWzIEPSw_49_0"/>
      <w:bookmarkStart w:id="676" w:name="Tc_na5NbdYkE0-k1JfLACf01w_48_19"/>
      <w:bookmarkStart w:id="677" w:name="Tc_e0RMv84FuEuSlKyb1IZs4w_48_16"/>
      <w:bookmarkStart w:id="678" w:name="Tc_l69RBOpu70iGdMzuKPr3Og_48_10"/>
      <w:bookmarkStart w:id="679" w:name="Tc_QJih2rX9ZEu4nQfg521tsw_48_7"/>
      <w:bookmarkStart w:id="680" w:name="Tc_Clfxph4gXU6aTfhUTf8k5g_48_5"/>
      <w:bookmarkStart w:id="681" w:name="Tc_0nX7PWiFSkqjKXMRK9oiGQ_48_0"/>
      <w:bookmarkStart w:id="682" w:name="Tc_Y2F3N72x1UKfaz8RpPz7Wg_47_19"/>
      <w:bookmarkStart w:id="683" w:name="Tc_ewz4kpDh1UqEDTEVmUhc4g_47_16"/>
      <w:bookmarkStart w:id="684" w:name="Tc_SN7GmW19RU6QZtgvIfNuPw_47_10"/>
      <w:bookmarkStart w:id="685" w:name="Tc_AIB8kBVeRUKi5KvNMbclcg_47_7"/>
      <w:bookmarkStart w:id="686" w:name="Tc_ORVIepOhzkm9MZeQ29LOMA_47_5"/>
      <w:bookmarkStart w:id="687" w:name="Tc_MBmTnW18f0SYRjktC18AWQ_47_0"/>
      <w:bookmarkStart w:id="688" w:name="Tc_Tf-uU0MfE0-rxwI0Hu1H9A_46_21"/>
      <w:bookmarkStart w:id="689" w:name="Tc_MaVVbq--6kGcVcpOB9KjuQ_46_18"/>
      <w:bookmarkStart w:id="690" w:name="Tc_0fLCpR8ffUGAP4YDlPSU2w_46_15"/>
      <w:bookmarkStart w:id="691" w:name="Tc_4T-H_pKwq0KkNO2cvl54gg_46_12"/>
      <w:bookmarkStart w:id="692" w:name="Tc_oi--jECxyEq3b8I7eo86eQ_46_9"/>
      <w:bookmarkStart w:id="693" w:name="Tc_b4ooPV5fS0ivKnQQvzt3qw_46_0"/>
      <w:bookmarkStart w:id="694" w:name="Tc_Q125imu900uN4dypeuOlJQ_45_19"/>
      <w:bookmarkStart w:id="695" w:name="Tc__PSsojE8zEqHIIO7m_Yrsg_45_13"/>
      <w:bookmarkStart w:id="696" w:name="Tc_OI7eh8Ws0UCluWCq35XRYA_45_10"/>
      <w:bookmarkStart w:id="697" w:name="Tc_b4ny7bXdDUuJ_cemThZrXw_45_7"/>
      <w:bookmarkStart w:id="698" w:name="Tc_E7YIOeaKakC3f8YqaqVCCw_45_5"/>
      <w:bookmarkStart w:id="699" w:name="Tc_RTPOVmNlbEKW_kTuDiyQFg_45_2"/>
      <w:bookmarkStart w:id="700" w:name="Tc_kGpEp4zMd0mssQmYo2ypDA_45_0"/>
      <w:bookmarkStart w:id="701" w:name="Tc_7s2BoaSGZUaMESwxUQcArQ_44_16"/>
      <w:bookmarkStart w:id="702" w:name="Tc_NwgVoQXAq0ieghu8VMrh3w_44_13"/>
      <w:bookmarkStart w:id="703" w:name="Tc_BLaIaM8PlEaL9wygIwq_tA_44_10"/>
      <w:bookmarkStart w:id="704" w:name="Tc_IT8DhIv0E0ehKIJDrPmm4w_44_7"/>
      <w:bookmarkStart w:id="705" w:name="Tc_t-FormaJI0ilyB7ktmj7Rw_44_5"/>
      <w:bookmarkStart w:id="706" w:name="Tc_6qj6iraHTUag7U1LlIp79A_44_2"/>
      <w:bookmarkStart w:id="707" w:name="Tc_On3qVsY5YEya9nUBcKfPvA_44_0"/>
      <w:bookmarkStart w:id="708" w:name="Tc_MOUhfID9H0KDDgIqi7HeNA_43_16"/>
      <w:bookmarkStart w:id="709" w:name="Tc_HSB_EjljMkuPQQBR7UEE7A_43_13"/>
      <w:bookmarkStart w:id="710" w:name="Tc_imaSFzMiqUSGyv-h7iSOiQ_43_10"/>
      <w:bookmarkStart w:id="711" w:name="Tc_gtO6XGtFl0uRARzNTRHSyA_43_7"/>
      <w:bookmarkStart w:id="712" w:name="Tc_oeTTM_RP_EWB2gna6oPHJA_43_5"/>
      <w:bookmarkStart w:id="713" w:name="Tc_2wenNcoZOUi8QrEw9MMK_Q_43_2"/>
      <w:bookmarkStart w:id="714" w:name="Tc_W7EHYKiXwUOYLDPG8CpAzA_43_0"/>
      <w:bookmarkStart w:id="715" w:name="Tc_M7rcxhTItk2YEG2KC-iIzQ_42_19"/>
      <w:bookmarkStart w:id="716" w:name="Tc_SdkfJkVqQ0udXHWwYFmmdw_42_16"/>
      <w:bookmarkStart w:id="717" w:name="Tc_9veUUsIKskm1_8Er3fVG-g_42_10"/>
      <w:bookmarkStart w:id="718" w:name="Tc_qQYcrAB_00WiT7DJvyVJfQ_42_7"/>
      <w:bookmarkStart w:id="719" w:name="Tc_YAJurANLLEWBdg7vJOmo7A_42_5"/>
      <w:bookmarkStart w:id="720" w:name="Tc_aHrtUv8bb0e-iZAN8uIS9Q_42_2"/>
      <w:bookmarkStart w:id="721" w:name="Tc_S7jsDGMcAEagmu6DRStjMQ_42_0"/>
      <w:bookmarkStart w:id="722" w:name="Tc_GpqlIsJzeEOK7IvMvnRxiQ_41_19"/>
      <w:bookmarkStart w:id="723" w:name="Tc_wrlVjvktC0ajRV78PaIkbA_41_16"/>
      <w:bookmarkStart w:id="724" w:name="Tc_QGwSn1PPpUCp5lwFxN6cIw_41_10"/>
      <w:bookmarkStart w:id="725" w:name="Tc_H9242rNHokaqW_cY1sI0wg_41_7"/>
      <w:bookmarkStart w:id="726" w:name="Tc_51b818-iukOXVJAqVV1K4Q_41_0"/>
      <w:bookmarkStart w:id="727" w:name="Tc_4wYUGzEOPkaxbWaSgx3EDg_40_19"/>
      <w:bookmarkStart w:id="728" w:name="Tc_bOTjj0QU1kquUvVrU_ilzw_40_16"/>
      <w:bookmarkStart w:id="729" w:name="Tc_2EeciMrBT0SYH_MLXWaGiw_40_10"/>
      <w:bookmarkStart w:id="730" w:name="Tc_VrAjfrjGZEG9hxFItSO49g_40_7"/>
      <w:bookmarkStart w:id="731" w:name="Tc_Df9KcORu4UawEe9z2609aw_40_5"/>
      <w:bookmarkStart w:id="732" w:name="Tc_l61NMJ_JTEySLu2TvnmdWQ_40_0"/>
      <w:bookmarkStart w:id="733" w:name="Tc_JhAy5NbbcUe8UL_6rYLvQg_39_21"/>
      <w:bookmarkStart w:id="734" w:name="Tc_Dfkg1f7zgka_g0CL-DqRPw_39_18"/>
      <w:bookmarkStart w:id="735" w:name="Tc_FkHj32sPwU63ZwIb4qLPSg_39_15"/>
      <w:bookmarkStart w:id="736" w:name="Tc_P1zAhOT7rkiAhHjdLt--sQ_39_12"/>
      <w:bookmarkStart w:id="737" w:name="Tc_xzEhG9CgDEC5ETNH3JFHxQ_39_9"/>
      <w:bookmarkStart w:id="738" w:name="Tc_pkhR-MvBuU6xxMa-bX_z9A_39_4"/>
      <w:bookmarkStart w:id="739" w:name="Tc_Da6g54lDkkihOzRhZHgNRQ_39_0"/>
      <w:bookmarkStart w:id="740" w:name="Tc_3SazJmggWku8FI0Ud6XdJg_38_21"/>
      <w:bookmarkStart w:id="741" w:name="Tc_F6A0VSi0akeXKFV0WHxgRg_38_18"/>
      <w:bookmarkStart w:id="742" w:name="Tc_y8sM9ANmSEiG665n8XGd8Q_38_15"/>
      <w:bookmarkStart w:id="743" w:name="Tc_lIAdMFENpEKlcN-qHkfyzA_38_12"/>
      <w:bookmarkStart w:id="744" w:name="Tc_MMTkzrEH8U6sSJZjYg89cg_38_9"/>
      <w:bookmarkStart w:id="745" w:name="Tc_9D2NR3O1sUCvtXUVRhXrpQ_38_7"/>
      <w:bookmarkStart w:id="746" w:name="Tc_L_dCw0TpGk62GnB5WlJKew_38_4"/>
      <w:bookmarkStart w:id="747" w:name="Tc_9bRyldkrMkG8TTtbz5j7ag_38_2"/>
      <w:bookmarkStart w:id="748" w:name="Tc_2UpsJ64HUkmHBBtEwfaUYA_37_21"/>
      <w:bookmarkStart w:id="749" w:name="Tc_uPzf7QG2dkSBBGQBpjIaow_37_18"/>
      <w:bookmarkStart w:id="750" w:name="Tc_GqO_OnB-NkWPEmd6RHVdvQ_37_15"/>
      <w:bookmarkStart w:id="751" w:name="Tc_0UVyngHdpkKEdxpxrWhIow_37_12"/>
      <w:bookmarkStart w:id="752" w:name="Tc_xW__Sm3VpEqyhGynPMolcg_37_9"/>
      <w:bookmarkStart w:id="753" w:name="Tc_AeHGsxNt1k2qW4AYP_reCg_37_7"/>
      <w:bookmarkStart w:id="754" w:name="Tc_pmrs-inmUUCP_JLO4rLDPQ_37_4"/>
      <w:bookmarkStart w:id="755" w:name="Tc_O9M4-h8-YEqGiMNGXowPsQ_37_2"/>
      <w:bookmarkStart w:id="756" w:name="Tc_snmEtOcAzkq6RhyRv6zE9g_36_21"/>
      <w:bookmarkStart w:id="757" w:name="Tc_MSgg2r7_uE2VSrDZO9tLeg_36_18"/>
      <w:bookmarkStart w:id="758" w:name="Tc_Yd3ttirBsUabwHjR-yVYvg_36_15"/>
      <w:bookmarkStart w:id="759" w:name="Tc_DFRp-xjr00Wgtd-M8p2ZWg_36_12"/>
      <w:bookmarkStart w:id="760" w:name="Tc_wFae1aN4gkqoB3oWh410Ow_36_9"/>
      <w:bookmarkStart w:id="761" w:name="Tc_To4kcGZmMEGxh7FGmlNl_g_36_7"/>
      <w:bookmarkStart w:id="762" w:name="Tc_dEewni3L8kWKGeS6zHE_vQ_36_4"/>
      <w:bookmarkStart w:id="763" w:name="Tc_u1hHwxTVQEaLeoy6a4M3rg_36_2"/>
      <w:bookmarkStart w:id="764" w:name="Tc_uiC0ZcMSV0OgqRFUMxSCLA_35_18"/>
      <w:bookmarkStart w:id="765" w:name="Tc_Fk3sPIR52EGyJ1NTM2wr1g_35_15"/>
      <w:bookmarkStart w:id="766" w:name="Tc_ZsQ3Jmqdpkil0lV02SI5Xw_57_21"/>
      <w:bookmarkStart w:id="767" w:name="Tc_pITOp9xODkyJfaxTne6-Ig_57_18"/>
      <w:bookmarkStart w:id="768" w:name="Tc_uqv8GGqb6EOHqCBiD4McMw_57_15"/>
      <w:bookmarkStart w:id="769" w:name="Tc__KAJNM502EuTatqkeoCBoA_57_12"/>
      <w:bookmarkStart w:id="770" w:name="Tc_75HP-Nx6UkOKZS12XnRp5g_57_9"/>
      <w:bookmarkStart w:id="771" w:name="Tc_F0RKonjW_0WeoMBp2PUrQA_57_4"/>
      <w:bookmarkStart w:id="772" w:name="Tc_XZJ7kYwDQ0uS-3ZVsBfKug_57_0"/>
      <w:bookmarkStart w:id="773" w:name="Tc_ynPZnLlj7UibpVXxf-c3RA_56_19"/>
      <w:bookmarkStart w:id="774" w:name="Tc_B4OVdW6oIEiMURWFlxlZHg_56_13"/>
      <w:bookmarkStart w:id="775" w:name="Tc_hRSiNlAgAkC4xuryvB7vZw_56_10"/>
      <w:bookmarkStart w:id="776" w:name="Tc_CZZypj68RUmpqDOr49l0Lg_56_7"/>
      <w:bookmarkStart w:id="777" w:name="Tc_sZEefQ1e2k2p4J6-K0lQqA_56_5"/>
      <w:bookmarkStart w:id="778" w:name="Tc_RmNffQyoJkWUPQIAnFUcQg_56_2"/>
      <w:bookmarkStart w:id="779" w:name="Tc_eaZ_QSfXSkaXbIih40j7KQ_56_0"/>
      <w:bookmarkStart w:id="780" w:name="Tc_RgI6cvvXVUyEExQeSaA3ng_55_16"/>
      <w:bookmarkStart w:id="781" w:name="Tc_q92d-HLqlkm1WQGUesgBRw_55_13"/>
      <w:bookmarkStart w:id="782" w:name="Tc_Gw5sxKHzE0mEj7icEVi7zA_55_10"/>
      <w:bookmarkStart w:id="783" w:name="Tc_HKbOeSa2oUurG4gv5gS_FQ_55_7"/>
      <w:bookmarkStart w:id="784" w:name="Tc_1wKEaq7zTkCjfLZ2ORD9TQ_55_5"/>
      <w:bookmarkStart w:id="785" w:name="Tc_kVEj4s7DjUaMf0-uyu1t5Q_55_2"/>
      <w:bookmarkStart w:id="786" w:name="Tc_wgyN6gYKm0-WW1VdMIyzJw_55_0"/>
      <w:bookmarkStart w:id="787" w:name="Tc_WtYd7VN_1Ea4ohgCjjxMtA_54_16"/>
      <w:bookmarkStart w:id="788" w:name="Tc_ZTR1alxLCUON2TphedlQzw_54_13"/>
      <w:bookmarkStart w:id="789" w:name="Tc_mErRYVqAD0u8iE1IUpZvew_54_10"/>
      <w:bookmarkStart w:id="790" w:name="Tc_8HGAHKxdUEKyZwNRIhy1mg_54_7"/>
      <w:bookmarkStart w:id="791" w:name="Tc_mz2Ljrnm9UqJyRBD1OGWlg_54_5"/>
      <w:bookmarkStart w:id="792" w:name="Tc_V8FrI7QkwkCLCuXJrOV6ow_54_2"/>
      <w:bookmarkStart w:id="793" w:name="Tc_lOlKktGl30uMj7FBvEZEXw_54_0"/>
      <w:bookmarkStart w:id="794" w:name="Tc_5ksLSX1fGUuO8Ch-Uc1Tlw_53_19"/>
      <w:bookmarkStart w:id="795" w:name="Tc_S7UuhuGnoUeCYyRmjfk-2Q_53_16"/>
      <w:bookmarkStart w:id="796" w:name="Tc_SjwWvlRyyE206LTWGcwarA_53_10"/>
      <w:bookmarkStart w:id="797" w:name="Tc_9i5hEGJa-EmWW8IKSET2gw_53_7"/>
      <w:bookmarkStart w:id="798" w:name="Tc_KbL7q532TUSB-oXM2OKdKQ_53_5"/>
      <w:bookmarkStart w:id="799" w:name="Tc_wBAQlo6tk0uhOQOBLkHC8Q_53_2"/>
      <w:bookmarkStart w:id="800" w:name="Tc_WAHzkxvnc0Oa9er1zwVO8A_53_0"/>
      <w:bookmarkStart w:id="801" w:name="Tc_ARMoDMnCLUu5Z-ed4084_Q_52_22"/>
      <w:bookmarkStart w:id="802" w:name="Tc_oPgYzIar5k2XvZI6ewKe5Q_52_19"/>
      <w:bookmarkStart w:id="803" w:name="Tc_21Ixwyv1SUKIGyZ0N8LLfQ_52_16"/>
      <w:bookmarkStart w:id="804" w:name="Tc_YS9tkSC_uU-0TD4OIhgQVw_52_13"/>
      <w:bookmarkStart w:id="805" w:name="Tc_baXUjoGWO0mOu-HltpymUg_52_0"/>
      <w:bookmarkStart w:id="806" w:name="Tc_yoR-oxCMFkafwUufsSUJiw_51_19"/>
      <w:bookmarkStart w:id="807" w:name="Tc_5eW7nS5sNkK0dIka38257Q_51_16"/>
      <w:bookmarkStart w:id="808" w:name="Tc_0cPqpoUxUkG1n0maK0iGvg_51_10"/>
      <w:bookmarkStart w:id="809" w:name="Tc_M4T-zTbkrk6Ar7ELdWr-2w_51_7"/>
      <w:bookmarkStart w:id="810" w:name="Tc_CG7lEfzW_06i5OmWhSqxFg_51_5"/>
      <w:bookmarkStart w:id="811" w:name="Tc_XA7wlsL5ok-fF0ecLUXNaQ_51_0"/>
      <w:bookmarkStart w:id="812" w:name="Tc_1Kuqa--VGkSvtE-rW2IF-w_50_19"/>
      <w:bookmarkStart w:id="813" w:name="Tc_rTMYgt_os0qlQk-9LrKqrA_50_16"/>
      <w:bookmarkStart w:id="814" w:name="Tc_dmh7ZijyRkmEQe9XJy2Rug_50_10"/>
      <w:bookmarkStart w:id="815" w:name="Tc_keHzPO3q1U2CL7nsCi0HYQ_50_7"/>
      <w:bookmarkStart w:id="816" w:name="Tc_6VCQqYoxOkmuOG9ChgQnSw_50_5"/>
      <w:bookmarkStart w:id="817" w:name="Tc_pkGs6b1XoUKUMPOHmMy0PQ_50_2"/>
      <w:bookmarkStart w:id="818" w:name="Tc_Iw1XnEdYCkOJ_d8hsqeKEw_50_0"/>
      <w:bookmarkStart w:id="819" w:name="Tc_KDRkbA8fwkCrKXn1fQZS2w_49_22"/>
      <w:bookmarkStart w:id="820" w:name="Tc_XIPZJMO3akKuE2Du--h2Wg_49_19"/>
      <w:bookmarkStart w:id="821" w:name="Tc_w9kdqPpMH06p3JAWGYV85w_49_16"/>
      <w:bookmarkStart w:id="822" w:name="Tc_S0afZj5CD0WnXJF4yLZaMA_49_13"/>
      <w:bookmarkStart w:id="823" w:name="Tc_Ij4UmBhjf026nix2ABFiaA_49_10"/>
      <w:bookmarkStart w:id="824" w:name="Tc_WZE2oDAhSkG8TXoKGTZ3yA_49_7"/>
      <w:bookmarkStart w:id="825" w:name="Tc_3PholBfITUCvrV54TUl86w_49_5"/>
      <w:bookmarkStart w:id="826" w:name="Tc_fP90RO9BFUmkJLrWzIEPSw_49_0"/>
      <w:bookmarkStart w:id="827" w:name="Tc_na5NbdYkE0-k1JfLACf01w_48_19"/>
      <w:bookmarkStart w:id="828" w:name="Tc_e0RMv84FuEuSlKyb1IZs4w_48_16"/>
      <w:bookmarkStart w:id="829" w:name="Tc_l69RBOpu70iGdMzuKPr3Og_48_10"/>
      <w:bookmarkStart w:id="830" w:name="Tc_QJih2rX9ZEu4nQfg521tsw_48_7"/>
      <w:bookmarkStart w:id="831" w:name="Tc_Clfxph4gXU6aTfhUTf8k5g_48_5"/>
      <w:bookmarkStart w:id="832" w:name="Tc_0nX7PWiFSkqjKXMRK9oiGQ_48_0"/>
      <w:bookmarkStart w:id="833" w:name="Tc_Y2F3N72x1UKfaz8RpPz7Wg_47_19"/>
      <w:bookmarkStart w:id="834" w:name="Tc_ewz4kpDh1UqEDTEVmUhc4g_47_16"/>
      <w:bookmarkStart w:id="835" w:name="Tc_SN7GmW19RU6QZtgvIfNuPw_47_10"/>
      <w:bookmarkStart w:id="836" w:name="Tc_AIB8kBVeRUKi5KvNMbclcg_47_7"/>
      <w:bookmarkStart w:id="837" w:name="Tc_ORVIepOhzkm9MZeQ29LOMA_47_5"/>
      <w:bookmarkStart w:id="838" w:name="Tc_MBmTnW18f0SYRjktC18AWQ_47_0"/>
      <w:bookmarkStart w:id="839" w:name="Tc_Tf-uU0MfE0-rxwI0Hu1H9A_46_21"/>
      <w:bookmarkStart w:id="840" w:name="Tc_MaVVbq--6kGcVcpOB9KjuQ_46_18"/>
      <w:bookmarkStart w:id="841" w:name="Tc_0fLCpR8ffUGAP4YDlPSU2w_46_15"/>
      <w:bookmarkStart w:id="842" w:name="Tc_4T-H_pKwq0KkNO2cvl54gg_46_12"/>
      <w:bookmarkStart w:id="843" w:name="Tc_oi--jECxyEq3b8I7eo86eQ_46_9"/>
      <w:bookmarkStart w:id="844" w:name="Tc_b4ooPV5fS0ivKnQQvzt3qw_46_0"/>
      <w:bookmarkStart w:id="845" w:name="Tc_Q125imu900uN4dypeuOlJQ_45_19"/>
      <w:bookmarkStart w:id="846" w:name="Tc__PSsojE8zEqHIIO7m_Yrsg_45_13"/>
      <w:bookmarkStart w:id="847" w:name="Tc_OI7eh8Ws0UCluWCq35XRYA_45_10"/>
      <w:bookmarkStart w:id="848" w:name="Tc_b4ny7bXdDUuJ_cemThZrXw_45_7"/>
      <w:bookmarkStart w:id="849" w:name="Tc_E7YIOeaKakC3f8YqaqVCCw_45_5"/>
      <w:bookmarkStart w:id="850" w:name="Tc_RTPOVmNlbEKW_kTuDiyQFg_45_2"/>
      <w:bookmarkStart w:id="851" w:name="Tc_kGpEp4zMd0mssQmYo2ypDA_45_0"/>
      <w:bookmarkStart w:id="852" w:name="Tc_7s2BoaSGZUaMESwxUQcArQ_44_16"/>
      <w:bookmarkStart w:id="853" w:name="Tc_NwgVoQXAq0ieghu8VMrh3w_44_13"/>
      <w:bookmarkStart w:id="854" w:name="Tc_BLaIaM8PlEaL9wygIwq_tA_44_10"/>
      <w:bookmarkStart w:id="855" w:name="Tc_IT8DhIv0E0ehKIJDrPmm4w_44_7"/>
      <w:bookmarkStart w:id="856" w:name="Tc_t-FormaJI0ilyB7ktmj7Rw_44_5"/>
      <w:bookmarkStart w:id="857" w:name="Tc_6qj6iraHTUag7U1LlIp79A_44_2"/>
      <w:bookmarkStart w:id="858" w:name="Tc_On3qVsY5YEya9nUBcKfPvA_44_0"/>
      <w:bookmarkStart w:id="859" w:name="Tc_MOUhfID9H0KDDgIqi7HeNA_43_16"/>
      <w:bookmarkStart w:id="860" w:name="Tc_HSB_EjljMkuPQQBR7UEE7A_43_13"/>
      <w:bookmarkStart w:id="861" w:name="Tc_imaSFzMiqUSGyv-h7iSOiQ_43_10"/>
      <w:bookmarkStart w:id="862" w:name="Tc_gtO6XGtFl0uRARzNTRHSyA_43_7"/>
      <w:bookmarkStart w:id="863" w:name="Tc_oeTTM_RP_EWB2gna6oPHJA_43_5"/>
      <w:bookmarkStart w:id="864" w:name="Tc_2wenNcoZOUi8QrEw9MMK_Q_43_2"/>
      <w:bookmarkStart w:id="865" w:name="Tc_W7EHYKiXwUOYLDPG8CpAzA_43_0"/>
      <w:bookmarkStart w:id="866" w:name="Tc_M7rcxhTItk2YEG2KC-iIzQ_42_19"/>
      <w:bookmarkStart w:id="867" w:name="Tc_SdkfJkVqQ0udXHWwYFmmdw_42_16"/>
      <w:bookmarkStart w:id="868" w:name="Tc_9veUUsIKskm1_8Er3fVG-g_42_10"/>
      <w:bookmarkStart w:id="869" w:name="Tc_qQYcrAB_00WiT7DJvyVJfQ_42_7"/>
      <w:bookmarkStart w:id="870" w:name="Tc_YAJurANLLEWBdg7vJOmo7A_42_5"/>
      <w:bookmarkStart w:id="871" w:name="Tc_aHrtUv8bb0e-iZAN8uIS9Q_42_2"/>
      <w:bookmarkStart w:id="872" w:name="Tc_S7jsDGMcAEagmu6DRStjMQ_42_0"/>
      <w:bookmarkStart w:id="873" w:name="Tc_GpqlIsJzeEOK7IvMvnRxiQ_41_19"/>
      <w:bookmarkStart w:id="874" w:name="Tc_wrlVjvktC0ajRV78PaIkbA_41_16"/>
      <w:bookmarkStart w:id="875" w:name="Tc_QGwSn1PPpUCp5lwFxN6cIw_41_10"/>
      <w:bookmarkStart w:id="876" w:name="Tc_H9242rNHokaqW_cY1sI0wg_41_7"/>
      <w:bookmarkStart w:id="877" w:name="Tc_51b818-iukOXVJAqVV1K4Q_41_0"/>
      <w:bookmarkStart w:id="878" w:name="Tc_4wYUGzEOPkaxbWaSgx3EDg_40_19"/>
      <w:bookmarkStart w:id="879" w:name="Tc_bOTjj0QU1kquUvVrU_ilzw_40_16"/>
      <w:bookmarkStart w:id="880" w:name="Tc_2EeciMrBT0SYH_MLXWaGiw_40_10"/>
      <w:bookmarkStart w:id="881" w:name="Tc_VrAjfrjGZEG9hxFItSO49g_40_7"/>
      <w:bookmarkStart w:id="882" w:name="Tc_Df9KcORu4UawEe9z2609aw_40_5"/>
      <w:bookmarkStart w:id="883" w:name="Tc_l61NMJ_JTEySLu2TvnmdWQ_40_0"/>
      <w:bookmarkStart w:id="884" w:name="Tc_JhAy5NbbcUe8UL_6rYLvQg_39_21"/>
      <w:bookmarkStart w:id="885" w:name="Tc_Dfkg1f7zgka_g0CL-DqRPw_39_18"/>
      <w:bookmarkStart w:id="886" w:name="Tc_FkHj32sPwU63ZwIb4qLPSg_39_15"/>
      <w:bookmarkStart w:id="887" w:name="Tc_P1zAhOT7rkiAhHjdLt--sQ_39_12"/>
      <w:bookmarkStart w:id="888" w:name="Tc_xzEhG9CgDEC5ETNH3JFHxQ_39_9"/>
      <w:bookmarkStart w:id="889" w:name="Tc_pkhR-MvBuU6xxMa-bX_z9A_39_4"/>
      <w:bookmarkStart w:id="890" w:name="Tc_Da6g54lDkkihOzRhZHgNRQ_39_0"/>
      <w:bookmarkStart w:id="891" w:name="Tc_3SazJmggWku8FI0Ud6XdJg_38_21"/>
      <w:bookmarkStart w:id="892" w:name="Tc_F6A0VSi0akeXKFV0WHxgRg_38_18"/>
      <w:bookmarkStart w:id="893" w:name="Tc_y8sM9ANmSEiG665n8XGd8Q_38_15"/>
      <w:bookmarkStart w:id="894" w:name="Tc_lIAdMFENpEKlcN-qHkfyzA_38_12"/>
      <w:bookmarkStart w:id="895" w:name="Tc_MMTkzrEH8U6sSJZjYg89cg_38_9"/>
      <w:bookmarkStart w:id="896" w:name="Tc_9D2NR3O1sUCvtXUVRhXrpQ_38_7"/>
      <w:bookmarkStart w:id="897" w:name="Tc_L_dCw0TpGk62GnB5WlJKew_38_4"/>
      <w:bookmarkStart w:id="898" w:name="Tc_9bRyldkrMkG8TTtbz5j7ag_38_2"/>
      <w:bookmarkStart w:id="899" w:name="Tc_2UpsJ64HUkmHBBtEwfaUYA_37_21"/>
      <w:bookmarkStart w:id="900" w:name="Tc_uPzf7QG2dkSBBGQBpjIaow_37_18"/>
      <w:bookmarkStart w:id="901" w:name="Tc_GqO_OnB-NkWPEmd6RHVdvQ_37_15"/>
      <w:bookmarkStart w:id="902" w:name="Tc_0UVyngHdpkKEdxpxrWhIow_37_12"/>
      <w:bookmarkStart w:id="903" w:name="Tc_xW__Sm3VpEqyhGynPMolcg_37_9"/>
      <w:bookmarkStart w:id="904" w:name="Tc_AeHGsxNt1k2qW4AYP_reCg_37_7"/>
      <w:bookmarkStart w:id="905" w:name="Tc_pmrs-inmUUCP_JLO4rLDPQ_37_4"/>
      <w:bookmarkStart w:id="906" w:name="Tc_O9M4-h8-YEqGiMNGXowPsQ_37_2"/>
      <w:bookmarkStart w:id="907" w:name="Tc_snmEtOcAzkq6RhyRv6zE9g_36_21"/>
      <w:bookmarkStart w:id="908" w:name="Tc_MSgg2r7_uE2VSrDZO9tLeg_36_18"/>
      <w:bookmarkStart w:id="909" w:name="Tc_Yd3ttirBsUabwHjR-yVYvg_36_15"/>
      <w:bookmarkStart w:id="910" w:name="Tc_DFRp-xjr00Wgtd-M8p2ZWg_36_12"/>
      <w:bookmarkStart w:id="911" w:name="Tc_wFae1aN4gkqoB3oWh410Ow_36_9"/>
      <w:bookmarkStart w:id="912" w:name="Tc_To4kcGZmMEGxh7FGmlNl_g_36_7"/>
      <w:bookmarkStart w:id="913" w:name="Tc_dEewni3L8kWKGeS6zHE_vQ_36_4"/>
      <w:bookmarkStart w:id="914" w:name="Tc_u1hHwxTVQEaLeoy6a4M3rg_36_2"/>
      <w:bookmarkStart w:id="915" w:name="Tc_uiC0ZcMSV0OgqRFUMxSCLA_35_18"/>
      <w:bookmarkStart w:id="916" w:name="Tc_Fk3sPIR52EGyJ1NTM2wr1g_35_1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tbl>
      <w:tblPr>
        <w:tblW w:w="10793" w:type="dxa"/>
        <w:jc w:val="left"/>
        <w:tblInd w:w="0" w:type="dxa"/>
        <w:tblLayout w:type="fixed"/>
        <w:tblCellMar>
          <w:top w:w="0" w:type="dxa"/>
          <w:left w:w="0" w:type="dxa"/>
          <w:bottom w:w="0" w:type="dxa"/>
          <w:right w:w="0" w:type="dxa"/>
        </w:tblCellMar>
      </w:tblPr>
      <w:tblGrid>
        <w:gridCol w:w="1321"/>
        <w:gridCol w:w="146"/>
        <w:gridCol w:w="1006"/>
        <w:gridCol w:w="206"/>
        <w:gridCol w:w="276"/>
        <w:gridCol w:w="490"/>
        <w:gridCol w:w="206"/>
        <w:gridCol w:w="1006"/>
        <w:gridCol w:w="206"/>
        <w:gridCol w:w="276"/>
        <w:gridCol w:w="490"/>
        <w:gridCol w:w="206"/>
        <w:gridCol w:w="196"/>
        <w:gridCol w:w="691"/>
        <w:gridCol w:w="206"/>
        <w:gridCol w:w="307"/>
        <w:gridCol w:w="804"/>
        <w:gridCol w:w="206"/>
        <w:gridCol w:w="287"/>
        <w:gridCol w:w="974"/>
        <w:gridCol w:w="206"/>
        <w:gridCol w:w="215"/>
        <w:gridCol w:w="866"/>
      </w:tblGrid>
      <w:tr>
        <w:trPr/>
        <w:tc>
          <w:tcPr>
            <w:tcW w:w="13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0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0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0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20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0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0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0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20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20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20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0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0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2024</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60,989</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92,661</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275,155</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(21,742)</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252,981</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653</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(5,454)</w:t>
            </w:r>
          </w:p>
        </w:tc>
        <w:tc>
          <w:tcPr>
            <w:tcW w:w="206"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(5,454)</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(10,899)</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(10,898)</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14,845</w:t>
            </w:r>
          </w:p>
        </w:tc>
        <w:tc>
          <w:tcPr>
            <w:tcW w:w="206"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(4,011)</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(4,011)</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from available-for-sale investments, net of tax</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2,684</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2024</w:t>
            </w:r>
          </w:p>
        </w:tc>
        <w:tc>
          <w:tcPr>
            <w:tcW w:w="14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62,316</w:t>
            </w:r>
          </w:p>
        </w:tc>
        <w:tc>
          <w:tcPr>
            <w:tcW w:w="20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4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206" w:type="dxa"/>
            <w:tcBorders/>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92,661</w:t>
            </w:r>
          </w:p>
        </w:tc>
        <w:tc>
          <w:tcPr>
            <w:tcW w:w="206" w:type="dxa"/>
            <w:tcBorders/>
            <w:vAlign w:val="center"/>
          </w:tcPr>
          <w:p>
            <w:pPr>
              <w:pStyle w:val="TableContents"/>
              <w:bidi w:val="0"/>
              <w:spacing w:before="0" w:after="0"/>
              <w:ind w:left="0" w:right="0" w:hanging="0"/>
              <w:jc w:val="righ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20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273,647</w:t>
            </w:r>
          </w:p>
        </w:tc>
        <w:tc>
          <w:tcPr>
            <w:tcW w:w="206" w:type="dxa"/>
            <w:tcBorders/>
            <w:vAlign w:val="center"/>
          </w:tcPr>
          <w:p>
            <w:pPr>
              <w:pStyle w:val="TableContents"/>
              <w:bidi w:val="0"/>
              <w:spacing w:before="0" w:after="0"/>
              <w:ind w:left="0" w:right="0" w:hanging="0"/>
              <w:jc w:val="righ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2,098</w:t>
            </w:r>
          </w:p>
        </w:tc>
        <w:tc>
          <w:tcPr>
            <w:tcW w:w="20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(25,770)</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250,130</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w:t>
            </w:r>
          </w:p>
        </w:tc>
        <w:tc>
          <w:tcPr>
            <w:tcW w:w="206"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Awards, net</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9,924</w:t>
            </w:r>
          </w:p>
        </w:tc>
        <w:tc>
          <w:tcPr>
            <w:tcW w:w="206"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9,924</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in connection with ESPP</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B shares exchanged for Class A shares</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capped calls,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(31,517)</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(31,517)</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(3,335)</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from available-for-sale investments,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5,164</w:t>
            </w:r>
          </w:p>
        </w:tc>
        <w:tc>
          <w:tcPr>
            <w:tcW w:w="20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5,164</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2024</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65,165</w:t>
            </w:r>
          </w:p>
        </w:tc>
        <w:tc>
          <w:tcPr>
            <w:tcW w:w="20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206"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90,161</w:t>
            </w:r>
          </w:p>
        </w:tc>
        <w:tc>
          <w:tcPr>
            <w:tcW w:w="206" w:type="dxa"/>
            <w:tcBorders/>
            <w:shd w:fill="CCEEFF" w:val="clear"/>
            <w:vAlign w:val="center"/>
          </w:tcPr>
          <w:p>
            <w:pPr>
              <w:pStyle w:val="TableContents"/>
              <w:bidi w:val="0"/>
              <w:spacing w:before="0" w:after="0"/>
              <w:ind w:left="0" w:right="0" w:hanging="0"/>
              <w:jc w:val="righ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254,799</w:t>
            </w:r>
          </w:p>
        </w:tc>
        <w:tc>
          <w:tcPr>
            <w:tcW w:w="206" w:type="dxa"/>
            <w:tcBorders/>
            <w:shd w:fill="CCEEFF" w:val="clear"/>
            <w:vAlign w:val="center"/>
          </w:tcPr>
          <w:p>
            <w:pPr>
              <w:pStyle w:val="TableContents"/>
              <w:bidi w:val="0"/>
              <w:spacing w:before="0" w:after="0"/>
              <w:ind w:left="0" w:right="0" w:hanging="0"/>
              <w:jc w:val="righ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7,262</w:t>
            </w:r>
          </w:p>
        </w:tc>
        <w:tc>
          <w:tcPr>
            <w:tcW w:w="20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(29,086)</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233,130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6"/>
        </w:rPr>
      </w:pPr>
      <w:bookmarkStart w:id="917" w:name="_21d4d0d8_24ff_4ba3_a8fb_8934b1da31c2"/>
      <w:bookmarkEnd w:id="917"/>
      <w:r>
        <w:rPr>
          <w:rFonts w:ascii="Times New Roman;Times;serif" w:hAnsi="Times New Roman;Times;serif"/>
          <w:b/>
          <w:sz w:val="16"/>
        </w:rPr>
        <w:t>Vertex, Inc. and Subsidiaries</w:t>
      </w:r>
    </w:p>
    <w:p>
      <w:pPr>
        <w:pStyle w:val="TextBody"/>
        <w:bidi w:val="0"/>
        <w:spacing w:before="0" w:after="0"/>
        <w:ind w:left="0" w:right="0" w:hanging="0"/>
        <w:jc w:val="left"/>
        <w:rPr>
          <w:rFonts w:ascii="Times New Roman;Times;serif" w:hAnsi="Times New Roman;Times;serif"/>
          <w:b/>
          <w:sz w:val="16"/>
        </w:rPr>
      </w:pPr>
      <w:bookmarkStart w:id="918" w:name="CashFlows"/>
      <w:bookmarkEnd w:id="918"/>
      <w:r>
        <w:rPr>
          <w:rFonts w:ascii="Times New Roman;Times;serif" w:hAnsi="Times New Roman;Times;serif"/>
          <w:b/>
          <w:sz w:val="16"/>
        </w:rPr>
        <w:t>Condensed Consolidated Statements of Cash Flows</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six months ended June 30, 2025 and 2024 (unaudited)</w:t>
      </w:r>
    </w:p>
    <w:p>
      <w:pPr>
        <w:pStyle w:val="TextBody"/>
        <w:pBdr>
          <w:bottom w:val="single" w:sz="2" w:space="1" w:color="000000"/>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in thousands)</w:t>
      </w:r>
    </w:p>
    <w:p>
      <w:pPr>
        <w:pStyle w:val="Normal"/>
        <w:bidi w:val="0"/>
        <w:spacing w:before="0" w:after="0"/>
        <w:jc w:val="left"/>
        <w:rPr>
          <w:sz w:val="4"/>
          <w:szCs w:val="4"/>
        </w:rPr>
      </w:pPr>
      <w:r>
        <w:rPr>
          <w:sz w:val="4"/>
          <w:szCs w:val="4"/>
        </w:rPr>
      </w:r>
      <w:bookmarkStart w:id="919" w:name="Tc_T1QK814CVEeD-kjUC5Mw9A_58_4"/>
      <w:bookmarkStart w:id="920" w:name="Tc__0iaMYURA0asETy251E6lA_58_1"/>
      <w:bookmarkStart w:id="921" w:name="Tc_X3OaNtzUx0u0aDRqip_PZg_58_0"/>
      <w:bookmarkStart w:id="922" w:name="Tc_xDaMfzHkyUqlCV-AOGPvfg_57_0"/>
      <w:bookmarkStart w:id="923" w:name="Tc_kmzhdo2qS0OkMr3JufAEUg_56_4"/>
      <w:bookmarkStart w:id="924" w:name="Tc_rwzJwVJWIkiUOnl-adrg9Q_56_1"/>
      <w:bookmarkStart w:id="925" w:name="Tc_6flMlBlSUUyMnQef5qTPLw_56_0"/>
      <w:bookmarkStart w:id="926" w:name="Tc_7W730Ecgy0SUm1t5NjBKbA_55_0"/>
      <w:bookmarkStart w:id="927" w:name="Tc_imvDzPQ5I0i_FWB15XJxhA_54_4"/>
      <w:bookmarkStart w:id="928" w:name="Tc_fxEs9HQlAU-rcIJl_XgjHg_54_1"/>
      <w:bookmarkStart w:id="929" w:name="Tc_MgfLHE4UtUm1Ps2gNNsUCQ_54_0"/>
      <w:bookmarkStart w:id="930" w:name="Tc_yuTVjtmFBU2dcYR1QbXdVA_53_0"/>
      <w:bookmarkStart w:id="931" w:name="Tc_d0pKWwRrIkWoyRLxZGZuHg_52_0"/>
      <w:bookmarkStart w:id="932" w:name="Tc_HShqKOQ33EmSd--zRxnRgw_51_0"/>
      <w:bookmarkStart w:id="933" w:name="Tc_LaYwGTCd4E6o8LkjFNQc9A_50_0"/>
      <w:bookmarkStart w:id="934" w:name="Tc_jccbmZ9t2EyA5KerLnUnbg_49_0"/>
      <w:bookmarkStart w:id="935" w:name="Tc_n9kf-J5cVkiqRnsGTunI5A_48_2"/>
      <w:bookmarkStart w:id="936" w:name="Tc_zba9PTrdTk6TtsEs8pbOjQ_48_0"/>
      <w:bookmarkStart w:id="937" w:name="Tc_P9PSrEqF4Umv6bf9a6xxAA_47_0"/>
      <w:bookmarkStart w:id="938" w:name="Tc_gvEaYVfQ8kuQaGi1iywyFA_46_0"/>
      <w:bookmarkStart w:id="939" w:name="Tc_kdmGWGeMGU-3wAYDq4IeaA_45_0"/>
      <w:bookmarkStart w:id="940" w:name="Tc_J8MFqqlZx0GTXg3B8mlvyg_44_2"/>
      <w:bookmarkStart w:id="941" w:name="Tc_EHpAQUAKyUuKENLNrS0smA_44_0"/>
      <w:bookmarkStart w:id="942" w:name="Tc_3MY6-TOucEuZZbfz_OSHwQ_43_2"/>
      <w:bookmarkStart w:id="943" w:name="Tc_8fCY-PlXnkm-70C4kzEENw_43_0"/>
      <w:bookmarkStart w:id="944" w:name="Tc_SUmXagLB7kms4KuJZFST3g_42_2"/>
      <w:bookmarkStart w:id="945" w:name="Tc_WjMUVVQGrUWQTEAXKYTbjg_42_0"/>
      <w:bookmarkStart w:id="946" w:name="Tc_NnZgPQvGxkySX7Z_ykGy_g_41_2"/>
      <w:bookmarkStart w:id="947" w:name="Tc_IdcUxSg0sUSNJKwS6ZH_Rw_41_0"/>
      <w:bookmarkStart w:id="948" w:name="Tc_AeHw_DgckUSjYAmCDluwcw_40_0"/>
      <w:bookmarkStart w:id="949" w:name="Tc_psdXi1N5Y0CyU1WZ7EtTcw_39_0"/>
      <w:bookmarkStart w:id="950" w:name="Tc_2Dofed14FUKp7BOqZlEowQ_38_0"/>
      <w:bookmarkStart w:id="951" w:name="Tc_tzKEWxqu3UGk11KDHD2s6Q_37_2"/>
      <w:bookmarkStart w:id="952" w:name="Tc_WBbGc7Zcv0a8r5AGMeiyJw_37_0"/>
      <w:bookmarkStart w:id="953" w:name="Tc_l0SaUAxHtkWR4AJiPEnBug_36_0"/>
      <w:bookmarkStart w:id="954" w:name="Tc_NfhmoZx3VEiVwxTYKkIRYg_35_0"/>
      <w:bookmarkStart w:id="955" w:name="Tc_Kcdtht1OZk-FIgEdH1dC9g_34_0"/>
      <w:bookmarkStart w:id="956" w:name="Tc_GUpgy18tbU6fELbj7rnvOA_33_0"/>
      <w:bookmarkStart w:id="957" w:name="Tc_ZFIf-gMmqEe5kpXs-LdpFQ_32_5"/>
      <w:bookmarkStart w:id="958" w:name="Tc_j_SQ_YJYakOL1gl69rQSmw_32_0"/>
      <w:bookmarkStart w:id="959" w:name="Tc_HUCySC6k0EuRWsOhT6-0NQ_31_2"/>
      <w:bookmarkStart w:id="960" w:name="Tc_7v_khemSPE22G0u_tmzw_Q_31_0"/>
      <w:bookmarkStart w:id="961" w:name="Tc_Pvhn-qovAUOsTQl0CNncKw_30_0"/>
      <w:bookmarkStart w:id="962" w:name="Tc_Z8d-YwpCW0KOQpUwDxkVWg_29_0"/>
      <w:bookmarkStart w:id="963" w:name="Tc_rThPDx3EiEer1BCE1jngNg_28_0"/>
      <w:bookmarkStart w:id="964" w:name="Tc_cB4MgJoOV0uHBnsKjj73oA_27_0"/>
      <w:bookmarkStart w:id="965" w:name="Tc_IN44aXD5vkSHhWH5CzEFig_26_0"/>
      <w:bookmarkStart w:id="966" w:name="Tc_A6sJShamMEqbfPMSkTA9Xw_25_0"/>
      <w:bookmarkStart w:id="967" w:name="Tc_BrmCZyY0xEWtvmJ_Jm58dg_24_0"/>
      <w:bookmarkStart w:id="968" w:name="Tc_V6gOVIU0_0G34WJxe8gRmw_23_0"/>
      <w:bookmarkStart w:id="969" w:name="Tc_17r3wxnVm0e8lfOABNsybA_22_0"/>
      <w:bookmarkStart w:id="970" w:name="Tc_wqLO7RlDUkytpkACxm0zcg_21_0"/>
      <w:bookmarkStart w:id="971" w:name="Tc_vYwcgEzkbEaqasXJNJ2mmw_20_0"/>
      <w:bookmarkStart w:id="972" w:name="Tc_AYwyT3QkyUOxP9CjML4_pQ_19_0"/>
      <w:bookmarkStart w:id="973" w:name="Tc_1aWnSJakMEeetjEfwtJZ7g_18_0"/>
      <w:bookmarkStart w:id="974" w:name="Tc_nGoPMMu3jkKR-zJy7QKJhA_17_0"/>
      <w:bookmarkStart w:id="975" w:name="Tc_4HuhOaPlHEax3UNCmfWQ6g_16_0"/>
      <w:bookmarkStart w:id="976" w:name="Tc_RZmWBN-m_k6JwtF-g1xykg_15_0"/>
      <w:bookmarkStart w:id="977" w:name="Tc_QgE3jIgpDEW9TPEWPyOASw_14_0"/>
      <w:bookmarkStart w:id="978" w:name="Tc_Bi79U1aBg0G9lSw0xqW40A_13_2"/>
      <w:bookmarkStart w:id="979" w:name="Tc_35I1s-XybUqdtpAVUBMn5g_13_0"/>
      <w:bookmarkStart w:id="980" w:name="Tc_ypvAcQquCki3GA-xjHPesA_12_2"/>
      <w:bookmarkStart w:id="981" w:name="Tc_hBspnznrCEq2HLtCm0zFWA_12_0"/>
      <w:bookmarkStart w:id="982" w:name="Tc_I1hiWyk16kWmeahk2f-n4w_11_0"/>
      <w:bookmarkStart w:id="983" w:name="Tc_dQmMDe-sSUKNsq7fkRbsxw_10_0"/>
      <w:bookmarkStart w:id="984" w:name="Tc_m1rcOcifQ0ePtZHdPY-OhQ_9_0"/>
      <w:bookmarkStart w:id="985" w:name="Tc_fiiuMP5u6EWVI74lGqtyvg_8_0"/>
      <w:bookmarkStart w:id="986" w:name="Tc_QIIsctQ6AUeywmDTtrxLFQ_7_0"/>
      <w:bookmarkStart w:id="987" w:name="Tc_ybYxlXX-7k2rjjw6fzuH2Q_6_0"/>
      <w:bookmarkStart w:id="988" w:name="Tc_vuipORju80SmyQCbUsgKyg_5_4"/>
      <w:bookmarkStart w:id="989" w:name="Tc_7lI7DdV7XE-8dW-2WhPn5w_5_1"/>
      <w:bookmarkStart w:id="990" w:name="Tc_AazEfRtdT0uAUTL8gNMNlw_5_0"/>
      <w:bookmarkStart w:id="991" w:name="Tc_CIPId3SezUu1_KKkECkfcg_4_0"/>
      <w:bookmarkStart w:id="992" w:name="Tc_bL4W1C1NM0KzLDzZG95LNA_3_1"/>
      <w:bookmarkStart w:id="993" w:name="Tc_PLxWnhd3HEyau2eOD6BYZA_2_5"/>
      <w:bookmarkStart w:id="994" w:name="Tc_zMkDIsla1UaUkBlhKNIi2Q_2_1"/>
      <w:bookmarkStart w:id="995" w:name="Tc_NtnUhGZ_10yJbHZPyaTHOw_1_1"/>
      <w:bookmarkStart w:id="996" w:name="_d23708cc_07e8_43bc_9d98_00249e25ce80"/>
      <w:bookmarkStart w:id="997" w:name="Tc_T1QK814CVEeD-kjUC5Mw9A_58_4"/>
      <w:bookmarkStart w:id="998" w:name="Tc__0iaMYURA0asETy251E6lA_58_1"/>
      <w:bookmarkStart w:id="999" w:name="Tc_X3OaNtzUx0u0aDRqip_PZg_58_0"/>
      <w:bookmarkStart w:id="1000" w:name="Tc_xDaMfzHkyUqlCV-AOGPvfg_57_0"/>
      <w:bookmarkStart w:id="1001" w:name="Tc_kmzhdo2qS0OkMr3JufAEUg_56_4"/>
      <w:bookmarkStart w:id="1002" w:name="Tc_rwzJwVJWIkiUOnl-adrg9Q_56_1"/>
      <w:bookmarkStart w:id="1003" w:name="Tc_6flMlBlSUUyMnQef5qTPLw_56_0"/>
      <w:bookmarkStart w:id="1004" w:name="Tc_7W730Ecgy0SUm1t5NjBKbA_55_0"/>
      <w:bookmarkStart w:id="1005" w:name="Tc_imvDzPQ5I0i_FWB15XJxhA_54_4"/>
      <w:bookmarkStart w:id="1006" w:name="Tc_fxEs9HQlAU-rcIJl_XgjHg_54_1"/>
      <w:bookmarkStart w:id="1007" w:name="Tc_MgfLHE4UtUm1Ps2gNNsUCQ_54_0"/>
      <w:bookmarkStart w:id="1008" w:name="Tc_yuTVjtmFBU2dcYR1QbXdVA_53_0"/>
      <w:bookmarkStart w:id="1009" w:name="Tc_d0pKWwRrIkWoyRLxZGZuHg_52_0"/>
      <w:bookmarkStart w:id="1010" w:name="Tc_HShqKOQ33EmSd--zRxnRgw_51_0"/>
      <w:bookmarkStart w:id="1011" w:name="Tc_LaYwGTCd4E6o8LkjFNQc9A_50_0"/>
      <w:bookmarkStart w:id="1012" w:name="Tc_jccbmZ9t2EyA5KerLnUnbg_49_0"/>
      <w:bookmarkStart w:id="1013" w:name="Tc_n9kf-J5cVkiqRnsGTunI5A_48_2"/>
      <w:bookmarkStart w:id="1014" w:name="Tc_zba9PTrdTk6TtsEs8pbOjQ_48_0"/>
      <w:bookmarkStart w:id="1015" w:name="Tc_P9PSrEqF4Umv6bf9a6xxAA_47_0"/>
      <w:bookmarkStart w:id="1016" w:name="Tc_gvEaYVfQ8kuQaGi1iywyFA_46_0"/>
      <w:bookmarkStart w:id="1017" w:name="Tc_kdmGWGeMGU-3wAYDq4IeaA_45_0"/>
      <w:bookmarkStart w:id="1018" w:name="Tc_J8MFqqlZx0GTXg3B8mlvyg_44_2"/>
      <w:bookmarkStart w:id="1019" w:name="Tc_EHpAQUAKyUuKENLNrS0smA_44_0"/>
      <w:bookmarkStart w:id="1020" w:name="Tc_3MY6-TOucEuZZbfz_OSHwQ_43_2"/>
      <w:bookmarkStart w:id="1021" w:name="Tc_8fCY-PlXnkm-70C4kzEENw_43_0"/>
      <w:bookmarkStart w:id="1022" w:name="Tc_SUmXagLB7kms4KuJZFST3g_42_2"/>
      <w:bookmarkStart w:id="1023" w:name="Tc_WjMUVVQGrUWQTEAXKYTbjg_42_0"/>
      <w:bookmarkStart w:id="1024" w:name="Tc_NnZgPQvGxkySX7Z_ykGy_g_41_2"/>
      <w:bookmarkStart w:id="1025" w:name="Tc_IdcUxSg0sUSNJKwS6ZH_Rw_41_0"/>
      <w:bookmarkStart w:id="1026" w:name="Tc_AeHw_DgckUSjYAmCDluwcw_40_0"/>
      <w:bookmarkStart w:id="1027" w:name="Tc_psdXi1N5Y0CyU1WZ7EtTcw_39_0"/>
      <w:bookmarkStart w:id="1028" w:name="Tc_2Dofed14FUKp7BOqZlEowQ_38_0"/>
      <w:bookmarkStart w:id="1029" w:name="Tc_tzKEWxqu3UGk11KDHD2s6Q_37_2"/>
      <w:bookmarkStart w:id="1030" w:name="Tc_WBbGc7Zcv0a8r5AGMeiyJw_37_0"/>
      <w:bookmarkStart w:id="1031" w:name="Tc_l0SaUAxHtkWR4AJiPEnBug_36_0"/>
      <w:bookmarkStart w:id="1032" w:name="Tc_NfhmoZx3VEiVwxTYKkIRYg_35_0"/>
      <w:bookmarkStart w:id="1033" w:name="Tc_Kcdtht1OZk-FIgEdH1dC9g_34_0"/>
      <w:bookmarkStart w:id="1034" w:name="Tc_GUpgy18tbU6fELbj7rnvOA_33_0"/>
      <w:bookmarkStart w:id="1035" w:name="Tc_ZFIf-gMmqEe5kpXs-LdpFQ_32_5"/>
      <w:bookmarkStart w:id="1036" w:name="Tc_j_SQ_YJYakOL1gl69rQSmw_32_0"/>
      <w:bookmarkStart w:id="1037" w:name="Tc_HUCySC6k0EuRWsOhT6-0NQ_31_2"/>
      <w:bookmarkStart w:id="1038" w:name="Tc_7v_khemSPE22G0u_tmzw_Q_31_0"/>
      <w:bookmarkStart w:id="1039" w:name="Tc_Pvhn-qovAUOsTQl0CNncKw_30_0"/>
      <w:bookmarkStart w:id="1040" w:name="Tc_Z8d-YwpCW0KOQpUwDxkVWg_29_0"/>
      <w:bookmarkStart w:id="1041" w:name="Tc_rThPDx3EiEer1BCE1jngNg_28_0"/>
      <w:bookmarkStart w:id="1042" w:name="Tc_cB4MgJoOV0uHBnsKjj73oA_27_0"/>
      <w:bookmarkStart w:id="1043" w:name="Tc_IN44aXD5vkSHhWH5CzEFig_26_0"/>
      <w:bookmarkStart w:id="1044" w:name="Tc_A6sJShamMEqbfPMSkTA9Xw_25_0"/>
      <w:bookmarkStart w:id="1045" w:name="Tc_BrmCZyY0xEWtvmJ_Jm58dg_24_0"/>
      <w:bookmarkStart w:id="1046" w:name="Tc_V6gOVIU0_0G34WJxe8gRmw_23_0"/>
      <w:bookmarkStart w:id="1047" w:name="Tc_17r3wxnVm0e8lfOABNsybA_22_0"/>
      <w:bookmarkStart w:id="1048" w:name="Tc_wqLO7RlDUkytpkACxm0zcg_21_0"/>
      <w:bookmarkStart w:id="1049" w:name="Tc_vYwcgEzkbEaqasXJNJ2mmw_20_0"/>
      <w:bookmarkStart w:id="1050" w:name="Tc_AYwyT3QkyUOxP9CjML4_pQ_19_0"/>
      <w:bookmarkStart w:id="1051" w:name="Tc_1aWnSJakMEeetjEfwtJZ7g_18_0"/>
      <w:bookmarkStart w:id="1052" w:name="Tc_nGoPMMu3jkKR-zJy7QKJhA_17_0"/>
      <w:bookmarkStart w:id="1053" w:name="Tc_4HuhOaPlHEax3UNCmfWQ6g_16_0"/>
      <w:bookmarkStart w:id="1054" w:name="Tc_RZmWBN-m_k6JwtF-g1xykg_15_0"/>
      <w:bookmarkStart w:id="1055" w:name="Tc_QgE3jIgpDEW9TPEWPyOASw_14_0"/>
      <w:bookmarkStart w:id="1056" w:name="Tc_Bi79U1aBg0G9lSw0xqW40A_13_2"/>
      <w:bookmarkStart w:id="1057" w:name="Tc_35I1s-XybUqdtpAVUBMn5g_13_0"/>
      <w:bookmarkStart w:id="1058" w:name="Tc_ypvAcQquCki3GA-xjHPesA_12_2"/>
      <w:bookmarkStart w:id="1059" w:name="Tc_hBspnznrCEq2HLtCm0zFWA_12_0"/>
      <w:bookmarkStart w:id="1060" w:name="Tc_I1hiWyk16kWmeahk2f-n4w_11_0"/>
      <w:bookmarkStart w:id="1061" w:name="Tc_dQmMDe-sSUKNsq7fkRbsxw_10_0"/>
      <w:bookmarkStart w:id="1062" w:name="Tc_m1rcOcifQ0ePtZHdPY-OhQ_9_0"/>
      <w:bookmarkStart w:id="1063" w:name="Tc_fiiuMP5u6EWVI74lGqtyvg_8_0"/>
      <w:bookmarkStart w:id="1064" w:name="Tc_QIIsctQ6AUeywmDTtrxLFQ_7_0"/>
      <w:bookmarkStart w:id="1065" w:name="Tc_ybYxlXX-7k2rjjw6fzuH2Q_6_0"/>
      <w:bookmarkStart w:id="1066" w:name="Tc_vuipORju80SmyQCbUsgKyg_5_4"/>
      <w:bookmarkStart w:id="1067" w:name="Tc_7lI7DdV7XE-8dW-2WhPn5w_5_1"/>
      <w:bookmarkStart w:id="1068" w:name="Tc_AazEfRtdT0uAUTL8gNMNlw_5_0"/>
      <w:bookmarkStart w:id="1069" w:name="Tc_CIPId3SezUu1_KKkECkfcg_4_0"/>
      <w:bookmarkStart w:id="1070" w:name="Tc_bL4W1C1NM0KzLDzZG95LNA_3_1"/>
      <w:bookmarkStart w:id="1071" w:name="Tc_PLxWnhd3HEyau2eOD6BYZA_2_5"/>
      <w:bookmarkStart w:id="1072" w:name="Tc_zMkDIsla1UaUkBlhKNIi2Q_2_1"/>
      <w:bookmarkStart w:id="1073" w:name="Tc_NtnUhGZ_10yJbHZPyaTHOw_1_1"/>
      <w:bookmarkStart w:id="1074" w:name="_d23708cc_07e8_43bc_9d98_00249e25ce80"/>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p>
    <w:tbl>
      <w:tblPr>
        <w:tblW w:w="10205" w:type="dxa"/>
        <w:jc w:val="left"/>
        <w:tblInd w:w="0" w:type="dxa"/>
        <w:tblLayout w:type="fixed"/>
        <w:tblCellMar>
          <w:top w:w="0" w:type="dxa"/>
          <w:left w:w="0" w:type="dxa"/>
          <w:bottom w:w="0" w:type="dxa"/>
          <w:right w:w="0" w:type="dxa"/>
        </w:tblCellMar>
      </w:tblPr>
      <w:tblGrid>
        <w:gridCol w:w="7799"/>
        <w:gridCol w:w="196"/>
        <w:gridCol w:w="718"/>
        <w:gridCol w:w="326"/>
        <w:gridCol w:w="196"/>
        <w:gridCol w:w="718"/>
        <w:gridCol w:w="252"/>
      </w:tblGrid>
      <w:tr>
        <w:trPr/>
        <w:tc>
          <w:tcPr>
            <w:tcW w:w="7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952365" cy="175260"/>
                      <wp:effectExtent l="0" t="0" r="0" b="0"/>
                      <wp:wrapNone/>
                      <wp:docPr id="42" name="Frame42"/>
                      <a:graphic xmlns:a="http://schemas.openxmlformats.org/drawingml/2006/main">
                        <a:graphicData uri="http://schemas.microsoft.com/office/word/2010/wordprocessingShape">
                          <wps:wsp>
                            <wps:cNvSpPr txBox="1"/>
                            <wps:spPr>
                              <a:xfrm>
                                <a:off x="0" y="0"/>
                                <a:ext cx="4952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55930" cy="175260"/>
                      <wp:effectExtent l="0" t="0" r="0" b="0"/>
                      <wp:wrapNone/>
                      <wp:docPr id="44" name="Frame44"/>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55930" cy="175260"/>
                      <wp:effectExtent l="0" t="0" r="0" b="0"/>
                      <wp:wrapNone/>
                      <wp:docPr id="47" name="Frame47"/>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0020" cy="175260"/>
                      <wp:effectExtent l="0" t="0" r="0" b="0"/>
                      <wp:wrapNone/>
                      <wp:docPr id="48" name="Frame4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799" w:type="dxa"/>
            <w:tcBorders/>
            <w:vAlign w:val="center"/>
          </w:tcPr>
          <w:p>
            <w:pPr>
              <w:pStyle w:val="TableContents"/>
              <w:bidi w:val="0"/>
              <w:spacing w:before="0" w:after="1"/>
              <w:ind w:left="0" w:right="0" w:hanging="0"/>
              <w:jc w:val="left"/>
              <w:rPr/>
            </w:pPr>
            <w:r>
              <w:rPr/>
              <w:t>​</w:t>
            </w:r>
          </w:p>
        </w:tc>
        <w:tc>
          <w:tcPr>
            <w:tcW w:w="2406"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799" w:type="dxa"/>
            <w:tcBorders/>
            <w:vAlign w:val="center"/>
          </w:tcPr>
          <w:p>
            <w:pPr>
              <w:pStyle w:val="TableContents"/>
              <w:bidi w:val="0"/>
              <w:spacing w:before="0" w:after="1"/>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52" w:type="dxa"/>
            <w:tcBorders/>
            <w:vAlign w:val="center"/>
          </w:tcPr>
          <w:p>
            <w:pPr>
              <w:pStyle w:val="TableContents"/>
              <w:bidi w:val="0"/>
              <w:spacing w:before="0" w:after="1"/>
              <w:ind w:left="0" w:right="0" w:hanging="0"/>
              <w:jc w:val="center"/>
              <w:rPr/>
            </w:pPr>
            <w:r>
              <w:rPr/>
              <w:t>​</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799" w:type="dxa"/>
            <w:tcBorders/>
            <w:vAlign w:val="center"/>
          </w:tcPr>
          <w:p>
            <w:pPr>
              <w:pStyle w:val="TableContents"/>
              <w:bidi w:val="0"/>
              <w:spacing w:before="0" w:after="1"/>
              <w:ind w:left="0" w:right="0" w:hanging="0"/>
              <w:jc w:val="left"/>
              <w:rPr/>
            </w:pPr>
            <w:r>
              <w:rPr/>
              <w:t>​</w:t>
            </w:r>
          </w:p>
        </w:tc>
        <w:tc>
          <w:tcPr>
            <w:tcW w:w="2406"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779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Cash flows from operating activities: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10,169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7,848</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45,694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41,330</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cloud computing implementation costs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1,989</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subscription cancellations and non-renewals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451</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deferred financing costs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660</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contingent consideration liabilities</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(2,375)</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settlement value of deferred purchase commitment liability</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Write-off of deferred financing costs</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26,324</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(9,702)</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operating lease costs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1,536</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19,730</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969</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commissions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(625)</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6,446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(3,021)</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and deferred compensation</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(8,660)</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8,051</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(2,081)</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purchase commitment and contingent consideration liabilities in excess of initial fair value</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(4,367)</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3,036</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60,808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82,292</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Cash flows from investing activities: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  </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businesses and assets, net of cash acquired</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(6,075)</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Long-term investment </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additions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(42,906)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(29,749)</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Capitalized software additions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(11,097)</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investment securities, available-for-sale</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(7,776)</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sales and maturities of investment securities, available-for-sale</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8,860</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(59,262)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(47,837)</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  </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increase (decrease) in customer funds obligations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14,979</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convertible senior notes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345,000</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Principal payments on long-term debt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(46,875)</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for purchase of capped calls</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(42,366)</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deferred financing costs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(11,374)</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purchases of stock under ESPP</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1,443</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taxes related to net share settlement of stock-based awards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(26,105)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(18,324)</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3,274</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purchase commitment and contingent consideration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(7,580)</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of finance lease liabilities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238,126</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271,792</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326,066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89,151</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310,762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360,943</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Reconciliation of cash, cash equivalents and restricted cash to the Condensed Consolidated Balance Sheets, end of period:</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  </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284,386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325,535</w:t>
            </w:r>
          </w:p>
        </w:tc>
        <w:tc>
          <w:tcPr>
            <w:tcW w:w="252" w:type="dxa"/>
            <w:tcBorders/>
            <w:shd w:fill="CCEEFF" w:val="clear"/>
            <w:vAlign w:val="center"/>
          </w:tcPr>
          <w:p>
            <w:pPr>
              <w:pStyle w:val="TableContents"/>
              <w:bidi w:val="0"/>
              <w:spacing w:before="0" w:after="1"/>
              <w:ind w:left="0" w:right="0" w:hanging="0"/>
              <w:jc w:val="left"/>
              <w:rPr/>
            </w:pPr>
            <w:r>
              <w:rPr/>
              <w:t>​</w:t>
            </w:r>
          </w:p>
        </w:tc>
      </w:tr>
      <w:tr>
        <w:trPr/>
        <w:tc>
          <w:tcPr>
            <w:tcW w:w="779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cash—funds held for customers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26,376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35,408</w:t>
            </w:r>
          </w:p>
        </w:tc>
        <w:tc>
          <w:tcPr>
            <w:tcW w:w="252" w:type="dxa"/>
            <w:tcBorders/>
            <w:vAlign w:val="center"/>
          </w:tcPr>
          <w:p>
            <w:pPr>
              <w:pStyle w:val="TableContents"/>
              <w:bidi w:val="0"/>
              <w:spacing w:before="0" w:after="1"/>
              <w:ind w:left="0" w:right="0" w:hanging="0"/>
              <w:jc w:val="left"/>
              <w:rPr/>
            </w:pPr>
            <w:r>
              <w:rPr/>
              <w:t>​</w:t>
            </w:r>
          </w:p>
        </w:tc>
      </w:tr>
      <w:tr>
        <w:trPr/>
        <w:tc>
          <w:tcPr>
            <w:tcW w:w="77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 end of period</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310,762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360,943</w:t>
            </w:r>
          </w:p>
        </w:tc>
        <w:tc>
          <w:tcPr>
            <w:tcW w:w="25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6"/>
        </w:rPr>
      </w:pPr>
      <w:r>
        <w:rPr>
          <w:rFonts w:ascii="Times New Roman;Times;serif" w:hAnsi="Times New Roman;Times;serif"/>
          <w:sz w:val="16"/>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075" w:name="_4ed1065a_e9fb_485f_bac7_9ab29389e2b3"/>
      <w:bookmarkStart w:id="1076" w:name="_ee90efc1_e7c0_4408_a52e_97b68caffc1c"/>
      <w:bookmarkStart w:id="1077" w:name="_4ed1065a_e9fb_485f_bac7_9ab29389e2b3"/>
      <w:bookmarkStart w:id="1078" w:name="_ee90efc1_e7c0_4408_a52e_97b68caffc1c"/>
      <w:bookmarkEnd w:id="1077"/>
      <w:bookmarkEnd w:id="1078"/>
    </w:p>
    <w:tbl>
      <w:tblPr>
        <w:tblW w:w="5776" w:type="dxa"/>
        <w:jc w:val="left"/>
        <w:tblInd w:w="0" w:type="dxa"/>
        <w:tblLayout w:type="fixed"/>
        <w:tblCellMar>
          <w:top w:w="0" w:type="dxa"/>
          <w:left w:w="0" w:type="dxa"/>
          <w:bottom w:w="0" w:type="dxa"/>
          <w:right w:w="0" w:type="dxa"/>
        </w:tblCellMar>
      </w:tblPr>
      <w:tblGrid>
        <w:gridCol w:w="5776"/>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w:t>
            </w:r>
          </w:p>
        </w:tc>
      </w:tr>
      <w:tr>
        <w:trPr/>
        <w:tc>
          <w:tcPr>
            <w:tcW w:w="5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 except per share data)</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9" w:name="_Hlk78445138"/>
      <w:bookmarkStart w:id="1080" w:name="_Hlk78445093"/>
      <w:bookmarkStart w:id="1081" w:name="a1SUMMARYOFSIGNIFICANTACCOUNTINGPOLICIES"/>
      <w:bookmarkEnd w:id="1079"/>
      <w:bookmarkEnd w:id="1080"/>
      <w:bookmarkEnd w:id="1081"/>
      <w:r>
        <w:rPr>
          <w:rFonts w:ascii="Times New Roman;Times;serif" w:hAnsi="Times New Roman;Times;serif"/>
          <w:b/>
          <w:sz w:val="20"/>
        </w:rPr>
        <w:t>1.    SUMMARY OF SIGNIFICANT ACCOUNTING POLICIES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Nature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Inc. (“Vertex”) and its consolidated subsidiaries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Basis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are prepared in accordance with accounting principles generally accepted in the U.S. (“GAAP”) and include the accounts of the Company. All intercompany transactions have been eliminated in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30, 2024, the Company completed its acquisition of ecosio GmbH (“ecosio”). Upon its acquisition, ecosio became a wholly owned subsidiary of the Company, and its operations have been included in the Company’s condensed consolidated financial statements commencing on the acquisition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June 5, 2024, the Company owned an 80% controlling equity interest in Systax Sistemas Fiscais LTDA (“Systax”), a provider of Brazilian transaction tax content and software. Systax was determined to be a variable interest entity and the accounts were included in the condensed consolidated financial statements. Vertex did not have full decision-making authority over Systax; however, Vertex was the entity that most significantly participated in the variability of the fair value of Systax’s net assets and was considered the entity most closely associated to Systax. As such, Vertex was deemed the primary beneficiary of Systax and consolidated Systax into its condensed consolidated financial statements. On June 5, 2024, Vertex acquired the remaining 20% equity interest in Systax, resulting in Systax becoming a wholly owned subsidiary of the Company, and is consolidated into the condensed consolidated financial statements.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Unaudited Interim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GAAP have been condensed or omitted. Accordingly, these interim condensed consolidated financial statements should be read in conjunction with the audited consolidated financial statements and the related notes for the year ended December 31, 2024 included in the Company’s Annual Report on Form 10-K for the year ended December 31, 2024 (the “2024 Annual Report”) filed with the SEC on February 27, 2025. The condensed consolidated balance sheet as of December 31, 2024 has been derived from audited financial statements included in the 2024 Annual Report. The accompanying interim condensed consolidated balance sheet as of June 30, 2025, the interim condensed consolidated statements of comprehensive income (loss) and changes in stockholders’ equity for the three and six months ended June 30, 2025 and 2024, and the interim condensed consolidated statements of cash flows for the six months ended June 30, 2025 and 2024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six months ended June 30, 2025 are not necessarily indicative of the results expected for the full year ending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082" w:name="_e2d69f6c_286f_4fcd_a862_59719f3edddd"/>
      <w:bookmarkStart w:id="1083" w:name="_7842b8e2_fbe8_4f39_a32a_e0aecd5e54bd"/>
      <w:bookmarkStart w:id="1084" w:name="_1a3290b6_f6fd_43ef_9cf9_09ae5c82f50f"/>
      <w:bookmarkStart w:id="1085" w:name="_761f4ffa_bdaa_41a7_b7c6_5e85b17f6e4f"/>
      <w:bookmarkStart w:id="1086" w:name="_e2d69f6c_286f_4fcd_a862_59719f3edddd"/>
      <w:bookmarkStart w:id="1087" w:name="_7842b8e2_fbe8_4f39_a32a_e0aecd5e54bd"/>
      <w:bookmarkStart w:id="1088" w:name="_1a3290b6_f6fd_43ef_9cf9_09ae5c82f50f"/>
      <w:bookmarkStart w:id="1089" w:name="_761f4ffa_bdaa_41a7_b7c6_5e85b17f6e4f"/>
      <w:bookmarkEnd w:id="1086"/>
      <w:bookmarkEnd w:id="1087"/>
      <w:bookmarkEnd w:id="1088"/>
      <w:bookmarkEnd w:id="1089"/>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bookmarkStart w:id="1090" w:name="Tc_byy3mIJJykOUF_NaBrPnUQ_20_5"/>
      <w:bookmarkStart w:id="1091" w:name="Tc_TKxQUTIC8kSswQSV5BY8rQ_20_2"/>
      <w:bookmarkStart w:id="1092" w:name="Tc_NUvlOZfwEUSfU6vglyU4OA_20_0"/>
      <w:bookmarkStart w:id="1093" w:name="Tc_vN-AmHWtwk-aE2utDh1vhw_19_0"/>
      <w:bookmarkStart w:id="1094" w:name="Tc_OQ5eyAzrQ0auFw8-r0U23A_18_0"/>
      <w:bookmarkStart w:id="1095" w:name="Tc_d92IlGCYZUSLItblcaV6Ew_17_5"/>
      <w:bookmarkStart w:id="1096" w:name="Tc_nK_9i7YwPUaRMpzCTF7tOg_17_2"/>
      <w:bookmarkStart w:id="1097" w:name="Tc_iq-WErsyME6a39-jstvdZQ_17_0"/>
      <w:bookmarkStart w:id="1098" w:name="Tc_zd_DxyRkMUOJskFgrY7yVA_16_0"/>
      <w:bookmarkStart w:id="1099" w:name="Tc_je2voSa1pkKn3qnOjXW7AA_14_5"/>
      <w:bookmarkStart w:id="1100" w:name="Tc_ixBL2XJGlkaTrS8TYFT7zg_14_2"/>
      <w:bookmarkStart w:id="1101" w:name="Tc_yFI10twSWU-TGHtt3px6Kw_14_0"/>
      <w:bookmarkStart w:id="1102" w:name="Tc_WaLSV47gXkWWCT2LKqDNsg_13_0"/>
      <w:bookmarkStart w:id="1103" w:name="Tc_CI8tjkpj506H2UN04uxB4g_12_5"/>
      <w:bookmarkStart w:id="1104" w:name="Tc_OwTmTvWZJkOUerU3RSvrJg_12_2"/>
      <w:bookmarkStart w:id="1105" w:name="Tc_sWJ7mbgSb0-_oSERr7LCQA_12_0"/>
      <w:bookmarkStart w:id="1106" w:name="Tc_0mTgRnoPEEiUXg6PaDg9iA_11_0"/>
      <w:bookmarkStart w:id="1107" w:name="Tc_htVKC8fSn0uZhBEWTNWZKA_9_5"/>
      <w:bookmarkStart w:id="1108" w:name="Tc_l_U-5P0xxE6Yx1cqd7_5hQ_9_2"/>
      <w:bookmarkStart w:id="1109" w:name="Tc_CA63vY5ENUCdW7S2k8fhqg_9_0"/>
      <w:bookmarkStart w:id="1110" w:name="Tc_l1PuXxsE90uf5Pcoa3h5eQ_8_0"/>
      <w:bookmarkStart w:id="1111" w:name="Tc_Cy6uteOojkCvCwGjnV0UyA_7_0"/>
      <w:bookmarkStart w:id="1112" w:name="Tc_1ktT4_9MjEajbKPj5hxCyA_6_0"/>
      <w:bookmarkStart w:id="1113" w:name="Tc_4aLR5gOTxUabMi9DF441Jw_5_5"/>
      <w:bookmarkStart w:id="1114" w:name="Tc_WZbnReuEe0GGXyk3lwZLYw_5_2"/>
      <w:bookmarkStart w:id="1115" w:name="Tc_5frbJ5p0PUKYfxWEk5JsOw_5_0"/>
      <w:bookmarkStart w:id="1116" w:name="Tc_hul_67tZP0W0js3YR0f8Xg_4_0"/>
      <w:bookmarkStart w:id="1117" w:name="Tc_ypPy_ROFI02BjUREDuykpg_3_2"/>
      <w:bookmarkStart w:id="1118" w:name="Tc_pX7CrnBwQUuloDEcRKogUw_2_5"/>
      <w:bookmarkStart w:id="1119" w:name="Tc_jYgnosrDzUWTQbhJqLFFQQ_2_2"/>
      <w:bookmarkStart w:id="1120" w:name="Tc_W5S7JuNvJkyMgNjtqDWfgQ_1_6"/>
      <w:bookmarkStart w:id="1121" w:name="Tc_OaHZ1fzIKUGptoi569M3QQ_1_3"/>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r>
        <w:rPr>
          <w:rFonts w:ascii="Times New Roman;Times;serif" w:hAnsi="Times New Roman;Times;serif"/>
          <w:b/>
          <w:sz w:val="20"/>
        </w:rPr>
        <w:t>Use of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intangible assets, and capitalized cloud computing arrangement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fair value of contingent consideration liabilities related to cash and stock earn-out payments, contingent consideration and deferred purchase consideration liabilities associated with acquisitions; (xiii) measurements of long-term investment and warrant rights; and (xiv) the potential outcome of future tax consequences of events that have been recognized in the condensed consolidated financial statements or tax returns. Actual results may differ from these estimates. </w:t>
      </w:r>
    </w:p>
    <w:p>
      <w:pPr>
        <w:pStyle w:val="TextBody"/>
        <w:bidi w:val="0"/>
        <w:spacing w:before="0" w:after="0"/>
        <w:ind w:left="0" w:right="0" w:hanging="0"/>
        <w:jc w:val="both"/>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Supplemental Balance Sheet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balance sheet disclosures are as follows for the respective periods:</w:t>
      </w:r>
    </w:p>
    <w:p>
      <w:pPr>
        <w:pStyle w:val="TextBody"/>
        <w:bidi w:val="0"/>
        <w:spacing w:before="0" w:after="240"/>
        <w:ind w:left="0" w:right="0" w:firstLine="360"/>
        <w:jc w:val="both"/>
        <w:rPr/>
      </w:pPr>
      <w:r>
        <w:rPr/>
        <w:t>​</w:t>
      </w:r>
    </w:p>
    <w:tbl>
      <w:tblPr>
        <w:tblW w:w="8037" w:type="dxa"/>
        <w:jc w:val="left"/>
        <w:tblInd w:w="0" w:type="dxa"/>
        <w:tblLayout w:type="fixed"/>
        <w:tblCellMar>
          <w:top w:w="0" w:type="dxa"/>
          <w:left w:w="0" w:type="dxa"/>
          <w:bottom w:w="0" w:type="dxa"/>
          <w:right w:w="0" w:type="dxa"/>
        </w:tblCellMar>
      </w:tblPr>
      <w:tblGrid>
        <w:gridCol w:w="4396"/>
        <w:gridCol w:w="326"/>
        <w:gridCol w:w="211"/>
        <w:gridCol w:w="1186"/>
        <w:gridCol w:w="146"/>
        <w:gridCol w:w="211"/>
        <w:gridCol w:w="1561"/>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791460" cy="175260"/>
                      <wp:effectExtent l="0" t="0" r="0" b="0"/>
                      <wp:wrapNone/>
                      <wp:docPr id="49" name="Frame49"/>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53110" cy="175260"/>
                      <wp:effectExtent l="0" t="0" r="0" b="0"/>
                      <wp:wrapNone/>
                      <wp:docPr id="52" name="Frame5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92710" cy="175260"/>
                      <wp:effectExtent l="0" t="0" r="0" b="0"/>
                      <wp:wrapNone/>
                      <wp:docPr id="53" name="Frame5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91235" cy="175260"/>
                      <wp:effectExtent l="0" t="0" r="0" b="0"/>
                      <wp:wrapNone/>
                      <wp:docPr id="55" name="Frame5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center"/>
              <w:rPr/>
            </w:pPr>
            <w:r>
              <w:rPr/>
              <w:t>​</w:t>
            </w:r>
          </w:p>
        </w:tc>
        <w:tc>
          <w:tcPr>
            <w:tcW w:w="1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pPr>
            <w:r>
              <w:rPr/>
              <w:t>  </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15,223</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4,088</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licenses and support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15,879</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36,678</w:t>
            </w:r>
          </w:p>
        </w:tc>
      </w:tr>
      <w:tr>
        <w:trPr/>
        <w:tc>
          <w:tcPr>
            <w:tcW w:w="43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10,173</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14,073</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general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14,862</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contract labor and 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15,152</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 and other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35,169</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Cloud computing software implementation costs incurred in hosting arrangements are capitalized and included as a component of prepaid expenses and other current assets, or other assets, once available for their intended use. These costs are amortized using the straight-line method over their respective contract service periods, including periods covered by an option to extend, ranging from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Amortization expense for capitalized cloud computing implementation costs for the three and six months ended June 30, 2025 were $1,018 and $2,024, respectively, and for the three and six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months ended June 30, 2024 were $995 and $1,989, respectively, and are included in general and administrative expense in the condensed consolidated statements of comprehensive income (loss).</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Recently Issued Accounting Pronouncements </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Income Tax Disclosures</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2023, the Financial Accounting Standards Board (“FASB”) issued Accounting Standards Update (“ASU”) 2023-09, Income Taxes (Topic 740): Improvements to Income Tax Disclosures.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standard will be effective for annual periods in fiscal years beginning after December 15, 2024. The guidance will be applied on a prospective basis with the option to apply the standard retrospectively, and early adoption is permitted. The Company is continuing to assess the potential impacts of the standard and does not expect this pronouncement to have a material effect on its condensed consolidated financial statements, other than the required changes to the income tax disclosures.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 xml:space="preserve">Disaggregation of Income Statement Expenses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4, 2024, the FASB issued ASU 2024-03, Income Statement - Reporting Comprehensive Income - Expense Disaggregation Disclosures (Subtopic 220-40): Disaggregation of Income Statement Expenses. Entities will be required to provide disaggregation of certain expense captions into specified categories in disclosures within the footnotes to the financial statements for both interim and annual reporting periods. The standard does not change the expense captions that an entity presents on the face of the income statement. The standard will be effective for annual periods beginning after December 15, 2026, and for interim periods for fiscal years beginning after December 15, 2027, with early adoption permitted. Entities are required to adopt the standard prospectively; however, entities are permitted to apply the amendments retrospectively to any or all prior periods presented in the financial statements. The Company is continuing to assess the potential impacts of the standard and does not expect this pronouncement to have a material effect on its financial statements, other than the required changes to the disclosures.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122" w:name="Tc_JZOHaODinUSaBelj5WFfug_9_11"/>
      <w:bookmarkStart w:id="1123" w:name="Tc_8COKv5vjYkGrRw8eMlPmNw_9_8"/>
      <w:bookmarkStart w:id="1124" w:name="Tc_SRzAsbcjZkyfclxloyCVuQ_9_5"/>
      <w:bookmarkStart w:id="1125" w:name="Tc_swJb3kqjdUO_7zVM7EEQnA_9_2"/>
      <w:bookmarkStart w:id="1126" w:name="Tc_QaQolN4GXEqqEOdXmuMwtw_9_0"/>
      <w:bookmarkStart w:id="1127" w:name="Tc_p78K416uyU6pK1deqGRkcQ_8_0"/>
      <w:bookmarkStart w:id="1128" w:name="Tc_vQ9cdlPUCkK9G4hQfGD7Eg_7_0"/>
      <w:bookmarkStart w:id="1129" w:name="Tc_mf0t4GtFXkeSxGp1BaSXWA_6_0"/>
      <w:bookmarkStart w:id="1130" w:name="Tc_fBRHzR2cnkejMdbSNaVyPA_5_11"/>
      <w:bookmarkStart w:id="1131" w:name="Tc_u55qgKTyiUmmvFHjIFT1gw_5_8"/>
      <w:bookmarkStart w:id="1132" w:name="Tc_HZ-Nsh8rFkGiW5kkYCLDxQ_5_5"/>
      <w:bookmarkStart w:id="1133" w:name="Tc_SIGUkvuBFk-OegYQ-Ctf_g_5_2"/>
      <w:bookmarkStart w:id="1134" w:name="Tc_HW6iG7Ds4EeZy_WY5BM9oQ_5_0"/>
      <w:bookmarkStart w:id="1135" w:name="Tc_2BAgIKgn7k6aloHlwlLmeA_4_0"/>
      <w:bookmarkStart w:id="1136" w:name="Tc_rhE71EuCiU6LIS9HmdEkAA_3_8"/>
      <w:bookmarkStart w:id="1137" w:name="Tc_GAd4YvyES0aCGeL2dHHJdw_3_2"/>
      <w:bookmarkStart w:id="1138" w:name="Tc_EzTxatQ-BUCGgkGdLHZihA_2_11"/>
      <w:bookmarkStart w:id="1139" w:name="Tc_XcPiVYECj0-FnJkhP1JhUw_2_9"/>
      <w:bookmarkStart w:id="1140" w:name="Tc_W2i7lY5caUGCuXpAvCcsug_2_5"/>
      <w:bookmarkStart w:id="1141" w:name="Tc_I5Cm1DNWgE6hFHw4L_UWdA_2_3"/>
      <w:bookmarkStart w:id="1142" w:name="Tc_SJx3iWwUC0mDovvBfIms4Q_1_8"/>
      <w:bookmarkStart w:id="1143" w:name="Tc_wMRB8C_9j0y9VHXADLJnGw_1_2"/>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ascii="Times New Roman;Times;serif" w:hAnsi="Times New Roman;Times;serif"/>
          <w:b/>
          <w:sz w:val="20"/>
        </w:rPr>
        <w:t>2.     REVENUE RECOGNITION</w:t>
      </w:r>
    </w:p>
    <w:p>
      <w:pPr>
        <w:pStyle w:val="TextBody"/>
        <w:bidi w:val="0"/>
        <w:spacing w:before="0" w:after="240"/>
        <w:ind w:left="0" w:right="0" w:firstLine="360"/>
        <w:jc w:val="left"/>
        <w:rPr>
          <w:rFonts w:ascii="Times New Roman;Times;serif" w:hAnsi="Times New Roman;Times;serif"/>
          <w:b w:val="false"/>
          <w:i/>
          <w:sz w:val="20"/>
        </w:rPr>
      </w:pPr>
      <w:r>
        <w:rPr>
          <w:rFonts w:ascii="Times New Roman;Times;serif" w:hAnsi="Times New Roman;Times;serif"/>
          <w:b w:val="false"/>
          <w:i/>
          <w:sz w:val="20"/>
        </w:rPr>
        <w:t>Disaggregation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reflects revenue by major source for the following periods:</w:t>
      </w:r>
    </w:p>
    <w:p>
      <w:pPr>
        <w:pStyle w:val="TextBody"/>
        <w:bidi w:val="0"/>
        <w:spacing w:before="0" w:after="0"/>
        <w:ind w:left="0" w:right="0" w:hanging="0"/>
        <w:jc w:val="left"/>
        <w:rPr/>
      </w:pPr>
      <w:r>
        <w:rPr/>
        <w:t>​</w:t>
      </w:r>
    </w:p>
    <w:tbl>
      <w:tblPr>
        <w:tblW w:w="7398" w:type="dxa"/>
        <w:jc w:val="left"/>
        <w:tblInd w:w="0" w:type="dxa"/>
        <w:tblLayout w:type="fixed"/>
        <w:tblCellMar>
          <w:top w:w="0" w:type="dxa"/>
          <w:left w:w="0" w:type="dxa"/>
          <w:bottom w:w="0" w:type="dxa"/>
          <w:right w:w="0" w:type="dxa"/>
        </w:tblCellMar>
      </w:tblPr>
      <w:tblGrid>
        <w:gridCol w:w="2011"/>
        <w:gridCol w:w="326"/>
        <w:gridCol w:w="211"/>
        <w:gridCol w:w="781"/>
        <w:gridCol w:w="326"/>
        <w:gridCol w:w="211"/>
        <w:gridCol w:w="781"/>
        <w:gridCol w:w="326"/>
        <w:gridCol w:w="211"/>
        <w:gridCol w:w="781"/>
        <w:gridCol w:w="326"/>
        <w:gridCol w:w="211"/>
        <w:gridCol w:w="89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76985" cy="175260"/>
                      <wp:effectExtent l="0" t="0" r="0" b="0"/>
                      <wp:wrapNone/>
                      <wp:docPr id="56" name="Frame56"/>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260"/>
                      <wp:effectExtent l="0" t="0" r="0" b="0"/>
                      <wp:wrapNone/>
                      <wp:docPr id="59" name="Frame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260"/>
                      <wp:effectExtent l="0" t="0" r="0" b="0"/>
                      <wp:wrapNone/>
                      <wp:docPr id="62" name="Frame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68960" cy="175260"/>
                      <wp:effectExtent l="0" t="0" r="0" b="0"/>
                      <wp:wrapNone/>
                      <wp:docPr id="68" name="Frame6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    </w:t>
            </w:r>
          </w:p>
        </w:tc>
        <w:tc>
          <w:tcPr>
            <w:tcW w:w="24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9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    </w:t>
            </w:r>
          </w:p>
        </w:tc>
        <w:tc>
          <w:tcPr>
            <w:tcW w:w="24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0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licenses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70,098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140,092</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subscriptions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66,345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128,181</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136,443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268,273</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49,612</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317,885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bookmarkStart w:id="1144" w:name="Tc_0s0DX8aaxkiiqF44SS0Sew_5_5"/>
      <w:bookmarkStart w:id="1145" w:name="Tc_X5cgVKTPe0mkUyPYyehxIw_5_2"/>
      <w:bookmarkStart w:id="1146" w:name="Tc_LSoRxjXe4UqUWL0I7nZSnQ_5_0"/>
      <w:bookmarkStart w:id="1147" w:name="Tc_43iXi1vS90KbfQRaR8WLEw_4_0"/>
      <w:bookmarkStart w:id="1148" w:name="Tc_crwLooDLkkmpDvkUNH9w-g_3_5"/>
      <w:bookmarkStart w:id="1149" w:name="Tc_oM4cVE88_UGIc4nMscotjw_3_2"/>
      <w:bookmarkStart w:id="1150" w:name="Tc_LUnTTbeNQkuZxmxiJ6Edew_3_0"/>
      <w:bookmarkStart w:id="1151" w:name="Tc_jRtOomhPbU6NWxfvX7I3Ww_2_2"/>
      <w:bookmarkStart w:id="1152" w:name="Tc_R1UDagg84k2LygsgsxeDaQ_1_5"/>
      <w:bookmarkStart w:id="1153" w:name="Tc_dkQONRlNxk6R0GGNzfybHQ_1_2"/>
      <w:bookmarkEnd w:id="1144"/>
      <w:bookmarkEnd w:id="1145"/>
      <w:bookmarkEnd w:id="1146"/>
      <w:bookmarkEnd w:id="1147"/>
      <w:bookmarkEnd w:id="1148"/>
      <w:bookmarkEnd w:id="1149"/>
      <w:bookmarkEnd w:id="1150"/>
      <w:bookmarkEnd w:id="1151"/>
      <w:bookmarkEnd w:id="1152"/>
      <w:bookmarkEnd w:id="1153"/>
      <w:r>
        <w:rPr>
          <w:rFonts w:ascii="Times New Roman;Times;serif" w:hAnsi="Times New Roman;Times;serif"/>
          <w:i/>
          <w:sz w:val="20"/>
        </w:rPr>
        <w:t>Contract balances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$16,389 and $16,838 at June 30, 2025 and December 31, 2024, respectively. The allowance for potentially uncollectible accounts represents future expected credit losses over the life of the receivables based on past experience, current information and forward-looking economic considerations.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accounts receivable, net of allowance, are as follows:</w:t>
      </w:r>
    </w:p>
    <w:p>
      <w:pPr>
        <w:pStyle w:val="TextBody"/>
        <w:bidi w:val="0"/>
        <w:spacing w:before="0" w:after="0"/>
        <w:ind w:left="0" w:right="0" w:hanging="0"/>
        <w:jc w:val="left"/>
        <w:rPr/>
      </w:pPr>
      <w:r>
        <w:rPr/>
        <w:t>​</w:t>
      </w:r>
    </w:p>
    <w:tbl>
      <w:tblPr>
        <w:tblW w:w="8773" w:type="dxa"/>
        <w:jc w:val="left"/>
        <w:tblInd w:w="0" w:type="dxa"/>
        <w:tblLayout w:type="fixed"/>
        <w:tblCellMar>
          <w:top w:w="0" w:type="dxa"/>
          <w:left w:w="0" w:type="dxa"/>
          <w:bottom w:w="0" w:type="dxa"/>
          <w:right w:w="0" w:type="dxa"/>
        </w:tblCellMar>
      </w:tblPr>
      <w:tblGrid>
        <w:gridCol w:w="2491"/>
        <w:gridCol w:w="109"/>
        <w:gridCol w:w="633"/>
        <w:gridCol w:w="2352"/>
        <w:gridCol w:w="109"/>
        <w:gridCol w:w="621"/>
        <w:gridCol w:w="2304"/>
        <w:gridCol w:w="15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581785" cy="175260"/>
                      <wp:effectExtent l="0" t="0" r="0" b="0"/>
                      <wp:wrapNone/>
                      <wp:docPr id="69" name="Frame69"/>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01955" cy="175260"/>
                      <wp:effectExtent l="0" t="0" r="0" b="0"/>
                      <wp:wrapNone/>
                      <wp:docPr id="71" name="Frame71"/>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93520" cy="175260"/>
                      <wp:effectExtent l="0" t="0" r="0" b="0"/>
                      <wp:wrapNone/>
                      <wp:docPr id="72" name="Frame72"/>
                      <a:graphic xmlns:a="http://schemas.openxmlformats.org/drawingml/2006/main">
                        <a:graphicData uri="http://schemas.microsoft.com/office/word/2010/wordprocessingShape">
                          <wps:wsp>
                            <wps:cNvSpPr txBox="1"/>
                            <wps:spPr>
                              <a:xfrm>
                                <a:off x="0" y="0"/>
                                <a:ext cx="149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4335" cy="175260"/>
                      <wp:effectExtent l="0" t="0" r="0" b="0"/>
                      <wp:wrapNone/>
                      <wp:docPr id="74" name="Frame74"/>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63040" cy="175260"/>
                      <wp:effectExtent l="0" t="0" r="0" b="0"/>
                      <wp:wrapNone/>
                      <wp:docPr id="75" name="Frame75"/>
                      <a:graphic xmlns:a="http://schemas.openxmlformats.org/drawingml/2006/main">
                        <a:graphicData uri="http://schemas.microsoft.com/office/word/2010/wordprocessingShape">
                          <wps:wsp>
                            <wps:cNvSpPr txBox="1"/>
                            <wps:spPr>
                              <a:xfrm>
                                <a:off x="0" y="0"/>
                                <a:ext cx="146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7790" cy="175260"/>
                      <wp:effectExtent l="0" t="0" r="0" b="0"/>
                      <wp:wrapNone/>
                      <wp:docPr id="76" name="Frame7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9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2025</w:t>
            </w:r>
          </w:p>
        </w:tc>
        <w:tc>
          <w:tcPr>
            <w:tcW w:w="109" w:type="dxa"/>
            <w:tcBorders/>
            <w:vAlign w:val="center"/>
          </w:tcPr>
          <w:p>
            <w:pPr>
              <w:pStyle w:val="TableContents"/>
              <w:bidi w:val="0"/>
              <w:spacing w:before="0" w:after="1"/>
              <w:ind w:left="0" w:right="0" w:hanging="0"/>
              <w:jc w:val="center"/>
              <w:rPr/>
            </w:pPr>
            <w:r>
              <w:rPr/>
              <w:t>​</w:t>
            </w:r>
          </w:p>
        </w:tc>
        <w:tc>
          <w:tcPr>
            <w:tcW w:w="2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9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621" w:type="dxa"/>
            <w:tcBorders/>
            <w:vAlign w:val="center"/>
          </w:tcPr>
          <w:p>
            <w:pPr>
              <w:pStyle w:val="TableContents"/>
              <w:bidi w:val="0"/>
              <w:spacing w:before="0" w:after="1"/>
              <w:ind w:left="0" w:right="0" w:hanging="0"/>
              <w:jc w:val="center"/>
              <w:rPr/>
            </w:pPr>
            <w:r>
              <w:rPr/>
              <w:t>​</w:t>
            </w:r>
          </w:p>
        </w:tc>
        <w:tc>
          <w:tcPr>
            <w:tcW w:w="2304"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164,432</w:t>
            </w:r>
          </w:p>
        </w:tc>
        <w:tc>
          <w:tcPr>
            <w:tcW w:w="109" w:type="dxa"/>
            <w:tcBorders/>
            <w:shd w:fill="CCEEFF" w:val="clear"/>
            <w:vAlign w:val="center"/>
          </w:tcPr>
          <w:p>
            <w:pPr>
              <w:pStyle w:val="TableContents"/>
              <w:bidi w:val="0"/>
              <w:spacing w:before="0" w:after="1"/>
              <w:ind w:left="0" w:right="0" w:hanging="0"/>
              <w:jc w:val="left"/>
              <w:rPr/>
            </w:pPr>
            <w:r>
              <w:rPr/>
              <w:t>​</w:t>
            </w:r>
          </w:p>
        </w:tc>
        <w:tc>
          <w:tcPr>
            <w:tcW w:w="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141,752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1"/>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3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143,660</w:t>
            </w:r>
          </w:p>
        </w:tc>
        <w:tc>
          <w:tcPr>
            <w:tcW w:w="109" w:type="dxa"/>
            <w:tcBorders/>
            <w:vAlign w:val="center"/>
          </w:tcPr>
          <w:p>
            <w:pPr>
              <w:pStyle w:val="TableContents"/>
              <w:bidi w:val="0"/>
              <w:spacing w:before="0" w:after="1"/>
              <w:ind w:left="0" w:right="0" w:hanging="0"/>
              <w:jc w:val="left"/>
              <w:rPr/>
            </w:pPr>
            <w:r>
              <w:rPr/>
              <w:t>​</w:t>
            </w:r>
          </w:p>
        </w:tc>
        <w:tc>
          <w:tcPr>
            <w:tcW w:w="6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3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164,432</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w:t>
            </w:r>
          </w:p>
        </w:tc>
        <w:tc>
          <w:tcPr>
            <w:tcW w:w="109" w:type="dxa"/>
            <w:tcBorders/>
            <w:shd w:fill="CCEEFF" w:val="clear"/>
            <w:vAlign w:val="center"/>
          </w:tcPr>
          <w:p>
            <w:pPr>
              <w:pStyle w:val="TableContents"/>
              <w:bidi w:val="0"/>
              <w:spacing w:before="0" w:after="1"/>
              <w:ind w:left="0" w:right="0" w:hanging="0"/>
              <w:jc w:val="left"/>
              <w:rPr/>
            </w:pPr>
            <w:r>
              <w:rPr/>
              <w:t>​</w:t>
            </w:r>
          </w:p>
        </w:tc>
        <w:tc>
          <w:tcPr>
            <w:tcW w:w="6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(20,772)</w:t>
            </w:r>
          </w:p>
        </w:tc>
        <w:tc>
          <w:tcPr>
            <w:tcW w:w="109" w:type="dxa"/>
            <w:tcBorders/>
            <w:shd w:fill="CCEEFF" w:val="clear"/>
            <w:vAlign w:val="center"/>
          </w:tcPr>
          <w:p>
            <w:pPr>
              <w:pStyle w:val="TableContents"/>
              <w:bidi w:val="0"/>
              <w:spacing w:before="0" w:after="1"/>
              <w:ind w:left="0" w:right="0" w:hanging="0"/>
              <w:jc w:val="left"/>
              <w:rPr/>
            </w:pPr>
            <w:r>
              <w:rPr/>
              <w:t>​</w:t>
            </w:r>
          </w:p>
        </w:tc>
        <w:tc>
          <w:tcPr>
            <w:tcW w:w="6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22,680</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 contract liability is recorded as deferred revenue on the condensed consolidated balance sheets when customers are billed in advance of performance obligations being satisfied, and revenue is recognized after invoicing ratably over the subscription period. Deferred revenue is included net of a related deferred allowance for subscription cancellations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bookmarkStart w:id="1154" w:name="Tc_EC8BSqp_UUWxdtnhE0_Csg_8_11"/>
      <w:bookmarkStart w:id="1155" w:name="Tc_C4vRfGK1OUGYXMTamIO48w_8_8"/>
      <w:bookmarkStart w:id="1156" w:name="Tc_9TjYnAI0f0-bywBJtEDrkg_8_5"/>
      <w:bookmarkStart w:id="1157" w:name="Tc___SZ-5E690-rnkWRHAyYoA_8_2"/>
      <w:bookmarkStart w:id="1158" w:name="Tc_CuVfk87CYkO8iELOsUeP8g_8_0"/>
      <w:bookmarkStart w:id="1159" w:name="Tc_vGCXITKqdEumCp4oIu_0cw_7_0"/>
      <w:bookmarkStart w:id="1160" w:name="Tc_iv-TbBkRXE6IVtKsJiT8tw_6_0"/>
      <w:bookmarkStart w:id="1161" w:name="Tc_b7o3aco4AECW0CDRCReiGA_5_11"/>
      <w:bookmarkStart w:id="1162" w:name="Tc_xzpt3PmfiECX6K9xXJYVVw_5_8"/>
      <w:bookmarkStart w:id="1163" w:name="Tc_r1YuqZF6RUqoZKOyySHBxA_5_5"/>
      <w:bookmarkStart w:id="1164" w:name="Tc_d0c-bli_Z066tr1bcKhy4g_5_2"/>
      <w:bookmarkStart w:id="1165" w:name="Tc_Mr8rvXO790uF42aDeVTM7g_5_0"/>
      <w:bookmarkStart w:id="1166" w:name="Tc_dhxuAoZFXUST7lcH5Ia13Q_4_0"/>
      <w:bookmarkStart w:id="1167" w:name="Tc_WVxFlOw_pUmcEYVcGeOycw_3_8"/>
      <w:bookmarkStart w:id="1168" w:name="Tc_qR4FQF_8iUWlULa9V0ZVrw_3_2"/>
      <w:bookmarkStart w:id="1169" w:name="Tc_fRsVSqGsFEG5pKdv40xdyQ_2_11"/>
      <w:bookmarkStart w:id="1170" w:name="Tc_bG0CCe5MP0OICCakFpQ0Sg_2_8"/>
      <w:bookmarkStart w:id="1171" w:name="Tc_pGe_vjfT1EmOaCLjsp4_iA_2_5"/>
      <w:bookmarkStart w:id="1172" w:name="Tc_DCWnJP2Gc0Gd3gPxNfEYUQ_2_2"/>
      <w:bookmarkStart w:id="1173" w:name="Tc_gdRk3ePkpkWBooYWKsjOBw_1_8"/>
      <w:bookmarkStart w:id="1174" w:name="Tc_D-epS_D3vk6sHuwOdnblsA_1_2"/>
      <w:bookmarkStart w:id="1175" w:name="_322db969_9af5_4826_a799_82c46ebd4e82"/>
      <w:bookmarkStart w:id="1176" w:name="Tc_L4r3Fuua0EiYKddIyC_rgw_23_11"/>
      <w:bookmarkStart w:id="1177" w:name="Tc_RgCiub_ZE0SloqGekS0kDA_23_5"/>
      <w:bookmarkStart w:id="1178" w:name="Tc_tJxT2cjdf0K1Qwi9tJPolg_23_0"/>
      <w:bookmarkStart w:id="1179" w:name="Tc_2sAd4LHgbUKLYts_Q3tNig_22_0"/>
      <w:bookmarkStart w:id="1180" w:name="Tc_SFboOa4hDkOpy75TrDfeLw_21_0"/>
      <w:bookmarkStart w:id="1181" w:name="Tc_6CKsIa7Fn0-ihBRY01Rf0g_20_0"/>
      <w:bookmarkStart w:id="1182" w:name="Tc_kje5EL1SIEeR8G-1MkbejQ_19_11"/>
      <w:bookmarkStart w:id="1183" w:name="Tc_QjbifnzMKEqb1eI4RI6qdg_19_5"/>
      <w:bookmarkStart w:id="1184" w:name="Tc_Cxr4jP106kKpC4IkbYHxWQ_19_0"/>
      <w:bookmarkStart w:id="1185" w:name="Tc_akDBz8EfJEKoVe06W8i-ww_18_0"/>
      <w:bookmarkStart w:id="1186" w:name="Tc_D7eTGHJVUkyULWV2lXdQHw_17_8"/>
      <w:bookmarkStart w:id="1187" w:name="Tc_nPV1WCZWwkWuor4o2pzuOg_17_2"/>
      <w:bookmarkStart w:id="1188" w:name="Tc_xgr-OQWfU02s8uzA9jaSoQ_17_0"/>
      <w:bookmarkStart w:id="1189" w:name="Tc_BBSBNQ-fkUKVb15OfaUsUQ_16_2"/>
      <w:bookmarkStart w:id="1190" w:name="Tc_QMPu5lpbV0Gv7Feim6DShA_15_12"/>
      <w:bookmarkStart w:id="1191" w:name="Tc_sXH6cKZoakS_pZja6RtWvQ_15_8"/>
      <w:bookmarkStart w:id="1192" w:name="Tc_CsfA-eFciE-vIgeEbne6fg_15_6"/>
      <w:bookmarkStart w:id="1193" w:name="Tc_7SsMx4khhEah0JOQaM2eSw_15_2"/>
      <w:bookmarkStart w:id="1194" w:name="Tc_215COAgOIEic02g1zoZ63A_14_8"/>
      <w:bookmarkStart w:id="1195" w:name="Tc_XtdVSb_Ehku7LQDFRWrkUA_14_2"/>
      <w:bookmarkStart w:id="1196" w:name="Tc_AbhaY_ds5UGnplQM5fsy6g_13_2"/>
      <w:bookmarkStart w:id="1197" w:name="Tc_aQKK3GI1S0OyarqUt533wQ_11_11"/>
      <w:bookmarkStart w:id="1198" w:name="Tc_lhCa2QK5Mk6mGtpbN5lX6w_11_5"/>
      <w:bookmarkStart w:id="1199" w:name="Tc_sdUHyrQzX0C1h_GvV2BVUQ_11_0"/>
      <w:bookmarkStart w:id="1200" w:name="Tc_w4WuAWKaEkmFaqNjA14gXQ_10_0"/>
      <w:bookmarkStart w:id="1201" w:name="Tc_Eh9mPsyf80uo5rEMMMJb_A_9_0"/>
      <w:bookmarkStart w:id="1202" w:name="Tc_BJov9aIOiUCkJDxVVhov3g_8_0"/>
      <w:bookmarkStart w:id="1203" w:name="Tc_kA3jYFhLjECH6yxieS73cw_7_11"/>
      <w:bookmarkStart w:id="1204" w:name="Tc_jV-j51iJbESCm2gYKwRseg_7_5"/>
      <w:bookmarkStart w:id="1205" w:name="Tc_ZwENEMXGsk2Y_AVzjbjFuQ_7_0"/>
      <w:bookmarkStart w:id="1206" w:name="Tc_Oc_hVne_LUWmevSYxkJ4NA_6_0"/>
      <w:bookmarkStart w:id="1207" w:name="Tc_lLS6cDHMKkykadWjhNuhHA_5_8"/>
      <w:bookmarkStart w:id="1208" w:name="Tc_WvMxoQjDH0Kze0eOqFyx_A_5_2"/>
      <w:bookmarkStart w:id="1209" w:name="Tc_JGHrh7zSCE6rJ9AyOUCe6Q_5_0"/>
      <w:bookmarkStart w:id="1210" w:name="Tc_potBXubQvUyznEkVJhHSow_4_2"/>
      <w:bookmarkStart w:id="1211" w:name="Tc_5KZZEDS75EOByLdNaMmldg_3_12"/>
      <w:bookmarkStart w:id="1212" w:name="Tc_4pwflDaaUUS32Twzw_VoEw_3_8"/>
      <w:bookmarkStart w:id="1213" w:name="Tc_QEWY5IpgTUm9txgIWGg8uw_3_6"/>
      <w:bookmarkStart w:id="1214" w:name="Tc_ALnAy7xeKEuCtOr67sTvRA_3_2"/>
      <w:bookmarkStart w:id="1215" w:name="Tc_nLyXkvESiUG5dd9znFPyPg_2_8"/>
      <w:bookmarkStart w:id="1216" w:name="Tc_PGwoQ4sLeEK6fa8m9zhNbA_2_2"/>
      <w:bookmarkStart w:id="1217" w:name="Tc_jnUFzidPcUG5PRql8MNCNg_1_2"/>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r>
        <w:rPr/>
        <w:t>“</w:t>
      </w:r>
      <w:r>
        <w:rPr>
          <w:rFonts w:ascii="Times New Roman;Times;serif" w:hAnsi="Times New Roman;Times;serif"/>
          <w:sz w:val="20"/>
        </w:rPr>
        <w:t>deferred allowance”) of $11,661 and $12,028 at June 30, 2025 and December 31, 2024, respectively. The deferred allowance represents the portion of the allowance for subscription cancellations associated with deferred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and changes to the allowance and the deferred allowance are as follows:</w:t>
      </w:r>
    </w:p>
    <w:p>
      <w:pPr>
        <w:pStyle w:val="TextBody"/>
        <w:bidi w:val="0"/>
        <w:spacing w:before="0" w:after="240"/>
        <w:ind w:left="0" w:right="0" w:firstLine="360"/>
        <w:jc w:val="both"/>
        <w:rPr/>
      </w:pPr>
      <w:r>
        <w:rPr/>
        <w:t>​</w:t>
      </w:r>
    </w:p>
    <w:tbl>
      <w:tblPr>
        <w:tblW w:w="8806" w:type="dxa"/>
        <w:jc w:val="left"/>
        <w:tblInd w:w="0" w:type="dxa"/>
        <w:tblLayout w:type="fixed"/>
        <w:tblCellMar>
          <w:top w:w="0" w:type="dxa"/>
          <w:left w:w="0" w:type="dxa"/>
          <w:bottom w:w="0" w:type="dxa"/>
          <w:right w:w="0" w:type="dxa"/>
        </w:tblCellMar>
      </w:tblPr>
      <w:tblGrid>
        <w:gridCol w:w="3316"/>
        <w:gridCol w:w="109"/>
        <w:gridCol w:w="211"/>
        <w:gridCol w:w="796"/>
        <w:gridCol w:w="326"/>
        <w:gridCol w:w="211"/>
        <w:gridCol w:w="961"/>
        <w:gridCol w:w="326"/>
        <w:gridCol w:w="211"/>
        <w:gridCol w:w="796"/>
        <w:gridCol w:w="326"/>
        <w:gridCol w:w="211"/>
        <w:gridCol w:w="100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05660" cy="175260"/>
                      <wp:effectExtent l="0" t="0" r="0" b="0"/>
                      <wp:wrapNone/>
                      <wp:docPr id="77" name="Frame77"/>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5460" cy="175260"/>
                      <wp:effectExtent l="0" t="0" r="0" b="0"/>
                      <wp:wrapNone/>
                      <wp:docPr id="80" name="Frame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10235" cy="175260"/>
                      <wp:effectExtent l="0" t="0" r="0" b="0"/>
                      <wp:wrapNone/>
                      <wp:docPr id="83" name="Frame8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05460" cy="175260"/>
                      <wp:effectExtent l="0" t="0" r="0" b="0"/>
                      <wp:wrapNone/>
                      <wp:docPr id="86" name="Frame8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38810" cy="175260"/>
                      <wp:effectExtent l="0" t="0" r="0" b="0"/>
                      <wp:wrapNone/>
                      <wp:docPr id="89" name="Frame8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8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r>
      <w:tr>
        <w:trPr/>
        <w:tc>
          <w:tcPr>
            <w:tcW w:w="880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8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balance, April 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balance, June 30,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allowance balance, April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allowance balance, June 30,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8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r>
      <w:tr>
        <w:trPr/>
        <w:tc>
          <w:tcPr>
            <w:tcW w:w="880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8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balance, January 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balance, June 30,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allowance balance, January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allowance balance, June 30,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portion of deferred revenue expected to be recognized in revenue beyond one year is included in deferred revenue, net of current portion in the condensed consolidated balance sheets. The following table provides information about the balances of and changes to deferred revenue for the following periods:</w:t>
      </w:r>
    </w:p>
    <w:p>
      <w:pPr>
        <w:pStyle w:val="TextBody"/>
        <w:bidi w:val="0"/>
        <w:spacing w:before="0" w:after="0"/>
        <w:ind w:left="0" w:right="0" w:hanging="0"/>
        <w:jc w:val="left"/>
        <w:rPr/>
      </w:pPr>
      <w:r>
        <w:rPr/>
        <w:t>​</w:t>
      </w:r>
    </w:p>
    <w:tbl>
      <w:tblPr>
        <w:tblW w:w="8661" w:type="dxa"/>
        <w:jc w:val="left"/>
        <w:tblInd w:w="0" w:type="dxa"/>
        <w:tblLayout w:type="fixed"/>
        <w:tblCellMar>
          <w:top w:w="0" w:type="dxa"/>
          <w:left w:w="0" w:type="dxa"/>
          <w:bottom w:w="0" w:type="dxa"/>
          <w:right w:w="0" w:type="dxa"/>
        </w:tblCellMar>
      </w:tblPr>
      <w:tblGrid>
        <w:gridCol w:w="2491"/>
        <w:gridCol w:w="326"/>
        <w:gridCol w:w="232"/>
        <w:gridCol w:w="991"/>
        <w:gridCol w:w="358"/>
        <w:gridCol w:w="232"/>
        <w:gridCol w:w="991"/>
        <w:gridCol w:w="326"/>
        <w:gridCol w:w="220"/>
        <w:gridCol w:w="943"/>
        <w:gridCol w:w="341"/>
        <w:gridCol w:w="220"/>
        <w:gridCol w:w="990"/>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581785" cy="175260"/>
                      <wp:effectExtent l="0" t="0" r="0" b="0"/>
                      <wp:wrapNone/>
                      <wp:docPr id="90" name="Frame90"/>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7320" cy="175260"/>
                      <wp:effectExtent l="0" t="0" r="0" b="0"/>
                      <wp:wrapNone/>
                      <wp:docPr id="92" name="Frame9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29285" cy="175260"/>
                      <wp:effectExtent l="0" t="0" r="0" b="0"/>
                      <wp:wrapNone/>
                      <wp:docPr id="93" name="Frame9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7330" cy="175260"/>
                      <wp:effectExtent l="0" t="0" r="0" b="0"/>
                      <wp:wrapNone/>
                      <wp:docPr id="94" name="Frame9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7320" cy="175260"/>
                      <wp:effectExtent l="0" t="0" r="0" b="0"/>
                      <wp:wrapNone/>
                      <wp:docPr id="95" name="Frame9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29285" cy="175260"/>
                      <wp:effectExtent l="0" t="0" r="0" b="0"/>
                      <wp:wrapNone/>
                      <wp:docPr id="96" name="Frame9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9700" cy="175260"/>
                      <wp:effectExtent l="0" t="0" r="0" b="0"/>
                      <wp:wrapNone/>
                      <wp:docPr id="98" name="Frame9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98805" cy="175260"/>
                      <wp:effectExtent l="0" t="0" r="0" b="0"/>
                      <wp:wrapNone/>
                      <wp:docPr id="99" name="Frame99"/>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6535" cy="175260"/>
                      <wp:effectExtent l="0" t="0" r="0" b="0"/>
                      <wp:wrapNone/>
                      <wp:docPr id="100" name="Frame100"/>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9700" cy="175260"/>
                      <wp:effectExtent l="0" t="0" r="0" b="0"/>
                      <wp:wrapNone/>
                      <wp:docPr id="101" name="Frame10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28650" cy="175260"/>
                      <wp:effectExtent l="0" t="0" r="0" b="0"/>
                      <wp:wrapNone/>
                      <wp:docPr id="102" name="Frame102"/>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26" w:type="dxa"/>
            <w:tcBorders/>
            <w:vAlign w:val="center"/>
          </w:tcPr>
          <w:p>
            <w:pPr>
              <w:pStyle w:val="TableContents"/>
              <w:bidi w:val="0"/>
              <w:spacing w:before="0" w:after="0"/>
              <w:ind w:left="0" w:right="0" w:hanging="0"/>
              <w:jc w:val="left"/>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8" w:type="dxa"/>
            <w:tcBorders/>
            <w:vAlign w:val="center"/>
          </w:tcPr>
          <w:p>
            <w:pPr>
              <w:pStyle w:val="TableContents"/>
              <w:bidi w:val="0"/>
              <w:spacing w:before="0" w:after="0"/>
              <w:ind w:left="0" w:right="0" w:hanging="0"/>
              <w:jc w:val="left"/>
              <w:rPr/>
            </w:pPr>
            <w:r>
              <w:rPr/>
              <w:t>​</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1" w:type="dxa"/>
            <w:tcBorders/>
            <w:vAlign w:val="center"/>
          </w:tcPr>
          <w:p>
            <w:pPr>
              <w:pStyle w:val="TableContents"/>
              <w:bidi w:val="0"/>
              <w:spacing w:before="0" w:after="0"/>
              <w:ind w:left="0" w:right="0" w:hanging="0"/>
              <w:jc w:val="left"/>
              <w:rPr/>
            </w:pPr>
            <w:r>
              <w:rPr/>
              <w:t>​</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66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27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4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to deferred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  </w:t>
            </w:r>
          </w:p>
        </w:tc>
        <w:tc>
          <w:tcPr>
            <w:tcW w:w="358"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  </w:t>
            </w:r>
          </w:p>
        </w:tc>
        <w:tc>
          <w:tcPr>
            <w:tcW w:w="341"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354,897</w:t>
            </w:r>
          </w:p>
        </w:tc>
        <w:tc>
          <w:tcPr>
            <w:tcW w:w="358"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300,991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344,166</w:t>
            </w:r>
          </w:p>
        </w:tc>
        <w:tc>
          <w:tcPr>
            <w:tcW w:w="341"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292,720</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amounts deferred</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176,912</w:t>
            </w:r>
          </w:p>
        </w:tc>
        <w:tc>
          <w:tcPr>
            <w:tcW w:w="35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159,854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364,705</w:t>
            </w:r>
          </w:p>
        </w:tc>
        <w:tc>
          <w:tcPr>
            <w:tcW w:w="341"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324,906</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recognized</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358"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(161,104)</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341"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(317,885)</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347,250</w:t>
            </w:r>
          </w:p>
        </w:tc>
        <w:tc>
          <w:tcPr>
            <w:tcW w:w="358"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299,741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347,250</w:t>
            </w:r>
          </w:p>
        </w:tc>
        <w:tc>
          <w:tcPr>
            <w:tcW w:w="341"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299,741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val="false"/>
          <w:i/>
          <w:sz w:val="20"/>
        </w:rPr>
      </w:pPr>
      <w:bookmarkStart w:id="1218" w:name="Tc_eRuomKo6Ykuh4OfujwVFBw_8_11"/>
      <w:bookmarkStart w:id="1219" w:name="Tc_BOQvcXqLSkKeKA3weTecpg_8_8"/>
      <w:bookmarkStart w:id="1220" w:name="Tc_luJj6e6qcky9Q0ujvhfN0g_8_5"/>
      <w:bookmarkStart w:id="1221" w:name="Tc_nUJA7nvYBUuRpcDKMfIKpw_8_2"/>
      <w:bookmarkStart w:id="1222" w:name="Tc_lnqnmllR20eGEh39ppmGUg_8_0"/>
      <w:bookmarkStart w:id="1223" w:name="Tc_iaenx92LwEeeNewAA9x_YQ_7_0"/>
      <w:bookmarkStart w:id="1224" w:name="Tc_bHmEh9eay0ae-InkBq68Lg_6_0"/>
      <w:bookmarkStart w:id="1225" w:name="Tc_860AWfUx-UmXeC4d91yEzg_5_11"/>
      <w:bookmarkStart w:id="1226" w:name="Tc_kVrGe17fe02aiBVTWwjZ-w_5_8"/>
      <w:bookmarkStart w:id="1227" w:name="Tc_8IKZgiHqUkWDWz3Nf70hCg_5_5"/>
      <w:bookmarkStart w:id="1228" w:name="Tc_DYcmM_0Qw0C_4OzGiYAKrg_5_2"/>
      <w:bookmarkStart w:id="1229" w:name="Tc_LknYcS5ubEKyIfPMhvqulQ_5_0"/>
      <w:bookmarkStart w:id="1230" w:name="Tc_70eS1FmuZUK0zcGtG27mLw_4_0"/>
      <w:bookmarkStart w:id="1231" w:name="Tc_pAb5Vt5MjUOdBKVsxWNGwA_3_8"/>
      <w:bookmarkStart w:id="1232" w:name="Tc_Mi6mRcEpMUWCq73I52byHg_3_2"/>
      <w:bookmarkStart w:id="1233" w:name="Tc_QC3ootnd4kGvVynA8EbftA_2_11"/>
      <w:bookmarkStart w:id="1234" w:name="Tc_jovAgDIkXkur-GKzGfOPjQ_2_8"/>
      <w:bookmarkStart w:id="1235" w:name="Tc_QhIBA-lz2EOnXpBqOgUQTA_2_5"/>
      <w:bookmarkStart w:id="1236" w:name="Tc_m2V0TLIWmECNHAIpafGI_Q_2_2"/>
      <w:bookmarkStart w:id="1237" w:name="Tc_Awqx24bzzEycDiIRxMsrWA_1_8"/>
      <w:bookmarkStart w:id="1238" w:name="Tc_TG-7vgYM6UqAhQ6luI_4FQ_1_2"/>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Pr>
          <w:rFonts w:ascii="Times New Roman;Times;serif" w:hAnsi="Times New Roman;Times;serif"/>
          <w:b w:val="false"/>
          <w:i/>
          <w:sz w:val="20"/>
        </w:rPr>
        <w:t>Contract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included as deferred commissions in the condensed consolidated balance sheets. These contract costs are amortized on a straight-line basis over a period consistent with the transfer of the associated product and services to the customer,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Amortization of these costs are included in selling and marketing expense in the condensed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changes to contract cost balances as of and for the following periods are:</w:t>
      </w:r>
      <w:r>
        <w:rPr>
          <w:rFonts w:ascii="Times New Roman;Times;serif" w:hAnsi="Times New Roman;Times;serif"/>
          <w:color w:val="FF0000"/>
          <w:sz w:val="20"/>
        </w:rPr>
        <w:t xml:space="preserve"> </w:t>
      </w:r>
    </w:p>
    <w:p>
      <w:pPr>
        <w:pStyle w:val="TextBody"/>
        <w:bidi w:val="0"/>
        <w:spacing w:before="0" w:after="0"/>
        <w:ind w:left="0" w:right="0" w:hanging="0"/>
        <w:jc w:val="left"/>
        <w:rPr/>
      </w:pPr>
      <w:r>
        <w:rPr/>
        <w:t>​</w:t>
      </w:r>
    </w:p>
    <w:tbl>
      <w:tblPr>
        <w:tblW w:w="8135" w:type="dxa"/>
        <w:jc w:val="left"/>
        <w:tblInd w:w="0" w:type="dxa"/>
        <w:tblLayout w:type="fixed"/>
        <w:tblCellMar>
          <w:top w:w="0" w:type="dxa"/>
          <w:left w:w="0" w:type="dxa"/>
          <w:bottom w:w="0" w:type="dxa"/>
          <w:right w:w="0" w:type="dxa"/>
        </w:tblCellMar>
      </w:tblPr>
      <w:tblGrid>
        <w:gridCol w:w="1966"/>
        <w:gridCol w:w="326"/>
        <w:gridCol w:w="277"/>
        <w:gridCol w:w="910"/>
        <w:gridCol w:w="429"/>
        <w:gridCol w:w="277"/>
        <w:gridCol w:w="910"/>
        <w:gridCol w:w="326"/>
        <w:gridCol w:w="245"/>
        <w:gridCol w:w="925"/>
        <w:gridCol w:w="379"/>
        <w:gridCol w:w="245"/>
        <w:gridCol w:w="920"/>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8410" cy="175260"/>
                      <wp:effectExtent l="0" t="0" r="0" b="0"/>
                      <wp:wrapNone/>
                      <wp:docPr id="103" name="Frame103"/>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75895" cy="175260"/>
                      <wp:effectExtent l="0" t="0" r="0" b="0"/>
                      <wp:wrapNone/>
                      <wp:docPr id="105" name="Frame10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77850" cy="175260"/>
                      <wp:effectExtent l="0" t="0" r="0" b="0"/>
                      <wp:wrapNone/>
                      <wp:docPr id="106" name="Frame106"/>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72415" cy="175260"/>
                      <wp:effectExtent l="0" t="0" r="0" b="0"/>
                      <wp:wrapNone/>
                      <wp:docPr id="107" name="Frame107"/>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75895" cy="175260"/>
                      <wp:effectExtent l="0" t="0" r="0" b="0"/>
                      <wp:wrapNone/>
                      <wp:docPr id="108" name="Frame10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77850" cy="175260"/>
                      <wp:effectExtent l="0" t="0" r="0" b="0"/>
                      <wp:wrapNone/>
                      <wp:docPr id="109" name="Frame109"/>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55575" cy="175260"/>
                      <wp:effectExtent l="0" t="0" r="0" b="0"/>
                      <wp:wrapNone/>
                      <wp:docPr id="111" name="Frame11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87375" cy="175260"/>
                      <wp:effectExtent l="0" t="0" r="0" b="0"/>
                      <wp:wrapNone/>
                      <wp:docPr id="112" name="Frame112"/>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0665" cy="175260"/>
                      <wp:effectExtent l="0" t="0" r="0" b="0"/>
                      <wp:wrapNone/>
                      <wp:docPr id="113" name="Frame11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5575" cy="175260"/>
                      <wp:effectExtent l="0" t="0" r="0" b="0"/>
                      <wp:wrapNone/>
                      <wp:docPr id="114" name="Frame11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84200" cy="175260"/>
                      <wp:effectExtent l="0" t="0" r="0" b="0"/>
                      <wp:wrapNone/>
                      <wp:docPr id="115" name="Frame115"/>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26" w:type="dxa"/>
            <w:tcBorders/>
            <w:vAlign w:val="center"/>
          </w:tcPr>
          <w:p>
            <w:pPr>
              <w:pStyle w:val="TableContents"/>
              <w:bidi w:val="0"/>
              <w:spacing w:before="0" w:after="0"/>
              <w:ind w:left="0" w:right="0" w:hanging="0"/>
              <w:jc w:val="left"/>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9"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9" w:type="dxa"/>
            <w:tcBorders/>
            <w:vAlign w:val="center"/>
          </w:tcPr>
          <w:p>
            <w:pPr>
              <w:pStyle w:val="TableContents"/>
              <w:bidi w:val="0"/>
              <w:spacing w:before="0" w:after="0"/>
              <w:ind w:left="0" w:right="0" w:hanging="0"/>
              <w:jc w:val="left"/>
              <w:rPr/>
            </w:pPr>
            <w:r>
              <w:rPr/>
              <w:t>​</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13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27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9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right"/>
              <w:rPr/>
            </w:pPr>
            <w:r>
              <w:rPr/>
              <w:t>​</w:t>
            </w:r>
          </w:p>
        </w:tc>
        <w:tc>
          <w:tcPr>
            <w:tcW w:w="910" w:type="dxa"/>
            <w:tcBorders/>
            <w:shd w:fill="CCEEFF" w:val="clear"/>
            <w:vAlign w:val="center"/>
          </w:tcPr>
          <w:p>
            <w:pPr>
              <w:pStyle w:val="TableContents"/>
              <w:bidi w:val="0"/>
              <w:spacing w:before="0" w:after="0"/>
              <w:ind w:left="0" w:right="0" w:hanging="0"/>
              <w:jc w:val="right"/>
              <w:rPr/>
            </w:pPr>
            <w:r>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right"/>
              <w:rPr/>
            </w:pPr>
            <w:r>
              <w:rPr/>
              <w:t>​</w:t>
            </w:r>
          </w:p>
        </w:tc>
        <w:tc>
          <w:tcPr>
            <w:tcW w:w="925" w:type="dxa"/>
            <w:tcBorders/>
            <w:shd w:fill="CCEEFF" w:val="clear"/>
            <w:vAlign w:val="center"/>
          </w:tcPr>
          <w:p>
            <w:pPr>
              <w:pStyle w:val="TableContents"/>
              <w:bidi w:val="0"/>
              <w:spacing w:before="0" w:after="0"/>
              <w:ind w:left="0" w:right="0" w:hanging="0"/>
              <w:jc w:val="right"/>
              <w:rPr/>
            </w:pPr>
            <w:r>
              <w:rPr/>
              <w:t>  </w:t>
            </w:r>
          </w:p>
        </w:tc>
        <w:tc>
          <w:tcPr>
            <w:tcW w:w="379"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  </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27,535</w:t>
            </w:r>
          </w:p>
        </w:tc>
        <w:tc>
          <w:tcPr>
            <w:tcW w:w="42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21,301</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27,480</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21,237</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5,922</w:t>
            </w:r>
          </w:p>
        </w:tc>
        <w:tc>
          <w:tcPr>
            <w:tcW w:w="42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4,785</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10,979</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8,769</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(5,720)</w:t>
            </w:r>
          </w:p>
        </w:tc>
        <w:tc>
          <w:tcPr>
            <w:tcW w:w="42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(4,224)</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(10,722)</w:t>
            </w:r>
          </w:p>
        </w:tc>
        <w:tc>
          <w:tcPr>
            <w:tcW w:w="37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(8,144)</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27,737</w:t>
            </w:r>
          </w:p>
        </w:tc>
        <w:tc>
          <w:tcPr>
            <w:tcW w:w="42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21,862</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27,737</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21,862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239" w:name="_9kMHG5YVt39A689Jj"/>
      <w:bookmarkEnd w:id="1239"/>
      <w:r>
        <w:rPr>
          <w:rFonts w:ascii="Times New Roman;Times;serif" w:hAnsi="Times New Roman;Times;serif"/>
          <w:b/>
          <w:sz w:val="20"/>
        </w:rPr>
        <w:t xml:space="preserve">3.      INVESTMENTS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2025, the Company entered into a Preferred Stock Purchase Agreement (the “Purchase Agreement”) with Kintsugi AI, Inc. (“Kintsugi”), a San Francisco-based, AI startup focused on automating sales tax compliance for small and mid-size businesses (the “Kintsugi Investment”). The Company completed the Kintsugi Investment with the goal of expanding use of AI in its tax software solutions to deliver new innovations to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Pursuant to the Purchase Agreement, the Company purchased 1,568 preferred shares (the “Preferred Stock”) for aggregate consideration of approximately $15,000 (the “Purchase Price”), representing approximately 10% of the fully diluted shares outstanding of Kintsugi on an “as converted” basis, and received a warrant to purchase 320 shares of Kintsugi’s Class A common stock at a price of $0.01 per share (the “Warrant”). The Warrant will vest subject to Kintsugi failing to achieve a certain annualized recurring monthly revenue threshold as of January 15,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and Kintsugi also entered into a license and intellectual property sharing arrangement (the “License Agreement”) providing for, among other things, the Company’s use of and collaboration with respect to certain of Kintsugi’s intellectual property. Additionally, the Company has designated one member to Kintsugi’s board of directors.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accordance with ASC 805-50-30-3, the Company allocated the full Purchase Price to the value of the Preferred Stock as the fair value of both the Warrant and the License Agreement were determined to be nil.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classified the Preferred Stock as an equity security under ASC 321, Investments – Equity Securities. As Kintsugi is a privately held company without a readily determinable fair value, the Preferred Stock qualifies for the measurement alternative under ASC 321 and is measured at cost, less impairment, subject to upward and downward adjustments resulting from observable price changes for identical or similar investments of the same issuer. These adjustments require quantitative assessments of the fair value, which may require the use of unobservable inputs,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considers to be Level 3 measurements under the fair value hierarchy. The Company performs a qualitative assessment each reporting period to identify indicators of impairment. No observable price change or impairment adjustments have been recorded for the three or six months ended June 30, 2025. The $15,000 carrying value of the Kintsugi Investment is presented in the long-term investment line in the condensed consolidated balance sheets. </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Warrant was determined by third-party valuation specialists using a Monte Carlo simulation in a risk-neutral framework calibrated to management’s revenue forecasts. The following assumptions were used: expected revenue volatility of 24.5%, equity volatility of  75.0%, a revenue discount rate of 7.2%,  and expected term of 0.8 years.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transaction costs associated with the Kintsugi Investment are recorded in other operating expense (income), net in the consolidated statements of comprehensive income (loss) and amounts are not material.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240" w:name="Tc_mDmet4VuiEWgG0p_RVAg3w_15_9"/>
      <w:bookmarkStart w:id="1241" w:name="Tc_zyG9dEhpM0urHalvPQqeUw_15_6"/>
      <w:bookmarkStart w:id="1242" w:name="Tc_cNsZ1XiyTUS0pcnGc2qNBw_15_0"/>
      <w:bookmarkStart w:id="1243" w:name="Tc_GtKWi8xDNEqabxNid7T0RQ_14_9"/>
      <w:bookmarkStart w:id="1244" w:name="Tc_wjvAFiTbikOQUswaGkN9-w_14_6"/>
      <w:bookmarkStart w:id="1245" w:name="Tc_MfYp2RAltUOKEcZZq4WvRw_14_0"/>
      <w:bookmarkStart w:id="1246" w:name="Tc_3Hp6RDgBkky3g_P8juFo9g_13_12"/>
      <w:bookmarkStart w:id="1247" w:name="Tc_k621Ch9v7EiA_suLi0wmpA_13_6"/>
      <w:bookmarkStart w:id="1248" w:name="Tc_-h53cCCueUGEMoFfvIb2NQ_13_0"/>
      <w:bookmarkStart w:id="1249" w:name="Tc_n2FL4JgCIU-8Qw-PB47G8w_12_12"/>
      <w:bookmarkStart w:id="1250" w:name="Tc_Ol7Vp0CqRkOIz0W0B0aSzg_12_6"/>
      <w:bookmarkStart w:id="1251" w:name="Tc_UsZ38N5YwEiQQ9skLVV5fQ_12_0"/>
      <w:bookmarkStart w:id="1252" w:name="Tc_kg0NaelvZUy12gH5blDkhw_11_12"/>
      <w:bookmarkStart w:id="1253" w:name="Tc_pmn8ssZiOEysDe1h9f6DNA_11_6"/>
      <w:bookmarkStart w:id="1254" w:name="Tc_4SBF9U9crEKqI_thgqHQhg_11_0"/>
      <w:bookmarkStart w:id="1255" w:name="Tc_Izb0bECy102EZUCHdwT9Og_10_12"/>
      <w:bookmarkStart w:id="1256" w:name="Tc_gqnQcuvJeEmr5xuDeqbkBQ_10_11"/>
      <w:bookmarkStart w:id="1257" w:name="Tc_VJk_fyPD70mmV-Z4BuvfXA_10_9"/>
      <w:bookmarkStart w:id="1258" w:name="Tc_0qcWGYB3fkGrrURz9bh0wQ_10_8"/>
      <w:bookmarkStart w:id="1259" w:name="Tc_X4uUPQXM8kWuScrqEIsWNQ_10_5"/>
      <w:bookmarkStart w:id="1260" w:name="Tc_8bSebGRGnE2CxU4MKJ4qZA_10_2"/>
      <w:bookmarkStart w:id="1261" w:name="Tc_TnDbHaY5p06ZzXMh4bxfig_10_0"/>
      <w:bookmarkStart w:id="1262" w:name="Tc_0rkUH_FYPEysYx0wuGS6cA_9_11"/>
      <w:bookmarkStart w:id="1263" w:name="Tc_nvbB2NGgyE6aOcgziNZ17g_9_8"/>
      <w:bookmarkStart w:id="1264" w:name="Tc_t5X16z6efkSe5f4eUAhKQQ_9_5"/>
      <w:bookmarkStart w:id="1265" w:name="Tc_pCqbAu1GoE-A-rc95v6KEA_9_2"/>
      <w:bookmarkStart w:id="1266" w:name="Tc_cfIaHUeVg0OBEQU81HBt0g_9_0"/>
      <w:bookmarkStart w:id="1267" w:name="Tc_raIDlXxZBE-1lrl4UdCYbw_8_2"/>
      <w:bookmarkStart w:id="1268" w:name="Tc_BocnJ9xuD0Sr4OHykIqJ3Q_6_9"/>
      <w:bookmarkStart w:id="1269" w:name="Tc_J93ZYTINXUOjm5-d09oymg_6_6"/>
      <w:bookmarkStart w:id="1270" w:name="Tc_2DXj7zJ4SU-7EVdDdD2TMQ_6_0"/>
      <w:bookmarkStart w:id="1271" w:name="Tc_1XKhxe-wMUeNERC2-X7_Ow_5_9"/>
      <w:bookmarkStart w:id="1272" w:name="Tc_nnBIVNQrP0e8JuOkQjivGw_5_6"/>
      <w:bookmarkStart w:id="1273" w:name="Tc_N5p3RThzZEqk6EVTf4RcHA_5_0"/>
      <w:bookmarkStart w:id="1274" w:name="Tc_3fQkhQ8PpESvJDnTJF44Wg_4_9"/>
      <w:bookmarkStart w:id="1275" w:name="Tc_ylsB7tooekGnm1e09-fQcg_4_6"/>
      <w:bookmarkStart w:id="1276" w:name="Tc_UdSxEGlHAEWEigkckIf4OQ_4_0"/>
      <w:bookmarkStart w:id="1277" w:name="Tc_eNAurL5oR0idRdGAZ2ydwA_3_12"/>
      <w:bookmarkStart w:id="1278" w:name="Tc_6lzwDq8HPUmNDP7PAUlBtg_3_11"/>
      <w:bookmarkStart w:id="1279" w:name="Tc_HFvHgKJzNEir3QZl0tmICQ_3_9"/>
      <w:bookmarkStart w:id="1280" w:name="Tc_YQddFiQvl0yz3Lj9uux9_Q_3_8"/>
      <w:bookmarkStart w:id="1281" w:name="Tc_aeWQJ59B0kWT-f72qbXMtg_3_5"/>
      <w:bookmarkStart w:id="1282" w:name="Tc_ghcJNKLBsUS5y3mMLEuJaw_3_2"/>
      <w:bookmarkStart w:id="1283" w:name="Tc__PnQ96BibEe-gmUnH-PQwA_3_0"/>
      <w:bookmarkStart w:id="1284" w:name="Tc_3R5QseSCfkyxXzBy0vJ0MA_2_11"/>
      <w:bookmarkStart w:id="1285" w:name="Tc_L6FVXZXDLEOQ-dzwDx2xFg_2_8"/>
      <w:bookmarkStart w:id="1286" w:name="Tc_cGA_THqlnkmE67a7QvFS_w_2_5"/>
      <w:bookmarkStart w:id="1287" w:name="Tc_rK1cmxjimUG6PGJwgWc-Aw_2_2"/>
      <w:bookmarkStart w:id="1288" w:name="Tc_mPA6o0FD4kysq9Xnk2wdTQ_2_0"/>
      <w:bookmarkStart w:id="1289" w:name="Tc_QCAip4IC2k65-eFuuSOlLg_1_2"/>
      <w:bookmarkStart w:id="1290" w:name="_Hlk71285014"/>
      <w:bookmarkStart w:id="1291" w:name="_Hlk71703622"/>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r>
        <w:rPr>
          <w:rFonts w:ascii="Times New Roman;Times;serif" w:hAnsi="Times New Roman;Times;serif"/>
          <w:b/>
          <w:sz w:val="20"/>
        </w:rPr>
        <w:t xml:space="preserve">4.      FINANCIAL INSTRUMENTS AND FAIR VALUE MEASUREMENTS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Assets and Liabilities Measured at Fair Value on a Recurring Basis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Company’s fair value for its financial assets and liabilities measured at fair value on a recurring basis: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7"/>
        <w:gridCol w:w="109"/>
        <w:gridCol w:w="211"/>
        <w:gridCol w:w="781"/>
        <w:gridCol w:w="326"/>
        <w:gridCol w:w="527"/>
        <w:gridCol w:w="1954"/>
        <w:gridCol w:w="326"/>
        <w:gridCol w:w="479"/>
        <w:gridCol w:w="1297"/>
        <w:gridCol w:w="326"/>
        <w:gridCol w:w="372"/>
        <w:gridCol w:w="1410"/>
      </w:tblGrid>
      <w:tr>
        <w:trPr/>
        <w:tc>
          <w:tcPr>
            <w:tcW w:w="2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25245" cy="175260"/>
                      <wp:effectExtent l="0" t="0" r="0" b="0"/>
                      <wp:wrapNone/>
                      <wp:docPr id="116" name="Frame116"/>
                      <a:graphic xmlns:a="http://schemas.openxmlformats.org/drawingml/2006/main">
                        <a:graphicData uri="http://schemas.microsoft.com/office/word/2010/wordprocessingShape">
                          <wps:wsp>
                            <wps:cNvSpPr txBox="1"/>
                            <wps:spPr>
                              <a:xfrm>
                                <a:off x="0" y="0"/>
                                <a:ext cx="1325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95935" cy="175260"/>
                      <wp:effectExtent l="0" t="0" r="0" b="0"/>
                      <wp:wrapNone/>
                      <wp:docPr id="119"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34645" cy="175260"/>
                      <wp:effectExtent l="0" t="0" r="0" b="0"/>
                      <wp:wrapNone/>
                      <wp:docPr id="121" name="Frame121"/>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40790" cy="175260"/>
                      <wp:effectExtent l="0" t="0" r="0" b="0"/>
                      <wp:wrapNone/>
                      <wp:docPr id="122" name="Frame122"/>
                      <a:graphic xmlns:a="http://schemas.openxmlformats.org/drawingml/2006/main">
                        <a:graphicData uri="http://schemas.microsoft.com/office/word/2010/wordprocessingShape">
                          <wps:wsp>
                            <wps:cNvSpPr txBox="1"/>
                            <wps:spPr>
                              <a:xfrm>
                                <a:off x="0" y="0"/>
                                <a:ext cx="1240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04165" cy="175260"/>
                      <wp:effectExtent l="0" t="0" r="0" b="0"/>
                      <wp:wrapNone/>
                      <wp:docPr id="124" name="Frame124"/>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23595" cy="175260"/>
                      <wp:effectExtent l="0" t="0" r="0" b="0"/>
                      <wp:wrapNone/>
                      <wp:docPr id="125" name="Frame125"/>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36220" cy="175260"/>
                      <wp:effectExtent l="0" t="0" r="0" b="0"/>
                      <wp:wrapNone/>
                      <wp:docPr id="127" name="Frame12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95350" cy="175260"/>
                      <wp:effectExtent l="0" t="0" r="0" b="0"/>
                      <wp:wrapNone/>
                      <wp:docPr id="128" name="Frame128"/>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0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0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June 30, 2025 (unaudited)</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4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vAlign w:val="center"/>
          </w:tcPr>
          <w:p>
            <w:pPr>
              <w:pStyle w:val="TableContents"/>
              <w:bidi w:val="0"/>
              <w:spacing w:before="0" w:after="1"/>
              <w:ind w:left="0" w:right="0" w:hanging="0"/>
              <w:jc w:val="left"/>
              <w:rPr/>
            </w:pPr>
            <w:r>
              <w:rPr/>
              <w:t>    </w:t>
            </w:r>
          </w:p>
        </w:tc>
        <w:tc>
          <w:tcPr>
            <w:tcW w:w="17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vAlign w:val="center"/>
          </w:tcPr>
          <w:p>
            <w:pPr>
              <w:pStyle w:val="TableContents"/>
              <w:bidi w:val="0"/>
              <w:spacing w:before="0" w:after="1"/>
              <w:ind w:left="0" w:right="0" w:hanging="0"/>
              <w:jc w:val="left"/>
              <w:rPr/>
            </w:pPr>
            <w:r>
              <w:rPr/>
              <w:t>    </w:t>
            </w:r>
          </w:p>
        </w:tc>
        <w:tc>
          <w:tcPr>
            <w:tcW w:w="1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2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252,658</w:t>
            </w:r>
          </w:p>
        </w:tc>
        <w:tc>
          <w:tcPr>
            <w:tcW w:w="32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252,658</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shd w:fill="CCEEFF" w:val="clear"/>
            <w:vAlign w:val="center"/>
          </w:tcPr>
          <w:p>
            <w:pPr>
              <w:pStyle w:val="TableContents"/>
              <w:bidi w:val="0"/>
              <w:spacing w:before="0" w:after="1"/>
              <w:ind w:left="0" w:right="0" w:hanging="0"/>
              <w:jc w:val="right"/>
              <w:rPr/>
            </w:pPr>
            <w:r>
              <w:rPr/>
              <w:t>—</w:t>
            </w:r>
          </w:p>
        </w:tc>
      </w:tr>
      <w:tr>
        <w:trPr/>
        <w:tc>
          <w:tcPr>
            <w:tcW w:w="2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Cash Earn-outs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77,900</w:t>
            </w:r>
          </w:p>
        </w:tc>
        <w:tc>
          <w:tcPr>
            <w:tcW w:w="32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c>
          <w:tcPr>
            <w:tcW w:w="19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w:t>
            </w:r>
          </w:p>
        </w:tc>
        <w:tc>
          <w:tcPr>
            <w:tcW w:w="12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77,900</w:t>
            </w:r>
          </w:p>
        </w:tc>
      </w:tr>
      <w:tr>
        <w:trPr/>
        <w:tc>
          <w:tcPr>
            <w:tcW w:w="2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Stock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32,200</w:t>
            </w:r>
          </w:p>
        </w:tc>
        <w:tc>
          <w:tcPr>
            <w:tcW w:w="32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pPr>
            <w:r>
              <w:rPr/>
              <w:t>​</w:t>
            </w:r>
          </w:p>
        </w:tc>
        <w:tc>
          <w:tcPr>
            <w:tcW w:w="19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shd w:fill="CCEEFF" w:val="clear"/>
            <w:vAlign w:val="center"/>
          </w:tcPr>
          <w:p>
            <w:pPr>
              <w:pStyle w:val="TableContents"/>
              <w:bidi w:val="0"/>
              <w:spacing w:before="0" w:after="1"/>
              <w:ind w:left="0" w:right="0" w:hanging="0"/>
              <w:jc w:val="left"/>
              <w:rPr/>
            </w:pPr>
            <w:r>
              <w:rPr/>
              <w:t>​</w:t>
            </w:r>
          </w:p>
        </w:tc>
        <w:tc>
          <w:tcPr>
            <w:tcW w:w="12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32,200</w:t>
            </w:r>
          </w:p>
        </w:tc>
      </w:tr>
      <w:tr>
        <w:trPr/>
        <w:tc>
          <w:tcPr>
            <w:tcW w:w="2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Investment (See Note 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c>
          <w:tcPr>
            <w:tcW w:w="19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w:t>
            </w:r>
          </w:p>
        </w:tc>
        <w:tc>
          <w:tcPr>
            <w:tcW w:w="12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2087"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c>
          <w:tcPr>
            <w:tcW w:w="19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w:t>
            </w:r>
          </w:p>
        </w:tc>
        <w:tc>
          <w:tcPr>
            <w:tcW w:w="12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left"/>
              <w:rPr/>
            </w:pPr>
            <w:r>
              <w:rPr/>
              <w:t>​</w:t>
            </w:r>
          </w:p>
        </w:tc>
      </w:tr>
      <w:tr>
        <w:trPr/>
        <w:tc>
          <w:tcPr>
            <w:tcW w:w="20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0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0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2024</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4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vAlign w:val="center"/>
          </w:tcPr>
          <w:p>
            <w:pPr>
              <w:pStyle w:val="TableContents"/>
              <w:bidi w:val="0"/>
              <w:spacing w:before="0" w:after="1"/>
              <w:ind w:left="0" w:right="0" w:hanging="0"/>
              <w:jc w:val="left"/>
              <w:rPr/>
            </w:pPr>
            <w:r>
              <w:rPr/>
              <w:t>    </w:t>
            </w:r>
          </w:p>
        </w:tc>
        <w:tc>
          <w:tcPr>
            <w:tcW w:w="17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vAlign w:val="center"/>
          </w:tcPr>
          <w:p>
            <w:pPr>
              <w:pStyle w:val="TableContents"/>
              <w:bidi w:val="0"/>
              <w:spacing w:before="0" w:after="1"/>
              <w:ind w:left="0" w:right="0" w:hanging="0"/>
              <w:jc w:val="left"/>
              <w:rPr/>
            </w:pPr>
            <w:r>
              <w:rPr/>
              <w:t>    </w:t>
            </w:r>
          </w:p>
        </w:tc>
        <w:tc>
          <w:tcPr>
            <w:tcW w:w="1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2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276,374</w:t>
            </w:r>
          </w:p>
        </w:tc>
        <w:tc>
          <w:tcPr>
            <w:tcW w:w="32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276,374</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shd w:fill="CCEEFF" w:val="clear"/>
            <w:vAlign w:val="center"/>
          </w:tcPr>
          <w:p>
            <w:pPr>
              <w:pStyle w:val="TableContents"/>
              <w:bidi w:val="0"/>
              <w:spacing w:before="0" w:after="1"/>
              <w:ind w:left="0" w:right="0" w:hanging="0"/>
              <w:jc w:val="right"/>
              <w:rPr/>
            </w:pPr>
            <w:r>
              <w:rPr/>
              <w:t>—</w:t>
            </w:r>
          </w:p>
        </w:tc>
      </w:tr>
      <w:tr>
        <w:trPr/>
        <w:tc>
          <w:tcPr>
            <w:tcW w:w="2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32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c>
          <w:tcPr>
            <w:tcW w:w="19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w:t>
            </w:r>
          </w:p>
        </w:tc>
        <w:tc>
          <w:tcPr>
            <w:tcW w:w="12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326"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pPr>
            <w:r>
              <w:rPr/>
              <w:t>—</w:t>
            </w:r>
          </w:p>
        </w:tc>
      </w:tr>
      <w:tr>
        <w:trPr/>
        <w:tc>
          <w:tcPr>
            <w:tcW w:w="2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pPr>
            <w:r>
              <w:rPr/>
              <w:t>​</w:t>
            </w:r>
          </w:p>
        </w:tc>
        <w:tc>
          <w:tcPr>
            <w:tcW w:w="19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shd w:fill="CCEEFF" w:val="clear"/>
            <w:vAlign w:val="center"/>
          </w:tcPr>
          <w:p>
            <w:pPr>
              <w:pStyle w:val="TableContents"/>
              <w:bidi w:val="0"/>
              <w:spacing w:before="0" w:after="1"/>
              <w:ind w:left="0" w:right="0" w:hanging="0"/>
              <w:jc w:val="left"/>
              <w:rPr/>
            </w:pPr>
            <w:r>
              <w:rPr/>
              <w:t>​</w:t>
            </w:r>
          </w:p>
        </w:tc>
        <w:tc>
          <w:tcPr>
            <w:tcW w:w="12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pPr>
            <w:r>
              <w:rPr/>
              <w:t>—</w:t>
            </w:r>
          </w:p>
        </w:tc>
      </w:tr>
      <w:tr>
        <w:trPr/>
        <w:tc>
          <w:tcPr>
            <w:tcW w:w="2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c>
          <w:tcPr>
            <w:tcW w:w="32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c>
          <w:tcPr>
            <w:tcW w:w="19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w:t>
            </w:r>
          </w:p>
        </w:tc>
        <w:tc>
          <w:tcPr>
            <w:tcW w:w="12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c>
          <w:tcPr>
            <w:tcW w:w="326"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pPr>
            <w:r>
              <w:rPr/>
              <w:t>—</w:t>
            </w:r>
          </w:p>
        </w:tc>
      </w:tr>
      <w:tr>
        <w:trPr/>
        <w:tc>
          <w:tcPr>
            <w:tcW w:w="2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Cash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32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pPr>
            <w:r>
              <w:rPr/>
              <w:t>​</w:t>
            </w:r>
          </w:p>
        </w:tc>
        <w:tc>
          <w:tcPr>
            <w:tcW w:w="19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shd w:fill="CCEEFF" w:val="clear"/>
            <w:vAlign w:val="center"/>
          </w:tcPr>
          <w:p>
            <w:pPr>
              <w:pStyle w:val="TableContents"/>
              <w:bidi w:val="0"/>
              <w:spacing w:before="0" w:after="1"/>
              <w:ind w:left="0" w:right="0" w:hanging="0"/>
              <w:jc w:val="left"/>
              <w:rPr/>
            </w:pPr>
            <w:r>
              <w:rPr/>
              <w:t>​</w:t>
            </w:r>
          </w:p>
        </w:tc>
        <w:tc>
          <w:tcPr>
            <w:tcW w:w="12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r>
      <w:tr>
        <w:trPr/>
        <w:tc>
          <w:tcPr>
            <w:tcW w:w="2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Stock Earn-outs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c>
          <w:tcPr>
            <w:tcW w:w="32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c>
          <w:tcPr>
            <w:tcW w:w="19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w:t>
            </w:r>
          </w:p>
        </w:tc>
        <w:tc>
          <w:tcPr>
            <w:tcW w:w="12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48,100</w:t>
            </w:r>
          </w:p>
        </w:tc>
      </w:tr>
    </w:tbl>
    <w:p>
      <w:pPr>
        <w:pStyle w:val="TextBody"/>
        <w:bidi w:val="0"/>
        <w:spacing w:before="0" w:after="240"/>
        <w:ind w:left="0" w:right="0" w:firstLine="360"/>
        <w:jc w:val="both"/>
        <w:rPr/>
      </w:pPr>
      <w:r>
        <w:rPr/>
        <w:t>​</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investments in high quality, short-term money market instruments, which are issued and payable in U.S. dollars (“Money Market Funds”) and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the Company had additional</w:t>
      </w:r>
      <w:r>
        <w:rPr>
          <w:rFonts w:ascii="Times New Roman;Times;serif" w:hAnsi="Times New Roman;Times;serif"/>
          <w:color w:val="FF0000"/>
          <w:sz w:val="20"/>
        </w:rPr>
        <w:t xml:space="preserve"> </w:t>
      </w:r>
      <w:r>
        <w:rPr>
          <w:rFonts w:ascii="Times New Roman;Times;serif" w:hAnsi="Times New Roman;Times;serif"/>
          <w:sz w:val="20"/>
        </w:rPr>
        <w:t>investments in bank and corporate issued commercial paper (“Commercial Paper”), corporate bonds (“Corporate Bonds”),</w:t>
      </w:r>
      <w:r>
        <w:rPr>
          <w:rFonts w:ascii="Times New Roman;Times;serif" w:hAnsi="Times New Roman;Times;serif"/>
          <w:color w:val="FF0000"/>
          <w:sz w:val="20"/>
        </w:rPr>
        <w:t xml:space="preserve"> </w:t>
      </w:r>
      <w:r>
        <w:rPr>
          <w:rFonts w:ascii="Times New Roman;Times;serif" w:hAnsi="Times New Roman;Times;serif"/>
          <w:sz w:val="20"/>
        </w:rPr>
        <w:t xml:space="preserve">and U.S. treasury securities (“U.S. Treasury Securities”). The Company believes that Level 2 designation was appropriate for these securities under Accounting Standards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Codification  (“ASC”) 820-10, Fair Value Measurements and Disclosures, as these securities were fixed income securities, none were exchange-traded, and all were priced by correlation to observed market data. For these securities, the Company obtained fair value measurements from an independent pricing service. The fair value measurements considered observable data that may have included dealer quotes, market spreads, cash flows, U.S. government and agency yield curves, live trading levels, trade execution data, market consensus prepayment speeds, credit information, and the security’s terms and conditions, among other factors. These securities qualified as debt securities per ASC 320, Investments– Debt Securities, and were classified as available-for-sale as they could be liquidated and used for general corporate purposes. These securities were carried at fair value in the investment securities available-for-sale line in the condensed consolidated balance sheets, with the unrealized holding gains and (losses), net of tax, included in other comprehensive (income) loss until realized. During the first quarter of 2025, the Company fully liquidated these securities, which resulted in a realized gain of $19, which is included in the interest expense (income), net line of the condensed consolidated statements of comprehensive income (loss) for the six months ended June 30, 2025.</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Tellutax Contingent Consideration</w:t>
      </w:r>
    </w:p>
    <w:p>
      <w:pPr>
        <w:pStyle w:val="TextBody"/>
        <w:shd w:fill="FFFFFF" w:val="clear"/>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January 2021 Tellutax LLC (“Tellutax”) acquisition, the sellers were entitled to contingent consideration if sales targets were met during a period of time following the acquisition (the “Tellutax Contingent Consideration”).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Tellutax Contingent Consideration was based on three potential earn-out payments determined by periodic revenue achievements over a thirty-month period. The final payment of $200 was made during the second quarter of 2025 and is included in other operating expense (income), net for the three and six months ended June 30, 2025. Fair value adjustments of $(1,575) and $(2,375) were included in other operating expense (income), net for the three and six months ended June 30, 2024, respectively. At both June 30, 2025 and December 31, 2024, the Tellutax Contingent Consideration balance was $0.</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Systax Purchase Commitment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had a contractual commitment to acquire the remaining equity interest from the original Systax quotaholders incrementally through 2024. Purchase commitment payments for these incremental acquisition amounts were based on a multiple of Systax revenue and earnings before interest, depreciation, amortization, and income taxes (“EBITDA”) performance at the end of 2023 and 2022. Management determined these future purchase commitments to be a forward contract, resulting in the Company being required to estimate and record an estimated future purchase commitment amount (the “Purchase Commitment Liability”) in connection with recording the initial purchase. Adjustments to the settlement date value that arose as a result of remeasurement at future balance sheet dates were reflected as interest expense related to financing costs in the condensed consolidated statements of comprehensive income (loss) in the period the change is identified. A final adjustment for $423 to interest expense was recorded for the three and six months ended June 30, 2024.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second quarter of 2024, the Company paid $9,622 to acquire the remaining 20% equity interest of Systax, which increased the Company’s ownership percentage of Systax to 100%, and settled the outstanding Purchase Commitment Liability.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bookmarkStart w:id="1292" w:name="Tc_IFjNg0aa30CQB40aJQyvgg_9_0"/>
      <w:bookmarkStart w:id="1293" w:name="Tc_KqBrUNEpa0uuq-WP6Zu9Lg_8_0"/>
      <w:bookmarkStart w:id="1294" w:name="Tc_98g2tpEljE2M-nodMzQwCA_6_10"/>
      <w:bookmarkStart w:id="1295" w:name="Tc_RCJs850MrU6TxNUQqu-T3Q_6_7"/>
      <w:bookmarkStart w:id="1296" w:name="Tc_Na865lEKn0Ovf7wXX34qVA_6_4"/>
      <w:bookmarkStart w:id="1297" w:name="Tc_EqtneOp7WkOcOxUmNfU5-w_6_1"/>
      <w:bookmarkStart w:id="1298" w:name="Tc_6Ud2gJbhL0ytaLOIoxJbrQ_6_0"/>
      <w:bookmarkStart w:id="1299" w:name="Tc_EaNawKM3bkWsoCs40XalWA_5_0"/>
      <w:bookmarkStart w:id="1300" w:name="Tc_oO-0CBMcBUeNTxjqreM5DA_4_10"/>
      <w:bookmarkStart w:id="1301" w:name="Tc_o8OYYpu7hUafBb60ndDF_g_4_7"/>
      <w:bookmarkStart w:id="1302" w:name="Tc_w9UUTtl-rEa1UvVBX49luA_4_4"/>
      <w:bookmarkStart w:id="1303" w:name="Tc_CTMhcXgoBke2mwkFopvkeQ_4_1"/>
      <w:bookmarkStart w:id="1304" w:name="Tc_UUGtzx7pgkygmwvt2GQxmw_4_0"/>
      <w:bookmarkStart w:id="1305" w:name="Tc_14CJ2d9BR0apoTVXScMsKw_3_10"/>
      <w:bookmarkStart w:id="1306" w:name="Tc_tXX5Ok7P0keTBKUy_5txKA_3_7"/>
      <w:bookmarkStart w:id="1307" w:name="Tc_Q2DymSxnWUSzxjxgcIyxFg_3_4"/>
      <w:bookmarkStart w:id="1308" w:name="Tc_vD0IYqtpDEmdcvzQoLuwYA_3_1"/>
      <w:bookmarkStart w:id="1309" w:name="Tc_dqlJEwCkKkatZhWvCbkEVw_2_1"/>
      <w:bookmarkStart w:id="1310" w:name="Tc__K9kPF9iSkKbBeWb1MH5CQ_1_7"/>
      <w:bookmarkStart w:id="1311" w:name="Tc_FZr9E0UR6Eyni9t81UkdHQ_1_1"/>
      <w:bookmarkStart w:id="1312" w:name="Tc_sYZaClLy0kumVTErgzgNXA_13_0"/>
      <w:bookmarkStart w:id="1313" w:name="Tc_Z2TVLimgY06kSjI1JsGYgA_12_8"/>
      <w:bookmarkStart w:id="1314" w:name="Tc_iyvwOrKo8EqoqMp8-sklIg_12_5"/>
      <w:bookmarkStart w:id="1315" w:name="Tc_WE3mcFSxt06vrMwebEF6rw_12_2"/>
      <w:bookmarkStart w:id="1316" w:name="Tc_lf96ddB5J0arlQkYcE7UgQ_12_0"/>
      <w:bookmarkStart w:id="1317" w:name="Tc_0XBOVyPP8E2pGuvQ1TLNjw_11_0"/>
      <w:bookmarkStart w:id="1318" w:name="Tc_tABE7ethwEq5hRjxFqZUAw_10_0"/>
      <w:bookmarkStart w:id="1319" w:name="Tc_6H1UCuFcPUyJfl6Lt7wdIg_9_8"/>
      <w:bookmarkStart w:id="1320" w:name="Tc_liWpIhzKRkiYrtiI1cF13g_9_5"/>
      <w:bookmarkStart w:id="1321" w:name="Tc_1uy9DrxhB0-sNt_LaQeA6Q_9_2"/>
      <w:bookmarkStart w:id="1322" w:name="Tc_K2JRhuBeDUe-Tmjra0xwjw_9_0"/>
      <w:bookmarkStart w:id="1323" w:name="Tc_NTvFrAUHBE6ExNsswqGARQ_8_8"/>
      <w:bookmarkStart w:id="1324" w:name="Tc_l0_ajaqLk0ijGcLFbOgQDA_8_5"/>
      <w:bookmarkStart w:id="1325" w:name="Tc_VJ4EBGrqC0CQnHZgFG6_CQ_8_2"/>
      <w:bookmarkStart w:id="1326" w:name="Tc_Z3rpc2UyyEKoAVmr_bOg5A_8_0"/>
      <w:bookmarkStart w:id="1327" w:name="Tc_7La8bCnWpE-E-t6lTdsiVQ_7_8"/>
      <w:bookmarkStart w:id="1328" w:name="Tc_LysNUI1xYUGrNrYHBaseGA_7_5"/>
      <w:bookmarkStart w:id="1329" w:name="Tc_2FQZqHBB4UKUJHKUzqSrZA_7_2"/>
      <w:bookmarkStart w:id="1330" w:name="Tc_YW2MOaN_0Eiv0WrJzLGqZw_6_8"/>
      <w:bookmarkStart w:id="1331" w:name="Tc_V3Kiqai5-kiSMQmX9WTQDQ_6_5"/>
      <w:bookmarkStart w:id="1332" w:name="Tc_TUGxIJooKECEaWclFKryYQ_6_2"/>
      <w:bookmarkStart w:id="1333" w:name="Tc_7NYAZpmGbkyZMrrkeKnh_w_6_0"/>
      <w:bookmarkStart w:id="1334" w:name="Tc_t6AnHzdhQkyeMB59IsdGiw_5_0"/>
      <w:bookmarkStart w:id="1335" w:name="Tc_FtpstKJ6PUWPt2J0XQYeLA_4_0"/>
      <w:bookmarkStart w:id="1336" w:name="Tc_pF6KEKls402wdXRHtN66bQ_3_8"/>
      <w:bookmarkStart w:id="1337" w:name="Tc_i7s3ckxV2UKsZyNns7EHiA_3_5"/>
      <w:bookmarkStart w:id="1338" w:name="Tc_aHOWmqcuKkuSShvf7LGPHw_3_2"/>
      <w:bookmarkStart w:id="1339" w:name="Tc_KVPZ6NoZSUarfrD7ct8DtA_3_0"/>
      <w:bookmarkStart w:id="1340" w:name="Tc_xC9AFl7sLE6o6b6WaVW9zA_2_8"/>
      <w:bookmarkStart w:id="1341" w:name="Tc_g_stsEERnE2iMbK4uBXtLQ_2_5"/>
      <w:bookmarkStart w:id="1342" w:name="Tc_mVekL-2HcEGheJrAooW67A_2_2"/>
      <w:bookmarkStart w:id="1343" w:name="Tc_ChBy9itDcEWPwCuOGOZdWA_2_0"/>
      <w:bookmarkStart w:id="1344" w:name="Tc_v2Rm8eX4dk--Roy7h39u4Q_1_8"/>
      <w:bookmarkStart w:id="1345" w:name="Tc_7qrasH1IPkeaf6UtXA8DIw_1_5"/>
      <w:bookmarkStart w:id="1346" w:name="Tc_D3xGmCnWdE-x0C72RouYVw_1_2"/>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Pr>
          <w:rFonts w:ascii="Times New Roman;Times;serif" w:hAnsi="Times New Roman;Times;serif"/>
          <w:b/>
          <w:sz w:val="20"/>
        </w:rPr>
        <w:t>ecosio Earn-outs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August 2024 ecosio acquisition, the sellers are entitled to three annual earn-outs in the form of cash, with an aggregate of up to $94,355 (the “Cash Earn-outs”), and stock, with an aggregate value of up to $35,000 (the “Stock Earn-outs,” and together with the Cash Earn-outs, the “Earn-outs”), assuming maximum payouts. The Earn-outs are based on ecosio’s achievement of certain monthly software revenue targets over a three-year period, measured over an aggregate of 12 months and paid within 90 days after the relevant measurement period. At the acquisition date, the fair value of the Cash Earn-outs and Stock Earn-outs were $71,000 and $34,000, respectively. The fair value of the Cash Earn-out and the Stock Earn-out were measured on the acquisition date using a Monte Carlo simulation in a risk-neutral framework, calibrated to management’s revenue forecasts. Additional information on the Cash Earn-outs and the Stock Earn-outs is presented in the following table:</w:t>
      </w:r>
    </w:p>
    <w:p>
      <w:pPr>
        <w:pStyle w:val="TextBody"/>
        <w:bidi w:val="0"/>
        <w:spacing w:before="0" w:after="0"/>
        <w:ind w:left="0" w:right="0" w:firstLine="360"/>
        <w:jc w:val="both"/>
        <w:rPr/>
      </w:pPr>
      <w:r>
        <w:rPr/>
        <w:t>​</w:t>
      </w:r>
    </w:p>
    <w:tbl>
      <w:tblPr>
        <w:tblW w:w="9234" w:type="dxa"/>
        <w:jc w:val="left"/>
        <w:tblInd w:w="0" w:type="dxa"/>
        <w:tblLayout w:type="fixed"/>
        <w:tblCellMar>
          <w:top w:w="0" w:type="dxa"/>
          <w:left w:w="0" w:type="dxa"/>
          <w:bottom w:w="0" w:type="dxa"/>
          <w:right w:w="0" w:type="dxa"/>
        </w:tblCellMar>
      </w:tblPr>
      <w:tblGrid>
        <w:gridCol w:w="4621"/>
        <w:gridCol w:w="129"/>
        <w:gridCol w:w="250"/>
        <w:gridCol w:w="803"/>
        <w:gridCol w:w="129"/>
        <w:gridCol w:w="317"/>
        <w:gridCol w:w="1020"/>
        <w:gridCol w:w="129"/>
        <w:gridCol w:w="413"/>
        <w:gridCol w:w="1423"/>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934335" cy="175260"/>
                      <wp:effectExtent l="0" t="0" r="0" b="0"/>
                      <wp:wrapNone/>
                      <wp:docPr id="129" name="Frame129"/>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1915" cy="175260"/>
                      <wp:effectExtent l="0" t="0" r="0" b="0"/>
                      <wp:wrapNone/>
                      <wp:docPr id="130" name="Frame130"/>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58750" cy="175260"/>
                      <wp:effectExtent l="0" t="0" r="0" b="0"/>
                      <wp:wrapNone/>
                      <wp:docPr id="131" name="Frame13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9905" cy="175260"/>
                      <wp:effectExtent l="0" t="0" r="0" b="0"/>
                      <wp:wrapNone/>
                      <wp:docPr id="132" name="Frame132"/>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1915" cy="175260"/>
                      <wp:effectExtent l="0" t="0" r="0" b="0"/>
                      <wp:wrapNone/>
                      <wp:docPr id="133" name="Frame133"/>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1295" cy="175260"/>
                      <wp:effectExtent l="0" t="0" r="0" b="0"/>
                      <wp:wrapNone/>
                      <wp:docPr id="134" name="Frame13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7700" cy="175260"/>
                      <wp:effectExtent l="0" t="0" r="0" b="0"/>
                      <wp:wrapNone/>
                      <wp:docPr id="135" name="Frame135"/>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81915" cy="175260"/>
                      <wp:effectExtent l="0" t="0" r="0" b="0"/>
                      <wp:wrapNone/>
                      <wp:docPr id="136" name="Frame136"/>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62255" cy="175260"/>
                      <wp:effectExtent l="0" t="0" r="0" b="0"/>
                      <wp:wrapNone/>
                      <wp:docPr id="137" name="Frame137"/>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03605" cy="175260"/>
                      <wp:effectExtent l="0" t="0" r="0" b="0"/>
                      <wp:wrapNone/>
                      <wp:docPr id="138" name="Frame138"/>
                      <a:graphic xmlns:a="http://schemas.openxmlformats.org/drawingml/2006/main">
                        <a:graphicData uri="http://schemas.microsoft.com/office/word/2010/wordprocessingShape">
                          <wps:wsp>
                            <wps:cNvSpPr txBox="1"/>
                            <wps:spPr>
                              <a:xfrm>
                                <a:off x="0" y="0"/>
                                <a:ext cx="903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shd w:fill="FFFFFF" w:val="clear"/>
            <w:vAlign w:val="center"/>
          </w:tcPr>
          <w:p>
            <w:pPr>
              <w:pStyle w:val="TableContents"/>
              <w:bidi w:val="0"/>
              <w:spacing w:before="0" w:after="0"/>
              <w:ind w:left="0" w:right="0" w:hanging="0"/>
              <w:jc w:val="center"/>
              <w:rPr/>
            </w:pPr>
            <w:r>
              <w:rPr/>
              <w:t>​</w:t>
            </w:r>
          </w:p>
        </w:tc>
        <w:tc>
          <w:tcPr>
            <w:tcW w:w="129" w:type="dxa"/>
            <w:tcBorders/>
            <w:shd w:fill="FFFFFF" w:val="clear"/>
            <w:vAlign w:val="center"/>
          </w:tcPr>
          <w:p>
            <w:pPr>
              <w:pStyle w:val="TableContents"/>
              <w:bidi w:val="0"/>
              <w:spacing w:before="0" w:after="0"/>
              <w:ind w:left="0" w:right="0" w:hanging="0"/>
              <w:jc w:val="left"/>
              <w:rPr/>
            </w:pPr>
            <w:r>
              <w:rPr/>
              <w:t>​</w:t>
            </w:r>
          </w:p>
        </w:tc>
        <w:tc>
          <w:tcPr>
            <w:tcW w:w="10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9" w:type="dxa"/>
            <w:tcBorders/>
            <w:shd w:fill="FFFFFF" w:val="clear"/>
            <w:vAlign w:val="center"/>
          </w:tcPr>
          <w:p>
            <w:pPr>
              <w:pStyle w:val="TableContents"/>
              <w:bidi w:val="0"/>
              <w:spacing w:before="0" w:after="0"/>
              <w:ind w:left="0" w:right="0" w:hanging="0"/>
              <w:jc w:val="left"/>
              <w:rPr/>
            </w:pPr>
            <w:r>
              <w:rPr/>
              <w:t>​</w:t>
            </w:r>
          </w:p>
        </w:tc>
        <w:tc>
          <w:tcPr>
            <w:tcW w:w="133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29" w:type="dxa"/>
            <w:tcBorders/>
            <w:shd w:fill="FFFFFF" w:val="clear"/>
            <w:vAlign w:val="center"/>
          </w:tcPr>
          <w:p>
            <w:pPr>
              <w:pStyle w:val="TableContents"/>
              <w:bidi w:val="0"/>
              <w:spacing w:before="0" w:after="0"/>
              <w:ind w:left="0" w:right="0" w:hanging="0"/>
              <w:jc w:val="center"/>
              <w:rPr/>
            </w:pPr>
            <w:r>
              <w:rPr/>
              <w:t>​</w:t>
            </w:r>
          </w:p>
        </w:tc>
        <w:tc>
          <w:tcPr>
            <w:tcW w:w="18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62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Earn-outs/ Period (unaudited)</w:t>
            </w:r>
          </w:p>
        </w:tc>
        <w:tc>
          <w:tcPr>
            <w:tcW w:w="129" w:type="dxa"/>
            <w:tcBorders/>
            <w:shd w:fill="FFFFFF" w:val="clear"/>
            <w:vAlign w:val="center"/>
          </w:tcPr>
          <w:p>
            <w:pPr>
              <w:pStyle w:val="TableContents"/>
              <w:bidi w:val="0"/>
              <w:spacing w:before="0" w:after="0"/>
              <w:ind w:left="0" w:right="0" w:hanging="0"/>
              <w:jc w:val="left"/>
              <w:rPr/>
            </w:pPr>
            <w:r>
              <w:rPr/>
              <w:t>​</w:t>
            </w:r>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Payout </w:t>
            </w:r>
          </w:p>
        </w:tc>
        <w:tc>
          <w:tcPr>
            <w:tcW w:w="129" w:type="dxa"/>
            <w:tcBorders/>
            <w:shd w:fill="FFFFFF" w:val="clear"/>
            <w:vAlign w:val="center"/>
          </w:tcPr>
          <w:p>
            <w:pPr>
              <w:pStyle w:val="TableContents"/>
              <w:bidi w:val="0"/>
              <w:spacing w:before="0" w:after="0"/>
              <w:ind w:left="0" w:right="0" w:hanging="0"/>
              <w:jc w:val="left"/>
              <w:rPr/>
            </w:pPr>
            <w:r>
              <w:rPr/>
              <w:t>​</w:t>
            </w:r>
          </w:p>
        </w:tc>
        <w:tc>
          <w:tcPr>
            <w:tcW w:w="13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29" w:type="dxa"/>
            <w:tcBorders/>
            <w:shd w:fill="FFFFFF" w:val="clear"/>
            <w:vAlign w:val="center"/>
          </w:tcPr>
          <w:p>
            <w:pPr>
              <w:pStyle w:val="TableContents"/>
              <w:bidi w:val="0"/>
              <w:spacing w:before="0" w:after="0"/>
              <w:ind w:left="0" w:right="0" w:hanging="0"/>
              <w:jc w:val="center"/>
              <w:rPr/>
            </w:pPr>
            <w:r>
              <w:rPr/>
              <w:t>​</w:t>
            </w:r>
          </w:p>
        </w:tc>
        <w:tc>
          <w:tcPr>
            <w:tcW w:w="1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1 - December 1, 2024 - December 1, 2025</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19,600</w:t>
            </w:r>
          </w:p>
        </w:tc>
        <w:tc>
          <w:tcPr>
            <w:tcW w:w="12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18,400</w:t>
            </w:r>
          </w:p>
        </w:tc>
        <w:tc>
          <w:tcPr>
            <w:tcW w:w="129" w:type="dxa"/>
            <w:tcBorders/>
            <w:shd w:fill="CCEEFF" w:val="clear"/>
            <w:vAlign w:val="center"/>
          </w:tcPr>
          <w:p>
            <w:pPr>
              <w:pStyle w:val="TableContents"/>
              <w:bidi w:val="0"/>
              <w:spacing w:before="0" w:after="0"/>
              <w:ind w:left="0" w:right="0" w:hanging="0"/>
              <w:jc w:val="center"/>
              <w:rPr/>
            </w:pPr>
            <w:r>
              <w:rPr/>
              <w:t>​</w:t>
            </w:r>
          </w:p>
        </w:tc>
        <w:tc>
          <w:tcPr>
            <w:tcW w:w="4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4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17,900</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2 - December 1, 2025 - December 1, 2026</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30,625</w:t>
            </w:r>
          </w:p>
        </w:tc>
        <w:tc>
          <w:tcPr>
            <w:tcW w:w="12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25,900</w:t>
            </w:r>
          </w:p>
        </w:tc>
        <w:tc>
          <w:tcPr>
            <w:tcW w:w="129"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center"/>
              <w:rPr/>
            </w:pPr>
            <w:r>
              <w:rPr/>
              <w:t>​</w:t>
            </w:r>
          </w:p>
        </w:tc>
        <w:tc>
          <w:tcPr>
            <w:tcW w:w="14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24,400</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3 - December 1, 2026 - December 1, 2027</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44,130</w:t>
            </w:r>
          </w:p>
        </w:tc>
        <w:tc>
          <w:tcPr>
            <w:tcW w:w="129"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33,600</w:t>
            </w:r>
          </w:p>
        </w:tc>
        <w:tc>
          <w:tcPr>
            <w:tcW w:w="129" w:type="dxa"/>
            <w:tcBorders/>
            <w:shd w:fill="CCEEFF" w:val="clear"/>
            <w:vAlign w:val="center"/>
          </w:tcPr>
          <w:p>
            <w:pPr>
              <w:pStyle w:val="TableContents"/>
              <w:bidi w:val="0"/>
              <w:spacing w:before="0" w:after="0"/>
              <w:ind w:left="0" w:right="0" w:hanging="0"/>
              <w:jc w:val="center"/>
              <w:rPr/>
            </w:pPr>
            <w:r>
              <w:rPr/>
              <w:t>​</w:t>
            </w:r>
          </w:p>
        </w:tc>
        <w:tc>
          <w:tcPr>
            <w:tcW w:w="41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4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32,100</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Earn-outs</w:t>
            </w:r>
          </w:p>
        </w:tc>
        <w:tc>
          <w:tcPr>
            <w:tcW w:w="12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94,355</w:t>
            </w:r>
          </w:p>
        </w:tc>
        <w:tc>
          <w:tcPr>
            <w:tcW w:w="129"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77,900</w:t>
            </w:r>
          </w:p>
        </w:tc>
        <w:tc>
          <w:tcPr>
            <w:tcW w:w="129" w:type="dxa"/>
            <w:tcBorders/>
            <w:vAlign w:val="center"/>
          </w:tcPr>
          <w:p>
            <w:pPr>
              <w:pStyle w:val="TableContents"/>
              <w:bidi w:val="0"/>
              <w:spacing w:before="0" w:after="0"/>
              <w:ind w:left="0" w:right="0" w:hanging="0"/>
              <w:jc w:val="center"/>
              <w:rPr/>
            </w:pPr>
            <w:r>
              <w:rPr/>
              <w:t>​</w:t>
            </w:r>
          </w:p>
        </w:tc>
        <w:tc>
          <w:tcPr>
            <w:tcW w:w="413"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4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74,400</w:t>
            </w:r>
          </w:p>
        </w:tc>
      </w:tr>
      <w:tr>
        <w:trPr/>
        <w:tc>
          <w:tcPr>
            <w:tcW w:w="4621" w:type="dxa"/>
            <w:tcBorders/>
            <w:vAlign w:val="center"/>
          </w:tcPr>
          <w:p>
            <w:pPr>
              <w:pStyle w:val="TableContents"/>
              <w:bidi w:val="0"/>
              <w:spacing w:before="0" w:after="0"/>
              <w:ind w:left="0" w:right="0" w:hanging="0"/>
              <w:jc w:val="center"/>
              <w:rPr/>
            </w:pPr>
            <w:r>
              <w:rPr/>
              <w:t>​</w:t>
            </w:r>
          </w:p>
        </w:tc>
        <w:tc>
          <w:tcPr>
            <w:tcW w:w="129" w:type="dxa"/>
            <w:tcBorders/>
            <w:vAlign w:val="center"/>
          </w:tcPr>
          <w:p>
            <w:pPr>
              <w:pStyle w:val="TableContents"/>
              <w:bidi w:val="0"/>
              <w:spacing w:before="0" w:after="0"/>
              <w:ind w:left="0" w:right="0" w:hanging="0"/>
              <w:jc w:val="left"/>
              <w:rPr/>
            </w:pPr>
            <w:r>
              <w:rPr/>
              <w:t>​</w:t>
            </w:r>
          </w:p>
        </w:tc>
        <w:tc>
          <w:tcPr>
            <w:tcW w:w="10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9" w:type="dxa"/>
            <w:tcBorders/>
            <w:vAlign w:val="center"/>
          </w:tcPr>
          <w:p>
            <w:pPr>
              <w:pStyle w:val="TableContents"/>
              <w:bidi w:val="0"/>
              <w:spacing w:before="0" w:after="0"/>
              <w:ind w:left="0" w:right="0" w:hanging="0"/>
              <w:jc w:val="left"/>
              <w:rPr/>
            </w:pPr>
            <w:r>
              <w:rPr/>
              <w:t>​</w:t>
            </w:r>
          </w:p>
        </w:tc>
        <w:tc>
          <w:tcPr>
            <w:tcW w:w="13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29" w:type="dxa"/>
            <w:tcBorders/>
            <w:vAlign w:val="center"/>
          </w:tcPr>
          <w:p>
            <w:pPr>
              <w:pStyle w:val="TableContents"/>
              <w:bidi w:val="0"/>
              <w:spacing w:before="0" w:after="0"/>
              <w:ind w:left="0" w:right="0" w:hanging="0"/>
              <w:jc w:val="center"/>
              <w:rPr/>
            </w:pPr>
            <w:r>
              <w:rPr/>
              <w:t>​</w:t>
            </w:r>
          </w:p>
        </w:tc>
        <w:tc>
          <w:tcPr>
            <w:tcW w:w="18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Earn-outs/ Period (unaudited)</w:t>
            </w:r>
          </w:p>
        </w:tc>
        <w:tc>
          <w:tcPr>
            <w:tcW w:w="129" w:type="dxa"/>
            <w:tcBorders/>
            <w:vAlign w:val="center"/>
          </w:tcPr>
          <w:p>
            <w:pPr>
              <w:pStyle w:val="TableContents"/>
              <w:bidi w:val="0"/>
              <w:spacing w:before="0" w:after="0"/>
              <w:ind w:left="0" w:right="0" w:hanging="0"/>
              <w:jc w:val="left"/>
              <w:rPr/>
            </w:pPr>
            <w:r>
              <w:rPr/>
              <w:t>​</w:t>
            </w:r>
          </w:p>
        </w:tc>
        <w:tc>
          <w:tcPr>
            <w:tcW w:w="105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Payout </w:t>
            </w:r>
            <w:r>
              <w:rPr>
                <w:rFonts w:ascii="Times New Roman;Times;serif" w:hAnsi="Times New Roman;Times;serif"/>
                <w:b/>
                <w:sz w:val="12"/>
              </w:rPr>
              <w:t>(1)</w:t>
            </w:r>
          </w:p>
        </w:tc>
        <w:tc>
          <w:tcPr>
            <w:tcW w:w="129" w:type="dxa"/>
            <w:tcBorders/>
            <w:vAlign w:val="center"/>
          </w:tcPr>
          <w:p>
            <w:pPr>
              <w:pStyle w:val="TableContents"/>
              <w:bidi w:val="0"/>
              <w:spacing w:before="0" w:after="0"/>
              <w:ind w:left="0" w:right="0" w:hanging="0"/>
              <w:jc w:val="left"/>
              <w:rPr/>
            </w:pPr>
            <w:r>
              <w:rPr/>
              <w:t>​</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29" w:type="dxa"/>
            <w:tcBorders/>
            <w:vAlign w:val="center"/>
          </w:tcPr>
          <w:p>
            <w:pPr>
              <w:pStyle w:val="TableContents"/>
              <w:bidi w:val="0"/>
              <w:spacing w:before="0" w:after="0"/>
              <w:ind w:left="0" w:right="0" w:hanging="0"/>
              <w:jc w:val="center"/>
              <w:rPr/>
            </w:pPr>
            <w:r>
              <w:rPr/>
              <w:t>​</w:t>
            </w:r>
          </w:p>
        </w:tc>
        <w:tc>
          <w:tcPr>
            <w:tcW w:w="1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1 - December 1, 2024 - December 1, 2025</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12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129" w:type="dxa"/>
            <w:tcBorders/>
            <w:shd w:fill="CCEEFF" w:val="clear"/>
            <w:vAlign w:val="center"/>
          </w:tcPr>
          <w:p>
            <w:pPr>
              <w:pStyle w:val="TableContents"/>
              <w:bidi w:val="0"/>
              <w:spacing w:before="0" w:after="0"/>
              <w:ind w:left="0" w:right="0" w:hanging="0"/>
              <w:jc w:val="center"/>
              <w:rPr/>
            </w:pPr>
            <w:r>
              <w:rPr/>
              <w:t>​</w:t>
            </w:r>
          </w:p>
        </w:tc>
        <w:tc>
          <w:tcPr>
            <w:tcW w:w="4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4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17,200</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2 - December 1, 2025 - December 1, 2026</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12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129"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center"/>
              <w:rPr/>
            </w:pPr>
            <w:r>
              <w:rPr/>
              <w:t>​</w:t>
            </w:r>
          </w:p>
        </w:tc>
        <w:tc>
          <w:tcPr>
            <w:tcW w:w="14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16,300</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3 - December 1, 2026 - December 1, 2027</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129"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9,700</w:t>
            </w:r>
          </w:p>
        </w:tc>
        <w:tc>
          <w:tcPr>
            <w:tcW w:w="129" w:type="dxa"/>
            <w:tcBorders/>
            <w:shd w:fill="CCEEFF" w:val="clear"/>
            <w:vAlign w:val="center"/>
          </w:tcPr>
          <w:p>
            <w:pPr>
              <w:pStyle w:val="TableContents"/>
              <w:bidi w:val="0"/>
              <w:spacing w:before="0" w:after="0"/>
              <w:ind w:left="0" w:right="0" w:hanging="0"/>
              <w:jc w:val="center"/>
              <w:rPr/>
            </w:pPr>
            <w:r>
              <w:rPr/>
              <w:t>​</w:t>
            </w:r>
          </w:p>
        </w:tc>
        <w:tc>
          <w:tcPr>
            <w:tcW w:w="41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4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14,600</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 Earn-outs</w:t>
            </w:r>
          </w:p>
        </w:tc>
        <w:tc>
          <w:tcPr>
            <w:tcW w:w="12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129"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32,200</w:t>
            </w:r>
          </w:p>
        </w:tc>
        <w:tc>
          <w:tcPr>
            <w:tcW w:w="129" w:type="dxa"/>
            <w:tcBorders/>
            <w:vAlign w:val="center"/>
          </w:tcPr>
          <w:p>
            <w:pPr>
              <w:pStyle w:val="TableContents"/>
              <w:bidi w:val="0"/>
              <w:spacing w:before="0" w:after="0"/>
              <w:ind w:left="0" w:right="0" w:hanging="0"/>
              <w:jc w:val="center"/>
              <w:rPr/>
            </w:pPr>
            <w:r>
              <w:rPr/>
              <w:t>​</w:t>
            </w:r>
          </w:p>
        </w:tc>
        <w:tc>
          <w:tcPr>
            <w:tcW w:w="413"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4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48,100</w:t>
            </w:r>
          </w:p>
        </w:tc>
      </w:tr>
      <w:tr>
        <w:trPr/>
        <w:tc>
          <w:tcPr>
            <w:tcW w:w="9234" w:type="dxa"/>
            <w:gridSpan w:val="10"/>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Maximum payout based on Vertex's August 6, 2024 opening share price of $37.02, as referenced in the purchase agreement. </w:t>
            </w:r>
          </w:p>
        </w:tc>
      </w:tr>
      <w:tr>
        <w:trPr/>
        <w:tc>
          <w:tcPr>
            <w:tcW w:w="4621"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803"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20" w:type="dxa"/>
            <w:tcBorders/>
            <w:vAlign w:val="center"/>
          </w:tcPr>
          <w:p>
            <w:pPr>
              <w:pStyle w:val="TableContents"/>
              <w:bidi w:val="0"/>
              <w:spacing w:before="0" w:after="0"/>
              <w:ind w:left="0" w:right="0" w:hanging="0"/>
              <w:jc w:val="center"/>
              <w:rPr/>
            </w:pPr>
            <w:r>
              <w:rPr/>
              <w:t>​</w:t>
            </w:r>
          </w:p>
        </w:tc>
        <w:tc>
          <w:tcPr>
            <w:tcW w:w="129"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center"/>
              <w:rPr/>
            </w:pPr>
            <w:r>
              <w:rPr/>
              <w:t>​</w:t>
            </w:r>
          </w:p>
        </w:tc>
        <w:tc>
          <w:tcPr>
            <w:tcW w:w="142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Actual payouts are further adjusted depending on ecosio’s software revenue attainment for each of the measurement periods. In the event that actual software revenues exceed 100% of the target, additional payments may be made up to a maximum of 122.5% of the annual target. If actual software revenues are below 85% of the target, no payouts are made for that measurement period. The Stock Earn-outs are paid in shares of the Company’s Class A common stock.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Cash Earn-outs and Stock Earn-outs are recorded at fair value in the condensed consolidated balance sheets as follows: </w:t>
      </w:r>
    </w:p>
    <w:p>
      <w:pPr>
        <w:pStyle w:val="TextBody"/>
        <w:bidi w:val="0"/>
        <w:spacing w:before="0" w:after="0"/>
        <w:ind w:left="0" w:right="0" w:hanging="0"/>
        <w:jc w:val="left"/>
        <w:rPr/>
      </w:pPr>
      <w:r>
        <w:rPr/>
        <w:t>​</w:t>
      </w:r>
    </w:p>
    <w:tbl>
      <w:tblPr>
        <w:tblW w:w="7136" w:type="dxa"/>
        <w:jc w:val="left"/>
        <w:tblInd w:w="0" w:type="dxa"/>
        <w:tblLayout w:type="fixed"/>
        <w:tblCellMar>
          <w:top w:w="0" w:type="dxa"/>
          <w:left w:w="0" w:type="dxa"/>
          <w:bottom w:w="0" w:type="dxa"/>
          <w:right w:w="0" w:type="dxa"/>
        </w:tblCellMar>
      </w:tblPr>
      <w:tblGrid>
        <w:gridCol w:w="1662"/>
        <w:gridCol w:w="247"/>
        <w:gridCol w:w="796"/>
        <w:gridCol w:w="127"/>
        <w:gridCol w:w="348"/>
        <w:gridCol w:w="1117"/>
        <w:gridCol w:w="127"/>
        <w:gridCol w:w="252"/>
        <w:gridCol w:w="811"/>
        <w:gridCol w:w="130"/>
        <w:gridCol w:w="343"/>
        <w:gridCol w:w="1176"/>
      </w:tblGrid>
      <w:tr>
        <w:trPr/>
        <w:tc>
          <w:tcPr>
            <w:tcW w:w="1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055370" cy="175260"/>
                      <wp:effectExtent l="0" t="0" r="0" b="0"/>
                      <wp:wrapNone/>
                      <wp:docPr id="139" name="Frame139"/>
                      <a:graphic xmlns:a="http://schemas.openxmlformats.org/drawingml/2006/main">
                        <a:graphicData uri="http://schemas.microsoft.com/office/word/2010/wordprocessingShape">
                          <wps:wsp>
                            <wps:cNvSpPr txBox="1"/>
                            <wps:spPr>
                              <a:xfrm>
                                <a:off x="0" y="0"/>
                                <a:ext cx="105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6845" cy="175260"/>
                      <wp:effectExtent l="0" t="0" r="0" b="0"/>
                      <wp:wrapNone/>
                      <wp:docPr id="140" name="Frame140"/>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05460" cy="175260"/>
                      <wp:effectExtent l="0" t="0" r="0" b="0"/>
                      <wp:wrapNone/>
                      <wp:docPr id="141" name="Frame1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0645" cy="175260"/>
                      <wp:effectExtent l="0" t="0" r="0" b="0"/>
                      <wp:wrapNone/>
                      <wp:docPr id="142" name="Frame142"/>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20980" cy="175260"/>
                      <wp:effectExtent l="0" t="0" r="0" b="0"/>
                      <wp:wrapNone/>
                      <wp:docPr id="143" name="Frame143"/>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09295" cy="175260"/>
                      <wp:effectExtent l="0" t="0" r="0" b="0"/>
                      <wp:wrapNone/>
                      <wp:docPr id="144" name="Frame144"/>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80645" cy="175260"/>
                      <wp:effectExtent l="0" t="0" r="0" b="0"/>
                      <wp:wrapNone/>
                      <wp:docPr id="145" name="Frame145"/>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0020" cy="175260"/>
                      <wp:effectExtent l="0" t="0" r="0" b="0"/>
                      <wp:wrapNone/>
                      <wp:docPr id="146" name="Frame14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14985" cy="175260"/>
                      <wp:effectExtent l="0" t="0" r="0" b="0"/>
                      <wp:wrapNone/>
                      <wp:docPr id="147" name="Frame1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2550" cy="175260"/>
                      <wp:effectExtent l="0" t="0" r="0" b="0"/>
                      <wp:wrapNone/>
                      <wp:docPr id="148" name="Frame148"/>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7805" cy="175260"/>
                      <wp:effectExtent l="0" t="0" r="0" b="0"/>
                      <wp:wrapNone/>
                      <wp:docPr id="149" name="Frame149"/>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46760" cy="175260"/>
                      <wp:effectExtent l="0" t="0" r="0" b="0"/>
                      <wp:wrapNone/>
                      <wp:docPr id="150" name="Frame150"/>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2" w:type="dxa"/>
            <w:tcBorders/>
            <w:vAlign w:val="center"/>
          </w:tcPr>
          <w:p>
            <w:pPr>
              <w:pStyle w:val="TableContents"/>
              <w:bidi w:val="0"/>
              <w:spacing w:before="0" w:after="0"/>
              <w:ind w:left="0" w:right="0" w:hanging="0"/>
              <w:jc w:val="left"/>
              <w:rPr/>
            </w:pPr>
            <w:r>
              <w:rPr/>
              <w:t>​</w:t>
            </w:r>
          </w:p>
        </w:tc>
        <w:tc>
          <w:tcPr>
            <w:tcW w:w="26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2025</w:t>
            </w:r>
          </w:p>
        </w:tc>
        <w:tc>
          <w:tcPr>
            <w:tcW w:w="127" w:type="dxa"/>
            <w:tcBorders/>
            <w:vAlign w:val="center"/>
          </w:tcPr>
          <w:p>
            <w:pPr>
              <w:pStyle w:val="TableContents"/>
              <w:bidi w:val="0"/>
              <w:spacing w:before="0" w:after="0"/>
              <w:ind w:left="0" w:right="0" w:hanging="0"/>
              <w:jc w:val="center"/>
              <w:rPr/>
            </w:pPr>
            <w:r>
              <w:rPr/>
              <w:t>​</w:t>
            </w:r>
          </w:p>
        </w:tc>
        <w:tc>
          <w:tcPr>
            <w:tcW w:w="27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662" w:type="dxa"/>
            <w:tcBorders/>
            <w:vAlign w:val="center"/>
          </w:tcPr>
          <w:p>
            <w:pPr>
              <w:pStyle w:val="TableContents"/>
              <w:bidi w:val="0"/>
              <w:spacing w:before="0" w:after="0"/>
              <w:ind w:left="0" w:right="0" w:hanging="0"/>
              <w:jc w:val="left"/>
              <w:rPr/>
            </w:pPr>
            <w:r>
              <w:rPr/>
              <w:t>​</w:t>
            </w:r>
          </w:p>
        </w:tc>
        <w:tc>
          <w:tcPr>
            <w:tcW w:w="26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27"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130"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176" w:type="dxa"/>
            <w:tcBorders/>
            <w:vAlign w:val="center"/>
          </w:tcPr>
          <w:p>
            <w:pPr>
              <w:pStyle w:val="TableContents"/>
              <w:bidi w:val="0"/>
              <w:spacing w:before="0" w:after="0"/>
              <w:ind w:left="0" w:right="0" w:hanging="0"/>
              <w:jc w:val="center"/>
              <w:rPr/>
            </w:pPr>
            <w:r>
              <w:rPr/>
              <w:t>​</w:t>
            </w:r>
          </w:p>
        </w:tc>
      </w:tr>
      <w:tr>
        <w:trPr/>
        <w:tc>
          <w:tcPr>
            <w:tcW w:w="1662" w:type="dxa"/>
            <w:tcBorders/>
            <w:vAlign w:val="center"/>
          </w:tcPr>
          <w:p>
            <w:pPr>
              <w:pStyle w:val="TableContents"/>
              <w:bidi w:val="0"/>
              <w:spacing w:before="0" w:after="0"/>
              <w:ind w:left="0" w:right="0" w:hanging="0"/>
              <w:jc w:val="left"/>
              <w:rPr/>
            </w:pPr>
            <w:r>
              <w:rPr/>
              <w:t>​</w:t>
            </w:r>
          </w:p>
        </w:tc>
        <w:tc>
          <w:tcPr>
            <w:tcW w:w="104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Current </w:t>
            </w:r>
            <w:r>
              <w:rPr>
                <w:rFonts w:ascii="Times New Roman;Times;serif" w:hAnsi="Times New Roman;Times;serif"/>
                <w:b/>
                <w:sz w:val="12"/>
              </w:rPr>
              <w:t>(1)</w:t>
            </w:r>
          </w:p>
        </w:tc>
        <w:tc>
          <w:tcPr>
            <w:tcW w:w="127" w:type="dxa"/>
            <w:tcBorders/>
            <w:vAlign w:val="center"/>
          </w:tcPr>
          <w:p>
            <w:pPr>
              <w:pStyle w:val="TableContents"/>
              <w:bidi w:val="0"/>
              <w:spacing w:before="0" w:after="0"/>
              <w:ind w:left="0" w:right="0" w:hanging="0"/>
              <w:jc w:val="center"/>
              <w:rPr/>
            </w:pPr>
            <w:r>
              <w:rPr/>
              <w:t>​</w:t>
            </w:r>
          </w:p>
        </w:tc>
        <w:tc>
          <w:tcPr>
            <w:tcW w:w="146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Non-Current </w:t>
            </w:r>
            <w:r>
              <w:rPr>
                <w:rFonts w:ascii="Times New Roman;Times;serif" w:hAnsi="Times New Roman;Times;serif"/>
                <w:b/>
                <w:sz w:val="12"/>
              </w:rPr>
              <w:t>(2)</w:t>
            </w:r>
          </w:p>
        </w:tc>
        <w:tc>
          <w:tcPr>
            <w:tcW w:w="127" w:type="dxa"/>
            <w:tcBorders/>
            <w:vAlign w:val="center"/>
          </w:tcPr>
          <w:p>
            <w:pPr>
              <w:pStyle w:val="TableContents"/>
              <w:bidi w:val="0"/>
              <w:spacing w:before="0" w:after="0"/>
              <w:ind w:left="0" w:right="0" w:hanging="0"/>
              <w:jc w:val="center"/>
              <w:rPr/>
            </w:pPr>
            <w:r>
              <w:rPr/>
              <w:t>​</w:t>
            </w:r>
          </w:p>
        </w:tc>
        <w:tc>
          <w:tcPr>
            <w:tcW w:w="106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Current </w:t>
            </w:r>
            <w:r>
              <w:rPr>
                <w:rFonts w:ascii="Times New Roman;Times;serif" w:hAnsi="Times New Roman;Times;serif"/>
                <w:b/>
                <w:sz w:val="12"/>
              </w:rPr>
              <w:t>(1)</w:t>
            </w:r>
          </w:p>
        </w:tc>
        <w:tc>
          <w:tcPr>
            <w:tcW w:w="130" w:type="dxa"/>
            <w:tcBorders/>
            <w:vAlign w:val="center"/>
          </w:tcPr>
          <w:p>
            <w:pPr>
              <w:pStyle w:val="TableContents"/>
              <w:bidi w:val="0"/>
              <w:spacing w:before="0" w:after="0"/>
              <w:ind w:left="0" w:right="0" w:hanging="0"/>
              <w:jc w:val="center"/>
              <w:rPr/>
            </w:pPr>
            <w:r>
              <w:rPr/>
              <w:t>​</w:t>
            </w:r>
          </w:p>
        </w:tc>
        <w:tc>
          <w:tcPr>
            <w:tcW w:w="151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Non-Current</w:t>
            </w:r>
            <w:r>
              <w:rPr>
                <w:rFonts w:ascii="Times New Roman;Times;serif" w:hAnsi="Times New Roman;Times;serif"/>
                <w:sz w:val="16"/>
              </w:rPr>
              <w:t xml:space="preserve"> </w:t>
            </w:r>
            <w:r>
              <w:rPr>
                <w:rFonts w:ascii="Times New Roman;Times;serif" w:hAnsi="Times New Roman;Times;serif"/>
                <w:b/>
                <w:sz w:val="12"/>
              </w:rPr>
              <w:t>(2)</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Earn-outs</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18,400</w:t>
            </w:r>
          </w:p>
        </w:tc>
        <w:tc>
          <w:tcPr>
            <w:tcW w:w="127"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59,500</w:t>
            </w:r>
          </w:p>
        </w:tc>
        <w:tc>
          <w:tcPr>
            <w:tcW w:w="127"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17,900</w:t>
            </w:r>
          </w:p>
        </w:tc>
        <w:tc>
          <w:tcPr>
            <w:tcW w:w="130"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56,500</w:t>
            </w:r>
          </w:p>
        </w:tc>
      </w:tr>
      <w:tr>
        <w:trPr/>
        <w:tc>
          <w:tcPr>
            <w:tcW w:w="1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Earn-outs</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127"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20,700</w:t>
            </w:r>
          </w:p>
        </w:tc>
        <w:tc>
          <w:tcPr>
            <w:tcW w:w="127"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17,200</w:t>
            </w:r>
          </w:p>
        </w:tc>
        <w:tc>
          <w:tcPr>
            <w:tcW w:w="130"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30,900</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29,900</w:t>
            </w:r>
          </w:p>
        </w:tc>
        <w:tc>
          <w:tcPr>
            <w:tcW w:w="127"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80,200</w:t>
            </w:r>
          </w:p>
        </w:tc>
        <w:tc>
          <w:tcPr>
            <w:tcW w:w="127"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35,100</w:t>
            </w:r>
          </w:p>
        </w:tc>
        <w:tc>
          <w:tcPr>
            <w:tcW w:w="130"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87,400</w:t>
            </w:r>
          </w:p>
        </w:tc>
      </w:tr>
      <w:tr>
        <w:trPr/>
        <w:tc>
          <w:tcPr>
            <w:tcW w:w="7136" w:type="dxa"/>
            <w:gridSpan w:val="12"/>
            <w:tcBorders/>
            <w:vAlign w:val="center"/>
          </w:tcPr>
          <w:p>
            <w:pPr>
              <w:pStyle w:val="TableContents"/>
              <w:bidi w:val="0"/>
              <w:spacing w:before="0" w:after="0"/>
              <w:ind w:left="0" w:right="0" w:hanging="0"/>
              <w:jc w:val="left"/>
              <w:rPr/>
            </w:pPr>
            <w:r>
              <w:rPr/>
              <w:t>​</w:t>
            </w:r>
          </w:p>
        </w:tc>
      </w:tr>
      <w:tr>
        <w:trPr/>
        <w:tc>
          <w:tcPr>
            <w:tcW w:w="7136"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 xml:space="preserve">(1) </w:t>
            </w:r>
            <w:r>
              <w:rPr>
                <w:rFonts w:ascii="Times New Roman;Times;serif" w:hAnsi="Times New Roman;Times;serif"/>
                <w:sz w:val="18"/>
              </w:rPr>
              <w:t>Included in purchase commitment and contingent consideration liabilities, current.</w:t>
            </w:r>
          </w:p>
        </w:tc>
      </w:tr>
      <w:tr>
        <w:trPr/>
        <w:tc>
          <w:tcPr>
            <w:tcW w:w="7136"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Included in purchase commitment and contingent consideration liabilities, net of current portion.</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Earn-outs represent recurring fair value measurements with significant unobservable inputs, which management considers to be Level 3 measurements under the fair value hierarchy. The final payments may be adjusted depending on the actual amount, above or below the target. The Earn-outs will be revalued and adjusted quarterly until the end of the Earn-out period, and any fair value adjustments will be recorded in the other operating expense (income), net line of the condensed consolidated statement of income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1347" w:name="Tc_kBM_l71DjUykxr1yFXvZoA_8_8"/>
      <w:bookmarkStart w:id="1348" w:name="Tc_qV4s68dhb0GCqreQ90ySGA_8_5"/>
      <w:bookmarkStart w:id="1349" w:name="Tc_YRQR-mWw5ESlfAjG97Ndeg_8_2"/>
      <w:bookmarkStart w:id="1350" w:name="Tc_2jCzCIivl0KoLM7FTSPRDg_8_0"/>
      <w:bookmarkStart w:id="1351" w:name="Tc_965qRlQL4kOR0GSrgHwVCw_7_9"/>
      <w:bookmarkStart w:id="1352" w:name="Tc_MtroNlvRLE2w95Z7ed677g_6_6"/>
      <w:bookmarkStart w:id="1353" w:name="Tc_me-FW4cMSUmo-Hj0iTkNTA_6_3"/>
      <w:bookmarkStart w:id="1354" w:name="Tc_xupMUctfe02ptb09uik-xg_6_0"/>
      <w:bookmarkStart w:id="1355" w:name="Tc_6CGPmN7ZNkmtnt_58BZszA_5_9"/>
      <w:bookmarkStart w:id="1356" w:name="Tc_CTrrCSMgNUeSnAdyos3DMQ_5_8"/>
      <w:bookmarkStart w:id="1357" w:name="Tc_HwsIxEAoCkuAhhF3mzonSw_5_5"/>
      <w:bookmarkStart w:id="1358" w:name="Tc_DgxQ9elx20mW2JScKwI0BQ_5_2"/>
      <w:bookmarkStart w:id="1359" w:name="Tc_d7As0vj-yk6fPTT4adTIKw_5_0"/>
      <w:bookmarkStart w:id="1360" w:name="Tc_GrdA8ZPwPUOK0OwGfp8nXQ_4_9"/>
      <w:bookmarkStart w:id="1361" w:name="Tc_IkxaGpJHn0uaEr_-M0nn9A_4_2"/>
      <w:bookmarkStart w:id="1362" w:name="Tc_Fbmnv0oE6U-9sGovu28l_Q_3_9"/>
      <w:bookmarkStart w:id="1363" w:name="Tc_0l-xNVVR5ECB7ADbnnMRsw_3_5"/>
      <w:bookmarkStart w:id="1364" w:name="Tc_LVFvEK8awkKJkRwk3JWL8g_3_2"/>
      <w:bookmarkStart w:id="1365" w:name="Tc_ZLmTxnoOakSymT4Sa7MOlA_2_9"/>
      <w:bookmarkStart w:id="1366" w:name="Tc_b3JP2xek9UqEKO5Ev4RACw_2_2"/>
      <w:bookmarkStart w:id="1367" w:name="Tc_gGNA9irJAkO24yjfHAf-jA_1_2"/>
      <w:bookmarkStart w:id="1368" w:name="Tc_AqdN0iPMIESsKFh9dOMVdA_19_9"/>
      <w:bookmarkStart w:id="1369" w:name="Tc_selh_1C_DEC7TsPnQPkoQQ_18_13"/>
      <w:bookmarkStart w:id="1370" w:name="Tc_lLHBrvUJaEyu4SVfddTqTA_18_9"/>
      <w:bookmarkStart w:id="1371" w:name="Tc_7BW1H0C9kUetXpHclI18EA_17_13"/>
      <w:bookmarkStart w:id="1372" w:name="Tc_5HgGu2R2bESoGpv2S0d71g_17_9"/>
      <w:bookmarkStart w:id="1373" w:name="Tc_xeKFoW5IBEmgkx_wDM9G0w_17_6"/>
      <w:bookmarkStart w:id="1374" w:name="Tc_cial1gZb9E-ZeCwi-mt-FQ_17_2"/>
      <w:bookmarkStart w:id="1375" w:name="Tc_J93bjLabfUqWdYJVykVxow_17_0"/>
      <w:bookmarkStart w:id="1376" w:name="Tc_71n26oZZyEOexUJ8iqUyvQ_15_9"/>
      <w:bookmarkStart w:id="1377" w:name="Tc_vBnY7ThNo0iiDYbTor_7Vw_14_13"/>
      <w:bookmarkStart w:id="1378" w:name="Tc_Eb6ruOa-6UGnUPHW3bq2-g_14_9"/>
      <w:bookmarkStart w:id="1379" w:name="Tc_vfQaBCb-hkGW_84u-UhMoQ_13_13"/>
      <w:bookmarkStart w:id="1380" w:name="Tc_yDOlPllVFUKWH-zLvqqHgg_13_9"/>
      <w:bookmarkStart w:id="1381" w:name="Tc_ZL4mgjHSUki_SyuRjtuitg_13_6"/>
      <w:bookmarkStart w:id="1382" w:name="Tc_QAPxZeMQCk2hlDZ5p4TThA_13_2"/>
      <w:bookmarkStart w:id="1383" w:name="Tc_ke7eCB_MWEGxSPyYtjEIeA_13_0"/>
      <w:bookmarkStart w:id="1384" w:name="Tc_VOoRC-6yKUeEKBBeC3tonQ_12_9"/>
      <w:bookmarkStart w:id="1385" w:name="Tc_B1QySE-Qc0ydUavEc9toUA_12_6"/>
      <w:bookmarkStart w:id="1386" w:name="Tc_HnUpoO49wUGeJTSpP-RTvg_12_2"/>
      <w:bookmarkStart w:id="1387" w:name="Tc_TXTbBHwepEGVKbpv7GJO8Q_12_0"/>
      <w:bookmarkStart w:id="1388" w:name="Tc_7oHYhK9tmUa87DgbeRH3Gg_11_2"/>
      <w:bookmarkStart w:id="1389" w:name="Tc_0-6x_qhbAUiupYn0-QTJLg_9_9"/>
      <w:bookmarkStart w:id="1390" w:name="Tc_YJKz3RYFDUiZc2h2GtbMrQ_8_13"/>
      <w:bookmarkStart w:id="1391" w:name="Tc_t0la4qENuEqkptR-fx8f6g_8_9"/>
      <w:bookmarkStart w:id="1392" w:name="Tc_6wNP5es2nUutQGWzoK9lqA_7_13"/>
      <w:bookmarkStart w:id="1393" w:name="Tc_8IgKlsKxBUKEeuqmVjGxDQ_7_9"/>
      <w:bookmarkStart w:id="1394" w:name="Tc_UgvAirhmWkqd_wM5GMNrxg_7_6"/>
      <w:bookmarkStart w:id="1395" w:name="Tc_fIn2PVqcdEuaaqkesiU1Sg_7_2"/>
      <w:bookmarkStart w:id="1396" w:name="Tc_owtry5liUkaKHsNnNMuDGQ_7_0"/>
      <w:bookmarkStart w:id="1397" w:name="Tc_uw3G4KBCVkeMYjXOo5YM3A_5_9"/>
      <w:bookmarkStart w:id="1398" w:name="Tc_CH2EWATjX0e1eCFeJeqhOA_4_13"/>
      <w:bookmarkStart w:id="1399" w:name="Tc_wfKe4-mwF0-JqB8sDRwPOg_4_9"/>
      <w:bookmarkStart w:id="1400" w:name="Tc_0kHTcjd3xkOZay-6baFprA_3_13"/>
      <w:bookmarkStart w:id="1401" w:name="Tc_nQG242hc0UG3dFCeKlYOig_3_9"/>
      <w:bookmarkStart w:id="1402" w:name="Tc_A7eNmuEOkU-mKArW7fzffw_3_6"/>
      <w:bookmarkStart w:id="1403" w:name="Tc_4uWfARE590yIS2aMjznBBQ_3_2"/>
      <w:bookmarkStart w:id="1404" w:name="Tc_LI2HQ_Km5EaO5u7rMcy11A_3_0"/>
      <w:bookmarkStart w:id="1405" w:name="Tc_IX4DiiEuCEOoFfAuxc9iTg_2_9"/>
      <w:bookmarkStart w:id="1406" w:name="Tc_WXjzv1F9Xkatp4ypiqLF2w_2_6"/>
      <w:bookmarkStart w:id="1407" w:name="Tc_xxx6yZxDcEu6M5asRYip-A_2_2"/>
      <w:bookmarkStart w:id="1408" w:name="Tc_gwFGcMay-0-t-Ev_Lvd6gQ_2_0"/>
      <w:bookmarkStart w:id="1409" w:name="Tc_vrEGo5U8dUqqldB7-QCbZw_1_2"/>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r>
        <w:rPr>
          <w:rFonts w:ascii="Times New Roman;Times;serif" w:hAnsi="Times New Roman;Times;serif"/>
          <w:sz w:val="20"/>
        </w:rPr>
        <w:t xml:space="preserve">During the three months ended June 30, 2025, the Company recorded fair value adjustments of $1,800 and $500 to the Cash Earn-outs and Stock Earn-outs, respectively. During the six months ended June 30, 2025, the Company recorded fair value adjustments of $3,500 and $(15,900) to the Cash Earn-outs and Stock Earn-outs, respectively.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fair values of the Cash Earn-outs and the Stock Earn-outs and unobservable inputs used for the Monte Carlo Simulation valuation are shown in the table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65"/>
        <w:gridCol w:w="326"/>
        <w:gridCol w:w="211"/>
        <w:gridCol w:w="676"/>
        <w:gridCol w:w="326"/>
        <w:gridCol w:w="109"/>
        <w:gridCol w:w="1690"/>
        <w:gridCol w:w="109"/>
        <w:gridCol w:w="109"/>
        <w:gridCol w:w="1782"/>
        <w:gridCol w:w="109"/>
        <w:gridCol w:w="109"/>
        <w:gridCol w:w="466"/>
        <w:gridCol w:w="318"/>
      </w:tblGrid>
      <w:tr>
        <w:trPr/>
        <w:tc>
          <w:tcPr>
            <w:tcW w:w="3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454275" cy="175260"/>
                      <wp:effectExtent l="0" t="0" r="0" b="0"/>
                      <wp:wrapNone/>
                      <wp:docPr id="151" name="Frame151"/>
                      <a:graphic xmlns:a="http://schemas.openxmlformats.org/drawingml/2006/main">
                        <a:graphicData uri="http://schemas.microsoft.com/office/word/2010/wordprocessingShape">
                          <wps:wsp>
                            <wps:cNvSpPr txBox="1"/>
                            <wps:spPr>
                              <a:xfrm>
                                <a:off x="0" y="0"/>
                                <a:ext cx="2454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260"/>
                      <wp:effectExtent l="0" t="0" r="0" b="0"/>
                      <wp:wrapNone/>
                      <wp:docPr id="154" name="Frame1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073150" cy="175260"/>
                      <wp:effectExtent l="0" t="0" r="0" b="0"/>
                      <wp:wrapNone/>
                      <wp:docPr id="157" name="Frame157"/>
                      <a:graphic xmlns:a="http://schemas.openxmlformats.org/drawingml/2006/main">
                        <a:graphicData uri="http://schemas.microsoft.com/office/word/2010/wordprocessingShape">
                          <wps:wsp>
                            <wps:cNvSpPr txBox="1"/>
                            <wps:spPr>
                              <a:xfrm>
                                <a:off x="0" y="0"/>
                                <a:ext cx="1073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31570" cy="175260"/>
                      <wp:effectExtent l="0" t="0" r="0" b="0"/>
                      <wp:wrapNone/>
                      <wp:docPr id="160" name="Frame160"/>
                      <a:graphic xmlns:a="http://schemas.openxmlformats.org/drawingml/2006/main">
                        <a:graphicData uri="http://schemas.microsoft.com/office/word/2010/wordprocessingShape">
                          <wps:wsp>
                            <wps:cNvSpPr txBox="1"/>
                            <wps:spPr>
                              <a:xfrm>
                                <a:off x="0" y="0"/>
                                <a:ext cx="1131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95910" cy="175260"/>
                      <wp:effectExtent l="0" t="0" r="0" b="0"/>
                      <wp:wrapNone/>
                      <wp:docPr id="163" name="Frame16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1930" cy="175260"/>
                      <wp:effectExtent l="0" t="0" r="0" b="0"/>
                      <wp:wrapNone/>
                      <wp:docPr id="164" name="Frame164"/>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14"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 (unaudited)</w:t>
            </w:r>
          </w:p>
        </w:tc>
      </w:tr>
      <w:tr>
        <w:trPr/>
        <w:tc>
          <w:tcPr>
            <w:tcW w:w="386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6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8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8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8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8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8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8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8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14"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6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6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8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8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8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8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8"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Changes in the fair value of the Company’s level 3 liabilities during the six months ended June 30, 2025 were as follows: </w:t>
      </w:r>
    </w:p>
    <w:p>
      <w:pPr>
        <w:pStyle w:val="TextBody"/>
        <w:bidi w:val="0"/>
        <w:spacing w:before="0" w:after="0"/>
        <w:ind w:left="0" w:right="0" w:hanging="0"/>
        <w:jc w:val="left"/>
        <w:rPr/>
      </w:pPr>
      <w:r>
        <w:rPr/>
        <w:t>​</w:t>
      </w:r>
    </w:p>
    <w:tbl>
      <w:tblPr>
        <w:tblW w:w="6975" w:type="dxa"/>
        <w:jc w:val="left"/>
        <w:tblInd w:w="0" w:type="dxa"/>
        <w:tblLayout w:type="fixed"/>
        <w:tblCellMar>
          <w:top w:w="0" w:type="dxa"/>
          <w:left w:w="0" w:type="dxa"/>
          <w:bottom w:w="0" w:type="dxa"/>
          <w:right w:w="0" w:type="dxa"/>
        </w:tblCellMar>
      </w:tblPr>
      <w:tblGrid>
        <w:gridCol w:w="2161"/>
        <w:gridCol w:w="109"/>
        <w:gridCol w:w="292"/>
        <w:gridCol w:w="938"/>
        <w:gridCol w:w="109"/>
        <w:gridCol w:w="267"/>
        <w:gridCol w:w="1008"/>
        <w:gridCol w:w="109"/>
        <w:gridCol w:w="211"/>
        <w:gridCol w:w="177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72235" cy="175260"/>
                      <wp:effectExtent l="0" t="0" r="0" b="0"/>
                      <wp:wrapNone/>
                      <wp:docPr id="165" name="Frame16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5420" cy="175260"/>
                      <wp:effectExtent l="0" t="0" r="0" b="0"/>
                      <wp:wrapNone/>
                      <wp:docPr id="167" name="Frame167"/>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95630" cy="175260"/>
                      <wp:effectExtent l="0" t="0" r="0" b="0"/>
                      <wp:wrapNone/>
                      <wp:docPr id="168" name="Frame168"/>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9545" cy="175260"/>
                      <wp:effectExtent l="0" t="0" r="0" b="0"/>
                      <wp:wrapNone/>
                      <wp:docPr id="170" name="Frame17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0080" cy="175260"/>
                      <wp:effectExtent l="0" t="0" r="0" b="0"/>
                      <wp:wrapNone/>
                      <wp:docPr id="171" name="Frame171"/>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124585" cy="175260"/>
                      <wp:effectExtent l="0" t="0" r="0" b="0"/>
                      <wp:wrapNone/>
                      <wp:docPr id="174" name="Frame174"/>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61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ecosio </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pPr>
            <w:r>
              <w:rPr/>
              <w:t>​</w:t>
            </w:r>
          </w:p>
        </w:tc>
      </w:tr>
      <w:tr>
        <w:trPr/>
        <w:tc>
          <w:tcPr>
            <w:tcW w:w="21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6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Contingent Consideration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7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Kintsugi</w:t>
            </w:r>
          </w:p>
        </w:tc>
      </w:tr>
      <w:tr>
        <w:trPr/>
        <w:tc>
          <w:tcPr>
            <w:tcW w:w="21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Earn-outs</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Earn-outs</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7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Long-term Investment</w:t>
            </w:r>
          </w:p>
        </w:tc>
      </w:tr>
      <w:tr>
        <w:trPr/>
        <w:tc>
          <w:tcPr>
            <w:tcW w:w="697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1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61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January 1, 2025</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1"/>
              <w:ind w:left="0" w:right="0" w:hanging="0"/>
              <w:jc w:val="righ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Initial measurement</w:t>
            </w:r>
          </w:p>
        </w:tc>
        <w:tc>
          <w:tcPr>
            <w:tcW w:w="109"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right"/>
              <w:rPr/>
            </w:pPr>
            <w:r>
              <w:rPr/>
              <w:t>​</w:t>
            </w:r>
          </w:p>
        </w:tc>
        <w:tc>
          <w:tcPr>
            <w:tcW w:w="93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100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2161" w:type="dxa"/>
            <w:tcBorders/>
            <w:shd w:fill="CCEEFF" w:val="clear"/>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(15,900)</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109" w:type="dxa"/>
            <w:tcBorders/>
            <w:vAlign w:val="center"/>
          </w:tcPr>
          <w:p>
            <w:pPr>
              <w:pStyle w:val="TableContents"/>
              <w:bidi w:val="0"/>
              <w:spacing w:before="0" w:after="1"/>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77,900</w:t>
            </w:r>
          </w:p>
        </w:tc>
        <w:tc>
          <w:tcPr>
            <w:tcW w:w="109" w:type="dxa"/>
            <w:tcBorders/>
            <w:vAlign w:val="center"/>
          </w:tcPr>
          <w:p>
            <w:pPr>
              <w:pStyle w:val="TableContents"/>
              <w:bidi w:val="0"/>
              <w:spacing w:before="0" w:after="1"/>
              <w:ind w:left="0" w:right="0" w:hanging="0"/>
              <w:jc w:val="righ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32,200</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7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15,000</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Assets and Liabilities for Which Fair Value is Only Disclosed</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cash and cash equivalents and the carrying amount of funds held for customers were the same as their respective fair values and are considered Level 1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 of our bank debt approximates fair value as the variable rates on the debt approximate those commercially available in the market and is considered a Level 3 measurement.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Non-recurring Fair Value Measurements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ecosio acquisition on August 30, 2024,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Derivative Instruments </w:t>
      </w:r>
    </w:p>
    <w:p>
      <w:pPr>
        <w:pStyle w:val="TextBody"/>
        <w:bidi w:val="0"/>
        <w:spacing w:lineRule="atLeast" w:line="229"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Convertible Senior Notes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2025 and December 31, 2024, the fair value of the Notes (as defined in Note 8, “Debt”) was $411,854 and $539,494, respectively. The fair value was determined based on the quoted price of the Notes in an over-the-counter market on the last trading day of the reporting period and has been classified as Level 2 in the fair value hierarchy. For further information on the Notes, refer to Note 8, “Debt”.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410" w:name="Tc_p7fbIxT160-OCzr8DWZneQ_14_5"/>
      <w:bookmarkStart w:id="1411" w:name="Tc_lK61mco6yk69lVIT6aVZzQ_14_2"/>
      <w:bookmarkStart w:id="1412" w:name="Tc_dWbnNxiSwUerbuo-7FJcXw_14_0"/>
      <w:bookmarkStart w:id="1413" w:name="Tc_rGmBWId5_kih_XUz00bVxg_13_0"/>
      <w:bookmarkStart w:id="1414" w:name="Tc_Q4Zwu3lnyUiXHigRPhcwnQ_12_0"/>
      <w:bookmarkStart w:id="1415" w:name="Tc_msgMDnqXfEu2ps6MtiMG0w_11_0"/>
      <w:bookmarkStart w:id="1416" w:name="Tc_YxAj--xu5kGsaaQhhNz3mw_10_0"/>
      <w:bookmarkStart w:id="1417" w:name="Tc_f72rlaAM506VCkc3x2r5Bg_9_0"/>
      <w:bookmarkStart w:id="1418" w:name="Tc_I76t4YLfTUOagdW2jxYJ_A_8_0"/>
      <w:bookmarkStart w:id="1419" w:name="Tc_talLMLtq8UyLoS_LJY64tw_7_0"/>
      <w:bookmarkStart w:id="1420" w:name="Tc_tIlC1aPF5kKDteopW_P-uA_6_0"/>
      <w:bookmarkStart w:id="1421" w:name="Tc_AVZ8Jt_2K0uaEwhTER6bXA_5_0"/>
      <w:bookmarkStart w:id="1422" w:name="Tc_nGCGx9KBB0-XDsqCvaW5Fg_4_5"/>
      <w:bookmarkStart w:id="1423" w:name="Tc_LF4w-OigaEeY9OOsuEkMTg_4_2"/>
      <w:bookmarkStart w:id="1424" w:name="Tc_iGOZ_rRRSE-sNfiOgIWEFg_4_0"/>
      <w:bookmarkStart w:id="1425" w:name="Tc_gQkbXoAW2UKhbmVA05EVqQ_3_2"/>
      <w:bookmarkStart w:id="1426" w:name="Tc__ScNK7zNfEC757XoDoJWyg_2_5"/>
      <w:bookmarkStart w:id="1427" w:name="Tc_E8bKf_Qj50-TBJpdVeApJQ_2_2"/>
      <w:bookmarkStart w:id="1428" w:name="Tc_QD3hY5VzSECo91D0_224Jg_1_5"/>
      <w:bookmarkStart w:id="1429" w:name="Tc_6NTLyOgcB0SsCp37nzfmHQ_1_2"/>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r>
        <w:rPr>
          <w:rFonts w:ascii="Times New Roman;Times;serif" w:hAnsi="Times New Roman;Times;serif"/>
          <w:b/>
          <w:sz w:val="20"/>
        </w:rPr>
        <w:t>5.      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property and equipment are as follows:</w:t>
      </w:r>
    </w:p>
    <w:p>
      <w:pPr>
        <w:pStyle w:val="TextBody"/>
        <w:bidi w:val="0"/>
        <w:spacing w:before="0" w:after="0"/>
        <w:ind w:left="0" w:right="0" w:hanging="0"/>
        <w:jc w:val="both"/>
        <w:rPr/>
      </w:pPr>
      <w:r>
        <w:rPr/>
        <w:t>​</w:t>
      </w:r>
    </w:p>
    <w:tbl>
      <w:tblPr>
        <w:tblW w:w="7448" w:type="dxa"/>
        <w:jc w:val="left"/>
        <w:tblInd w:w="0" w:type="dxa"/>
        <w:tblLayout w:type="fixed"/>
        <w:tblCellMar>
          <w:top w:w="0" w:type="dxa"/>
          <w:left w:w="0" w:type="dxa"/>
          <w:bottom w:w="0" w:type="dxa"/>
          <w:right w:w="0" w:type="dxa"/>
        </w:tblCellMar>
      </w:tblPr>
      <w:tblGrid>
        <w:gridCol w:w="4096"/>
        <w:gridCol w:w="326"/>
        <w:gridCol w:w="216"/>
        <w:gridCol w:w="924"/>
        <w:gridCol w:w="326"/>
        <w:gridCol w:w="284"/>
        <w:gridCol w:w="127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600960" cy="175260"/>
                      <wp:effectExtent l="0" t="0" r="0" b="0"/>
                      <wp:wrapNone/>
                      <wp:docPr id="175" name="Frame175"/>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7160" cy="175260"/>
                      <wp:effectExtent l="0" t="0" r="0" b="0"/>
                      <wp:wrapNone/>
                      <wp:docPr id="177" name="Frame17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86740" cy="175260"/>
                      <wp:effectExtent l="0" t="0" r="0" b="0"/>
                      <wp:wrapNone/>
                      <wp:docPr id="178" name="Frame178"/>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80340" cy="175260"/>
                      <wp:effectExtent l="0" t="0" r="0" b="0"/>
                      <wp:wrapNone/>
                      <wp:docPr id="180" name="Frame180"/>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10260" cy="175260"/>
                      <wp:effectExtent l="0" t="0" r="0" b="0"/>
                      <wp:wrapNone/>
                      <wp:docPr id="181" name="Frame18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326" w:type="dxa"/>
            <w:tcBorders/>
            <w:vAlign w:val="center"/>
          </w:tcPr>
          <w:p>
            <w:pPr>
              <w:pStyle w:val="TableContents"/>
              <w:bidi w:val="0"/>
              <w:spacing w:before="0" w:after="1"/>
              <w:ind w:left="0" w:right="0" w:hanging="0"/>
              <w:jc w:val="center"/>
              <w:rPr/>
            </w:pPr>
            <w:r>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    </w:t>
            </w:r>
          </w:p>
        </w:tc>
        <w:tc>
          <w:tcPr>
            <w:tcW w:w="1560" w:type="dxa"/>
            <w:gridSpan w:val="2"/>
            <w:tcBorders/>
            <w:vAlign w:val="center"/>
          </w:tcPr>
          <w:p>
            <w:pPr>
              <w:pStyle w:val="TableContents"/>
              <w:bidi w:val="0"/>
              <w:spacing w:before="0" w:after="1"/>
              <w:ind w:left="0" w:right="0" w:hanging="0"/>
              <w:jc w:val="center"/>
              <w:rPr/>
            </w:pPr>
            <w:r>
              <w:rPr/>
              <w:t>​</w:t>
            </w:r>
          </w:p>
        </w:tc>
      </w:tr>
      <w:tr>
        <w:trPr/>
        <w:tc>
          <w:tcPr>
            <w:tcW w:w="40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20,217</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20,096</w:t>
            </w:r>
          </w:p>
        </w:tc>
      </w:tr>
      <w:tr>
        <w:trPr/>
        <w:tc>
          <w:tcPr>
            <w:tcW w:w="40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17,979</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14,386</w:t>
            </w:r>
          </w:p>
        </w:tc>
      </w:tr>
      <w:tr>
        <w:trPr/>
        <w:tc>
          <w:tcPr>
            <w:tcW w:w="40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Computer software purchased</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w:t>
            </w:r>
          </w:p>
        </w:tc>
      </w:tr>
      <w:tr>
        <w:trPr/>
        <w:tc>
          <w:tcPr>
            <w:tcW w:w="40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pPr>
            <w:r>
              <w:rPr/>
              <w:t>​</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Cloud-based customer solutions </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292,265</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237,232</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Internal systems and tools </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80,252</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72,406</w:t>
            </w:r>
          </w:p>
        </w:tc>
      </w:tr>
      <w:tr>
        <w:trPr/>
        <w:tc>
          <w:tcPr>
            <w:tcW w:w="40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7,325</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7,292</w:t>
            </w:r>
          </w:p>
        </w:tc>
      </w:tr>
      <w:tr>
        <w:trPr/>
        <w:tc>
          <w:tcPr>
            <w:tcW w:w="40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18,776</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28,916</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438,197</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381,672</w:t>
            </w:r>
          </w:p>
        </w:tc>
      </w:tr>
      <w:tr>
        <w:trPr/>
        <w:tc>
          <w:tcPr>
            <w:tcW w:w="4096" w:type="dxa"/>
            <w:tcBorders/>
            <w:vAlign w:val="center"/>
          </w:tcPr>
          <w:p>
            <w:pPr>
              <w:pStyle w:val="TableContents"/>
              <w:bidi w:val="0"/>
              <w:spacing w:lineRule="auto" w:line="240" w:before="0" w:after="1"/>
              <w:ind w:left="0" w:right="0" w:hanging="0"/>
              <w:jc w:val="both"/>
              <w:rPr>
                <w:rFonts w:ascii="Times New Roman;Times;serif" w:hAnsi="Times New Roman;Times;serif"/>
                <w:sz w:val="20"/>
              </w:rPr>
            </w:pPr>
            <w:r>
              <w:rPr>
                <w:rFonts w:ascii="Times New Roman;Times;serif" w:hAnsi="Times New Roman;Times;serif"/>
                <w:sz w:val="20"/>
              </w:rPr>
              <w:t xml:space="preserve">Less accumulated depreciation and amortization </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(243,163)</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(204,113)</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195,034</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177,559</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for property and equipment, excluding all internal-use software developed and finance leases, was $1,068 and $1,120 for the three months ended June 30, 2025 and 2024, respectively, and $2,123 and $2,365 for the six months ended June 30, 2025 and 2024, respectively, and is included in depreciation and amortization in the condensed consolidated statements of comprehensive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Finance lease amortization was $19 and $21 for the three months ended June 30, 2025 and 2024, respectively, and $38 and $42 for the six months ended June 30, 2025 and 2024, respectively, and is included in depreciation and amortization in the condensed consolidated statements of comprehensive income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1430" w:name="Tc_1Hz9GG3g_UGrVF9X0KKNJw_6_5"/>
      <w:bookmarkStart w:id="1431" w:name="Tc_hb7ZCvql60C7ePobal3b9A_6_2"/>
      <w:bookmarkStart w:id="1432" w:name="Tc_7rw0072I1U2lJKx2G-Xp8w_6_0"/>
      <w:bookmarkStart w:id="1433" w:name="Tc_V9ij7llhL0a_r9Vh6F1jvA_5_0"/>
      <w:bookmarkStart w:id="1434" w:name="Tc_U_QDxNL5LkqNKdUtAoHs-Q_4_5"/>
      <w:bookmarkStart w:id="1435" w:name="Tc_HPqCNXTFvUqnbyuCw6AmQA_4_2"/>
      <w:bookmarkStart w:id="1436" w:name="Tc_h-ts-bez_0W-bD5l6_A6sA_4_0"/>
      <w:bookmarkStart w:id="1437" w:name="Tc_4HulITcWTEOwDiiUkPdMHw_3_2"/>
      <w:bookmarkStart w:id="1438" w:name="Tc_MG_oLOg9hEijtRolJxUMpA_2_5"/>
      <w:bookmarkStart w:id="1439" w:name="Tc_pmlEiI1yi0aRlUbnIz2glQ_2_2"/>
      <w:bookmarkStart w:id="1440" w:name="Tc_7C8krB99-UqK3gJR1dpKag_1_2"/>
      <w:bookmarkStart w:id="1441" w:name="Tc_BQpn_c9t-0-2iPBYWrL0Bw_8_5"/>
      <w:bookmarkStart w:id="1442" w:name="Tc_KohZbxAgK0ChVbIzTb5QqA_8_2"/>
      <w:bookmarkStart w:id="1443" w:name="Tc_0uGyw8z9_EmbqSCtjnWSUw_8_0"/>
      <w:bookmarkStart w:id="1444" w:name="Tc_Ynvnv93P1kSYKQL1vxSd5A_7_0"/>
      <w:bookmarkStart w:id="1445" w:name="Tc_68u2SA7Fdk-uKfNntRGwjg_6_0"/>
      <w:bookmarkStart w:id="1446" w:name="Tc_mXhK5p3xIUq353oA9Wl9xA_5_0"/>
      <w:bookmarkStart w:id="1447" w:name="Tc_0BMODjcCMUmMJPnpYfhbOw_4_5"/>
      <w:bookmarkStart w:id="1448" w:name="Tc_-FWVPQeizEKdUgjTkSGd4A_4_2"/>
      <w:bookmarkStart w:id="1449" w:name="Tc_wM5F5BMVWES4YtDziNqNFA_4_0"/>
      <w:bookmarkStart w:id="1450" w:name="Tc_uUTWAn1TAkS26UOKpz2M1g_3_2"/>
      <w:bookmarkStart w:id="1451" w:name="Tc_Rihdnsb5CUKnns_4Xch5Qw_2_5"/>
      <w:bookmarkStart w:id="1452" w:name="Tc_n5U4eVkOYUaoEGzYNW1UTw_2_2"/>
      <w:bookmarkStart w:id="1453" w:name="Tc_hy4Kt2ZnEEWQ9a7Jc0mjpg_1_5"/>
      <w:bookmarkStart w:id="1454" w:name="Tc_nJhlFuddhkCpEJ_r2c0upw_1_2"/>
      <w:bookmarkStart w:id="1455" w:name="_4b1e73d2_51af_4a01_aa1f_6603e284e9cf_3"/>
      <w:bookmarkStart w:id="1456" w:name="_4b1e73d2_51af_4a01_aa1f_6603e284e9cf_2"/>
      <w:bookmarkStart w:id="1457" w:name="_4b1e73d2_51af_4a01_aa1f_6603e284e9cf"/>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r>
        <w:rPr>
          <w:rFonts w:ascii="Times New Roman;Times;serif" w:hAnsi="Times New Roman;Times;serif"/>
          <w:sz w:val="20"/>
        </w:rPr>
        <w:t xml:space="preserve">Assets under finance leases of $172 and $172, net of accumulated amortization of $134 and $97, respectively, at June 30, 2025 and December 31, 2024, respectively, are included in property and equipment, net in the condensed consolidated balance sheets.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internal-use software developed are as follows:</w:t>
      </w:r>
    </w:p>
    <w:p>
      <w:pPr>
        <w:pStyle w:val="TextBody"/>
        <w:bidi w:val="0"/>
        <w:spacing w:before="0" w:after="0"/>
        <w:ind w:left="0" w:right="0" w:hanging="0"/>
        <w:jc w:val="both"/>
        <w:rPr/>
      </w:pPr>
      <w:r>
        <w:rPr/>
        <w:t>​</w:t>
      </w:r>
    </w:p>
    <w:tbl>
      <w:tblPr>
        <w:tblW w:w="8798" w:type="dxa"/>
        <w:jc w:val="left"/>
        <w:tblInd w:w="0" w:type="dxa"/>
        <w:tblLayout w:type="fixed"/>
        <w:tblCellMar>
          <w:top w:w="0" w:type="dxa"/>
          <w:left w:w="0" w:type="dxa"/>
          <w:bottom w:w="0" w:type="dxa"/>
          <w:right w:w="0" w:type="dxa"/>
        </w:tblCellMar>
      </w:tblPr>
      <w:tblGrid>
        <w:gridCol w:w="5401"/>
        <w:gridCol w:w="326"/>
        <w:gridCol w:w="225"/>
        <w:gridCol w:w="960"/>
        <w:gridCol w:w="326"/>
        <w:gridCol w:w="284"/>
        <w:gridCol w:w="127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429635" cy="175260"/>
                      <wp:effectExtent l="0" t="0" r="0" b="0"/>
                      <wp:wrapNone/>
                      <wp:docPr id="182" name="Frame182"/>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42875" cy="175260"/>
                      <wp:effectExtent l="0" t="0" r="0" b="0"/>
                      <wp:wrapNone/>
                      <wp:docPr id="184" name="Frame18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09600" cy="175260"/>
                      <wp:effectExtent l="0" t="0" r="0" b="0"/>
                      <wp:wrapNone/>
                      <wp:docPr id="185" name="Frame185"/>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80340" cy="175260"/>
                      <wp:effectExtent l="0" t="0" r="0" b="0"/>
                      <wp:wrapNone/>
                      <wp:docPr id="187" name="Frame187"/>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810260" cy="175260"/>
                      <wp:effectExtent l="0" t="0" r="0" b="0"/>
                      <wp:wrapNone/>
                      <wp:docPr id="188" name="Frame188"/>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    </w:t>
            </w:r>
          </w:p>
        </w:tc>
        <w:tc>
          <w:tcPr>
            <w:tcW w:w="284"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w:t>
            </w:r>
          </w:p>
        </w:tc>
      </w:tr>
      <w:tr>
        <w:trPr/>
        <w:tc>
          <w:tcPr>
            <w:tcW w:w="54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372,517</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309,638</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(207,877)</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(171,181)</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 of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164,640</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138,457</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18,776</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183,416</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167,373</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Amounts included in property and equipment additions related to capitalized internal-use software on the condensed consolidated statements of cash flows are as follows:</w:t>
      </w:r>
      <w:r>
        <w:rPr>
          <w:rFonts w:ascii="Times New Roman;Times;serif" w:hAnsi="Times New Roman;Times;serif"/>
          <w:color w:val="FF0000"/>
          <w:sz w:val="20"/>
        </w:rPr>
        <w:t xml:space="preserve"> </w:t>
      </w:r>
    </w:p>
    <w:p>
      <w:pPr>
        <w:pStyle w:val="TextBody"/>
        <w:bidi w:val="0"/>
        <w:spacing w:before="0" w:after="0"/>
        <w:ind w:left="0" w:right="0" w:hanging="0"/>
        <w:jc w:val="both"/>
        <w:rPr/>
      </w:pPr>
      <w:r>
        <w:rPr/>
        <w:t>​</w:t>
      </w:r>
    </w:p>
    <w:tbl>
      <w:tblPr>
        <w:tblW w:w="5726" w:type="dxa"/>
        <w:jc w:val="left"/>
        <w:tblInd w:w="0" w:type="dxa"/>
        <w:tblLayout w:type="fixed"/>
        <w:tblCellMar>
          <w:top w:w="0" w:type="dxa"/>
          <w:left w:w="0" w:type="dxa"/>
          <w:bottom w:w="0" w:type="dxa"/>
          <w:right w:w="0" w:type="dxa"/>
        </w:tblCellMar>
      </w:tblPr>
      <w:tblGrid>
        <w:gridCol w:w="2731"/>
        <w:gridCol w:w="326"/>
        <w:gridCol w:w="282"/>
        <w:gridCol w:w="903"/>
        <w:gridCol w:w="145"/>
        <w:gridCol w:w="282"/>
        <w:gridCol w:w="1057"/>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734185" cy="175260"/>
                      <wp:effectExtent l="0" t="0" r="0" b="0"/>
                      <wp:wrapNone/>
                      <wp:docPr id="189" name="Frame189"/>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79070" cy="175260"/>
                      <wp:effectExtent l="0" t="0" r="0" b="0"/>
                      <wp:wrapNone/>
                      <wp:docPr id="191" name="Frame191"/>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73405" cy="175260"/>
                      <wp:effectExtent l="0" t="0" r="0" b="0"/>
                      <wp:wrapNone/>
                      <wp:docPr id="192" name="Frame192"/>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2075" cy="175260"/>
                      <wp:effectExtent l="0" t="0" r="0" b="0"/>
                      <wp:wrapNone/>
                      <wp:docPr id="193" name="Frame193"/>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9070" cy="175260"/>
                      <wp:effectExtent l="0" t="0" r="0" b="0"/>
                      <wp:wrapNone/>
                      <wp:docPr id="194" name="Frame19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71195" cy="175260"/>
                      <wp:effectExtent l="0" t="0" r="0" b="0"/>
                      <wp:wrapNone/>
                      <wp:docPr id="195" name="Frame195"/>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5" w:type="dxa"/>
            <w:tcBorders/>
            <w:vAlign w:val="center"/>
          </w:tcPr>
          <w:p>
            <w:pPr>
              <w:pStyle w:val="TableContents"/>
              <w:bidi w:val="0"/>
              <w:spacing w:before="0" w:after="0"/>
              <w:ind w:left="0" w:right="0" w:hanging="0"/>
              <w:jc w:val="center"/>
              <w:rPr/>
            </w:pPr>
            <w:r>
              <w:rPr/>
              <w:t>​</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2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Cloud-based customer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31,014</w:t>
            </w:r>
          </w:p>
        </w:tc>
        <w:tc>
          <w:tcPr>
            <w:tcW w:w="145"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19,898</w:t>
            </w:r>
          </w:p>
        </w:tc>
      </w:tr>
      <w:tr>
        <w:trPr/>
        <w:tc>
          <w:tcPr>
            <w:tcW w:w="27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 systems and tools</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8,476</w:t>
            </w:r>
          </w:p>
        </w:tc>
        <w:tc>
          <w:tcPr>
            <w:tcW w:w="145"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9,559</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39,490</w:t>
            </w:r>
          </w:p>
        </w:tc>
        <w:tc>
          <w:tcPr>
            <w:tcW w:w="145"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29,457</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In-process internal-use software developed is not depreciated until it is available for its intended use. Depreciation expense for internal-use software developed for cloud-based customer solutions for the three months ended June 30, 2025 and 2024 was $11,206 and $8,345 respectively, and $21,269 and $17,778 for the six months ended June 30, 2025 and 2024, respectively, is included in cost of revenues, software subscriptions in the condensed consolidated statements of comprehensive income (loss).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for internal-use software developed for internal systems and tools for the three months ended June 30, 2025 and 2024 was $5,101 and $4,072, respectively, and $9,906 and $7,811 for the six months ended June 30, 2025 and 2024, respectively, and is included in depreciation and amortization in the condensed consolidated statements of comprehensive income (loss).</w:t>
      </w:r>
    </w:p>
    <w:p>
      <w:pPr>
        <w:pStyle w:val="TextBody"/>
        <w:bidi w:val="0"/>
        <w:spacing w:before="0" w:after="240"/>
        <w:ind w:left="0" w:right="0" w:firstLine="720"/>
        <w:jc w:val="both"/>
        <w:rPr>
          <w:color w:val="1F497D"/>
        </w:rPr>
      </w:pPr>
      <w:r>
        <w:rPr>
          <w:color w:val="1F497D"/>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6.    CAPITALIZED SOFTWARE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Capitalized software includes acquired software and direct labor and related expenses for software developed for sale for new products and enhancements to existing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458" w:name="Tc_vup32Jr60EKw5AnDl9CiqQ_8_4"/>
      <w:bookmarkStart w:id="1459" w:name="Tc_y8BN3fljYUGXx-rB2QALaw_8_1"/>
      <w:bookmarkStart w:id="1460" w:name="Tc_GmW82T0gX0--_c3z240gYQ_8_0"/>
      <w:bookmarkStart w:id="1461" w:name="Tc_vSiPMnJPLEmXRuXClde5QQ_7_0"/>
      <w:bookmarkStart w:id="1462" w:name="Tc_pc-Ld-w7zkOO3ruJjq6JJQ_6_0"/>
      <w:bookmarkStart w:id="1463" w:name="Tc_d6jPHszJNESDSED_QdF5hA_5_0"/>
      <w:bookmarkStart w:id="1464" w:name="Tc_oeZNly1Xdkm4sXnrIv3ojQ_4_4"/>
      <w:bookmarkStart w:id="1465" w:name="Tc_-xcXJV--VUiNd-k94hU5_Q_4_1"/>
      <w:bookmarkStart w:id="1466" w:name="Tc_CtcCxUW4kUaPfcX5If3QPg_4_0"/>
      <w:bookmarkStart w:id="1467" w:name="Tc_CSXeDbzZr0yQYMXCplGjxQ_3_1"/>
      <w:bookmarkStart w:id="1468" w:name="Tc_JHH7voFLTESqzixdlbENHw_2_4"/>
      <w:bookmarkStart w:id="1469" w:name="Tc_9O3v_iekk0GloVHBwRy-UQ_2_1"/>
      <w:bookmarkStart w:id="1470" w:name="Tc_ZwelhTLj6EGC1QqWHo0Cvg_1_4"/>
      <w:bookmarkStart w:id="1471" w:name="Tc_tRzTdD-_bkWPR5fnmITBcg_1_1"/>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r>
        <w:rPr>
          <w:rFonts w:ascii="Times New Roman;Times;serif" w:hAnsi="Times New Roman;Times;serif"/>
          <w:sz w:val="20"/>
        </w:rPr>
        <w:t>The major components of capitalized software are as follows:</w:t>
      </w:r>
    </w:p>
    <w:p>
      <w:pPr>
        <w:pStyle w:val="TextBody"/>
        <w:bidi w:val="0"/>
        <w:spacing w:before="0" w:after="0"/>
        <w:ind w:left="0" w:right="0" w:hanging="0"/>
        <w:jc w:val="left"/>
        <w:rPr/>
      </w:pPr>
      <w:r>
        <w:rPr/>
        <w:t>​</w:t>
      </w:r>
    </w:p>
    <w:tbl>
      <w:tblPr>
        <w:tblW w:w="7340" w:type="dxa"/>
        <w:jc w:val="left"/>
        <w:tblInd w:w="0" w:type="dxa"/>
        <w:tblLayout w:type="fixed"/>
        <w:tblCellMar>
          <w:top w:w="0" w:type="dxa"/>
          <w:left w:w="0" w:type="dxa"/>
          <w:bottom w:w="0" w:type="dxa"/>
          <w:right w:w="0" w:type="dxa"/>
        </w:tblCellMar>
      </w:tblPr>
      <w:tblGrid>
        <w:gridCol w:w="4486"/>
        <w:gridCol w:w="225"/>
        <w:gridCol w:w="960"/>
        <w:gridCol w:w="109"/>
        <w:gridCol w:w="284"/>
        <w:gridCol w:w="127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848610" cy="175260"/>
                      <wp:effectExtent l="0" t="0" r="0" b="0"/>
                      <wp:wrapNone/>
                      <wp:docPr id="196" name="Frame196"/>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2875" cy="175260"/>
                      <wp:effectExtent l="0" t="0" r="0" b="0"/>
                      <wp:wrapNone/>
                      <wp:docPr id="197" name="Frame19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09600" cy="175260"/>
                      <wp:effectExtent l="0" t="0" r="0" b="0"/>
                      <wp:wrapNone/>
                      <wp:docPr id="198" name="Frame198"/>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0340" cy="175260"/>
                      <wp:effectExtent l="0" t="0" r="0" b="0"/>
                      <wp:wrapNone/>
                      <wp:docPr id="200" name="Frame200"/>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10260" cy="175260"/>
                      <wp:effectExtent l="0" t="0" r="0" b="0"/>
                      <wp:wrapNone/>
                      <wp:docPr id="201" name="Frame20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48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8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r>
      <w:tr>
        <w:trPr/>
        <w:tc>
          <w:tcPr>
            <w:tcW w:w="44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Capitalized software</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151,572</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140,562</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(116,431)</w:t>
            </w:r>
          </w:p>
        </w:tc>
        <w:tc>
          <w:tcPr>
            <w:tcW w:w="109"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 of accumulated depreciation</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35,141</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35,387</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capitalized software</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109"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35,659</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36,350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Software development costs capitalized for the three months ended June 30, 2025 and 2024, were $4,904 and $5,482, respectively, and $10,565 and $11,097 for the six months ended June 30, 2025 and 2024, respectively.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Capitalized software amortization expense, including amortization of acquired technology, was $5,464 and $6,174 for the three months ended June 30, 2025 and 2024, respectively, and $11,256 and $12,028 for the six months ended June 30, 2025 and 2024, respectively, and is included in cost of revenues, software subscriptions in the condensed consolidated statements of comprehensive income (loss).</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472" w:name="Tc_oYOLCxYwIUy4Wmr3G09mow_8_8"/>
      <w:bookmarkStart w:id="1473" w:name="Tc_Tg8ph3rVMEWVSSVzQnhm1w_8_5"/>
      <w:bookmarkStart w:id="1474" w:name="Tc_BghYewaG2kqIwagC0ffKHg_8_0"/>
      <w:bookmarkStart w:id="1475" w:name="Tc_mwJ17FLJYEuiI8-LXGoCFA_7_0"/>
      <w:bookmarkStart w:id="1476" w:name="Tc_gkUub1x-UkiwxSzPYgorzQ_6_8"/>
      <w:bookmarkStart w:id="1477" w:name="Tc_0zIFrORjE0G6y2TXM8dzvw_6_5"/>
      <w:bookmarkStart w:id="1478" w:name="Tc_26i7xLZLlUax9YUmPILIAg_6_0"/>
      <w:bookmarkStart w:id="1479" w:name="Tc_bEqfj07OIUmRWZTdEiUcfQ_4_0"/>
      <w:bookmarkStart w:id="1480" w:name="Tc_pL-tmSWRYk-S0ra25cTnUA_3_6"/>
      <w:bookmarkStart w:id="1481" w:name="Tc_JIcZnQbCk0GBkMQ1jvpdfA_2_8"/>
      <w:bookmarkStart w:id="1482" w:name="Tc_Ibxv1NsUEEyjvpz-0XUDjw_2_5"/>
      <w:bookmarkStart w:id="1483" w:name="Tc_F97KtzgUJkampoKPmGLIKQ_1_8"/>
      <w:bookmarkStart w:id="1484" w:name="Tc_cvXh8pJVSkq13Bk-qoXbzA_1_5"/>
      <w:bookmarkStart w:id="1485" w:name="Tc_Gl-wRBWki02uPsTmWiwFcg_6_5"/>
      <w:bookmarkStart w:id="1486" w:name="Tc_xxcSOeO-eE6Ww4e6YHI_cw_6_2"/>
      <w:bookmarkStart w:id="1487" w:name="Tc_Ty5z5abmNUKZxMQOpvPqZA_6_0"/>
      <w:bookmarkStart w:id="1488" w:name="Tc_6OQMVHWbi02iJqfRrs4wKQ_5_0"/>
      <w:bookmarkStart w:id="1489" w:name="Tc_UwZOeuefRESqqDb3TKg_0Q_4_5"/>
      <w:bookmarkStart w:id="1490" w:name="Tc_AH_osJIByECg1y4J8734bw_4_2"/>
      <w:bookmarkStart w:id="1491" w:name="Tc_5KUZmmhsgU2xq5eidF19DQ_4_0"/>
      <w:bookmarkStart w:id="1492" w:name="Tc_pX2PUMp0SUezP95qLFxqWg_3_3"/>
      <w:bookmarkStart w:id="1493" w:name="Tc_yhpmy5_HnEG1trlrBRKV0Q_2_5"/>
      <w:bookmarkStart w:id="1494" w:name="Tc_oOufQkNoJEmOHSO6XVny9A_2_2"/>
      <w:bookmarkStart w:id="1495" w:name="Tc_RR5L6Y24U06YhT2FmO7ESA_1_5"/>
      <w:bookmarkStart w:id="1496" w:name="Tc_Z3uXzTBAOkWt0YrGMKBzPQ_1_2"/>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r>
        <w:rPr>
          <w:rFonts w:ascii="Times New Roman;Times;serif" w:hAnsi="Times New Roman;Times;serif"/>
          <w:b/>
          <w:sz w:val="20"/>
        </w:rPr>
        <w:t xml:space="preserve">7.    GOODWILL AND OTHER INTANGIBLE ASSETS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Goodwill and other intangible assets are as follows for the periods presented: </w:t>
      </w:r>
    </w:p>
    <w:p>
      <w:pPr>
        <w:pStyle w:val="TextBody"/>
        <w:bidi w:val="0"/>
        <w:spacing w:before="0" w:after="0"/>
        <w:ind w:left="360" w:right="0" w:hanging="0"/>
        <w:jc w:val="both"/>
        <w:rPr/>
      </w:pPr>
      <w:r>
        <w:rPr/>
        <w:t>​</w:t>
      </w:r>
    </w:p>
    <w:tbl>
      <w:tblPr>
        <w:tblW w:w="5246" w:type="dxa"/>
        <w:jc w:val="left"/>
        <w:tblInd w:w="0" w:type="dxa"/>
        <w:tblLayout w:type="fixed"/>
        <w:tblCellMar>
          <w:top w:w="0" w:type="dxa"/>
          <w:left w:w="0" w:type="dxa"/>
          <w:bottom w:w="0" w:type="dxa"/>
          <w:right w:w="0" w:type="dxa"/>
        </w:tblCellMar>
      </w:tblPr>
      <w:tblGrid>
        <w:gridCol w:w="2311"/>
        <w:gridCol w:w="109"/>
        <w:gridCol w:w="211"/>
        <w:gridCol w:w="946"/>
        <w:gridCol w:w="109"/>
        <w:gridCol w:w="297"/>
        <w:gridCol w:w="1263"/>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467485" cy="175260"/>
                      <wp:effectExtent l="0" t="0" r="0" b="0"/>
                      <wp:wrapNone/>
                      <wp:docPr id="202" name="Frame20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00710" cy="175260"/>
                      <wp:effectExtent l="0" t="0" r="0" b="0"/>
                      <wp:wrapNone/>
                      <wp:docPr id="205" name="Frame20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88595" cy="175260"/>
                      <wp:effectExtent l="0" t="0" r="0" b="0"/>
                      <wp:wrapNone/>
                      <wp:docPr id="207" name="Frame20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02005" cy="175260"/>
                      <wp:effectExtent l="0" t="0" r="0" b="0"/>
                      <wp:wrapNone/>
                      <wp:docPr id="208" name="Frame208"/>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297"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392,617</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357,823</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5,198</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397,312</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363,021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 </w:t>
      </w:r>
    </w:p>
    <w:p>
      <w:pPr>
        <w:pStyle w:val="TextBody"/>
        <w:bidi w:val="0"/>
        <w:spacing w:before="0" w:after="0"/>
        <w:ind w:left="0" w:right="0" w:hanging="0"/>
        <w:jc w:val="left"/>
        <w:rPr/>
      </w:pPr>
      <w:r>
        <w:rPr/>
        <w:t>​</w:t>
      </w:r>
    </w:p>
    <w:tbl>
      <w:tblPr>
        <w:tblW w:w="7133" w:type="dxa"/>
        <w:jc w:val="left"/>
        <w:tblInd w:w="0" w:type="dxa"/>
        <w:tblLayout w:type="fixed"/>
        <w:tblCellMar>
          <w:top w:w="0" w:type="dxa"/>
          <w:left w:w="0" w:type="dxa"/>
          <w:bottom w:w="0" w:type="dxa"/>
          <w:right w:w="0" w:type="dxa"/>
        </w:tblCellMar>
      </w:tblPr>
      <w:tblGrid>
        <w:gridCol w:w="3826"/>
        <w:gridCol w:w="109"/>
        <w:gridCol w:w="109"/>
        <w:gridCol w:w="109"/>
        <w:gridCol w:w="109"/>
        <w:gridCol w:w="211"/>
        <w:gridCol w:w="946"/>
        <w:gridCol w:w="109"/>
        <w:gridCol w:w="322"/>
        <w:gridCol w:w="1283"/>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429510" cy="175260"/>
                      <wp:effectExtent l="0" t="0" r="0" b="0"/>
                      <wp:wrapNone/>
                      <wp:docPr id="209" name="Frame209"/>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00710" cy="175260"/>
                      <wp:effectExtent l="0" t="0" r="0" b="0"/>
                      <wp:wrapNone/>
                      <wp:docPr id="215" name="Frame21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4470" cy="175260"/>
                      <wp:effectExtent l="0" t="0" r="0" b="0"/>
                      <wp:wrapNone/>
                      <wp:docPr id="217" name="Frame217"/>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814705" cy="175260"/>
                      <wp:effectExtent l="0" t="0" r="0" b="0"/>
                      <wp:wrapNone/>
                      <wp:docPr id="218" name="Frame218"/>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09"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322" w:type="dxa"/>
            <w:tcBorders/>
            <w:vAlign w:val="center"/>
          </w:tcPr>
          <w:p>
            <w:pPr>
              <w:pStyle w:val="TableContents"/>
              <w:bidi w:val="0"/>
              <w:spacing w:before="0" w:after="0"/>
              <w:ind w:left="0" w:right="0" w:hanging="0"/>
              <w:jc w:val="center"/>
              <w:rPr/>
            </w:pPr>
            <w:r>
              <w:rPr/>
              <w:t>​</w:t>
            </w:r>
          </w:p>
        </w:tc>
        <w:tc>
          <w:tcPr>
            <w:tcW w:w="1283"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amortization period (years)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0"/>
              <w:ind w:left="0" w:right="0" w:hanging="0"/>
              <w:jc w:val="center"/>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2" w:type="dxa"/>
            <w:tcBorders/>
            <w:vAlign w:val="center"/>
          </w:tcPr>
          <w:p>
            <w:pPr>
              <w:pStyle w:val="TableContents"/>
              <w:bidi w:val="0"/>
              <w:spacing w:before="0" w:after="0"/>
              <w:ind w:left="0" w:right="0" w:hanging="0"/>
              <w:jc w:val="center"/>
              <w:rPr/>
            </w:pPr>
            <w:r>
              <w:rPr/>
              <w:t>​</w:t>
            </w:r>
          </w:p>
        </w:tc>
        <w:tc>
          <w:tcPr>
            <w:tcW w:w="1283"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value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17,038</w:t>
            </w:r>
          </w:p>
        </w:tc>
        <w:tc>
          <w:tcPr>
            <w:tcW w:w="109" w:type="dxa"/>
            <w:tcBorders/>
            <w:shd w:fill="CCEEFF" w:val="clear"/>
            <w:vAlign w:val="center"/>
          </w:tcPr>
          <w:p>
            <w:pPr>
              <w:pStyle w:val="TableContents"/>
              <w:bidi w:val="0"/>
              <w:spacing w:before="0" w:after="0"/>
              <w:ind w:left="0" w:right="0" w:hanging="0"/>
              <w:jc w:val="center"/>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(12,343)</w:t>
            </w:r>
          </w:p>
        </w:tc>
        <w:tc>
          <w:tcPr>
            <w:tcW w:w="109" w:type="dxa"/>
            <w:tcBorders/>
            <w:vAlign w:val="center"/>
          </w:tcPr>
          <w:p>
            <w:pPr>
              <w:pStyle w:val="TableContents"/>
              <w:bidi w:val="0"/>
              <w:spacing w:before="0" w:after="0"/>
              <w:ind w:left="0" w:right="0" w:hanging="0"/>
              <w:jc w:val="center"/>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(10,620)</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Carrying value</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497" w:name="Tc_4s0YcOt8C0SvWB7NVcsCmQ_10_0"/>
      <w:bookmarkStart w:id="1498" w:name="Tc_0qlTwhN4F0eeFWtPIojIDQ_9_11"/>
      <w:bookmarkStart w:id="1499" w:name="Tc_v1JsC4Lv6kOCP9a-xTcAtQ_9_8"/>
      <w:bookmarkStart w:id="1500" w:name="Tc_6w_zYLYqLE6lsejQtYnRQg_9_6"/>
      <w:bookmarkStart w:id="1501" w:name="Tc_a7B0rvZNYUCPtUur7acq7g_9_5"/>
      <w:bookmarkStart w:id="1502" w:name="Tc_D_w7H8m5fkGzaAagvY5__Q_9_0"/>
      <w:bookmarkStart w:id="1503" w:name="Tc_a8cQNCivRkClnc-vk5ik-w_8_12"/>
      <w:bookmarkStart w:id="1504" w:name="Tc_3NmNIqjCuE-De_lpB5DuJQ_8_8"/>
      <w:bookmarkStart w:id="1505" w:name="Tc_qtzIChYRq0-sYOwbV4uYiQ_8_5"/>
      <w:bookmarkStart w:id="1506" w:name="Tc_qALJXYfQGUudjgrJbHPWZw_8_0"/>
      <w:bookmarkStart w:id="1507" w:name="Tc_Rf1hHet9aUWDgZG2ONkVTg_5_0"/>
      <w:bookmarkStart w:id="1508" w:name="Tc_wx_kp2afvkih39K8j7h2Hg_4_11"/>
      <w:bookmarkStart w:id="1509" w:name="Tc_97QqmFsHukamY3Cdw7W8HA_4_8"/>
      <w:bookmarkStart w:id="1510" w:name="Tc_FLgJGZS-_0OgVdPOr1slPA_4_6"/>
      <w:bookmarkStart w:id="1511" w:name="Tc_3dBAsLEEI0W5HHk1cf6xEA_4_5"/>
      <w:bookmarkStart w:id="1512" w:name="Tc_HnBDcysw7UKtNDhR4As-Pw_4_0"/>
      <w:bookmarkStart w:id="1513" w:name="Tc_ZT1UEkvaa0CPejXUcL2iBA_3_12"/>
      <w:bookmarkStart w:id="1514" w:name="Tc_P97EJhlgpUe0Mh1kFPPbyA_3_8"/>
      <w:bookmarkStart w:id="1515" w:name="Tc_1VCAanpncEKWacJovFRYSA_3_5"/>
      <w:bookmarkStart w:id="1516" w:name="Tc_wfrqqEqMIUSSrqhkBbjDxQ_3_0"/>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r>
        <w:rPr>
          <w:rFonts w:ascii="Times New Roman;Times;serif" w:hAnsi="Times New Roman;Times;serif"/>
          <w:sz w:val="20"/>
        </w:rPr>
        <w:t>The following table presents amortization of other intangible assets:</w:t>
      </w:r>
    </w:p>
    <w:p>
      <w:pPr>
        <w:pStyle w:val="TextBody"/>
        <w:bidi w:val="0"/>
        <w:spacing w:before="0" w:after="0"/>
        <w:ind w:left="0" w:right="0" w:firstLine="360"/>
        <w:jc w:val="both"/>
        <w:rPr/>
      </w:pPr>
      <w:r>
        <w:rPr/>
        <w:t>​</w:t>
      </w:r>
    </w:p>
    <w:tbl>
      <w:tblPr>
        <w:tblW w:w="10106" w:type="dxa"/>
        <w:jc w:val="left"/>
        <w:tblInd w:w="0" w:type="dxa"/>
        <w:tblLayout w:type="fixed"/>
        <w:tblCellMar>
          <w:top w:w="0" w:type="dxa"/>
          <w:left w:w="0" w:type="dxa"/>
          <w:bottom w:w="0" w:type="dxa"/>
          <w:right w:w="0" w:type="dxa"/>
        </w:tblCellMar>
      </w:tblPr>
      <w:tblGrid>
        <w:gridCol w:w="3031"/>
        <w:gridCol w:w="109"/>
        <w:gridCol w:w="109"/>
        <w:gridCol w:w="109"/>
        <w:gridCol w:w="326"/>
        <w:gridCol w:w="1034"/>
        <w:gridCol w:w="2071"/>
        <w:gridCol w:w="326"/>
        <w:gridCol w:w="404"/>
        <w:gridCol w:w="1096"/>
        <w:gridCol w:w="109"/>
        <w:gridCol w:w="211"/>
        <w:gridCol w:w="117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924685" cy="175260"/>
                      <wp:effectExtent l="0" t="0" r="0" b="0"/>
                      <wp:wrapNone/>
                      <wp:docPr id="219" name="Frame219"/>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56590" cy="175260"/>
                      <wp:effectExtent l="0" t="0" r="0" b="0"/>
                      <wp:wrapNone/>
                      <wp:docPr id="224" name="Frame224"/>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15085" cy="175260"/>
                      <wp:effectExtent l="0" t="0" r="0" b="0"/>
                      <wp:wrapNone/>
                      <wp:docPr id="225" name="Frame225"/>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56540" cy="175260"/>
                      <wp:effectExtent l="0" t="0" r="0" b="0"/>
                      <wp:wrapNone/>
                      <wp:docPr id="227" name="Frame227"/>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5960" cy="175260"/>
                      <wp:effectExtent l="0" t="0" r="0" b="0"/>
                      <wp:wrapNone/>
                      <wp:docPr id="228" name="Frame22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743585" cy="175260"/>
                      <wp:effectExtent l="0" t="0" r="0" b="0"/>
                      <wp:wrapNone/>
                      <wp:docPr id="231" name="Frame23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30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For the three months ended June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of Revenues, Software Subscriptions</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Expense</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30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For the six months ended June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of Revenues, Software Subscriptions</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Expense</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 xml:space="preserve">DEBT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Credit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a credit agreement (“Credit Agreement”) with a banking syndicate, which initially provided (i) a term loan in the aggregate amount of $50,000 (the “Term Loan”); and (ii) a $200,000 revolving facility (the “Line of Credit”). On May 10, 2024, the Company repaid the outstanding Term Loan balance in full.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November 4, 2024, the Company entered into a Fifth Amendment to the Credit Agreement (the “Fifth Amendment”), which provided for, among other modifications, an increase in the Line of Credit commitment from $200,000 to $300,000 and an extension of the maturity date to November 4, 2029.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had no outstanding borrowings under the Credit Agreement at June 30, 2025 or December 31, 2024.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Indenture and Notes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26, 2024, the Company issued $345,000 aggregate principal amount of 0.750% Convertible Senior Notes due 2029 (the “Notes”) to qualified institutional buyers in accordance with Rule 144A under the Securities Act of 1933, as amended. The Notes bear interest at a rate of 0.750% per annum on the principal amount thereof, payable semi-annually in arrears on May 1 and November 1 of each year, beginning on November 1, 2024. The Notes will mature on May 1, 2029, unless earlier repurchased, redeemed or converted in accordance with their terms. </w:t>
      </w:r>
    </w:p>
    <w:p>
      <w:pPr>
        <w:pStyle w:val="TextBody"/>
        <w:bidi w:val="0"/>
        <w:spacing w:before="0" w:after="0"/>
        <w:ind w:left="0" w:right="0" w:firstLine="360"/>
        <w:jc w:val="both"/>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changes to the initial conversion price of the Notes since issuance. The Notes are convertible into the Company’s Class A common stock at the option of the holders. As of June 30, 2025, none of the Notes were converted.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Capped Call Transactions</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pricing of the Notes on April 23, 2024, the Company entered into privately negotiated capped call transactions (the “Base Capped Call Transactions”) with certain financial institutions (together, the “Option Counterparties”). In connection with the exercise of the option to purchase the additional Notes in full, the Company entered into additional capped call transactions with the Option Counterparties (together with the Base Capped Call Transactions, the “Capped Call Transactions”).</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1517" w:name="Tc_eCDAHix19EKXfGSzAnKw6g_6_13"/>
      <w:bookmarkStart w:id="1518" w:name="Tc_5PIZP00x80e-ObbNryWwrw_6_10"/>
      <w:bookmarkStart w:id="1519" w:name="Tc_wLiA_pLxA0SNyqs-OEwkZA_6_6"/>
      <w:bookmarkStart w:id="1520" w:name="Tc_nsyt_dOKoUOjyI9JlGAdyw_6_3"/>
      <w:bookmarkStart w:id="1521" w:name="Tc_xucc6t-0rUmU-etBeeWdXA_6_0"/>
      <w:bookmarkStart w:id="1522" w:name="Tc_tbPPcUAFWUmW7_72Ek9oPQ_5_0"/>
      <w:bookmarkStart w:id="1523" w:name="Tc_jiYe5qwsTkKTwhHeMduzpQ_4_13"/>
      <w:bookmarkStart w:id="1524" w:name="Tc_-mjaKOEgUUy6nC91YZhLuQ_4_10"/>
      <w:bookmarkStart w:id="1525" w:name="Tc_BhfJrOXcCk2BB-MV_sG7KA_4_6"/>
      <w:bookmarkStart w:id="1526" w:name="Tc_mR-1WbSXJUG0dWjMIYB8hg_4_3"/>
      <w:bookmarkStart w:id="1527" w:name="Tc_IgvODH8wqkSGcyqpxxbYFw_4_0"/>
      <w:bookmarkStart w:id="1528" w:name="Tc_k1vNX9lGIkucYwsJ277iUQ_3_10"/>
      <w:bookmarkStart w:id="1529" w:name="Tc_9DEk5xKPD0iXOWRHq7aLhg_3_4"/>
      <w:bookmarkStart w:id="1530" w:name="Tc_tS9gsJXOSEWVFppJcDKdmQ_2_14"/>
      <w:bookmarkStart w:id="1531" w:name="Tc_HklIHoXB20i_hKzZvHP2ZQ_2_11"/>
      <w:bookmarkStart w:id="1532" w:name="Tc_rSlP4vjjxkWxTHNQmanatg_2_7"/>
      <w:bookmarkStart w:id="1533" w:name="Tc_WA01v7SVAk2EIAvEZfPgew_2_4"/>
      <w:bookmarkStart w:id="1534" w:name="Tc_-1tzApGDAE-uPjYwvfp8gA_1_11"/>
      <w:bookmarkStart w:id="1535" w:name="Tc_NV9aP6jii0Kgnuq3EfNfWQ_1_3"/>
      <w:bookmarkStart w:id="1536" w:name="Tc_1YAgy9d8SEmoLoOyET6zMg_4_16"/>
      <w:bookmarkStart w:id="1537" w:name="Tc_DgNERa91pUGdsMJQLXT7mA_4_13"/>
      <w:bookmarkStart w:id="1538" w:name="Tc_HUoAXhj0ikijpD7uMeJwAQ_4_10"/>
      <w:bookmarkStart w:id="1539" w:name="Tc_jyVMcCmdNkiSLkrfeoOAlg_4_7"/>
      <w:bookmarkStart w:id="1540" w:name="Tc_wOrSAefLREOS30xOxN941w_4_4"/>
      <w:bookmarkStart w:id="1541" w:name="Tc_JcJaMbmTHkuaUfqSVyNtVg_4_1"/>
      <w:bookmarkStart w:id="1542" w:name="Tc_gLT9mcwOGEm6_-_eL8_ykQ_4_0"/>
      <w:bookmarkStart w:id="1543" w:name="Tc_jG5G8KxgpE63SUYVxcn4Mg_3_0"/>
      <w:bookmarkStart w:id="1544" w:name="Tc_Royplgbh0UeavrXCTt7Uag_2_17"/>
      <w:bookmarkStart w:id="1545" w:name="Tc_2O9UXkR_8Ui0WmYmprL0YQ_2_14"/>
      <w:bookmarkStart w:id="1546" w:name="Tc_fcMpTlTa4kCH6pEZB52-VA_2_11"/>
      <w:bookmarkStart w:id="1547" w:name="Tc_CC2UidlbB0-Awr99fbhU5Q_2_8"/>
      <w:bookmarkStart w:id="1548" w:name="Tc_v4rDFlzZZEGkOP5tei0RAA_2_5"/>
      <w:bookmarkStart w:id="1549" w:name="Tc_VkjN5q5j7USAg-wbidVC2w_2_2"/>
      <w:bookmarkStart w:id="1550" w:name="Tc_jDTfep_h50-7PRRlWw3beQ_1_10"/>
      <w:bookmarkStart w:id="1551" w:name="Tc_ON4WkW5wXEeE_nVcOUSZwQ_1_1"/>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r>
        <w:rPr>
          <w:rFonts w:ascii="Times New Roman;Times;serif" w:hAnsi="Times New Roman;Times;serif"/>
          <w:sz w:val="20"/>
        </w:rPr>
        <w:t xml:space="preserve">The Company’s indebtedness at June 30, 2025 and December 31, 2024 was as follows: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3"/>
        <w:gridCol w:w="211"/>
        <w:gridCol w:w="942"/>
        <w:gridCol w:w="109"/>
        <w:gridCol w:w="211"/>
        <w:gridCol w:w="1410"/>
        <w:gridCol w:w="109"/>
        <w:gridCol w:w="211"/>
        <w:gridCol w:w="1025"/>
        <w:gridCol w:w="109"/>
        <w:gridCol w:w="326"/>
        <w:gridCol w:w="942"/>
        <w:gridCol w:w="109"/>
        <w:gridCol w:w="211"/>
        <w:gridCol w:w="1410"/>
        <w:gridCol w:w="109"/>
        <w:gridCol w:w="211"/>
        <w:gridCol w:w="1127"/>
      </w:tblGrid>
      <w:tr>
        <w:trPr/>
        <w:tc>
          <w:tcPr>
            <w:tcW w:w="1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903605" cy="175260"/>
                      <wp:effectExtent l="0" t="0" r="0" b="0"/>
                      <wp:wrapNone/>
                      <wp:docPr id="232" name="Frame232"/>
                      <a:graphic xmlns:a="http://schemas.openxmlformats.org/drawingml/2006/main">
                        <a:graphicData uri="http://schemas.microsoft.com/office/word/2010/wordprocessingShape">
                          <wps:wsp>
                            <wps:cNvSpPr txBox="1"/>
                            <wps:spPr>
                              <a:xfrm>
                                <a:off x="0" y="0"/>
                                <a:ext cx="903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98170" cy="175260"/>
                      <wp:effectExtent l="0" t="0" r="0" b="0"/>
                      <wp:wrapNone/>
                      <wp:docPr id="234" name="Frame234"/>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895350" cy="175260"/>
                      <wp:effectExtent l="0" t="0" r="0" b="0"/>
                      <wp:wrapNone/>
                      <wp:docPr id="237" name="Frame237"/>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50875" cy="175260"/>
                      <wp:effectExtent l="0" t="0" r="0" b="0"/>
                      <wp:wrapNone/>
                      <wp:docPr id="240" name="Frame240"/>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98170" cy="175260"/>
                      <wp:effectExtent l="0" t="0" r="0" b="0"/>
                      <wp:wrapNone/>
                      <wp:docPr id="243" name="Frame243"/>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895350" cy="175260"/>
                      <wp:effectExtent l="0" t="0" r="0" b="0"/>
                      <wp:wrapNone/>
                      <wp:docPr id="246" name="Frame246"/>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15645" cy="175260"/>
                      <wp:effectExtent l="0" t="0" r="0" b="0"/>
                      <wp:wrapNone/>
                      <wp:docPr id="249" name="Frame249"/>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3" w:type="dxa"/>
            <w:tcBorders/>
            <w:vAlign w:val="center"/>
          </w:tcPr>
          <w:p>
            <w:pPr>
              <w:pStyle w:val="TableContents"/>
              <w:bidi w:val="0"/>
              <w:spacing w:before="0" w:after="0"/>
              <w:ind w:left="0" w:right="0" w:hanging="0"/>
              <w:jc w:val="left"/>
              <w:rPr/>
            </w:pPr>
            <w:r>
              <w:rPr/>
              <w:t>​</w:t>
            </w:r>
          </w:p>
        </w:tc>
        <w:tc>
          <w:tcPr>
            <w:tcW w:w="42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2025 (unaudited)</w:t>
            </w:r>
          </w:p>
        </w:tc>
        <w:tc>
          <w:tcPr>
            <w:tcW w:w="109" w:type="dxa"/>
            <w:tcBorders/>
            <w:vAlign w:val="center"/>
          </w:tcPr>
          <w:p>
            <w:pPr>
              <w:pStyle w:val="TableContents"/>
              <w:bidi w:val="0"/>
              <w:spacing w:before="0" w:after="0"/>
              <w:ind w:left="0" w:right="0" w:hanging="0"/>
              <w:jc w:val="left"/>
              <w:rPr/>
            </w:pPr>
            <w:r>
              <w:rPr/>
              <w:t>​</w:t>
            </w:r>
          </w:p>
        </w:tc>
        <w:tc>
          <w:tcPr>
            <w:tcW w:w="44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423"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Amount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Discounts and Deferred Financing Costs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c>
          <w:tcPr>
            <w:tcW w:w="109" w:type="dxa"/>
            <w:tcBorders/>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Amount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Discounts and Deferred Financing Costs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senior notes, non-current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336,349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335,220</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debt</w:t>
            </w:r>
            <w:r>
              <w:rPr>
                <w:rFonts w:ascii="Times New Roman;Times;serif" w:hAnsi="Times New Roman;Times;serif"/>
                <w:color w:val="FF0000"/>
                <w:sz w:val="18"/>
              </w:rPr>
              <w:t xml:space="preserve">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336,349</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335,220</w:t>
            </w:r>
          </w:p>
        </w:tc>
      </w:tr>
    </w:tbl>
    <w:p>
      <w:pPr>
        <w:pStyle w:val="TextBody"/>
        <w:bidi w:val="0"/>
        <w:spacing w:before="0" w:after="0"/>
        <w:ind w:left="0" w:right="0" w:hanging="0"/>
        <w:jc w:val="left"/>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rFonts w:ascii="Times New Roman;Times;serif" w:hAnsi="Times New Roman;Times;serif"/>
          <w:sz w:val="20"/>
        </w:rPr>
      </w:pPr>
      <w:r>
        <w:rPr>
          <w:rFonts w:ascii="Times New Roman;Times;serif" w:hAnsi="Times New Roman;Times;serif"/>
          <w:sz w:val="20"/>
        </w:rPr>
        <w:t xml:space="preserve">The Company’s interest expense related to the Notes is as follows: </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tbl>
      <w:tblPr>
        <w:tblW w:w="9495" w:type="dxa"/>
        <w:jc w:val="left"/>
        <w:tblInd w:w="0" w:type="dxa"/>
        <w:tblLayout w:type="fixed"/>
        <w:tblCellMar>
          <w:top w:w="0" w:type="dxa"/>
          <w:left w:w="0" w:type="dxa"/>
          <w:bottom w:w="0" w:type="dxa"/>
          <w:right w:w="0" w:type="dxa"/>
        </w:tblCellMar>
      </w:tblPr>
      <w:tblGrid>
        <w:gridCol w:w="3421"/>
        <w:gridCol w:w="109"/>
        <w:gridCol w:w="109"/>
        <w:gridCol w:w="377"/>
        <w:gridCol w:w="1021"/>
        <w:gridCol w:w="195"/>
        <w:gridCol w:w="377"/>
        <w:gridCol w:w="833"/>
        <w:gridCol w:w="109"/>
        <w:gridCol w:w="109"/>
        <w:gridCol w:w="211"/>
        <w:gridCol w:w="1050"/>
        <w:gridCol w:w="200"/>
        <w:gridCol w:w="388"/>
        <w:gridCol w:w="9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72335" cy="175260"/>
                      <wp:effectExtent l="0" t="0" r="0" b="0"/>
                      <wp:wrapNone/>
                      <wp:docPr id="250" name="Frame25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39395" cy="175260"/>
                      <wp:effectExtent l="0" t="0" r="0" b="0"/>
                      <wp:wrapNone/>
                      <wp:docPr id="253" name="Frame253"/>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335" cy="175260"/>
                      <wp:effectExtent l="0" t="0" r="0" b="0"/>
                      <wp:wrapNone/>
                      <wp:docPr id="254" name="Frame25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3825" cy="175260"/>
                      <wp:effectExtent l="0" t="0" r="0" b="0"/>
                      <wp:wrapNone/>
                      <wp:docPr id="255" name="Frame255"/>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39395" cy="175260"/>
                      <wp:effectExtent l="0" t="0" r="0" b="0"/>
                      <wp:wrapNone/>
                      <wp:docPr id="256" name="Frame256"/>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28955" cy="175260"/>
                      <wp:effectExtent l="0" t="0" r="0" b="0"/>
                      <wp:wrapNone/>
                      <wp:docPr id="257" name="Frame25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66750" cy="175260"/>
                      <wp:effectExtent l="0" t="0" r="0" b="0"/>
                      <wp:wrapNone/>
                      <wp:docPr id="261" name="Frame261"/>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7000" cy="175260"/>
                      <wp:effectExtent l="0" t="0" r="0" b="0"/>
                      <wp:wrapNone/>
                      <wp:docPr id="262" name="Frame262"/>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46380" cy="175260"/>
                      <wp:effectExtent l="0" t="0" r="0" b="0"/>
                      <wp:wrapNone/>
                      <wp:docPr id="263" name="Frame26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26110" cy="175260"/>
                      <wp:effectExtent l="0" t="0" r="0" b="0"/>
                      <wp:wrapNone/>
                      <wp:docPr id="264" name="Frame264"/>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June 30,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6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5" w:type="dxa"/>
            <w:tcBorders/>
            <w:vAlign w:val="center"/>
          </w:tcPr>
          <w:p>
            <w:pPr>
              <w:pStyle w:val="TableContents"/>
              <w:bidi w:val="0"/>
              <w:spacing w:before="0" w:after="0"/>
              <w:ind w:left="0" w:right="0" w:hanging="0"/>
              <w:jc w:val="center"/>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49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right"/>
              <w:rPr/>
            </w:pPr>
            <w:r>
              <w:rPr/>
              <w:t>​</w:t>
            </w:r>
          </w:p>
        </w:tc>
        <w:tc>
          <w:tcPr>
            <w:tcW w:w="242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Contractual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195"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200"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issuance costs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195" w:type="dxa"/>
            <w:tcBorders/>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200"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 expense, convertible senior notes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195" w:type="dxa"/>
            <w:tcBorders/>
            <w:shd w:fill="CCEEFF" w:val="clear"/>
            <w:vAlign w:val="center"/>
          </w:tcPr>
          <w:p>
            <w:pPr>
              <w:pStyle w:val="TableContents"/>
              <w:bidi w:val="0"/>
              <w:spacing w:before="0" w:after="0"/>
              <w:ind w:left="0" w:right="0" w:hanging="0"/>
              <w:jc w:val="left"/>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c>
          <w:tcPr>
            <w:tcW w:w="200"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STOCKHOLDERS’ EQUITY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2025, the Company issued (i) 871 shares of Class A common stock related to the exercise of options, net of five shares returned to the Company in lieu of payment of the exercise price and taxes due on these exercises, and (ii) 52 shares of Class A common stock in connection with the vesting of Restricted Stock Units (“RSUs”), net of 25 shares returned to the Company in lieu of payment of taxes due on the vesting of these RSUs. During the six months ended June 30, 2025, the Company issued (i) 1,245 shares of Class A common stock related to the exercise of options, net of 18 shares returned to the Company in lieu of payment of the exercise price and taxes due on these exercises, and (ii) 915 shares of Class A common stock in connection with the vesting of RSUs, net of 570 shares returned to the Company in lieu of payment of taxes due on the vesting of these RSUs. During the three and six months ended June 30, 2025, the Company issued (i) 34 shares of Class A common stock in connection with the vesting of Restricted Stock Awards (“RSAs”), (ii) 53 shares of Class A common stock in connection with the ESPP, and (iii) 4,325 shares of Class A common stock related to a stockholder’s election to convert an equivalent number of shares of Class B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2024, the Company issued (i) 194 shares of Class A common stock related to the exercise of options, net of one share returned to the Company in lieu of payment of the exercise price and taxes due on these exercises, and (ii) 32 shares of Class A common stock in connection with the vesting of RSUs, net of 14 shares returned to the Company in lieu of payment of taxes due on the vesting of these RSUs. During the six months ended June 30, 2024, the Company issued (i) 847 shares of Class A common stock related to the exercise of options, net of 266 shares returned to the Company in lieu of payment of the exercise price and taxes due on these exercises, and (ii) 706 shares of Class A common stock in connection with the vesting of RSUs, net of 431 shares returned to the Company in lieu of payment of taxes due on the vesting of these RSUs. During the three and six months ended June 30, 2024, the Company issued (i) 62 shares of Class A common stock in connection with the vesting of RSAs, (ii) 61 shares of Class A common stock in connection with the ESPP, and (iii) 2,500 shares of Class A common stock related to a stockholder’s election to convert an equivalent number of shares of Class B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10.    EARNINGS PER SHARE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two classes of common stock outstanding and thus calculates earnings per share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Basic and diluted net income (loss) per share attributable to common stockholders is calculated using the treasury stock and if-converted methods. The basic net income (loss) per share attributable to Class A common stockholders includes RSAs, RSUs, Performance Stock Units (“PSUs”),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and nonvested RSAs and RSUs are considered common stock equivalents. PSUs are included in the computation of diluted net income per share only to the extent that the underlying performance conditions are satisfied prior to the end of the reporting period or would be satisfied if the end of the reporting period were the end of the related performance period, and if the effect would be dilutive. The portion of ESPP shares for which the Company has received payments but for which the related shares are not yet issuable are also considered potential common stock equivalents. Additionally, the dilutive effect of shares issuable upon conversion of the Notes is included in the calculation of diluted EPS by application of the if-converted method. In connection with the issuance of the Notes, the Company entered into the Capped Call Transactions, which are not included for purposes of calculating the number of diluted weighted-average shares outstanding, as their effect would be anti-dilutive. The Company has excluded the effect of its Class A common stock to be issued in connection with the Stock Earn-outs as the underlying performance conditions were not satisfied prior to the end of the reporting period, nor would they be satisfied if the end of the reporting period were the end of the related performance period. In periods of net loss available to common stockholders, diluted calculations are equal to basic calculations because the inclusion of potential common stock equivalents would be anti-dilutive.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552" w:name="Tc_3Dow4QQkPEyzK6mp7Lg3yQ_11_0"/>
      <w:bookmarkStart w:id="1553" w:name="Tc_KWtjXn8rHE6dA3m9Xpmhlw_10_0"/>
      <w:bookmarkStart w:id="1554" w:name="Tc_3oPNQgcAME6eqCWN456Bgg_9_0"/>
      <w:bookmarkStart w:id="1555" w:name="Tc_ZD-5c58f30mXGYMIXAP0SQ_8_11"/>
      <w:bookmarkStart w:id="1556" w:name="Tc_0S8yQoTqP0iEPc7Dav0pZw_8_8"/>
      <w:bookmarkStart w:id="1557" w:name="Tc_P7rYftF0qUGI1GFSEpm3XQ_8_5"/>
      <w:bookmarkStart w:id="1558" w:name="Tc_evkopWaE10OuDeVAlNk3Xg_8_0"/>
      <w:bookmarkStart w:id="1559" w:name="Tc_Ie5Istt7ZUS6mULZ-bAorA_7_11"/>
      <w:bookmarkStart w:id="1560" w:name="Tc_jNITNXqfWUG1Rsc8pubSXQ_7_8"/>
      <w:bookmarkStart w:id="1561" w:name="Tc_B9yz7SsZz0m6wIT5OyhHBw_7_5"/>
      <w:bookmarkStart w:id="1562" w:name="Tc_t7nxEDPsTU2mhiRMotjNmA_7_0"/>
      <w:bookmarkStart w:id="1563" w:name="Tc_ksMqmxwKoUaisfkrwg7Vmw_6_11"/>
      <w:bookmarkStart w:id="1564" w:name="Tc_qzFEUEuwFES2abi7dOVEIg_6_8"/>
      <w:bookmarkStart w:id="1565" w:name="Tc_9x-3ZBQKWUiMatf45KvO9A_6_5"/>
      <w:bookmarkStart w:id="1566" w:name="Tc_ibyrVdggx0OmtWeLdVoh2g_6_0"/>
      <w:bookmarkStart w:id="1567" w:name="Tc_yp-IBtTPFE2xd3hzhsl76A_5_2"/>
      <w:bookmarkStart w:id="1568" w:name="Tc_BwmYDeQMv0if0Yof0uHZwQ_5_0"/>
      <w:bookmarkStart w:id="1569" w:name="Tc_GN9IVg4AAkOy6PQ77KpYcA_4_11"/>
      <w:bookmarkStart w:id="1570" w:name="Tc_mQqpXhqo-ES3UATRnBapxQ_4_8"/>
      <w:bookmarkStart w:id="1571" w:name="Tc_HVWRgc4XgkiH8X-5bsbwLg_4_5"/>
      <w:bookmarkStart w:id="1572" w:name="Tc_kWCuXvZTHEKi22NmlVbRFg_4_0"/>
      <w:bookmarkStart w:id="1573" w:name="Tc_iAvKoOZENEupw_qXE-QXFg_3_7"/>
      <w:bookmarkStart w:id="1574" w:name="Tc_DrlqTQyxu0mBdfHBY8JRzw_3_1"/>
      <w:bookmarkStart w:id="1575" w:name="Tc_RtEpshidzkWuvfymcKE-tg_2_10"/>
      <w:bookmarkStart w:id="1576" w:name="Tc_FcVONGn3IEanfCfhWCIVGg_2_7"/>
      <w:bookmarkStart w:id="1577" w:name="Tc_0NT-gxZ51kmX7J2ohlp6QA_2_5"/>
      <w:bookmarkStart w:id="1578" w:name="Tc_YrefDxrulE-goGDWzj9IIw_2_1"/>
      <w:bookmarkStart w:id="1579" w:name="Tc_lCAS5B8hp0evITkIcXtIQQ_1_7"/>
      <w:bookmarkStart w:id="1580" w:name="Tc_CcKdOwizi0OLVVbmQfdofw_1_1"/>
      <w:bookmarkStart w:id="1581" w:name="Tc_2xjMr_OSBkyT8TNGJLuhmw_21_0"/>
      <w:bookmarkStart w:id="1582" w:name="Tc_SL5Cq-ZP_0umKYQANXOucQ_20_22"/>
      <w:bookmarkStart w:id="1583" w:name="Tc_E9-MKci9OE-AvguTvE5vZw_20_19"/>
      <w:bookmarkStart w:id="1584" w:name="Tc_O0WP1CCNpESC0x8kIJzAgQ_20_16"/>
      <w:bookmarkStart w:id="1585" w:name="Tc_Jc_wZWMxHkmlvc1AJaPorg_20_13"/>
      <w:bookmarkStart w:id="1586" w:name="Tc_yIhJCVwLV02sYpoXEpIvKQ_20_10"/>
      <w:bookmarkStart w:id="1587" w:name="Tc_cq4wMipzckGlQ2U_L3Q5tw_20_7"/>
      <w:bookmarkStart w:id="1588" w:name="Tc_GlCcuQ7zuE60J1ad1waRLA_20_4"/>
      <w:bookmarkStart w:id="1589" w:name="Tc_db2P901Ab028lVjhe0PKxg_20_1"/>
      <w:bookmarkStart w:id="1590" w:name="Tc_fTN8115MH0eDgA1HOhnRXw_20_0"/>
      <w:bookmarkStart w:id="1591" w:name="Tc_DL42AUIqlEOU-WjDfRBGSA_19_0"/>
      <w:bookmarkStart w:id="1592" w:name="Tc_lMSHtTxiM0mUyCh-TAm-Mw_18_23"/>
      <w:bookmarkStart w:id="1593" w:name="Tc_manAB6e4Lk-k3FwPYAr0tw_18_17"/>
      <w:bookmarkStart w:id="1594" w:name="Tc_HG2nc3lLa0aaQlsS3QKpFg_18_11"/>
      <w:bookmarkStart w:id="1595" w:name="Tc_Zfte19HDTUaxpyxMLZCjZQ_18_5"/>
      <w:bookmarkStart w:id="1596" w:name="Tc_xB8RMZeW0E-euky0yNDN6Q_18_2"/>
      <w:bookmarkStart w:id="1597" w:name="Tc_mvhGX2LnTUi0lFVQn-Lxag_18_0"/>
      <w:bookmarkStart w:id="1598" w:name="Tc_-4yW2oWG506zC2vEhqu9ig_17_0"/>
      <w:bookmarkStart w:id="1599" w:name="Tc_GE_cP_S6H0iJSlcDTcqmNQ_16_0"/>
      <w:bookmarkStart w:id="1600" w:name="Tc_QNRDX79X-0iAIDoVq9pzeA_15_22"/>
      <w:bookmarkStart w:id="1601" w:name="Tc_8xALm9ZjIkuNWJ5LcRQl2g_15_19"/>
      <w:bookmarkStart w:id="1602" w:name="Tc_ymZJWb-4zEGJIuwkPN7YpA_15_16"/>
      <w:bookmarkStart w:id="1603" w:name="Tc_YOcpcfKUpEuqi7jRnVmucA_15_13"/>
      <w:bookmarkStart w:id="1604" w:name="Tc_LisHARDYdk6otrLeu9pLzg_15_10"/>
      <w:bookmarkStart w:id="1605" w:name="Tc_-Y8i4-NVt0mban1EdDvMzg_15_7"/>
      <w:bookmarkStart w:id="1606" w:name="Tc_3wJwd5SlA0SjxBtX22KTgg_15_4"/>
      <w:bookmarkStart w:id="1607" w:name="Tc_ZiWHowEsFEWSAkdY7HuClg_15_1"/>
      <w:bookmarkStart w:id="1608" w:name="Tc_w4nr1sq8AUSjwyIbUYZsFg_15_0"/>
      <w:bookmarkStart w:id="1609" w:name="Tc_FTdnMvUeJE6XACtBEvi40A_14_22"/>
      <w:bookmarkStart w:id="1610" w:name="Tc_FHAiYfvS-U2f5RdxdYRljw_14_19"/>
      <w:bookmarkStart w:id="1611" w:name="Tc_jL5Bwb2FJkq1lkPq2EhIWQ_14_16"/>
      <w:bookmarkStart w:id="1612" w:name="Tc_gDiOrDiwN0e8Mmsjq6awlg_14_13"/>
      <w:bookmarkStart w:id="1613" w:name="Tc_wyahya7r2UG-TQ0GetnCYA_14_10"/>
      <w:bookmarkStart w:id="1614" w:name="Tc_0X7r9De0uEWkEK6gVz0tKg_14_7"/>
      <w:bookmarkStart w:id="1615" w:name="Tc_SN5HmArfDkiNMzAKXC6WBA_14_4"/>
      <w:bookmarkStart w:id="1616" w:name="Tc_3gHLIv9PBE6dAvCtu0Uvig_14_1"/>
      <w:bookmarkStart w:id="1617" w:name="Tc_v4eTHJXu50GRydHOuMl-dg_14_0"/>
      <w:bookmarkStart w:id="1618" w:name="Tc_ug8ETq4fb0u9UCgol9FAqg_13_0"/>
      <w:bookmarkStart w:id="1619" w:name="Tc_grYFapEQZk-bv5m6SZjHHA_12_0"/>
      <w:bookmarkStart w:id="1620" w:name="Tc_oyihJJguz0WPKoMl4vhVjA_10_22"/>
      <w:bookmarkStart w:id="1621" w:name="Tc_ZjDVHnAd00CY7glAmELoHw_10_19"/>
      <w:bookmarkStart w:id="1622" w:name="Tc_l0RGwa0ILkKDIJHEDxlAiQ_10_16"/>
      <w:bookmarkStart w:id="1623" w:name="Tc_6hhlVyufjEikO-RhMxNC9g_10_13"/>
      <w:bookmarkStart w:id="1624" w:name="Tc_ZDcmjf0zDkS7_K7za6yCFw_10_10"/>
      <w:bookmarkStart w:id="1625" w:name="Tc_mDu3HMJaEEyN-2jzoh-gwQ_10_7"/>
      <w:bookmarkStart w:id="1626" w:name="Tc_lvXxZsDjcEGKEhr3zr1rMA_10_4"/>
      <w:bookmarkStart w:id="1627" w:name="Tc_Un7HC9dUK0SH6274SoNmnw_10_1"/>
      <w:bookmarkStart w:id="1628" w:name="Tc_fQdwHCR7AU-DXgwchDCbNA_10_0"/>
      <w:bookmarkStart w:id="1629" w:name="Tc_2PDz91R9ukGxHwqMhEo5ug_9_0"/>
      <w:bookmarkStart w:id="1630" w:name="Tc_0TOF2GSImUCUOJguEvIp7w_8_0"/>
      <w:bookmarkStart w:id="1631" w:name="Tc_py3o4GQo_EiQV0Y1ko5xMg_7_22"/>
      <w:bookmarkStart w:id="1632" w:name="Tc_aACzXdUZbk-Ku7EmUEo-Vw_7_19"/>
      <w:bookmarkStart w:id="1633" w:name="Tc_lT1AA6-lwUuz70BhVCOHvQ_7_16"/>
      <w:bookmarkStart w:id="1634" w:name="Tc_gS2zoxLrOEmcnG--zrHrqA_7_13"/>
      <w:bookmarkStart w:id="1635" w:name="Tc_IAuVbZL8YESZafrgIlxp-g_7_10"/>
      <w:bookmarkStart w:id="1636" w:name="Tc_1ylQRPsfxEuXQRD9Jdyocw_7_7"/>
      <w:bookmarkStart w:id="1637" w:name="Tc_r5SmSpZUk06nTIJJLdPZrw_7_4"/>
      <w:bookmarkStart w:id="1638" w:name="Tc_ozD6Id34xUGwoU8RmcAt1Q_7_1"/>
      <w:bookmarkStart w:id="1639" w:name="Tc_mZG6FIFR1EuFQj6jRsYv4Q_7_0"/>
      <w:bookmarkStart w:id="1640" w:name="Tc_Sl9TGAhYH0Kgfyv4R3I8Fg_6_0"/>
      <w:bookmarkStart w:id="1641" w:name="Tc_xwFNOOMe8kiyYxc0Y5yH3A_5_0"/>
      <w:bookmarkStart w:id="1642" w:name="Tc_Xx2VT3ge402R3v-n9uiuDQ_4_13"/>
      <w:bookmarkStart w:id="1643" w:name="Tc_zamVlfCnEUyBKPhe77Kl5Q_4_1"/>
      <w:bookmarkStart w:id="1644" w:name="Tc__kXRUGxMDEu-dwhDP210vA_3_23"/>
      <w:bookmarkStart w:id="1645" w:name="Tc_C2yQoSyjrUCN7mVFdINREQ_3_20"/>
      <w:bookmarkStart w:id="1646" w:name="Tc_dIqPP05GFUWF9uiXK0mj2Q_3_17"/>
      <w:bookmarkStart w:id="1647" w:name="Tc_jHI4cLwePk2S-nx7AWfS0w_3_14"/>
      <w:bookmarkStart w:id="1648" w:name="Tc_-USs1NwQWkqwX_Qnth7uiA_3_11"/>
      <w:bookmarkStart w:id="1649" w:name="Tc_cMmQW5Ep5U2wr9KpgSsW_A_3_8"/>
      <w:bookmarkStart w:id="1650" w:name="Tc_5ZwYmcp_30iOHZWVrscPsw_3_5"/>
      <w:bookmarkStart w:id="1651" w:name="Tc_iD_9khL1NEGUX7lebTUh_w_3_2"/>
      <w:bookmarkStart w:id="1652" w:name="Tc_TkIuyq9inEKGu7nuo2S8Sw_2_20"/>
      <w:bookmarkStart w:id="1653" w:name="Tc_hzcfipPS1E6XnpA9r8Bs4A_2_14"/>
      <w:bookmarkStart w:id="1654" w:name="Tc_9nwXZIphE02CmanYfCYdcw_2_8"/>
      <w:bookmarkStart w:id="1655" w:name="Tc_AR7Xh5mqBUmRonNxwsdohA_2_2"/>
      <w:bookmarkStart w:id="1656" w:name="Tc_F1VPEPPXrEGGcKc6F3f1Iw_1_13"/>
      <w:bookmarkStart w:id="1657" w:name="Tc_poYuBSO3fEWqOnOLXbjeoQ_1_2"/>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r>
        <w:rPr>
          <w:rFonts w:ascii="Times New Roman;Times;serif" w:hAnsi="Times New Roman;Times;serif"/>
          <w:sz w:val="20"/>
        </w:rPr>
        <w:t>The tables below illustrate the calculation of basic and diluted net income (loss) per common share for the Class A common stock and Class B common stock for the periods reflected below.</w:t>
      </w:r>
      <w:r>
        <w:rPr>
          <w:rFonts w:ascii="Times New Roman;Times;serif" w:hAnsi="Times New Roman;Times;serif"/>
          <w:color w:val="FF0000"/>
          <w:sz w:val="20"/>
        </w:rPr>
        <w:t xml:space="preserve">  </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744"/>
        <w:gridCol w:w="196"/>
        <w:gridCol w:w="626"/>
        <w:gridCol w:w="109"/>
        <w:gridCol w:w="196"/>
        <w:gridCol w:w="644"/>
        <w:gridCol w:w="109"/>
        <w:gridCol w:w="196"/>
        <w:gridCol w:w="626"/>
        <w:gridCol w:w="109"/>
        <w:gridCol w:w="196"/>
        <w:gridCol w:w="644"/>
        <w:gridCol w:w="109"/>
        <w:gridCol w:w="196"/>
        <w:gridCol w:w="626"/>
        <w:gridCol w:w="109"/>
        <w:gridCol w:w="196"/>
        <w:gridCol w:w="644"/>
        <w:gridCol w:w="109"/>
        <w:gridCol w:w="196"/>
        <w:gridCol w:w="626"/>
        <w:gridCol w:w="109"/>
        <w:gridCol w:w="196"/>
        <w:gridCol w:w="694"/>
      </w:tblGrid>
      <w:tr>
        <w:trPr/>
        <w:tc>
          <w:tcPr>
            <w:tcW w:w="2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742440" cy="175260"/>
                      <wp:effectExtent l="0" t="0" r="0" b="0"/>
                      <wp:wrapNone/>
                      <wp:docPr id="265" name="Frame265"/>
                      <a:graphic xmlns:a="http://schemas.openxmlformats.org/drawingml/2006/main">
                        <a:graphicData uri="http://schemas.microsoft.com/office/word/2010/wordprocessingShape">
                          <wps:wsp>
                            <wps:cNvSpPr txBox="1"/>
                            <wps:spPr>
                              <a:xfrm>
                                <a:off x="0" y="0"/>
                                <a:ext cx="174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4460" cy="175260"/>
                      <wp:effectExtent l="0" t="0" r="0" b="0"/>
                      <wp:wrapNone/>
                      <wp:docPr id="266" name="Frame2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97510" cy="175260"/>
                      <wp:effectExtent l="0" t="0" r="0" b="0"/>
                      <wp:wrapNone/>
                      <wp:docPr id="267" name="Frame267"/>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4460" cy="175260"/>
                      <wp:effectExtent l="0" t="0" r="0" b="0"/>
                      <wp:wrapNone/>
                      <wp:docPr id="269" name="Frame2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08940" cy="175260"/>
                      <wp:effectExtent l="0" t="0" r="0" b="0"/>
                      <wp:wrapNone/>
                      <wp:docPr id="270" name="Frame270"/>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4460" cy="175260"/>
                      <wp:effectExtent l="0" t="0" r="0" b="0"/>
                      <wp:wrapNone/>
                      <wp:docPr id="272" name="Frame2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97510" cy="175260"/>
                      <wp:effectExtent l="0" t="0" r="0" b="0"/>
                      <wp:wrapNone/>
                      <wp:docPr id="273" name="Frame273"/>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24460" cy="175260"/>
                      <wp:effectExtent l="0" t="0" r="0" b="0"/>
                      <wp:wrapNone/>
                      <wp:docPr id="275" name="Frame2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08940" cy="175260"/>
                      <wp:effectExtent l="0" t="0" r="0" b="0"/>
                      <wp:wrapNone/>
                      <wp:docPr id="276" name="Frame276"/>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4460" cy="175260"/>
                      <wp:effectExtent l="0" t="0" r="0" b="0"/>
                      <wp:wrapNone/>
                      <wp:docPr id="278" name="Frame2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97510" cy="175260"/>
                      <wp:effectExtent l="0" t="0" r="0" b="0"/>
                      <wp:wrapNone/>
                      <wp:docPr id="279" name="Frame279"/>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4460" cy="175260"/>
                      <wp:effectExtent l="0" t="0" r="0" b="0"/>
                      <wp:wrapNone/>
                      <wp:docPr id="281" name="Frame2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08940" cy="175260"/>
                      <wp:effectExtent l="0" t="0" r="0" b="0"/>
                      <wp:wrapNone/>
                      <wp:docPr id="282" name="Frame282"/>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4460" cy="175260"/>
                      <wp:effectExtent l="0" t="0" r="0" b="0"/>
                      <wp:wrapNone/>
                      <wp:docPr id="284" name="Frame2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97510" cy="175260"/>
                      <wp:effectExtent l="0" t="0" r="0" b="0"/>
                      <wp:wrapNone/>
                      <wp:docPr id="285" name="Frame285"/>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4460" cy="175260"/>
                      <wp:effectExtent l="0" t="0" r="0" b="0"/>
                      <wp:wrapNone/>
                      <wp:docPr id="287" name="Frame2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40690" cy="175260"/>
                      <wp:effectExtent l="0" t="0" r="0" b="0"/>
                      <wp:wrapNone/>
                      <wp:docPr id="288" name="Frame288"/>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4"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5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For the three months ended June 30, </w:t>
            </w:r>
          </w:p>
        </w:tc>
        <w:tc>
          <w:tcPr>
            <w:tcW w:w="109" w:type="dxa"/>
            <w:tcBorders/>
            <w:vAlign w:val="center"/>
          </w:tcPr>
          <w:p>
            <w:pPr>
              <w:pStyle w:val="TableContents"/>
              <w:bidi w:val="0"/>
              <w:spacing w:before="0" w:after="0"/>
              <w:ind w:left="0" w:right="0" w:hanging="0"/>
              <w:jc w:val="center"/>
              <w:rPr/>
            </w:pPr>
            <w:r>
              <w:rPr/>
              <w:t>​</w:t>
            </w:r>
          </w:p>
        </w:tc>
        <w:tc>
          <w:tcPr>
            <w:tcW w:w="370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 xml:space="preserve">For the six months ended June 30,  </w:t>
            </w:r>
          </w:p>
        </w:tc>
      </w:tr>
      <w:tr>
        <w:trPr/>
        <w:tc>
          <w:tcPr>
            <w:tcW w:w="274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57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2025</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57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2024</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57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2025</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62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2024</w:t>
            </w:r>
          </w:p>
        </w:tc>
      </w:tr>
      <w:tr>
        <w:trPr/>
        <w:tc>
          <w:tcPr>
            <w:tcW w:w="274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 xml:space="preserve">Class B </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 xml:space="preserve">Class B </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 xml:space="preserve">Class B </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 xml:space="preserve">Class B </w:t>
            </w:r>
          </w:p>
        </w:tc>
      </w:tr>
      <w:tr>
        <w:trPr/>
        <w:tc>
          <w:tcPr>
            <w:tcW w:w="10205" w:type="dxa"/>
            <w:gridSpan w:val="24"/>
            <w:tcBorders/>
            <w:vAlign w:val="center"/>
          </w:tcPr>
          <w:p>
            <w:pPr>
              <w:pStyle w:val="TableContents"/>
              <w:bidi w:val="0"/>
              <w:spacing w:before="0" w:after="283"/>
              <w:ind w:left="0" w:right="0" w:hanging="0"/>
              <w:jc w:val="left"/>
              <w:rPr>
                <w:sz w:val="4"/>
                <w:szCs w:val="4"/>
              </w:rPr>
            </w:pPr>
            <w:r>
              <w:rPr>
                <w:sz w:val="4"/>
                <w:szCs w:val="4"/>
              </w:rPr>
            </w:r>
          </w:p>
        </w:tc>
      </w:tr>
      <w:tr>
        <w:trPr/>
        <w:tc>
          <w:tcPr>
            <w:tcW w:w="2744" w:type="dxa"/>
            <w:tcBorders/>
            <w:vAlign w:val="center"/>
          </w:tcPr>
          <w:p>
            <w:pPr>
              <w:pStyle w:val="TableContents"/>
              <w:bidi w:val="0"/>
              <w:spacing w:before="0" w:after="0"/>
              <w:ind w:left="0" w:right="0" w:hanging="0"/>
              <w:jc w:val="left"/>
              <w:rPr/>
            </w:pPr>
            <w:r>
              <w:rPr/>
              <w:t>​</w:t>
            </w:r>
          </w:p>
        </w:tc>
        <w:tc>
          <w:tcPr>
            <w:tcW w:w="3651" w:type="dxa"/>
            <w:gridSpan w:val="11"/>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(unaudited)</w:t>
            </w:r>
          </w:p>
        </w:tc>
        <w:tc>
          <w:tcPr>
            <w:tcW w:w="109" w:type="dxa"/>
            <w:tcBorders/>
            <w:vAlign w:val="center"/>
          </w:tcPr>
          <w:p>
            <w:pPr>
              <w:pStyle w:val="TableContents"/>
              <w:bidi w:val="0"/>
              <w:spacing w:before="0" w:after="0"/>
              <w:ind w:left="0" w:right="0" w:hanging="0"/>
              <w:jc w:val="center"/>
              <w:rPr/>
            </w:pPr>
            <w:r>
              <w:rPr/>
              <w:t>​</w:t>
            </w:r>
          </w:p>
        </w:tc>
        <w:tc>
          <w:tcPr>
            <w:tcW w:w="3701" w:type="dxa"/>
            <w:gridSpan w:val="11"/>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(unaudited)</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Basic net income (loss) per share:</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4" w:type="dxa"/>
            <w:tcBorders/>
            <w:shd w:fill="CCEEFF" w:val="clear"/>
            <w:vAlign w:val="center"/>
          </w:tcPr>
          <w:p>
            <w:pPr>
              <w:pStyle w:val="TableContents"/>
              <w:bidi w:val="0"/>
              <w:spacing w:before="0" w:after="0"/>
              <w:ind w:left="0" w:right="0" w:hanging="0"/>
              <w:jc w:val="center"/>
              <w:rPr/>
            </w:pPr>
            <w:r>
              <w:rPr/>
              <w:t>​</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Numerator</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left"/>
              <w:rPr/>
            </w:pPr>
            <w:r>
              <w:rPr/>
              <w:t>​</w:t>
            </w:r>
          </w:p>
        </w:tc>
      </w:tr>
      <w:tr>
        <w:trPr/>
        <w:tc>
          <w:tcPr>
            <w:tcW w:w="274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Allocation of net income (loss) </w:t>
            </w:r>
            <w:r>
              <w:rPr>
                <w:rFonts w:ascii="Times New Roman;Times;serif" w:hAnsi="Times New Roman;Times;serif"/>
                <w:sz w:val="13"/>
              </w:rPr>
              <w:t>(1)</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2,137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3,027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4,656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5,513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3,190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4,658</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Denominator</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right"/>
              <w:rPr/>
            </w:pPr>
            <w:r>
              <w:rPr/>
              <w:t>​</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Total shares used in per share computation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73,727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85,195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64,198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90,030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72,507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85,838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62,879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91,796</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Basic net income (loss) per share:</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0.05</w:t>
            </w:r>
          </w:p>
        </w:tc>
      </w:tr>
      <w:tr>
        <w:trPr/>
        <w:tc>
          <w:tcPr>
            <w:tcW w:w="274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right"/>
              <w:rPr/>
            </w:pPr>
            <w:r>
              <w:rPr/>
              <w:t>​</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Diluted net income (loss) per share:</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4" w:type="dxa"/>
            <w:tcBorders/>
            <w:shd w:fill="CCEEFF" w:val="clear"/>
            <w:vAlign w:val="center"/>
          </w:tcPr>
          <w:p>
            <w:pPr>
              <w:pStyle w:val="TableContents"/>
              <w:bidi w:val="0"/>
              <w:spacing w:before="0" w:after="0"/>
              <w:ind w:left="0" w:right="0" w:hanging="0"/>
              <w:jc w:val="right"/>
              <w:rPr/>
            </w:pPr>
            <w:r>
              <w:rPr/>
              <w:t>​</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Numerator</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right"/>
              <w:rPr/>
            </w:pPr>
            <w:r>
              <w:rPr/>
              <w:t>​</w:t>
            </w:r>
          </w:p>
        </w:tc>
      </w:tr>
      <w:tr>
        <w:trPr/>
        <w:tc>
          <w:tcPr>
            <w:tcW w:w="274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Allocation of net income (loss) </w:t>
            </w:r>
            <w:r>
              <w:rPr>
                <w:rFonts w:ascii="Times New Roman;Times;serif" w:hAnsi="Times New Roman;Times;serif"/>
                <w:sz w:val="13"/>
              </w:rPr>
              <w:t>(1)</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2,909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4,741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5,428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3,374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4,474</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Total net income (loss) used in per diluted computation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2,909</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4,741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5,428</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3,374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4,474</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Denominator</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4" w:type="dxa"/>
            <w:tcBorders/>
            <w:shd w:fill="CCEEFF" w:val="clear"/>
            <w:vAlign w:val="center"/>
          </w:tcPr>
          <w:p>
            <w:pPr>
              <w:pStyle w:val="TableContents"/>
              <w:bidi w:val="0"/>
              <w:spacing w:before="0" w:after="0"/>
              <w:ind w:left="0" w:right="0" w:hanging="0"/>
              <w:jc w:val="right"/>
              <w:rPr/>
            </w:pPr>
            <w:r>
              <w:rPr/>
              <w:t>​</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Number shares used in basic per share computation </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73,727</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85,195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64,198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90,030</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72,507</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85,838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62,879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91,796</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Dilutive effect of common stock equivalents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6,311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2,478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6,336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shares used in per share computation</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73,727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85,195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70,509</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90,030</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74,985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85,838</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69,215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91,796</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Dilutive net income (loss) per share:</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0.05</w:t>
            </w:r>
          </w:p>
        </w:tc>
      </w:tr>
      <w:tr>
        <w:trPr/>
        <w:tc>
          <w:tcPr>
            <w:tcW w:w="639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(1)</w:t>
            </w:r>
            <w:r>
              <w:rPr>
                <w:rFonts w:ascii="Times New Roman;Times;serif" w:hAnsi="Times New Roman;Times;serif"/>
                <w:sz w:val="16"/>
              </w:rPr>
              <w:t xml:space="preserve"> </w:t>
            </w:r>
            <w:r>
              <w:rPr>
                <w:rFonts w:ascii="Times New Roman;Times;serif" w:hAnsi="Times New Roman;Times;serif"/>
                <w:sz w:val="17"/>
              </w:rPr>
              <w:t>Allocation of net income (loss) is based on the percentages of shares outstanding.</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450" w:right="0" w:hanging="0"/>
        <w:jc w:val="left"/>
        <w:rPr>
          <w:color w:val="FF0000"/>
        </w:rPr>
      </w:pPr>
      <w:r>
        <w:rPr>
          <w:color w:val="FF0000"/>
        </w:rPr>
        <w:t>​</w:t>
      </w:r>
    </w:p>
    <w:p>
      <w:pPr>
        <w:pStyle w:val="TextBody"/>
        <w:bidi w:val="0"/>
        <w:spacing w:before="0" w:after="0"/>
        <w:ind w:left="0" w:right="0" w:hanging="0"/>
        <w:jc w:val="left"/>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The following weighted-average outstanding shares of Class A common stock equivalents by award type were excluded from the computation of diluted net loss per share attributable to Class A stockholders, as the impact of including them would have been anti-dilutive: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96"/>
        <w:gridCol w:w="204"/>
        <w:gridCol w:w="1075"/>
        <w:gridCol w:w="204"/>
        <w:gridCol w:w="613"/>
        <w:gridCol w:w="1075"/>
        <w:gridCol w:w="134"/>
        <w:gridCol w:w="195"/>
        <w:gridCol w:w="1022"/>
        <w:gridCol w:w="583"/>
        <w:gridCol w:w="195"/>
        <w:gridCol w:w="1109"/>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410460" cy="175260"/>
                      <wp:effectExtent l="0" t="0" r="0" b="0"/>
                      <wp:wrapNone/>
                      <wp:docPr id="289" name="Frame289"/>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9540" cy="175260"/>
                      <wp:effectExtent l="0" t="0" r="0" b="0"/>
                      <wp:wrapNone/>
                      <wp:docPr id="290" name="Frame290"/>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82625" cy="175260"/>
                      <wp:effectExtent l="0" t="0" r="0" b="0"/>
                      <wp:wrapNone/>
                      <wp:docPr id="291" name="Frame291"/>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9540" cy="175260"/>
                      <wp:effectExtent l="0" t="0" r="0" b="0"/>
                      <wp:wrapNone/>
                      <wp:docPr id="292" name="Frame292"/>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89255" cy="175260"/>
                      <wp:effectExtent l="0" t="0" r="0" b="0"/>
                      <wp:wrapNone/>
                      <wp:docPr id="293" name="Frame293"/>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82625" cy="175260"/>
                      <wp:effectExtent l="0" t="0" r="0" b="0"/>
                      <wp:wrapNone/>
                      <wp:docPr id="294" name="Frame294"/>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85090" cy="175260"/>
                      <wp:effectExtent l="0" t="0" r="0" b="0"/>
                      <wp:wrapNone/>
                      <wp:docPr id="295" name="Frame295"/>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3825" cy="175260"/>
                      <wp:effectExtent l="0" t="0" r="0" b="0"/>
                      <wp:wrapNone/>
                      <wp:docPr id="296" name="Frame296"/>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970" cy="175260"/>
                      <wp:effectExtent l="0" t="0" r="0" b="0"/>
                      <wp:wrapNone/>
                      <wp:docPr id="297" name="Frame297"/>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70205" cy="175260"/>
                      <wp:effectExtent l="0" t="0" r="0" b="0"/>
                      <wp:wrapNone/>
                      <wp:docPr id="298" name="Frame298"/>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23825" cy="175260"/>
                      <wp:effectExtent l="0" t="0" r="0" b="0"/>
                      <wp:wrapNone/>
                      <wp:docPr id="299" name="Frame299"/>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704215" cy="175260"/>
                      <wp:effectExtent l="0" t="0" r="0" b="0"/>
                      <wp:wrapNone/>
                      <wp:docPr id="300" name="Frame300"/>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1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June 30, </w:t>
            </w:r>
          </w:p>
        </w:tc>
        <w:tc>
          <w:tcPr>
            <w:tcW w:w="134" w:type="dxa"/>
            <w:tcBorders/>
            <w:vAlign w:val="center"/>
          </w:tcPr>
          <w:p>
            <w:pPr>
              <w:pStyle w:val="TableContents"/>
              <w:bidi w:val="0"/>
              <w:spacing w:before="0" w:after="0"/>
              <w:ind w:left="0" w:right="0" w:hanging="0"/>
              <w:jc w:val="center"/>
              <w:rPr/>
            </w:pPr>
            <w:r>
              <w:rPr/>
              <w:t>​</w:t>
            </w:r>
          </w:p>
        </w:tc>
        <w:tc>
          <w:tcPr>
            <w:tcW w:w="31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3796" w:type="dxa"/>
            <w:tcBorders/>
            <w:vAlign w:val="center"/>
          </w:tcPr>
          <w:p>
            <w:pPr>
              <w:pStyle w:val="TableContents"/>
              <w:bidi w:val="0"/>
              <w:spacing w:before="0" w:after="0"/>
              <w:ind w:left="0" w:right="0" w:hanging="0"/>
              <w:jc w:val="left"/>
              <w:rPr/>
            </w:pPr>
            <w:r>
              <w:rPr/>
              <w:t>​</w:t>
            </w:r>
          </w:p>
        </w:tc>
        <w:tc>
          <w:tcPr>
            <w:tcW w:w="14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13" w:type="dxa"/>
            <w:tcBorders/>
            <w:vAlign w:val="center"/>
          </w:tcPr>
          <w:p>
            <w:pPr>
              <w:pStyle w:val="TableContents"/>
              <w:bidi w:val="0"/>
              <w:spacing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4" w:type="dxa"/>
            <w:tcBorders/>
            <w:vAlign w:val="center"/>
          </w:tcPr>
          <w:p>
            <w:pPr>
              <w:pStyle w:val="TableContents"/>
              <w:bidi w:val="0"/>
              <w:spacing w:before="0" w:after="0"/>
              <w:ind w:left="0" w:right="0" w:hanging="0"/>
              <w:jc w:val="center"/>
              <w:rPr/>
            </w:pPr>
            <w:r>
              <w:rPr/>
              <w:t>​</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83" w:type="dxa"/>
            <w:tcBorders/>
            <w:vAlign w:val="center"/>
          </w:tcPr>
          <w:p>
            <w:pPr>
              <w:pStyle w:val="TableContents"/>
              <w:bidi w:val="0"/>
              <w:spacing w:before="0" w:after="0"/>
              <w:ind w:left="0" w:right="0" w:hanging="0"/>
              <w:jc w:val="left"/>
              <w:rPr/>
            </w:pPr>
            <w:r>
              <w:rPr/>
              <w:t>    </w:t>
            </w:r>
          </w:p>
        </w:tc>
        <w:tc>
          <w:tcPr>
            <w:tcW w:w="13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left"/>
              <w:rPr/>
            </w:pPr>
            <w:r>
              <w:rPr/>
              <w:t>​</w:t>
            </w:r>
          </w:p>
        </w:tc>
        <w:tc>
          <w:tcPr>
            <w:tcW w:w="317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34" w:type="dxa"/>
            <w:tcBorders/>
            <w:vAlign w:val="center"/>
          </w:tcPr>
          <w:p>
            <w:pPr>
              <w:pStyle w:val="TableContents"/>
              <w:bidi w:val="0"/>
              <w:spacing w:before="0" w:after="0"/>
              <w:ind w:left="0" w:right="0" w:hanging="0"/>
              <w:jc w:val="center"/>
              <w:rPr/>
            </w:pPr>
            <w:r>
              <w:rPr/>
              <w:t>​</w:t>
            </w:r>
          </w:p>
        </w:tc>
        <w:tc>
          <w:tcPr>
            <w:tcW w:w="31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7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r>
              <w:rPr>
                <w:rFonts w:ascii="Times New Roman;Times;serif" w:hAnsi="Times New Roman;Times;serif"/>
                <w:sz w:val="15"/>
              </w:rPr>
              <w:t>(1)</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w:t>
            </w:r>
          </w:p>
        </w:tc>
        <w:tc>
          <w:tcPr>
            <w:tcW w:w="204" w:type="dxa"/>
            <w:tcBorders/>
            <w:shd w:fill="CCEEFF" w:val="clear"/>
            <w:vAlign w:val="center"/>
          </w:tcPr>
          <w:p>
            <w:pPr>
              <w:pStyle w:val="TableContents"/>
              <w:bidi w:val="0"/>
              <w:spacing w:before="0" w:after="0"/>
              <w:ind w:left="0" w:right="0" w:hanging="0"/>
              <w:jc w:val="left"/>
              <w:rPr/>
            </w:pPr>
            <w:r>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Out-of-the Money Stock Options</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4" w:type="dxa"/>
            <w:tcBorders/>
            <w:vAlign w:val="center"/>
          </w:tcPr>
          <w:p>
            <w:pPr>
              <w:pStyle w:val="TableContents"/>
              <w:bidi w:val="0"/>
              <w:spacing w:before="0" w:after="0"/>
              <w:ind w:left="0" w:right="0" w:hanging="0"/>
              <w:jc w:val="left"/>
              <w:rPr/>
            </w:pPr>
            <w:r>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34" w:type="dxa"/>
            <w:tcBorders/>
            <w:vAlign w:val="center"/>
          </w:tcPr>
          <w:p>
            <w:pPr>
              <w:pStyle w:val="TableContents"/>
              <w:bidi w:val="0"/>
              <w:spacing w:before="0" w:after="0"/>
              <w:ind w:left="0" w:right="0" w:hanging="0"/>
              <w:jc w:val="left"/>
              <w:rPr/>
            </w:pPr>
            <w:r>
              <w:rPr/>
              <w:t>​</w:t>
            </w:r>
          </w:p>
        </w:tc>
        <w:tc>
          <w:tcPr>
            <w:tcW w:w="1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583" w:type="dxa"/>
            <w:tcBorders/>
            <w:vAlign w:val="center"/>
          </w:tcPr>
          <w:p>
            <w:pPr>
              <w:pStyle w:val="TableContents"/>
              <w:bidi w:val="0"/>
              <w:spacing w:before="0" w:after="0"/>
              <w:ind w:left="0" w:right="0" w:hanging="0"/>
              <w:jc w:val="left"/>
              <w:rPr/>
            </w:pPr>
            <w:r>
              <w:rPr/>
              <w:t>​</w:t>
            </w:r>
          </w:p>
        </w:tc>
        <w:tc>
          <w:tcPr>
            <w:tcW w:w="1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04" w:type="dxa"/>
            <w:tcBorders/>
            <w:shd w:fill="CCEEFF" w:val="clear"/>
            <w:vAlign w:val="center"/>
          </w:tcPr>
          <w:p>
            <w:pPr>
              <w:pStyle w:val="TableContents"/>
              <w:bidi w:val="0"/>
              <w:spacing w:before="0" w:after="0"/>
              <w:ind w:left="0" w:right="0" w:hanging="0"/>
              <w:jc w:val="left"/>
              <w:rPr/>
            </w:pPr>
            <w:r>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w:t>
            </w:r>
          </w:p>
        </w:tc>
        <w:tc>
          <w:tcPr>
            <w:tcW w:w="204" w:type="dxa"/>
            <w:tcBorders/>
            <w:vAlign w:val="center"/>
          </w:tcPr>
          <w:p>
            <w:pPr>
              <w:pStyle w:val="TableContents"/>
              <w:bidi w:val="0"/>
              <w:spacing w:before="0" w:after="0"/>
              <w:ind w:left="0" w:right="0" w:hanging="0"/>
              <w:jc w:val="left"/>
              <w:rPr/>
            </w:pPr>
            <w:r>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1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583" w:type="dxa"/>
            <w:tcBorders/>
            <w:vAlign w:val="center"/>
          </w:tcPr>
          <w:p>
            <w:pPr>
              <w:pStyle w:val="TableContents"/>
              <w:bidi w:val="0"/>
              <w:spacing w:before="0" w:after="0"/>
              <w:ind w:left="0" w:right="0" w:hanging="0"/>
              <w:jc w:val="left"/>
              <w:rPr/>
            </w:pPr>
            <w:r>
              <w:rPr/>
              <w:t>​</w:t>
            </w:r>
          </w:p>
        </w:tc>
        <w:tc>
          <w:tcPr>
            <w:tcW w:w="1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04" w:type="dxa"/>
            <w:tcBorders/>
            <w:shd w:fill="CCEEFF" w:val="clear"/>
            <w:vAlign w:val="center"/>
          </w:tcPr>
          <w:p>
            <w:pPr>
              <w:pStyle w:val="TableContents"/>
              <w:bidi w:val="0"/>
              <w:spacing w:before="0" w:after="0"/>
              <w:ind w:left="0" w:right="0" w:hanging="0"/>
              <w:jc w:val="left"/>
              <w:rPr/>
            </w:pPr>
            <w:r>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Convertible Senior Notes </w:t>
            </w:r>
            <w:r>
              <w:rPr>
                <w:rFonts w:ascii="Times New Roman;Times;serif" w:hAnsi="Times New Roman;Times;serif"/>
                <w:sz w:val="15"/>
              </w:rPr>
              <w:t>(2)</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w:t>
            </w:r>
          </w:p>
        </w:tc>
        <w:tc>
          <w:tcPr>
            <w:tcW w:w="204" w:type="dxa"/>
            <w:tcBorders/>
            <w:vAlign w:val="center"/>
          </w:tcPr>
          <w:p>
            <w:pPr>
              <w:pStyle w:val="TableContents"/>
              <w:bidi w:val="0"/>
              <w:spacing w:before="0" w:after="0"/>
              <w:ind w:left="0" w:right="0" w:hanging="0"/>
              <w:jc w:val="left"/>
              <w:rPr/>
            </w:pPr>
            <w:r>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6,860</w:t>
            </w:r>
          </w:p>
        </w:tc>
        <w:tc>
          <w:tcPr>
            <w:tcW w:w="134" w:type="dxa"/>
            <w:tcBorders/>
            <w:vAlign w:val="center"/>
          </w:tcPr>
          <w:p>
            <w:pPr>
              <w:pStyle w:val="TableContents"/>
              <w:bidi w:val="0"/>
              <w:spacing w:before="0" w:after="0"/>
              <w:ind w:left="0" w:right="0" w:hanging="0"/>
              <w:jc w:val="left"/>
              <w:rPr/>
            </w:pPr>
            <w:r>
              <w:rPr/>
              <w:t>​</w:t>
            </w:r>
          </w:p>
        </w:tc>
        <w:tc>
          <w:tcPr>
            <w:tcW w:w="1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w:t>
            </w:r>
          </w:p>
        </w:tc>
        <w:tc>
          <w:tcPr>
            <w:tcW w:w="583" w:type="dxa"/>
            <w:tcBorders/>
            <w:vAlign w:val="center"/>
          </w:tcPr>
          <w:p>
            <w:pPr>
              <w:pStyle w:val="TableContents"/>
              <w:bidi w:val="0"/>
              <w:spacing w:before="0" w:after="0"/>
              <w:ind w:left="0" w:right="0" w:hanging="0"/>
              <w:jc w:val="left"/>
              <w:rPr/>
            </w:pPr>
            <w:r>
              <w:rPr/>
              <w:t>​</w:t>
            </w:r>
          </w:p>
        </w:tc>
        <w:tc>
          <w:tcPr>
            <w:tcW w:w="1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w:t>
            </w:r>
          </w:p>
        </w:tc>
      </w:tr>
      <w:tr>
        <w:trPr/>
        <w:tc>
          <w:tcPr>
            <w:tcW w:w="379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Total excludes out-of-the money stock options.</w:t>
            </w:r>
          </w:p>
        </w:tc>
        <w:tc>
          <w:tcPr>
            <w:tcW w:w="204"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left"/>
              <w:rPr/>
            </w:pPr>
            <w:r>
              <w:rPr/>
              <w:t>​</w:t>
            </w:r>
          </w:p>
        </w:tc>
      </w:tr>
      <w:tr>
        <w:trPr/>
        <w:tc>
          <w:tcPr>
            <w:tcW w:w="1020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The Notes were issued on April 26, 2024. Proration of shares assumed to be converted from the Notes during the prior year periods resulted in anti-dilutive impact to EPS.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STOCK-BASED AWARD PLANS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2020 Incentive Award Plan (the “2020 Plan”) provides the ability to grant cash and equity-based incentive awards to eligible employees, directors and service providers in order to attract, retain and motivate those that make important contributions to the Company. The Company issued stock options, RSAs, RSUs, and PSUs under the 2020 Plan. As of June 30, 2025, 20,103 shares of Class A common stock were available for issuance under the 2020 Plan. </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bookmarkStart w:id="1658" w:name="Tc_aM0xFIf7j0i5rl-bC9cubw_17_0"/>
      <w:bookmarkStart w:id="1659" w:name="Tc_bKb4JnZjrkOyGFavunecsQ_7_0"/>
      <w:bookmarkStart w:id="1660" w:name="Tc_glwyPq0Vzk6swqPzmmlU2A_6_2"/>
      <w:bookmarkStart w:id="1661" w:name="Tc_wPdV8UdZHUKUIRgZ95xG6g_5_8"/>
      <w:bookmarkStart w:id="1662" w:name="Tc_Cn_yvG-5PUWBlcSUofFsXw_5_6"/>
      <w:bookmarkStart w:id="1663" w:name="Tc_6flzMl8thUKXHctZs7E81A_5_4"/>
      <w:bookmarkStart w:id="1664" w:name="Tc_JMTSPBLkb0q9gzE0DVSxSw_5_2"/>
      <w:bookmarkStart w:id="1665" w:name="Tc_ODd2rbg3C0qsJ7seAAUDFg_5_0"/>
      <w:bookmarkStart w:id="1666" w:name="Tc_tbzvodWyMUCx423xB1vRDA_4_8"/>
      <w:bookmarkStart w:id="1667" w:name="Tc_MMO4iljXYk-WtGICEDY8oQ_4_4"/>
      <w:bookmarkStart w:id="1668" w:name="Tc_bhkhfRPPOk6PNTJc74HK9Q_3_8"/>
      <w:bookmarkStart w:id="1669" w:name="Tc_zvx4c5OliUyIFEu95XKauw_3_4"/>
      <w:bookmarkStart w:id="1670" w:name="Tc_cIanT2eaEEaFwo6OcrBXIA_2_6"/>
      <w:bookmarkStart w:id="1671" w:name="Tc_RW9vjBGkg0Ky5Vv9Ogm1DQ_2_2"/>
      <w:bookmarkStart w:id="1672" w:name="Tc__eDtHIZM0EuADoQhyhFNAA_10_9"/>
      <w:bookmarkStart w:id="1673" w:name="Tc_BPfwrPabOEGWfXMZUagZvQ_10_4"/>
      <w:bookmarkStart w:id="1674" w:name="Tc_dlDga48w-0CDMw8SxH_MGw_10_0"/>
      <w:bookmarkStart w:id="1675" w:name="Tc_YZWJa1lOyU-ppXxcfEtosQ_9_9"/>
      <w:bookmarkStart w:id="1676" w:name="Tc_d8q5wYN7aEimgs5NhBiGrw_9_4"/>
      <w:bookmarkStart w:id="1677" w:name="Tc_gcXE9oZLZE2rufJK4O-KZg_9_0"/>
      <w:bookmarkStart w:id="1678" w:name="Tc_D-tkHZfIr0u2pRsA1lNR8A_8_0"/>
      <w:bookmarkStart w:id="1679" w:name="Tc_iieD9JVDRk6px1oRiqtGoA_7_9"/>
      <w:bookmarkStart w:id="1680" w:name="Tc_Bab6c5w4EUiuZFGqdS8pYA_7_4"/>
      <w:bookmarkStart w:id="1681" w:name="Tc_RNa564KBXkWPZXsBRjSfZw_7_0"/>
      <w:bookmarkStart w:id="1682" w:name="Tc_4EgIaIlmGkWo5diRuXC9hQ_6_2"/>
      <w:bookmarkStart w:id="1683" w:name="Tc_kq5G1pzxG0qjohuXlJXRYQ_5_9"/>
      <w:bookmarkStart w:id="1684" w:name="Tc_0J3EqcQAQEm-HoWl8pagKw_5_7"/>
      <w:bookmarkStart w:id="1685" w:name="Tc_C-paKwNd80ONZX9af_L7ww_5_5"/>
      <w:bookmarkStart w:id="1686" w:name="Tc_AhBNoUkk6Uufs-DlRLp6QA_5_2"/>
      <w:bookmarkStart w:id="1687" w:name="Tc_zKDGveYqF0i7_B1YElgujg_5_0"/>
      <w:bookmarkStart w:id="1688" w:name="Tc_BKy-mOLz8kOsi4BLz4_cdQ_4_9"/>
      <w:bookmarkStart w:id="1689" w:name="Tc_MKJzjISFN0ibQV6E_aRfmw_4_7"/>
      <w:bookmarkStart w:id="1690" w:name="Tc_UfVlhb6dcUGvWqsvPM5csQ_4_5"/>
      <w:bookmarkStart w:id="1691" w:name="Tc_-eVaOgUdAU-BF2dOaNvbOw_3_9"/>
      <w:bookmarkStart w:id="1692" w:name="Tc_rQJvbjj-QU6CR-aPmyPX7A_3_7"/>
      <w:bookmarkStart w:id="1693" w:name="Tc_T1Y_cp0MEU-cnsHwLKGhOA_3_5"/>
      <w:bookmarkStart w:id="1694" w:name="Tc_Jt-XovgBqEGoLsOxy9Dt4w_2_7"/>
      <w:bookmarkStart w:id="1695" w:name="Tc_3-jBvFdKYkqBkEKLOmCi-w_2_5"/>
      <w:bookmarkStart w:id="1696" w:name="Tc_pmUu5ER1m0y2JexKXJSnPQ_1_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r>
        <w:rPr>
          <w:rFonts w:ascii="Times New Roman;Times;serif" w:hAnsi="Times New Roman;Times;serif"/>
          <w:i/>
          <w:sz w:val="20"/>
        </w:rPr>
        <w:t xml:space="preserve">Options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activity for options outstanding under the 2020 Plan for the six months ended June 30, 2025:</w:t>
      </w:r>
    </w:p>
    <w:p>
      <w:pPr>
        <w:pStyle w:val="TextBody"/>
        <w:bidi w:val="0"/>
        <w:spacing w:before="0" w:after="0"/>
        <w:ind w:left="0" w:right="0" w:hanging="0"/>
        <w:jc w:val="left"/>
        <w:rPr/>
      </w:pPr>
      <w:r>
        <w:rPr/>
        <w:t>​</w:t>
      </w:r>
    </w:p>
    <w:tbl>
      <w:tblPr>
        <w:tblW w:w="8242" w:type="dxa"/>
        <w:jc w:val="left"/>
        <w:tblInd w:w="0" w:type="dxa"/>
        <w:tblLayout w:type="fixed"/>
        <w:tblCellMar>
          <w:top w:w="0" w:type="dxa"/>
          <w:left w:w="0" w:type="dxa"/>
          <w:bottom w:w="0" w:type="dxa"/>
          <w:right w:w="0" w:type="dxa"/>
        </w:tblCellMar>
      </w:tblPr>
      <w:tblGrid>
        <w:gridCol w:w="4006"/>
        <w:gridCol w:w="146"/>
        <w:gridCol w:w="691"/>
        <w:gridCol w:w="109"/>
        <w:gridCol w:w="211"/>
        <w:gridCol w:w="796"/>
        <w:gridCol w:w="146"/>
        <w:gridCol w:w="991"/>
        <w:gridCol w:w="109"/>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543810" cy="175260"/>
                      <wp:effectExtent l="0" t="0" r="0" b="0"/>
                      <wp:wrapNone/>
                      <wp:docPr id="301" name="Frame301"/>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2710" cy="175260"/>
                      <wp:effectExtent l="0" t="0" r="0" b="0"/>
                      <wp:wrapNone/>
                      <wp:docPr id="302" name="Frame3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38785" cy="175260"/>
                      <wp:effectExtent l="0" t="0" r="0" b="0"/>
                      <wp:wrapNone/>
                      <wp:docPr id="303" name="Frame3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05460" cy="175260"/>
                      <wp:effectExtent l="0" t="0" r="0" b="0"/>
                      <wp:wrapNone/>
                      <wp:docPr id="306" name="Frame3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92710" cy="175260"/>
                      <wp:effectExtent l="0" t="0" r="0" b="0"/>
                      <wp:wrapNone/>
                      <wp:docPr id="307" name="Frame3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29285" cy="175260"/>
                      <wp:effectExtent l="0" t="0" r="0" b="0"/>
                      <wp:wrapNone/>
                      <wp:docPr id="308" name="Frame30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9"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24510" cy="175260"/>
                      <wp:effectExtent l="0" t="0" r="0" b="0"/>
                      <wp:wrapNone/>
                      <wp:docPr id="311" name="Frame3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2020 Plan Option Activity</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46" w:type="dxa"/>
            <w:tcBorders/>
            <w:vAlign w:val="center"/>
          </w:tcPr>
          <w:p>
            <w:pPr>
              <w:pStyle w:val="TableContents"/>
              <w:bidi w:val="0"/>
              <w:spacing w:before="0" w:after="0"/>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righ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8242"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90"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1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137,857</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outstanding at June 30, 2025</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47,866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exercisable at June 30, 2025</w:t>
            </w:r>
          </w:p>
        </w:tc>
        <w:tc>
          <w:tcPr>
            <w:tcW w:w="1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46,702</w:t>
            </w:r>
          </w:p>
        </w:tc>
      </w:tr>
    </w:tbl>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details of options outstanding, vested, and exercisable under the 2020 Plan as of June 30, 2025 are as follows:</w:t>
      </w:r>
    </w:p>
    <w:p>
      <w:pPr>
        <w:pStyle w:val="TextBody"/>
        <w:bidi w:val="0"/>
        <w:spacing w:before="0" w:after="0"/>
        <w:ind w:left="0" w:right="0" w:hanging="0"/>
        <w:jc w:val="left"/>
        <w:rPr/>
      </w:pPr>
      <w:r>
        <w:rPr/>
        <w:t>​</w:t>
      </w:r>
    </w:p>
    <w:tbl>
      <w:tblPr>
        <w:tblW w:w="8421" w:type="dxa"/>
        <w:jc w:val="left"/>
        <w:tblInd w:w="0" w:type="dxa"/>
        <w:tblLayout w:type="fixed"/>
        <w:tblCellMar>
          <w:top w:w="0" w:type="dxa"/>
          <w:left w:w="0" w:type="dxa"/>
          <w:bottom w:w="0" w:type="dxa"/>
          <w:right w:w="0" w:type="dxa"/>
        </w:tblCellMar>
      </w:tblPr>
      <w:tblGrid>
        <w:gridCol w:w="3466"/>
        <w:gridCol w:w="326"/>
        <w:gridCol w:w="571"/>
        <w:gridCol w:w="326"/>
        <w:gridCol w:w="976"/>
        <w:gridCol w:w="326"/>
        <w:gridCol w:w="723"/>
        <w:gridCol w:w="413"/>
        <w:gridCol w:w="1294"/>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200910" cy="175260"/>
                      <wp:effectExtent l="0" t="0" r="0" b="0"/>
                      <wp:wrapNone/>
                      <wp:docPr id="312" name="Frame312"/>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62585" cy="175260"/>
                      <wp:effectExtent l="0" t="0" r="0" b="0"/>
                      <wp:wrapNone/>
                      <wp:docPr id="314" name="Frame3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19760" cy="175260"/>
                      <wp:effectExtent l="0" t="0" r="0" b="0"/>
                      <wp:wrapNone/>
                      <wp:docPr id="316" name="Frame31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59105" cy="175260"/>
                      <wp:effectExtent l="0" t="0" r="0" b="0"/>
                      <wp:wrapNone/>
                      <wp:docPr id="318" name="Frame318"/>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62255" cy="175260"/>
                      <wp:effectExtent l="0" t="0" r="0" b="0"/>
                      <wp:wrapNone/>
                      <wp:docPr id="319" name="Frame319"/>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821690" cy="175260"/>
                      <wp:effectExtent l="0" t="0" r="0" b="0"/>
                      <wp:wrapNone/>
                      <wp:docPr id="320" name="Frame320"/>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24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Vested and Exercisable</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Exercise Prices</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413" w:type="dxa"/>
            <w:tcBorders/>
            <w:vAlign w:val="center"/>
          </w:tcPr>
          <w:p>
            <w:pPr>
              <w:pStyle w:val="TableContents"/>
              <w:bidi w:val="0"/>
              <w:spacing w:before="0" w:after="0"/>
              <w:ind w:left="0" w:right="0" w:hanging="0"/>
              <w:jc w:val="left"/>
              <w:rPr/>
            </w:pPr>
            <w:r>
              <w:rPr/>
              <w:t>​</w:t>
            </w:r>
          </w:p>
        </w:tc>
        <w:tc>
          <w:tcPr>
            <w:tcW w:w="12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8421"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29"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$0.15 to $0.71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$2.50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$3.17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$3.73 </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$4.70 </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$18.47 </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$18.96 </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$19.00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$32.16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*These options have indefinite contractual lives.</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income (loss) over the period during which the participant is required to perform the requisite services. The vesting period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The grant date fair value of options is estimated using the Black-Scholes model.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697" w:name="Tc_yhAajYOEjkmQqus2yXXW1g_9_4"/>
      <w:bookmarkStart w:id="1698" w:name="Tc_Robtgbt-Ukyj4eKeNBG7MA_9_0"/>
      <w:bookmarkStart w:id="1699" w:name="Tc_M9GcEP-KyEeLgqqOSIHGqA_8_0"/>
      <w:bookmarkStart w:id="1700" w:name="Tc_YtMZMAZvWkGhLNc6m5il8Q_7_0"/>
      <w:bookmarkStart w:id="1701" w:name="Tc_dCW-fwxMuku15bUDSaL7fg_6_4"/>
      <w:bookmarkStart w:id="1702" w:name="Tc_0UL9HCxImUyQ2z9UqJk0Ig_6_0"/>
      <w:bookmarkStart w:id="1703" w:name="Tc_lBuGimuQa0uXWe5PT4xGZw_5_4"/>
      <w:bookmarkStart w:id="1704" w:name="Tc_MIN4DvqKhU-DohVoZ0OyLw_5_2"/>
      <w:bookmarkStart w:id="1705" w:name="Tc_rJurclhWwUS7W4T6Bb74gw_4_4"/>
      <w:bookmarkStart w:id="1706" w:name="Tc_8rlVqmEJU0ORmnh-FxhIAg_3_4"/>
      <w:bookmarkStart w:id="1707" w:name="Tc_x0QIOvBIk06nyFeCg5DDVg_2_4"/>
      <w:bookmarkStart w:id="1708" w:name="Tc_P-9kc7JDbU-feno0EGtWmQ_10_4"/>
      <w:bookmarkStart w:id="1709" w:name="Tc_eZwieOa4_EGwlwZWxpNUjw_10_0"/>
      <w:bookmarkStart w:id="1710" w:name="Tc_SxEKHHs1X0qD0JYpXTIMtA_9_0"/>
      <w:bookmarkStart w:id="1711" w:name="Tc_tjEQw408J0eOJfdq1vOGdw_8_0"/>
      <w:bookmarkStart w:id="1712" w:name="Tc_31rQHZm_Zk6RaQzRQ5r-vw_7_0"/>
      <w:bookmarkStart w:id="1713" w:name="Tc_L7wXr0t4Bk-Kyh92i09Efg_6_4"/>
      <w:bookmarkStart w:id="1714" w:name="Tc_4bQsPM3CRUOAh7AxlqNf0g_6_0"/>
      <w:bookmarkStart w:id="1715" w:name="Tc_n8C-O37teEGTzp3EEfBF9A_5_4"/>
      <w:bookmarkStart w:id="1716" w:name="Tc_yz_OJB2_Fkq6v7qidO8mmA_5_2"/>
      <w:bookmarkStart w:id="1717" w:name="Tc_hy0utdsLgk2928iJH6DylA_4_4"/>
      <w:bookmarkStart w:id="1718" w:name="Tc_Csl3lVCEsE6sMdFDBnv82g_3_4"/>
      <w:bookmarkStart w:id="1719" w:name="Tc_KBU53LTSO0WMZNTHwX-mQA_2_4"/>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r>
        <w:rPr>
          <w:rFonts w:ascii="Times New Roman;Times;serif" w:hAnsi="Times New Roman;Times;serif"/>
          <w:sz w:val="20"/>
        </w:rPr>
        <w:t>There were no options issued under the 2020 Plan during the three months ended June 30, 2025 or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June 30, 2025, $173 of unrecognized compensation expense associated with options is expected to be recognized over a weighted average period of approximately 0.5 years.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RSU activity for the six months ended June 30, 2025:</w:t>
      </w:r>
    </w:p>
    <w:p>
      <w:pPr>
        <w:pStyle w:val="TextBody"/>
        <w:bidi w:val="0"/>
        <w:spacing w:before="0" w:after="0"/>
        <w:ind w:left="0" w:right="0" w:hanging="0"/>
        <w:jc w:val="left"/>
        <w:rPr/>
      </w:pPr>
      <w:r>
        <w:rPr/>
        <w:t>​</w:t>
      </w:r>
    </w:p>
    <w:tbl>
      <w:tblPr>
        <w:tblW w:w="5350" w:type="dxa"/>
        <w:jc w:val="left"/>
        <w:tblInd w:w="0" w:type="dxa"/>
        <w:tblLayout w:type="fixed"/>
        <w:tblCellMar>
          <w:top w:w="0" w:type="dxa"/>
          <w:left w:w="0" w:type="dxa"/>
          <w:bottom w:w="0" w:type="dxa"/>
          <w:right w:w="0" w:type="dxa"/>
        </w:tblCellMar>
      </w:tblPr>
      <w:tblGrid>
        <w:gridCol w:w="2656"/>
        <w:gridCol w:w="326"/>
        <w:gridCol w:w="691"/>
        <w:gridCol w:w="326"/>
        <w:gridCol w:w="343"/>
        <w:gridCol w:w="1008"/>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86560" cy="175260"/>
                      <wp:effectExtent l="0" t="0" r="0" b="0"/>
                      <wp:wrapNone/>
                      <wp:docPr id="321" name="Frame32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38785" cy="175260"/>
                      <wp:effectExtent l="0" t="0" r="0" b="0"/>
                      <wp:wrapNone/>
                      <wp:docPr id="323" name="Frame3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7805" cy="175260"/>
                      <wp:effectExtent l="0" t="0" r="0" b="0"/>
                      <wp:wrapNone/>
                      <wp:docPr id="325" name="Frame32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0080" cy="175260"/>
                      <wp:effectExtent l="0" t="0" r="0" b="0"/>
                      <wp:wrapNone/>
                      <wp:docPr id="326" name="Frame326"/>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4,534</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r>
      <w:tr>
        <w:trPr/>
        <w:tc>
          <w:tcPr>
            <w:tcW w:w="2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w:t>
            </w:r>
          </w:p>
        </w:tc>
      </w:tr>
      <w:tr>
        <w:trPr/>
        <w:tc>
          <w:tcPr>
            <w:tcW w:w="2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cost for RSUs is measured based on the fair value of the Company’s underlying common stock on the date of grant and is recognized on a straight-line basis in the condensed consolidated statements of comprehensive</w:t>
      </w:r>
      <w:r>
        <w:rPr>
          <w:rFonts w:ascii="Times New Roman;Times;serif" w:hAnsi="Times New Roman;Times;serif"/>
          <w:color w:val="FF0000"/>
          <w:sz w:val="20"/>
        </w:rPr>
        <w:t xml:space="preserve"> </w:t>
      </w:r>
      <w:r>
        <w:rPr>
          <w:rFonts w:ascii="Times New Roman;Times;serif" w:hAnsi="Times New Roman;Times;serif"/>
          <w:sz w:val="20"/>
        </w:rPr>
        <w:t xml:space="preserve">income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Vested RSUs are settled by issuing Class A common stock or the equivalent value in cash at the Board’s discretion. At June 30, 2025, $77,849 of unrecognized compensation expense for RSUs is expected to be recognized over a weighted average period of approximately 2.6 years.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Awards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RSA activity for the six months ended June 30, 2025: </w:t>
      </w:r>
    </w:p>
    <w:p>
      <w:pPr>
        <w:pStyle w:val="TextBody"/>
        <w:bidi w:val="0"/>
        <w:spacing w:before="0" w:after="0"/>
        <w:ind w:left="0" w:right="0" w:hanging="0"/>
        <w:jc w:val="left"/>
        <w:rPr/>
      </w:pPr>
      <w:r>
        <w:rPr/>
        <w:t>​</w:t>
      </w:r>
    </w:p>
    <w:tbl>
      <w:tblPr>
        <w:tblW w:w="4923" w:type="dxa"/>
        <w:jc w:val="left"/>
        <w:tblInd w:w="0" w:type="dxa"/>
        <w:tblLayout w:type="fixed"/>
        <w:tblCellMar>
          <w:top w:w="0" w:type="dxa"/>
          <w:left w:w="0" w:type="dxa"/>
          <w:bottom w:w="0" w:type="dxa"/>
          <w:right w:w="0" w:type="dxa"/>
        </w:tblCellMar>
      </w:tblPr>
      <w:tblGrid>
        <w:gridCol w:w="2656"/>
        <w:gridCol w:w="326"/>
        <w:gridCol w:w="48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686560" cy="175260"/>
                      <wp:effectExtent l="0" t="0" r="0" b="0"/>
                      <wp:wrapNone/>
                      <wp:docPr id="327" name="Frame32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05435" cy="175260"/>
                      <wp:effectExtent l="0" t="0" r="0" b="0"/>
                      <wp:wrapNone/>
                      <wp:docPr id="329" name="Frame32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1295" cy="175260"/>
                      <wp:effectExtent l="0" t="0" r="0" b="0"/>
                      <wp:wrapNone/>
                      <wp:docPr id="331" name="Frame33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56590" cy="175260"/>
                      <wp:effectExtent l="0" t="0" r="0" b="0"/>
                      <wp:wrapNone/>
                      <wp:docPr id="332" name="Frame332"/>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2025</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37.55</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cost for RSAs is measured based on the fair value of the Company’s underlying common stock on the date of grant and is recognized on a straight-line basis in the condensed consolidated statements of comprehensive</w:t>
      </w:r>
      <w:r>
        <w:rPr>
          <w:rFonts w:ascii="Times New Roman;Times;serif" w:hAnsi="Times New Roman;Times;serif"/>
          <w:color w:val="FF0000"/>
          <w:sz w:val="20"/>
        </w:rPr>
        <w:t xml:space="preserve"> </w:t>
      </w:r>
      <w:r>
        <w:rPr>
          <w:rFonts w:ascii="Times New Roman;Times;serif" w:hAnsi="Times New Roman;Times;serif"/>
          <w:sz w:val="20"/>
        </w:rPr>
        <w:t xml:space="preserve">income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At June 30, 2025, $1,327 of unrecognized compensation expense for RSAs is expected to be recognized over a weighted average period of approximately </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i/>
          <w:sz w:val="20"/>
        </w:rPr>
      </w:pPr>
      <w:bookmarkStart w:id="1720" w:name="Tc_Butb09RAIUi49oFBCLYkkQ_7_4"/>
      <w:bookmarkStart w:id="1721" w:name="Tc_DTnarUZ15UCzOkleJwKjrg_7_0"/>
      <w:bookmarkStart w:id="1722" w:name="Tc_9T9TKAkF_065_41wki25Cg_6_0"/>
      <w:bookmarkStart w:id="1723" w:name="Tc_f7IbfjK0qEuCxWIhgzKPug_5_0"/>
      <w:bookmarkStart w:id="1724" w:name="Tc_eCDJOLeUz0SQMBJ8GbNgeg_4_4"/>
      <w:bookmarkStart w:id="1725" w:name="Tc_G7nduUUYA0GCPX9umYThOQ_4_0"/>
      <w:bookmarkStart w:id="1726" w:name="Tc_BnB5G0us8UaTVf-aVEiTlA_3_4"/>
      <w:bookmarkStart w:id="1727" w:name="Tc_PlJUJuJ6UEeQ28tv5HcP8Q_3_2"/>
      <w:bookmarkStart w:id="1728" w:name="Tc_kSM94-klSEOT7QS6Jv9Rpw_2_4"/>
      <w:bookmarkStart w:id="1729" w:name="Tc_hr0LsdlQiEWunTtZi8DYAQ_1_4"/>
      <w:bookmarkEnd w:id="1720"/>
      <w:bookmarkEnd w:id="1721"/>
      <w:bookmarkEnd w:id="1722"/>
      <w:bookmarkEnd w:id="1723"/>
      <w:bookmarkEnd w:id="1724"/>
      <w:bookmarkEnd w:id="1725"/>
      <w:bookmarkEnd w:id="1726"/>
      <w:bookmarkEnd w:id="1727"/>
      <w:bookmarkEnd w:id="1728"/>
      <w:bookmarkEnd w:id="1729"/>
      <w:r>
        <w:rPr>
          <w:rFonts w:ascii="Times New Roman;Times;serif" w:hAnsi="Times New Roman;Times;serif"/>
          <w:i/>
          <w:sz w:val="20"/>
        </w:rPr>
        <w:t>Performance Stock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2024 ecosio acquisition, current and newly hired employees of ecosio have or may receive RSUs that vest upon continuing service and performance conditions (“Performance Stock Units” or “PSUs”). These performance conditions are based upon ecosio’s monthly software revenues meeting specified annual targets over a three-year period. The annual targets are based on a range of performance targets in which grantees may earn a prorated portion of the base number of awards granted up to 100%.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stock-compensation expense associated with the awards will be accounted for as compensation expense over the vesting periods based on the Company’s assessment of the probability of achieving the targets. If the required conditions are not met, no compensation expense is recognized and any previously recognized compensation expense is reversed. As of June 30, 2025, the Company determined that it is probable that the performance target for the first annual measurement period would be achieved and has recorded $878 and $1,708 in stock-based compensation expense for the three and six months ended June 30, 2025, respectively. No compensation expense has been recorded in connection with the second or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annual targets as the Company has not yet deemed it probable that the performance targets will be achieved.</w:t>
      </w:r>
    </w:p>
    <w:p>
      <w:pPr>
        <w:pStyle w:val="TextBody"/>
        <w:bidi w:val="0"/>
        <w:spacing w:before="0" w:after="0"/>
        <w:ind w:left="0" w:right="0" w:hanging="0"/>
        <w:jc w:val="left"/>
        <w:rPr/>
      </w:pPr>
      <w:r>
        <w:rPr/>
        <w:t>​</w:t>
      </w:r>
    </w:p>
    <w:tbl>
      <w:tblPr>
        <w:tblW w:w="4706" w:type="dxa"/>
        <w:jc w:val="left"/>
        <w:tblInd w:w="0" w:type="dxa"/>
        <w:tblLayout w:type="fixed"/>
        <w:tblCellMar>
          <w:top w:w="0" w:type="dxa"/>
          <w:left w:w="0" w:type="dxa"/>
          <w:bottom w:w="0" w:type="dxa"/>
          <w:right w:w="0" w:type="dxa"/>
        </w:tblCellMar>
      </w:tblPr>
      <w:tblGrid>
        <w:gridCol w:w="2656"/>
        <w:gridCol w:w="109"/>
        <w:gridCol w:w="48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86560" cy="175260"/>
                      <wp:effectExtent l="0" t="0" r="0" b="0"/>
                      <wp:wrapNone/>
                      <wp:docPr id="333" name="Frame333"/>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05435" cy="175260"/>
                      <wp:effectExtent l="0" t="0" r="0" b="0"/>
                      <wp:wrapNone/>
                      <wp:docPr id="335" name="Frame33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1295" cy="175260"/>
                      <wp:effectExtent l="0" t="0" r="0" b="0"/>
                      <wp:wrapNone/>
                      <wp:docPr id="337" name="Frame33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56590" cy="175260"/>
                      <wp:effectExtent l="0" t="0" r="0" b="0"/>
                      <wp:wrapNone/>
                      <wp:docPr id="338" name="Frame338"/>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2025</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52.11</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June 30, 2025, a maximum of $8,530 of unrecognized compensation expense for PSUs, pending achievement of targets, may be recognized over a weighted average period of approximately 2.4 years.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Employee Stock Purchase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included in accrued salaries and benefits in the condensed consolidated balance sheets until such shares are purchased. Amounts withheld from participants for the offering period ending November 30, 2025 aggregated $637 as of June 30, 2025. As of June 30, 2025, 6,282 shares of Class A common stock were available for issuance under the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2025, there was approximately $703 of unrecognized ESPP stock-based compensation expense expected to be recognized on a straight-line basis over the remaining term of the six-month offering period ending November 30,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At June 30, 2025 and 2024, there were two ESPP offering periods open that end November 30, 2025 and 2024, respectively. The fair value of ESPP purchase rights for the offering periods is comprised of the value of the 15% ESPP discount and the value associated with the call or put over the respective ESPP offering period. ESPP offering periods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1730" w:name="Tc_tpoSd3Lc5EWJtDIu4PDuRA_10_11"/>
      <w:bookmarkStart w:id="1731" w:name="Tc_bXVIc6ipWEGWsDiS9U7fmw_10_8"/>
      <w:bookmarkStart w:id="1732" w:name="Tc__bXU1_B8NEy0hvCd1g16lQ_10_5"/>
      <w:bookmarkStart w:id="1733" w:name="Tc_oxL2sCoPTUC1lIqk1eNsvg_10_2"/>
      <w:bookmarkStart w:id="1734" w:name="Tc_Gd7bEQQSI0WXRsqRtKU5uQ_10_0"/>
      <w:bookmarkStart w:id="1735" w:name="Tc_lqbtxsomh0affFBe9phGGw_9_0"/>
      <w:bookmarkStart w:id="1736" w:name="Tc_jMOCBrPTU0mN0iSDkcPkRQ_8_0"/>
      <w:bookmarkStart w:id="1737" w:name="Tc_d9yayrSMJ0-_QZwPBxBuXw_7_0"/>
      <w:bookmarkStart w:id="1738" w:name="Tc_2mSUqe4tl0Cj1RacWDjvBQ_6_0"/>
      <w:bookmarkStart w:id="1739" w:name="Tc_jzD0i1yXMkid9F2ujGBDtA_5_11"/>
      <w:bookmarkStart w:id="1740" w:name="Tc_qKWFs23fiUuelbPluZpuwg_5_8"/>
      <w:bookmarkStart w:id="1741" w:name="Tc_Wi8WyreEbkujePUIVEIuNA_5_5"/>
      <w:bookmarkStart w:id="1742" w:name="Tc_r_kR-nSWQU-OEDQifNuSRA_5_2"/>
      <w:bookmarkStart w:id="1743" w:name="Tc_sTnYNonSQ0KMk3Y_5vyrlw_5_0"/>
      <w:bookmarkStart w:id="1744" w:name="Tc_VL2ro93oFUmbipFUk5fRyg_4_0"/>
      <w:bookmarkStart w:id="1745" w:name="Tc__CW4IUPwL0yr6zXXiHilEg_3_8"/>
      <w:bookmarkStart w:id="1746" w:name="Tc_Ab2t2UhPh0aEECqc2RHI6g_3_2"/>
      <w:bookmarkStart w:id="1747" w:name="Tc_g9q22ooJbE6pNbNg1UXaZQ_2_11"/>
      <w:bookmarkStart w:id="1748" w:name="Tc_hriYbGmdS0WvsyBv1Bsh4w_2_8"/>
      <w:bookmarkStart w:id="1749" w:name="Tc_h6hhU15ZGUa-UJzp3_7tgw_2_5"/>
      <w:bookmarkStart w:id="1750" w:name="Tc_F7iiflT8wUiB4rGLKbJjdg_2_2"/>
      <w:bookmarkStart w:id="1751" w:name="Tc_dHJjaakpTEudGFrwlHQ4hw_1_8"/>
      <w:bookmarkStart w:id="1752" w:name="Tc_7T5y3w8YukOBeku2NvHfOQ_1_2"/>
      <w:bookmarkStart w:id="1753" w:name="Tc_BpqEtdYw0k-gwupuUd0dPA_10_11"/>
      <w:bookmarkStart w:id="1754" w:name="Tc_qrcVPJa6o0uj0E1hbYugUQ_10_8"/>
      <w:bookmarkStart w:id="1755" w:name="Tc_jwKTExUds0SQndmfUZtfgQ_10_5"/>
      <w:bookmarkStart w:id="1756" w:name="Tc_s8osiqnqrEWjtkMNB90ohg_10_2"/>
      <w:bookmarkStart w:id="1757" w:name="Tc_mLtJPKJ5u0-0OoOhGa_ffg_10_0"/>
      <w:bookmarkStart w:id="1758" w:name="Tc_oXKBi1rSuUed_TC_elf9ig_9_0"/>
      <w:bookmarkStart w:id="1759" w:name="Tc_OvZgqhCRKUyd7HNpR95h-A_8_12"/>
      <w:bookmarkStart w:id="1760" w:name="Tc_txVyj4DIsUynocbjOU0v2w_8_6"/>
      <w:bookmarkStart w:id="1761" w:name="Tc_x6WiYSO6MEm4i9tls7_fqw_8_0"/>
      <w:bookmarkStart w:id="1762" w:name="Tc_-TBQLGGWaUKBLXQM5Hi2ug_7_0"/>
      <w:bookmarkStart w:id="1763" w:name="Tc_kiHdLy1y1EaVHdgV_1bbEA_6_0"/>
      <w:bookmarkStart w:id="1764" w:name="Tc_RJTvO2ljzk-gXXi87TNnsw_5_11"/>
      <w:bookmarkStart w:id="1765" w:name="Tc_RhrGxipOhkKKXA5vzar2Cw_5_8"/>
      <w:bookmarkStart w:id="1766" w:name="Tc_YPJ6URXbDUOpU3Jfc4YoRA_5_5"/>
      <w:bookmarkStart w:id="1767" w:name="Tc_QPyRoYrD5ECUF3cPF4C6wA_5_2"/>
      <w:bookmarkStart w:id="1768" w:name="Tc_9ypyEiIn6kaOKbluzmlNcg_5_0"/>
      <w:bookmarkStart w:id="1769" w:name="Tc_aQ9dxktQs0iB3tKxv6RPIw_4_0"/>
      <w:bookmarkStart w:id="1770" w:name="Tc_BoV4t-FSHkuvJKipf8F-QQ_3_8"/>
      <w:bookmarkStart w:id="1771" w:name="Tc_JQcLk_g-Jkiw_9cU30_CHg_3_2"/>
      <w:bookmarkStart w:id="1772" w:name="Tc_neJBpEN1uUqueP4Yinp83w_2_11"/>
      <w:bookmarkStart w:id="1773" w:name="Tc_AFvjqeZ-3UqH2vMg3_P7YA_2_8"/>
      <w:bookmarkStart w:id="1774" w:name="Tc_aSsXpFp-zUmcYDaq_CVjRA_2_5"/>
      <w:bookmarkStart w:id="1775" w:name="Tc_MxJVzBWVJ0i7vZSGi3_LPg_2_2"/>
      <w:bookmarkStart w:id="1776" w:name="Tc_JSVj0vcn3UyZDbtZCkcpKw_1_8"/>
      <w:bookmarkStart w:id="1777" w:name="Tc_SzK7-K2keUWaCyBCs_r4qw_1_2"/>
      <w:bookmarkStart w:id="1778" w:name="Tc_IN8KHY860UerITL0g3oZPg_7_6"/>
      <w:bookmarkStart w:id="1779" w:name="Tc_tI-qodSPLkSvhag2pp1xIg_7_3"/>
      <w:bookmarkStart w:id="1780" w:name="Tc_wbKS_toX402OmBWfmRJ4MA_7_0"/>
      <w:bookmarkStart w:id="1781" w:name="Tc_DlY8r2wxY0mrGFQ7PJMKPA_6_6"/>
      <w:bookmarkStart w:id="1782" w:name="Tc_nb2CoK_hH0yYZ5JqbT2evg_6_5"/>
      <w:bookmarkStart w:id="1783" w:name="Tc_KI7gCzPEC0atk09arvSaAw_6_3"/>
      <w:bookmarkStart w:id="1784" w:name="Tc_i1thViDFhkCKcUKA7MI4rg_6_2"/>
      <w:bookmarkStart w:id="1785" w:name="Tc_SlYreD8nmU6fBqw7MaUrbA_6_0"/>
      <w:bookmarkStart w:id="1786" w:name="Tc_NP6mL4PMMU-H1No9sU5Edg_5_0"/>
      <w:bookmarkStart w:id="1787" w:name="Tc_QMfog8itI0655uhjmyqhww_4_6"/>
      <w:bookmarkStart w:id="1788" w:name="Tc_GeVTVrOxGkil0baNImIR5g_4_3"/>
      <w:bookmarkStart w:id="1789" w:name="Tc_yHiIxz5eU0uMZVq260Cvbw_4_0"/>
      <w:bookmarkStart w:id="1790" w:name="Tc_f8sFRX55_UuMgY-v3b5wxw_3_4"/>
      <w:bookmarkStart w:id="1791" w:name="Tc_eLjeBeZciUad6DrZlC_KBg_3_1"/>
      <w:bookmarkStart w:id="1792" w:name="Tc_1sB7-ok1kkScWlT8aRBKRQ_3_0"/>
      <w:bookmarkStart w:id="1793" w:name="Tc_kE6RiFl5gkGV4LraOe5crQ_2_4"/>
      <w:bookmarkStart w:id="1794" w:name="Tc_GllJ4oqcpkSnQEeqdWmyDw_2_1"/>
      <w:bookmarkStart w:id="1795" w:name="Tc_Os-pvpGwWEaJ1RX2sAU7HQ_1_1"/>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r>
        <w:rPr>
          <w:rFonts w:ascii="Times New Roman;Times;serif" w:hAnsi="Times New Roman;Times;serif"/>
          <w:sz w:val="20"/>
        </w:rPr>
        <w:t xml:space="preserve">reported in the June 30, 2025 and 2024 financial statements include the periods noted below in the table. The value of the call or put was estimated using the Black-Scholes model with the following assumptions: </w:t>
      </w:r>
    </w:p>
    <w:p>
      <w:pPr>
        <w:pStyle w:val="TextBody"/>
        <w:bidi w:val="0"/>
        <w:spacing w:before="0" w:after="0"/>
        <w:ind w:left="0" w:right="0" w:firstLine="360"/>
        <w:jc w:val="left"/>
        <w:rPr/>
      </w:pPr>
      <w:r>
        <w:rPr/>
        <w:t>​</w:t>
      </w:r>
    </w:p>
    <w:tbl>
      <w:tblPr>
        <w:tblW w:w="5478" w:type="dxa"/>
        <w:jc w:val="left"/>
        <w:tblInd w:w="0" w:type="dxa"/>
        <w:tblLayout w:type="fixed"/>
        <w:tblCellMar>
          <w:top w:w="0" w:type="dxa"/>
          <w:left w:w="0" w:type="dxa"/>
          <w:bottom w:w="0" w:type="dxa"/>
          <w:right w:w="0" w:type="dxa"/>
        </w:tblCellMar>
      </w:tblPr>
      <w:tblGrid>
        <w:gridCol w:w="2971"/>
        <w:gridCol w:w="247"/>
        <w:gridCol w:w="668"/>
        <w:gridCol w:w="316"/>
        <w:gridCol w:w="247"/>
        <w:gridCol w:w="668"/>
        <w:gridCol w:w="36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886585" cy="175260"/>
                      <wp:effectExtent l="0" t="0" r="0" b="0"/>
                      <wp:wrapNone/>
                      <wp:docPr id="339" name="Frame339"/>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56845" cy="175260"/>
                      <wp:effectExtent l="0" t="0" r="0" b="0"/>
                      <wp:wrapNone/>
                      <wp:docPr id="340" name="Frame340"/>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24180" cy="175260"/>
                      <wp:effectExtent l="0" t="0" r="0" b="0"/>
                      <wp:wrapNone/>
                      <wp:docPr id="341" name="Frame341"/>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0660" cy="175260"/>
                      <wp:effectExtent l="0" t="0" r="0" b="0"/>
                      <wp:wrapNone/>
                      <wp:docPr id="342" name="Frame34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56845" cy="175260"/>
                      <wp:effectExtent l="0" t="0" r="0" b="0"/>
                      <wp:wrapNone/>
                      <wp:docPr id="343" name="Frame34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24180" cy="175260"/>
                      <wp:effectExtent l="0" t="0" r="0" b="0"/>
                      <wp:wrapNone/>
                      <wp:docPr id="344" name="Frame344"/>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29235" cy="175260"/>
                      <wp:effectExtent l="0" t="0" r="0" b="0"/>
                      <wp:wrapNone/>
                      <wp:docPr id="345" name="Frame34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250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 Period Ending</w:t>
            </w:r>
          </w:p>
        </w:tc>
      </w:tr>
      <w:tr>
        <w:trPr/>
        <w:tc>
          <w:tcPr>
            <w:tcW w:w="2971" w:type="dxa"/>
            <w:tcBorders/>
            <w:vAlign w:val="center"/>
          </w:tcPr>
          <w:p>
            <w:pPr>
              <w:pStyle w:val="TableContents"/>
              <w:bidi w:val="0"/>
              <w:spacing w:before="0" w:after="0"/>
              <w:ind w:left="0" w:right="0" w:hanging="0"/>
              <w:jc w:val="left"/>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11/30/2025</w:t>
            </w:r>
          </w:p>
        </w:tc>
        <w:tc>
          <w:tcPr>
            <w:tcW w:w="316" w:type="dxa"/>
            <w:tcBorders/>
            <w:vAlign w:val="center"/>
          </w:tcPr>
          <w:p>
            <w:pPr>
              <w:pStyle w:val="TableContents"/>
              <w:bidi w:val="0"/>
              <w:spacing w:before="0" w:after="0"/>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11/30/2024</w:t>
            </w:r>
          </w:p>
        </w:tc>
        <w:tc>
          <w:tcPr>
            <w:tcW w:w="361" w:type="dxa"/>
            <w:tcBorders/>
            <w:vAlign w:val="center"/>
          </w:tcPr>
          <w:p>
            <w:pPr>
              <w:pStyle w:val="TableContents"/>
              <w:bidi w:val="0"/>
              <w:spacing w:before="0" w:after="0"/>
              <w:ind w:left="0" w:right="0" w:hanging="0"/>
              <w:jc w:val="center"/>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market value of common stock</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31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33.26</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Volatility is representative of expected stock price volatility over the offering period. The Company’s volatility is applied to current and future offering periods.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total stock-based compensation expense related to incentive awards, net of forfeitures, as follows:</w:t>
      </w:r>
    </w:p>
    <w:p>
      <w:pPr>
        <w:pStyle w:val="TextBody"/>
        <w:bidi w:val="0"/>
        <w:spacing w:before="0" w:after="0"/>
        <w:ind w:left="0" w:right="0" w:hanging="0"/>
        <w:jc w:val="left"/>
        <w:rPr/>
      </w:pPr>
      <w:r>
        <w:rPr/>
        <w:t>​</w:t>
      </w:r>
    </w:p>
    <w:tbl>
      <w:tblPr>
        <w:tblW w:w="9401" w:type="dxa"/>
        <w:jc w:val="left"/>
        <w:tblInd w:w="0" w:type="dxa"/>
        <w:tblLayout w:type="fixed"/>
        <w:tblCellMar>
          <w:top w:w="0" w:type="dxa"/>
          <w:left w:w="0" w:type="dxa"/>
          <w:bottom w:w="0" w:type="dxa"/>
          <w:right w:w="0" w:type="dxa"/>
        </w:tblCellMar>
      </w:tblPr>
      <w:tblGrid>
        <w:gridCol w:w="3451"/>
        <w:gridCol w:w="109"/>
        <w:gridCol w:w="281"/>
        <w:gridCol w:w="903"/>
        <w:gridCol w:w="435"/>
        <w:gridCol w:w="281"/>
        <w:gridCol w:w="903"/>
        <w:gridCol w:w="326"/>
        <w:gridCol w:w="258"/>
        <w:gridCol w:w="828"/>
        <w:gridCol w:w="399"/>
        <w:gridCol w:w="258"/>
        <w:gridCol w:w="969"/>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1385" cy="175260"/>
                      <wp:effectExtent l="0" t="0" r="0" b="0"/>
                      <wp:wrapNone/>
                      <wp:docPr id="346" name="Frame346"/>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78435" cy="175260"/>
                      <wp:effectExtent l="0" t="0" r="0" b="0"/>
                      <wp:wrapNone/>
                      <wp:docPr id="348" name="Frame34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73405" cy="175260"/>
                      <wp:effectExtent l="0" t="0" r="0" b="0"/>
                      <wp:wrapNone/>
                      <wp:docPr id="349" name="Frame349"/>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76225" cy="175260"/>
                      <wp:effectExtent l="0" t="0" r="0" b="0"/>
                      <wp:wrapNone/>
                      <wp:docPr id="350" name="Frame350"/>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78435" cy="175260"/>
                      <wp:effectExtent l="0" t="0" r="0" b="0"/>
                      <wp:wrapNone/>
                      <wp:docPr id="351" name="Frame35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73405" cy="175260"/>
                      <wp:effectExtent l="0" t="0" r="0" b="0"/>
                      <wp:wrapNone/>
                      <wp:docPr id="352" name="Frame352"/>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63830" cy="175260"/>
                      <wp:effectExtent l="0" t="0" r="0" b="0"/>
                      <wp:wrapNone/>
                      <wp:docPr id="354" name="Frame35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25780" cy="175260"/>
                      <wp:effectExtent l="0" t="0" r="0" b="0"/>
                      <wp:wrapNone/>
                      <wp:docPr id="355" name="Frame35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53365" cy="175260"/>
                      <wp:effectExtent l="0" t="0" r="0" b="0"/>
                      <wp:wrapNone/>
                      <wp:docPr id="356" name="Frame356"/>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63830" cy="175260"/>
                      <wp:effectExtent l="0" t="0" r="0" b="0"/>
                      <wp:wrapNone/>
                      <wp:docPr id="357" name="Frame35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15315" cy="175260"/>
                      <wp:effectExtent l="0" t="0" r="0" b="0"/>
                      <wp:wrapNone/>
                      <wp:docPr id="358" name="Frame358"/>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26" w:type="dxa"/>
            <w:tcBorders/>
            <w:vAlign w:val="center"/>
          </w:tcPr>
          <w:p>
            <w:pPr>
              <w:pStyle w:val="TableContents"/>
              <w:bidi w:val="0"/>
              <w:spacing w:before="0" w:after="0"/>
              <w:ind w:left="0" w:right="0" w:hanging="0"/>
              <w:jc w:val="left"/>
              <w:rPr/>
            </w:pPr>
            <w:r>
              <w:rPr/>
              <w:t>​</w:t>
            </w:r>
          </w:p>
        </w:tc>
        <w:tc>
          <w:tcPr>
            <w:tcW w:w="27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5" w:type="dxa"/>
            <w:tcBorders/>
            <w:vAlign w:val="center"/>
          </w:tcPr>
          <w:p>
            <w:pPr>
              <w:pStyle w:val="TableContents"/>
              <w:bidi w:val="0"/>
              <w:spacing w:before="0" w:after="0"/>
              <w:ind w:left="0" w:right="0" w:hanging="0"/>
              <w:jc w:val="left"/>
              <w:rPr/>
            </w:pPr>
            <w:r>
              <w:rPr/>
              <w:t>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9" w:type="dxa"/>
            <w:tcBorders/>
            <w:vAlign w:val="center"/>
          </w:tcPr>
          <w:p>
            <w:pPr>
              <w:pStyle w:val="TableContents"/>
              <w:bidi w:val="0"/>
              <w:spacing w:before="0" w:after="0"/>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40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27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435"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99" w:type="dxa"/>
            <w:tcBorders/>
            <w:vAlign w:val="center"/>
          </w:tcPr>
          <w:p>
            <w:pPr>
              <w:pStyle w:val="TableContents"/>
              <w:bidi w:val="0"/>
              <w:spacing w:before="0" w:after="0"/>
              <w:ind w:left="0" w:right="0" w:hanging="0"/>
              <w:jc w:val="righ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10,398</w:t>
            </w:r>
          </w:p>
        </w:tc>
        <w:tc>
          <w:tcPr>
            <w:tcW w:w="435"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8,145</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29,751</w:t>
            </w:r>
          </w:p>
        </w:tc>
        <w:tc>
          <w:tcPr>
            <w:tcW w:w="399"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435"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99" w:type="dxa"/>
            <w:tcBorders/>
            <w:vAlign w:val="center"/>
          </w:tcPr>
          <w:p>
            <w:pPr>
              <w:pStyle w:val="TableContents"/>
              <w:bidi w:val="0"/>
              <w:spacing w:before="0" w:after="0"/>
              <w:ind w:left="0" w:right="0" w:hanging="0"/>
              <w:jc w:val="right"/>
              <w:rPr/>
            </w:pPr>
            <w:r>
              <w:rPr/>
              <w:t>​</w:t>
            </w:r>
          </w:p>
        </w:tc>
        <w:tc>
          <w:tcPr>
            <w:tcW w:w="258"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435"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c>
          <w:tcPr>
            <w:tcW w:w="399"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435"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99" w:type="dxa"/>
            <w:tcBorders/>
            <w:vAlign w:val="center"/>
          </w:tcPr>
          <w:p>
            <w:pPr>
              <w:pStyle w:val="TableContents"/>
              <w:bidi w:val="0"/>
              <w:spacing w:before="0" w:after="0"/>
              <w:ind w:left="0" w:right="0" w:hanging="0"/>
              <w:jc w:val="righ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435"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10,001</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33,034</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26,325</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recognized stock-based compensation expense in the condensed consolidated statements of comprehensive income (loss) as follows: </w:t>
      </w:r>
    </w:p>
    <w:p>
      <w:pPr>
        <w:pStyle w:val="TextBody"/>
        <w:bidi w:val="0"/>
        <w:spacing w:before="0" w:after="0"/>
        <w:ind w:left="0" w:right="0" w:hanging="0"/>
        <w:jc w:val="left"/>
        <w:rPr/>
      </w:pPr>
      <w:r>
        <w:rPr/>
        <w:t>​</w:t>
      </w:r>
    </w:p>
    <w:tbl>
      <w:tblPr>
        <w:tblW w:w="9401" w:type="dxa"/>
        <w:jc w:val="left"/>
        <w:tblInd w:w="0" w:type="dxa"/>
        <w:tblLayout w:type="fixed"/>
        <w:tblCellMar>
          <w:top w:w="0" w:type="dxa"/>
          <w:left w:w="0" w:type="dxa"/>
          <w:bottom w:w="0" w:type="dxa"/>
          <w:right w:w="0" w:type="dxa"/>
        </w:tblCellMar>
      </w:tblPr>
      <w:tblGrid>
        <w:gridCol w:w="3451"/>
        <w:gridCol w:w="109"/>
        <w:gridCol w:w="281"/>
        <w:gridCol w:w="903"/>
        <w:gridCol w:w="435"/>
        <w:gridCol w:w="281"/>
        <w:gridCol w:w="903"/>
        <w:gridCol w:w="326"/>
        <w:gridCol w:w="258"/>
        <w:gridCol w:w="828"/>
        <w:gridCol w:w="399"/>
        <w:gridCol w:w="258"/>
        <w:gridCol w:w="969"/>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1385" cy="175260"/>
                      <wp:effectExtent l="0" t="0" r="0" b="0"/>
                      <wp:wrapNone/>
                      <wp:docPr id="359" name="Frame359"/>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60"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78435" cy="175260"/>
                      <wp:effectExtent l="0" t="0" r="0" b="0"/>
                      <wp:wrapNone/>
                      <wp:docPr id="361" name="Frame36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73405" cy="175260"/>
                      <wp:effectExtent l="0" t="0" r="0" b="0"/>
                      <wp:wrapNone/>
                      <wp:docPr id="362" name="Frame362"/>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76225" cy="175260"/>
                      <wp:effectExtent l="0" t="0" r="0" b="0"/>
                      <wp:wrapNone/>
                      <wp:docPr id="363" name="Frame363"/>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78435" cy="175260"/>
                      <wp:effectExtent l="0" t="0" r="0" b="0"/>
                      <wp:wrapNone/>
                      <wp:docPr id="364" name="Frame36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73405" cy="175260"/>
                      <wp:effectExtent l="0" t="0" r="0" b="0"/>
                      <wp:wrapNone/>
                      <wp:docPr id="365" name="Frame365"/>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63830" cy="175260"/>
                      <wp:effectExtent l="0" t="0" r="0" b="0"/>
                      <wp:wrapNone/>
                      <wp:docPr id="367" name="Frame36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25780" cy="175260"/>
                      <wp:effectExtent l="0" t="0" r="0" b="0"/>
                      <wp:wrapNone/>
                      <wp:docPr id="368" name="Frame36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53365" cy="175260"/>
                      <wp:effectExtent l="0" t="0" r="0" b="0"/>
                      <wp:wrapNone/>
                      <wp:docPr id="369" name="Frame369"/>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63830" cy="175260"/>
                      <wp:effectExtent l="0" t="0" r="0" b="0"/>
                      <wp:wrapNone/>
                      <wp:docPr id="370" name="Frame37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15315" cy="175260"/>
                      <wp:effectExtent l="0" t="0" r="0" b="0"/>
                      <wp:wrapNone/>
                      <wp:docPr id="371" name="Frame371"/>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26" w:type="dxa"/>
            <w:tcBorders/>
            <w:vAlign w:val="center"/>
          </w:tcPr>
          <w:p>
            <w:pPr>
              <w:pStyle w:val="TableContents"/>
              <w:bidi w:val="0"/>
              <w:spacing w:before="0" w:after="0"/>
              <w:ind w:left="0" w:right="0" w:hanging="0"/>
              <w:jc w:val="left"/>
              <w:rPr/>
            </w:pPr>
            <w:r>
              <w:rPr/>
              <w:t>​</w:t>
            </w:r>
          </w:p>
        </w:tc>
        <w:tc>
          <w:tcPr>
            <w:tcW w:w="27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5" w:type="dxa"/>
            <w:tcBorders/>
            <w:vAlign w:val="center"/>
          </w:tcPr>
          <w:p>
            <w:pPr>
              <w:pStyle w:val="TableContents"/>
              <w:bidi w:val="0"/>
              <w:spacing w:before="0" w:after="0"/>
              <w:ind w:left="0" w:right="0" w:hanging="0"/>
              <w:jc w:val="left"/>
              <w:rPr/>
            </w:pPr>
            <w:r>
              <w:rPr/>
              <w:t>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9" w:type="dxa"/>
            <w:tcBorders/>
            <w:vAlign w:val="center"/>
          </w:tcPr>
          <w:p>
            <w:pPr>
              <w:pStyle w:val="TableContents"/>
              <w:bidi w:val="0"/>
              <w:spacing w:before="0" w:after="0"/>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40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27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435"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828" w:type="dxa"/>
            <w:tcBorders/>
            <w:shd w:fill="CCEEFF" w:val="clear"/>
            <w:vAlign w:val="center"/>
          </w:tcPr>
          <w:p>
            <w:pPr>
              <w:pStyle w:val="TableContents"/>
              <w:bidi w:val="0"/>
              <w:spacing w:before="0" w:after="0"/>
              <w:ind w:left="0" w:right="0" w:hanging="0"/>
              <w:jc w:val="center"/>
              <w:rPr/>
            </w:pPr>
            <w:r>
              <w:rPr/>
              <w:t>​</w:t>
            </w:r>
          </w:p>
        </w:tc>
        <w:tc>
          <w:tcPr>
            <w:tcW w:w="399"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969" w:type="dxa"/>
            <w:tcBorders/>
            <w:shd w:fill="CCEEFF" w:val="clear"/>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435"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w:t>
            </w:r>
          </w:p>
        </w:tc>
        <w:tc>
          <w:tcPr>
            <w:tcW w:w="39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435"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c>
          <w:tcPr>
            <w:tcW w:w="399"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435"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c>
          <w:tcPr>
            <w:tcW w:w="39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3,235</w:t>
            </w:r>
          </w:p>
        </w:tc>
        <w:tc>
          <w:tcPr>
            <w:tcW w:w="435"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w:t>
            </w:r>
          </w:p>
        </w:tc>
        <w:tc>
          <w:tcPr>
            <w:tcW w:w="399"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435"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10,949</w:t>
            </w:r>
          </w:p>
        </w:tc>
        <w:tc>
          <w:tcPr>
            <w:tcW w:w="399" w:type="dxa"/>
            <w:tcBorders/>
            <w:vAlign w:val="center"/>
          </w:tcPr>
          <w:p>
            <w:pPr>
              <w:pStyle w:val="TableContents"/>
              <w:bidi w:val="0"/>
              <w:spacing w:before="0" w:after="0"/>
              <w:ind w:left="0" w:right="0" w:hanging="0"/>
              <w:jc w:val="center"/>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435"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10,001</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33,034</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26,325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COMMITMENTS AND CONTINGENCIES</w:t>
      </w:r>
      <w:r>
        <w:rPr>
          <w:rFonts w:ascii="Times New Roman;Times;serif" w:hAnsi="Times New Roman;Times;serif"/>
          <w:b/>
          <w:color w:val="FF0000"/>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 related to the outcome of the case. During the three and six months ended June 30, 2025, the Company recognized $2,883 and $5,308, respectively, for legal expenses associated with the case within the other operating expense (income), net line of the condensed consolidated statements of income (loss).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SEGMENT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its business as one operating segment. Operating segments are defined as components of an enterprise in which separate financial information is evaluated regularly by the chief operating decision maker (“CODM”) in deciding how to allocate resources and assess performance. The Company’s CODM, the Chief Executive Officer, reviews financial information regularly at the consolidated level. Net income (loss) and adjusted earnings before interest, taxes, depreciation, and amortization (“Adjusted EBITDA”), a non-GAAP measure, are both used as metrics to evaluate performance of the business in deciding whether to reinvest profits into software development, acquisitions or into other areas of the Company. The Company believes that Adjusted EBITDA is a useful supplemental measure to evaluate overall operating performance as it measures business performance by focusing on cash related results and it is an important metric to lenders under the Company’s Credit Agreement. The most directly comparable GAAP measure to Adjusted EBITDA is net income (loss). </w:t>
      </w:r>
    </w:p>
    <w:p>
      <w:pPr>
        <w:pStyle w:val="TextBody"/>
        <w:bidi w:val="0"/>
        <w:spacing w:before="0" w:after="24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CODM monitors consolidated forecasted versus actual net income (loss) and Adjusted EBITDA results for the purpose of determining the general health of the Company and assessing the performance of the Company as compared to management’s expectations.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796" w:name="Tc_uPmuP7HIX02ci3OCk57mlg_32_0"/>
      <w:bookmarkStart w:id="1797" w:name="Tc_0oD-Uf7S4UmthD2I5AzVbg_31_0"/>
      <w:bookmarkStart w:id="1798" w:name="Tc_HiL-a5qDTEWXVsHrgDS1Bg_30_10"/>
      <w:bookmarkStart w:id="1799" w:name="Tc_qobrLET8K0mrfGy9KjJJYg_30_7"/>
      <w:bookmarkStart w:id="1800" w:name="Tc_KJrAqscVVEOPyfxf_bPfvQ_30_4"/>
      <w:bookmarkStart w:id="1801" w:name="Tc_Fl-EOPIXxkC9YpI50vV3_A_30_1"/>
      <w:bookmarkStart w:id="1802" w:name="Tc_5rjTBbho0Ea213n8lqsfcg_30_0"/>
      <w:bookmarkStart w:id="1803" w:name="Tc_tbJu4VXaJkGSz_GBsqevJQ_29_0"/>
      <w:bookmarkStart w:id="1804" w:name="Tc_Bt_LoOxtFUW7r1HZRUGGcA_28_11"/>
      <w:bookmarkStart w:id="1805" w:name="Tc_lJRWqhPRUkyDxcFtjz-Jag_28_5"/>
      <w:bookmarkStart w:id="1806" w:name="Tc_3Hwgtw0TvkS26AEuxKn_KA_28_0"/>
      <w:bookmarkStart w:id="1807" w:name="Tc_FYLKnNzN7kW1J2GWFKNjDw_27_0"/>
      <w:bookmarkStart w:id="1808" w:name="Tc_1QfQjJtv6UO1eufgdA_vlg_26_0"/>
      <w:bookmarkStart w:id="1809" w:name="Tc_iPm2f_8W0kiAyhsK3deo2Q_25_0"/>
      <w:bookmarkStart w:id="1810" w:name="Tc_eEzBPCiv2Uak2fuo53dQZw_24_0"/>
      <w:bookmarkStart w:id="1811" w:name="Tc_A5skE-xWd0qQNC548Ya8Pg_23_0"/>
      <w:bookmarkStart w:id="1812" w:name="Tc_pmYIif63I0C8U0TA5NFhIw_22_0"/>
      <w:bookmarkStart w:id="1813" w:name="Tc_3bH_NJXuwkOJn-1WQRiAww_21_0"/>
      <w:bookmarkStart w:id="1814" w:name="Tc_Hyb_8YQAR0-B4mL74gUleA_20_0"/>
      <w:bookmarkStart w:id="1815" w:name="Tc_SUAydcFe7E6v95Ibr82x4Q_19_0"/>
      <w:bookmarkStart w:id="1816" w:name="Tc_CtzWko34aUuoDlEfC1lDJQ_18_0"/>
      <w:bookmarkStart w:id="1817" w:name="Tc_pzgD0NtDaUyXd9A7ARLUMg_17_10"/>
      <w:bookmarkStart w:id="1818" w:name="Tc_1HZgzS8EdkCgCBpKkvJBXQ_17_7"/>
      <w:bookmarkStart w:id="1819" w:name="Tc_lC7boLq1L0ONtvhS_yL6pQ_17_4"/>
      <w:bookmarkStart w:id="1820" w:name="Tc_OsB0CGmZQ06JeZfSSqDRzg_17_1"/>
      <w:bookmarkStart w:id="1821" w:name="Tc_LiXPfBpLe0-1ZRtVHN4lng_17_0"/>
      <w:bookmarkStart w:id="1822" w:name="Tc_dycEGalUZUexiq0KJ7OLow_16_0"/>
      <w:bookmarkStart w:id="1823" w:name="Tc_ihR0B49xnES1t_9Oambuqg_15_0"/>
      <w:bookmarkStart w:id="1824" w:name="Tc_8cwXSUQuh0GqsXYgEDiS-g_14_0"/>
      <w:bookmarkStart w:id="1825" w:name="Tc_oMduF72wsUaruusW45-zTQ_13_11"/>
      <w:bookmarkStart w:id="1826" w:name="Tc_P495Gpk-ok-0tMQJgtUWlw_13_5"/>
      <w:bookmarkStart w:id="1827" w:name="Tc_oZHrz6y1N0efnse07-5FKg_13_0"/>
      <w:bookmarkStart w:id="1828" w:name="Tc_l9KdNTvzuEeJXQ_AWXdgdQ_12_0"/>
      <w:bookmarkStart w:id="1829" w:name="Tc_gmiwykmX9EiGtkpav_kWCw_11_0"/>
      <w:bookmarkStart w:id="1830" w:name="Tc_JZKKnMqeMkGDhduE_BXPrA_10_0"/>
      <w:bookmarkStart w:id="1831" w:name="Tc_yDn7OEOhYE-2uOV816vdTQ_9_0"/>
      <w:bookmarkStart w:id="1832" w:name="Tc_Px9euU_bH0uKtQKJPC6c8A_8_0"/>
      <w:bookmarkStart w:id="1833" w:name="Tc_yby7WAth1kWyHA0UtDTbyw_7_0"/>
      <w:bookmarkStart w:id="1834" w:name="Tc_jC709tQqrk6r9XUnneTIzg_6_0"/>
      <w:bookmarkStart w:id="1835" w:name="Tc_r9YZpi_IWEmTwdTJUSjilQ_5_10"/>
      <w:bookmarkStart w:id="1836" w:name="Tc_PZy4QvGyR0O4Y5hT-XOvMw_5_7"/>
      <w:bookmarkStart w:id="1837" w:name="Tc_LM3KFGrNhEiKgV0h2g6S3Q_5_4"/>
      <w:bookmarkStart w:id="1838" w:name="Tc_xiuSJedzWES_TFli7a3OeQ_5_1"/>
      <w:bookmarkStart w:id="1839" w:name="Tc_7Q0Cp7_zBUa0DbQ4GGQNbg_5_0"/>
      <w:bookmarkStart w:id="1840" w:name="Tc_u4Z_4IzPxk6JD5Nknta5TA_4_7"/>
      <w:bookmarkStart w:id="1841" w:name="Tc_E2bURe0IXk-k05YTR6JeUQ_4_1"/>
      <w:bookmarkStart w:id="1842" w:name="Tc_YIoMoJoQXEC43L4gbrefXg_3_10"/>
      <w:bookmarkStart w:id="1843" w:name="Tc_40fBGeKkQEKJexKBRjwBKg_3_7"/>
      <w:bookmarkStart w:id="1844" w:name="Tc_0aTwAVV8-USqkAz37e1mtw_3_4"/>
      <w:bookmarkStart w:id="1845" w:name="Tc_P4fCXqRoPUOnMXBh6GEGIA_3_1"/>
      <w:bookmarkStart w:id="1846" w:name="Tc_68RgeoKWLUKSRvIMDb4k2A_2_7"/>
      <w:bookmarkStart w:id="1847" w:name="Tc_Pi3AE4LzP0GYc5QODSkB6w_2_1"/>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r>
        <w:rPr>
          <w:rFonts w:ascii="Times New Roman;Times;serif" w:hAnsi="Times New Roman;Times;serif"/>
          <w:sz w:val="20"/>
        </w:rPr>
        <w:t>The following significant expense categories and measures of segment income (loss) are regularly reported to the CODM for the Company’s single segment: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55"/>
        <w:gridCol w:w="259"/>
        <w:gridCol w:w="962"/>
        <w:gridCol w:w="134"/>
        <w:gridCol w:w="259"/>
        <w:gridCol w:w="962"/>
        <w:gridCol w:w="118"/>
        <w:gridCol w:w="250"/>
        <w:gridCol w:w="937"/>
        <w:gridCol w:w="129"/>
        <w:gridCol w:w="250"/>
        <w:gridCol w:w="990"/>
      </w:tblGrid>
      <w:tr>
        <w:trPr/>
        <w:tc>
          <w:tcPr>
            <w:tcW w:w="4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146425" cy="175260"/>
                      <wp:effectExtent l="0" t="0" r="0" b="0"/>
                      <wp:wrapNone/>
                      <wp:docPr id="372" name="Frame372"/>
                      <a:graphic xmlns:a="http://schemas.openxmlformats.org/drawingml/2006/main">
                        <a:graphicData uri="http://schemas.microsoft.com/office/word/2010/wordprocessingShape">
                          <wps:wsp>
                            <wps:cNvSpPr txBox="1"/>
                            <wps:spPr>
                              <a:xfrm>
                                <a:off x="0" y="0"/>
                                <a:ext cx="314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64465" cy="175260"/>
                      <wp:effectExtent l="0" t="0" r="0" b="0"/>
                      <wp:wrapNone/>
                      <wp:docPr id="373" name="Frame373"/>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10870" cy="175260"/>
                      <wp:effectExtent l="0" t="0" r="0" b="0"/>
                      <wp:wrapNone/>
                      <wp:docPr id="374" name="Frame374"/>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85090" cy="175260"/>
                      <wp:effectExtent l="0" t="0" r="0" b="0"/>
                      <wp:wrapNone/>
                      <wp:docPr id="375" name="Frame375"/>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64465" cy="175260"/>
                      <wp:effectExtent l="0" t="0" r="0" b="0"/>
                      <wp:wrapNone/>
                      <wp:docPr id="376" name="Frame37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10870" cy="175260"/>
                      <wp:effectExtent l="0" t="0" r="0" b="0"/>
                      <wp:wrapNone/>
                      <wp:docPr id="377" name="Frame37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74930" cy="175260"/>
                      <wp:effectExtent l="0" t="0" r="0" b="0"/>
                      <wp:wrapNone/>
                      <wp:docPr id="378" name="Frame378"/>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58750" cy="175260"/>
                      <wp:effectExtent l="0" t="0" r="0" b="0"/>
                      <wp:wrapNone/>
                      <wp:docPr id="379" name="Frame37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94995" cy="175260"/>
                      <wp:effectExtent l="0" t="0" r="0" b="0"/>
                      <wp:wrapNone/>
                      <wp:docPr id="380" name="Frame380"/>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81915" cy="175260"/>
                      <wp:effectExtent l="0" t="0" r="0" b="0"/>
                      <wp:wrapNone/>
                      <wp:docPr id="381" name="Frame381"/>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58750" cy="175260"/>
                      <wp:effectExtent l="0" t="0" r="0" b="0"/>
                      <wp:wrapNone/>
                      <wp:docPr id="382" name="Frame38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28650" cy="175260"/>
                      <wp:effectExtent l="0" t="0" r="0" b="0"/>
                      <wp:wrapNone/>
                      <wp:docPr id="383" name="Frame383"/>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5"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r>
      <w:tr>
        <w:trPr/>
        <w:tc>
          <w:tcPr>
            <w:tcW w:w="4955" w:type="dxa"/>
            <w:tcBorders/>
            <w:vAlign w:val="center"/>
          </w:tcPr>
          <w:p>
            <w:pPr>
              <w:pStyle w:val="TableContents"/>
              <w:bidi w:val="0"/>
              <w:spacing w:before="0" w:after="0"/>
              <w:ind w:left="0" w:right="0" w:hanging="0"/>
              <w:jc w:val="left"/>
              <w:rPr/>
            </w:pPr>
            <w:r>
              <w:rPr/>
              <w:t>​</w:t>
            </w:r>
          </w:p>
        </w:tc>
        <w:tc>
          <w:tcPr>
            <w:tcW w:w="25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June 30, </w:t>
            </w:r>
          </w:p>
        </w:tc>
        <w:tc>
          <w:tcPr>
            <w:tcW w:w="118" w:type="dxa"/>
            <w:tcBorders/>
            <w:vAlign w:val="center"/>
          </w:tcPr>
          <w:p>
            <w:pPr>
              <w:pStyle w:val="TableContents"/>
              <w:bidi w:val="0"/>
              <w:spacing w:before="0" w:after="0"/>
              <w:ind w:left="0" w:right="0" w:hanging="0"/>
              <w:jc w:val="left"/>
              <w:rPr/>
            </w:pPr>
            <w:r>
              <w:rPr/>
              <w:t>​</w:t>
            </w:r>
          </w:p>
        </w:tc>
        <w:tc>
          <w:tcPr>
            <w:tcW w:w="25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4955" w:type="dxa"/>
            <w:tcBorders/>
            <w:vAlign w:val="center"/>
          </w:tcPr>
          <w:p>
            <w:pPr>
              <w:pStyle w:val="TableContents"/>
              <w:bidi w:val="0"/>
              <w:spacing w:before="0" w:after="0"/>
              <w:ind w:left="0" w:right="0" w:hanging="0"/>
              <w:jc w:val="left"/>
              <w:rPr/>
            </w:pPr>
            <w:r>
              <w:rPr/>
              <w:t>​</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4" w:type="dxa"/>
            <w:tcBorders/>
            <w:vAlign w:val="center"/>
          </w:tcPr>
          <w:p>
            <w:pPr>
              <w:pStyle w:val="TableContents"/>
              <w:bidi w:val="0"/>
              <w:spacing w:before="0" w:after="0"/>
              <w:ind w:left="0" w:right="0" w:hanging="0"/>
              <w:jc w:val="center"/>
              <w:rPr/>
            </w:pPr>
            <w:r>
              <w:rPr/>
              <w:t>​</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18"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9" w:type="dxa"/>
            <w:tcBorders/>
            <w:vAlign w:val="center"/>
          </w:tcPr>
          <w:p>
            <w:pPr>
              <w:pStyle w:val="TableContents"/>
              <w:bidi w:val="0"/>
              <w:spacing w:before="0" w:after="0"/>
              <w:ind w:left="0" w:right="0" w:hanging="0"/>
              <w:jc w:val="center"/>
              <w:rPr/>
            </w:pPr>
            <w:r>
              <w:rPr/>
              <w:t>​</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955" w:type="dxa"/>
            <w:tcBorders/>
            <w:vAlign w:val="center"/>
          </w:tcPr>
          <w:p>
            <w:pPr>
              <w:pStyle w:val="TableContents"/>
              <w:bidi w:val="0"/>
              <w:spacing w:before="0" w:after="0"/>
              <w:ind w:left="0" w:right="0" w:hanging="0"/>
              <w:jc w:val="left"/>
              <w:rPr/>
            </w:pPr>
            <w:r>
              <w:rPr/>
              <w:t>​</w:t>
            </w:r>
          </w:p>
        </w:tc>
        <w:tc>
          <w:tcPr>
            <w:tcW w:w="25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18" w:type="dxa"/>
            <w:tcBorders/>
            <w:vAlign w:val="center"/>
          </w:tcPr>
          <w:p>
            <w:pPr>
              <w:pStyle w:val="TableContents"/>
              <w:bidi w:val="0"/>
              <w:spacing w:before="0" w:after="0"/>
              <w:ind w:left="0" w:right="0" w:hanging="0"/>
              <w:jc w:val="left"/>
              <w:rPr/>
            </w:pPr>
            <w:r>
              <w:rPr/>
              <w:t>​</w:t>
            </w:r>
          </w:p>
        </w:tc>
        <w:tc>
          <w:tcPr>
            <w:tcW w:w="25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134"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161,104</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129"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317,885</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 software subscriptions</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44,459</w:t>
            </w:r>
          </w:p>
        </w:tc>
        <w:tc>
          <w:tcPr>
            <w:tcW w:w="134"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42,261</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88,704</w:t>
            </w:r>
          </w:p>
        </w:tc>
        <w:tc>
          <w:tcPr>
            <w:tcW w:w="129"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87,389</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 services</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18,900</w:t>
            </w:r>
          </w:p>
        </w:tc>
        <w:tc>
          <w:tcPr>
            <w:tcW w:w="134"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16,155</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38,723</w:t>
            </w:r>
          </w:p>
        </w:tc>
        <w:tc>
          <w:tcPr>
            <w:tcW w:w="129"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32,016</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&amp; development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20,582</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14,614</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41,468</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31,459</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&amp; marketing</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48,454</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40,541</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96,609</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81,032</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&amp; administrative</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43,392</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35,874</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88,420</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71,416</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&amp; amortization</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r>
      <w:tr>
        <w:trPr/>
        <w:tc>
          <w:tcPr>
            <w:tcW w:w="495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(1)</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134"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118"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w:t>
            </w:r>
          </w:p>
        </w:tc>
        <w:tc>
          <w:tcPr>
            <w:tcW w:w="12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(GAAP)</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5,164</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10,169</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7,848</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Adjustments:</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14,578</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32,525</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29,925</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10,001</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33,034</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26,325</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contingent consideration</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13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r>
      <w:tr>
        <w:trPr/>
        <w:tc>
          <w:tcPr>
            <w:tcW w:w="495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(2)</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c>
          <w:tcPr>
            <w:tcW w:w="134"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118"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49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38,369</w:t>
            </w:r>
          </w:p>
        </w:tc>
        <w:tc>
          <w:tcPr>
            <w:tcW w:w="134"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38,515</w:t>
            </w:r>
          </w:p>
        </w:tc>
        <w:tc>
          <w:tcPr>
            <w:tcW w:w="118"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75,588</w:t>
            </w:r>
          </w:p>
        </w:tc>
        <w:tc>
          <w:tcPr>
            <w:tcW w:w="12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75,258</w:t>
            </w:r>
          </w:p>
        </w:tc>
      </w:tr>
      <w:tr>
        <w:trPr/>
        <w:tc>
          <w:tcPr>
            <w:tcW w:w="1020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Other segment items include professional fees, contracted labor, transaction costs, acquisition related earn-out adjustments and foreign currency exchange gains (losses). </w:t>
            </w:r>
          </w:p>
        </w:tc>
      </w:tr>
      <w:tr>
        <w:trPr/>
        <w:tc>
          <w:tcPr>
            <w:tcW w:w="1020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 xml:space="preserve">The current year periods include legal expenses associated with pending litigation related to claims the Company has made against a competitor. For further information, refer to Note 12, “Commitments and Contingencies” to the condensed consolidated financial statements. </w:t>
            </w:r>
          </w:p>
        </w:tc>
      </w:tr>
    </w:tbl>
    <w:p>
      <w:pPr>
        <w:pStyle w:val="TextBody"/>
        <w:bidi w:val="0"/>
        <w:spacing w:before="0" w:after="1"/>
        <w:ind w:left="0" w:right="0" w:hanging="0"/>
        <w:jc w:val="left"/>
        <w:rPr/>
      </w:pPr>
      <w:r>
        <w:rPr/>
        <w:t>​</w:t>
      </w:r>
    </w:p>
    <w:p>
      <w:pPr>
        <w:pStyle w:val="TextBody"/>
        <w:bidi w:val="0"/>
        <w:spacing w:before="0" w:after="1"/>
        <w:ind w:left="0" w:right="0" w:hanging="0"/>
        <w:jc w:val="left"/>
        <w:rPr/>
      </w:pPr>
      <w:r>
        <w:rPr/>
        <w:t>​</w:t>
      </w:r>
    </w:p>
    <w:p>
      <w:pPr>
        <w:pStyle w:val="TextBody"/>
        <w:bidi w:val="0"/>
        <w:spacing w:before="0" w:after="1"/>
        <w:ind w:left="0" w:right="0" w:hanging="0"/>
        <w:jc w:val="left"/>
        <w:rPr/>
      </w:pPr>
      <w:r>
        <w:rPr/>
        <w:t>​</w:t>
      </w:r>
    </w:p>
    <w:p>
      <w:pPr>
        <w:pStyle w:val="TextBody"/>
        <w:bidi w:val="0"/>
        <w:spacing w:before="0" w:after="1"/>
        <w:ind w:left="0" w:right="0" w:hanging="0"/>
        <w:jc w:val="left"/>
        <w:rPr/>
      </w:pPr>
      <w:r>
        <w:rPr/>
        <w:t>​</w:t>
      </w:r>
    </w:p>
    <w:p>
      <w:pPr>
        <w:pStyle w:val="TextBody"/>
        <w:bidi w:val="0"/>
        <w:spacing w:before="0" w:after="1"/>
        <w:ind w:left="0" w:right="0" w:hanging="0"/>
        <w:jc w:val="left"/>
        <w:rPr/>
      </w:pPr>
      <w:r>
        <w:rPr/>
        <w:t>​</w:t>
      </w:r>
    </w:p>
    <w:p>
      <w:pPr>
        <w:pStyle w:val="TextBody"/>
        <w:bidi w:val="0"/>
        <w:spacing w:before="0" w:after="1"/>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
        <w:ind w:left="0" w:right="0" w:firstLine="360"/>
        <w:jc w:val="left"/>
        <w:rPr>
          <w:rFonts w:ascii="Times New Roman;Times;serif" w:hAnsi="Times New Roman;Times;serif"/>
          <w:sz w:val="20"/>
        </w:rPr>
      </w:pPr>
      <w:r>
        <w:rPr>
          <w:rFonts w:ascii="Times New Roman;Times;serif" w:hAnsi="Times New Roman;Times;serif"/>
          <w:sz w:val="20"/>
        </w:rPr>
        <w:t xml:space="preserve">Additionally, the Company considers stock-based compensation expense a significant expense category. For further information, refer to Note 11, “Stock Based Award Plans.”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the Company operates solely within one segment, total assets, property and equipment, net, and capitalized software, net are reported at the consolidated level on the condensed consolidated balance sheets. The Company’s assets include both current and long-lived assets, and corporate assets. As of June 30, 2025 and December 31, 2024, $1,177 and $687, respectively, of the Company’s property and equipment assets were held outside of the U.S. </w:t>
      </w:r>
    </w:p>
    <w:p>
      <w:pPr>
        <w:pStyle w:val="TextBody"/>
        <w:bidi w:val="0"/>
        <w:spacing w:before="0" w:after="24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property and equipment additions, and capital software additions are reported at the consolidated level on the condensed consolidated statements of cash flows.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disaggregates revenue from contracts with customers based on geographical regions, timing of revenue recognition, and the major product and service types. For both the three and six months ended June 30, 2025 and 2024, approximately 9% and 7%, respectively, of the Company’s revenues were generated outside of the U.S. None of the Company’s customers represented more than 10% of total revenues for the three or six months ended June 30, 2025 or 2024. For further information including disaggregation of revenues, refer to Note 2, “Revenue Recognition.”</w:t>
      </w:r>
    </w:p>
    <w:p>
      <w:pPr>
        <w:pStyle w:val="TextBody"/>
        <w:bidi w:val="0"/>
        <w:spacing w:before="0" w:after="240"/>
        <w:ind w:left="0" w:right="0" w:firstLine="360"/>
        <w:jc w:val="both"/>
        <w:rPr/>
      </w:pPr>
      <w:r>
        <w:rPr/>
        <w:t>​</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14.   INCOME TAXES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reported income tax expense (benefit) of $(1,675) and $2,200 for the three months ended June 30, 2025 and 2024, respectively, and $(6,780) and $(2,335) for the six months ended June 30, 2025 and 2024, respectively. The effective income tax rate was 63.5% for the three months ended June 30, 2025, compared to 29.9% for the three months ended June 30, 2024, and (200.1)% for the six months ended June 30, 2025, compared to (42.4)% for the six months ended June 30, 2024.</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 determining interim provisions for income taxes, the Company uses the annual estimated effective tax rate applied to the actual year-to-date income (loss) adjusted for discrete items arising year-to-date. The Company’s effective tax rate differs from the U.S. federal statutory rate of 21% primarily due to state taxes, foreign taxes, tax benefits on the exercises and vesting of stock awards, tax credits, limitations on deductions of certain employees’ compensation under Internal Revenue Code Section 162(m), fluctuations in valuation allowances on net deferred tax assets established for U.S. and certain foreign jurisdictions, and fluctuations in nondeductible contingent consideration liabilities.</w:t>
      </w:r>
    </w:p>
    <w:p>
      <w:pPr>
        <w:pStyle w:val="TextBody"/>
        <w:bidi w:val="0"/>
        <w:spacing w:before="0" w:after="0"/>
        <w:ind w:left="0" w:right="0" w:firstLine="360"/>
        <w:jc w:val="both"/>
        <w:rPr>
          <w:shd w:fill="FFFFFF" w:val="clear"/>
        </w:rPr>
      </w:pPr>
      <w:r>
        <w:rPr>
          <w:shd w:fill="FFFFFF" w:val="clear"/>
        </w:rPr>
        <w: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income tax benefit for the three months ended June 30, 2025 was primarily attributable to tax benefits from stock-based awards exercised or vested, net of limitations on deductions of certain employees’ compensation and fluctuations in valuation allowances on net deferred tax assets established for U.S. and certain foreign jurisdictions. The income tax benefit for the six months ended June 30, 2025 was primarily attributable to tax benefits from stock-based awards exercised or vested, tax credits, and fluctuations in nondeductible contingent consideration liabilities, net of limitations on deductions of certain employees’ compensation, fluctuations in valuation allowances on net deferred tax assets established for U.S. and certain foreign jurisdictions, and state taxes. The income tax expense for the three months ended June 30, 2024 was primarily attributable to income tax expense from profitable jurisdictions and on income allocated to state jurisdictions. This income tax expense was partially offset by tax benefits from stock-based awards exercised or vested during the quarter, net of the impact from limitations on deductions of certain employees’ compensation, and benefits from tax credits. The income tax benefit for the six months ended June 30, 2024 was primarily attributable to tax benefits from stock-based awards exercised or vested, net of the impact from limitations on deductions of certain employees’ compensation, which were greater than the income tax expense recognized during the three months ended June 30, 2024.</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4, 2025, the One Big Beautiful Bill Act (the “OBBBA”) was enacted into law in the U.S. Among other things, the OBBBA amends U.S. tax law, including provisions related to research and development, bonus depreciation, interest expense limitation, charitable contributions, and foreign derived intangible income. The Company is currently evaluating the impact of the OBBBA on its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848" w:name="Item2MANAGEMENTSDISCUSSIONANDANALYSIS_19"/>
      <w:bookmarkStart w:id="1849" w:name="_34f959af_9660_4fa4_9454_814350516ac8"/>
      <w:bookmarkStart w:id="1850" w:name="Item2MANAGEMENTSDISCUSSIONANDANALYSIS_19"/>
      <w:bookmarkStart w:id="1851" w:name="_34f959af_9660_4fa4_9454_814350516ac8"/>
      <w:bookmarkEnd w:id="1850"/>
      <w:bookmarkEnd w:id="1851"/>
    </w:p>
    <w:tbl>
      <w:tblPr>
        <w:tblW w:w="10205" w:type="dxa"/>
        <w:jc w:val="left"/>
        <w:tblInd w:w="0" w:type="dxa"/>
        <w:tblLayout w:type="fixed"/>
        <w:tblCellMar>
          <w:top w:w="0" w:type="dxa"/>
          <w:left w:w="0" w:type="dxa"/>
          <w:bottom w:w="0" w:type="dxa"/>
          <w:right w:w="0" w:type="dxa"/>
        </w:tblCellMar>
      </w:tblPr>
      <w:tblGrid>
        <w:gridCol w:w="693"/>
        <w:gridCol w:w="9512"/>
      </w:tblGrid>
      <w:tr>
        <w:trPr/>
        <w:tc>
          <w:tcPr>
            <w:tcW w:w="693"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5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February 27, 2025 (the “2024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2024 Annual Report and as may be subsequently updated by our other SEC filings.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is a leading global provider of indirect tax solutions. Our mission is to deliver the most trusted tax technology enabling global businesses to transact, comply and grow with confidence. Vertex provides solutions that can be tailored to specific industries for major lines of indirect tax, including sales and consumer use, value added and payroll. Headquartered in North America, and with offices in South America and Europe, Vertex empowers the world’s leading brands to simplify the complexity of continuous compliance. Vertex employs over 1,900 professionals and serves companies across the globe.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55% and 49% of software subscription revenue from cloud-based subscriptions during the three months ended June 30, 2025 and 2024, respectively, and 54% and 48% for the six months ended June 30, 2025 and 2024, respectively. While our on-premise software subscription revenue comprised 45% and 51% of our software subscription revenue during the three months ended June 30, 2025 and 2024, respectively, and 46% and 52% during the six months ended June 30, 2025 and 2024, respectively, it continues to decrease as a percentage of total software subscriptions revenues as cloud-based subscriptions grow.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partner ecosystem is a differentiating, competitive strength in both our software development and our sales and marketing activities. We integrate with key technology partners that span Enterprise Resource Planning (“ERP”),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 Relationship Management, procurement, billing, Point of Sale and e-commerce. These partners include Adobe/Magento, Coupa, Microsoft Dynamics, NetSuite, Oracle, Salesforce, SAP, SAP Ariba, Shopify, Workday and Zuora. We also collaborate with numerous accounting firms who have built implementation practices around our software to serve their customer base.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global commerce and the compliance environment provides durable and accelerating growth opportunities for our business. We generated revenue of $184.6 million and $161.1 million for the three months ended June 30, 2025 and 2024, respectively, and $361.6 million and $317.9 million for the six months ended June 30, 2025 and 2024, respectively. We had net income (loss) of $(1.0) million and $5.2 million for the three months ended June 30, 2025 and 2024, respectively, and $10.2 million and $7.8 million for the six months ended June 30, 2025 and 2024, respectively. These amounts are presented in accordance with United States (“U.S.”) generally accepted accounting principles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EBITDA as net loss or income before interest (including adjustments to the settlement value of deferred purchase commitment liabilities),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changes in the settlement value of deferred purchase commitment liabilities recorded as interest expense, and transaction costs. Adjusted EBITDA was $38.4 million and $38.5 million for the three months ended June 30, 2025 and 2024, respectively, and $75.6 million and $75.3 million for the six months ended June 30, 2025 and 2024,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Recent Developments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second quarter of 2025, we completed our strategic investment in Kintsugi AI, Inc. (“Kintsugi”), a San Francisco-based, AI startup focused on automating sales tax compliance for ​​small and mid-size businesses (the “Kintsugi Investment”). ​​​​Terms of the agreement included a $15.0 million minority investment representing a 10% ownership interest, as well as an intellectual property sharing and commercial arrangement. Additionally, we have designated one member to Kintsugi’s board of directors. For further information on the Kintsugi Investment, refer to Note 3, “Investments” to the condensed consolidated financial statements included in this Quarterly Report on Form 10-Q.</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investment in Kintsugi is separate from the $10.0 to $12.0 million of investments that we previously announced we would spend in AI technologies during 2025. We plan to leverage Kintsugi’s intellectual property to advance these initiatives. </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revenue from software subscriptions and services.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performance obligations. Revenue is recognized net of allowance for subscription and non-renewal cancellations and any taxes collected from customers that are subsequently remitted to governmental authorities.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in our managed service offerings and related increases in our service revenue. We expect growth in our business will result in an increase in the cost of services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consist primarily of personnel and related expenses in support of sales and marketing efforts. These costs include salaries, benefits, bonuses and stock-based compensation. In addition, selling  and marketing expenses include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and other internal support and infrastructure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expect our general and administrative expenses to increase in absolute dollars as we continue to expand our operations, hire additional personnel, and integrate current and future acquisitions.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Change in Fair Value of Acquisition Contingent Earn-Outs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our acquisition of ecosio GmbH (“ecosio”) in August 2024, the sellers are entitled to three annual earn-outs in the form of cash, with an aggregate value of up to $94.4 million (the “Cash Earn-outs”), and stock, with an aggregate value of up to $35.0 million (the “Stock Earn-outs,” and together with the Cash Earn-outs, the “Earn-outs”), assuming maximum payouts. The Earn-outs are based on ecosio’s achievement of certain monthly software revenue targets over a three-year period, measured over an aggregate of 12 months and paid within 90 days after the relevant measurement period. The change in fair value of acquisition contingent earn-outs consists of fair value adjustments to our Earn-outs, which will be revalued and adjusted quarterly until the end of the Earn-out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(income), net reflects the net amount of our interest expense and interest income within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consists primarily of interest incurred related to the Notes (as defined below), Term Loan (as defined below), Credit Agreement (as defined below),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as well as changes in the settlement value of the future payment obligation for the Systax Sistemas Fiscais LTDA (“Systax”) acquisition, which was fully settled on June 5, 2024. Interest income reflects earnings on investments of our cash on hand and our investment securities. Interest income will vary as a result of fluctuations in the future level of funds available for investment and the rate of return available in the market on such funds.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Income Tax Expense (Benefit)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and credit carryforwards, applicable tax rates, and transfer pricing methodologies. Judgments and estimates related to our projections and assumptions are inherently uncertain; therefore, actual results could materially differ from our projections.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2024 Annual Report. The period-to-period comparison of financial results is not necessarily indicative of financial results to be achieved in future periods. The following table sets forth our condensed consolidated statements of comprehensive</w:t>
      </w:r>
      <w:r>
        <w:rPr>
          <w:rFonts w:ascii="Times New Roman;Times;serif" w:hAnsi="Times New Roman;Times;serif"/>
          <w:color w:val="FF0000"/>
          <w:sz w:val="20"/>
        </w:rPr>
        <w:t xml:space="preserve"> </w:t>
      </w:r>
      <w:r>
        <w:rPr>
          <w:rFonts w:ascii="Times New Roman;Times;serif" w:hAnsi="Times New Roman;Times;serif"/>
          <w:sz w:val="20"/>
        </w:rPr>
        <w:t>income (loss)</w:t>
      </w:r>
      <w:r>
        <w:rPr>
          <w:rFonts w:ascii="Times New Roman;Times;serif" w:hAnsi="Times New Roman;Times;serif"/>
          <w:color w:val="FF0000"/>
          <w:sz w:val="20"/>
        </w:rPr>
        <w:t xml:space="preserve"> </w:t>
      </w:r>
      <w:r>
        <w:rPr>
          <w:rFonts w:ascii="Times New Roman;Times;serif" w:hAnsi="Times New Roman;Times;serif"/>
          <w:sz w:val="20"/>
        </w:rPr>
        <w:t xml:space="preserve">for the periods indicated. </w:t>
      </w:r>
    </w:p>
    <w:tbl>
      <w:tblPr>
        <w:tblW w:w="10205" w:type="dxa"/>
        <w:jc w:val="left"/>
        <w:tblInd w:w="0" w:type="dxa"/>
        <w:tblLayout w:type="fixed"/>
        <w:tblCellMar>
          <w:top w:w="0" w:type="dxa"/>
          <w:left w:w="0" w:type="dxa"/>
          <w:bottom w:w="0" w:type="dxa"/>
          <w:right w:w="0" w:type="dxa"/>
        </w:tblCellMar>
      </w:tblPr>
      <w:tblGrid>
        <w:gridCol w:w="1275"/>
        <w:gridCol w:w="326"/>
        <w:gridCol w:w="196"/>
        <w:gridCol w:w="692"/>
        <w:gridCol w:w="326"/>
        <w:gridCol w:w="196"/>
        <w:gridCol w:w="691"/>
        <w:gridCol w:w="109"/>
        <w:gridCol w:w="197"/>
        <w:gridCol w:w="669"/>
        <w:gridCol w:w="147"/>
        <w:gridCol w:w="651"/>
        <w:gridCol w:w="256"/>
        <w:gridCol w:w="206"/>
        <w:gridCol w:w="196"/>
        <w:gridCol w:w="691"/>
        <w:gridCol w:w="326"/>
        <w:gridCol w:w="196"/>
        <w:gridCol w:w="691"/>
        <w:gridCol w:w="109"/>
        <w:gridCol w:w="197"/>
        <w:gridCol w:w="668"/>
        <w:gridCol w:w="147"/>
        <w:gridCol w:w="741"/>
        <w:gridCol w:w="306"/>
      </w:tblGrid>
      <w:tr>
        <w:trPr/>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809625" cy="175260"/>
                      <wp:effectExtent l="0" t="0" r="0" b="0"/>
                      <wp:wrapNone/>
                      <wp:docPr id="384" name="Frame384"/>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24460" cy="175260"/>
                      <wp:effectExtent l="0" t="0" r="0" b="0"/>
                      <wp:wrapNone/>
                      <wp:docPr id="386" name="Frame3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39420" cy="175260"/>
                      <wp:effectExtent l="0" t="0" r="0" b="0"/>
                      <wp:wrapNone/>
                      <wp:docPr id="387" name="Frame387"/>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24460" cy="175260"/>
                      <wp:effectExtent l="0" t="0" r="0" b="0"/>
                      <wp:wrapNone/>
                      <wp:docPr id="389" name="Frame3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38785" cy="175260"/>
                      <wp:effectExtent l="0" t="0" r="0" b="0"/>
                      <wp:wrapNone/>
                      <wp:docPr id="390" name="Frame3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25095" cy="175260"/>
                      <wp:effectExtent l="0" t="0" r="0" b="0"/>
                      <wp:wrapNone/>
                      <wp:docPr id="392" name="Frame392"/>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24815" cy="175260"/>
                      <wp:effectExtent l="0" t="0" r="0" b="0"/>
                      <wp:wrapNone/>
                      <wp:docPr id="393" name="Frame393"/>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93345" cy="175260"/>
                      <wp:effectExtent l="0" t="0" r="0" b="0"/>
                      <wp:wrapNone/>
                      <wp:docPr id="394" name="Frame39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13385" cy="175260"/>
                      <wp:effectExtent l="0" t="0" r="0" b="0"/>
                      <wp:wrapNone/>
                      <wp:docPr id="395" name="Frame395"/>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62560" cy="175260"/>
                      <wp:effectExtent l="0" t="0" r="0" b="0"/>
                      <wp:wrapNone/>
                      <wp:docPr id="396" name="Frame39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0810" cy="175260"/>
                      <wp:effectExtent l="0" t="0" r="0" b="0"/>
                      <wp:wrapNone/>
                      <wp:docPr id="397" name="Frame39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24460" cy="175260"/>
                      <wp:effectExtent l="0" t="0" r="0" b="0"/>
                      <wp:wrapNone/>
                      <wp:docPr id="398" name="Frame3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38785" cy="175260"/>
                      <wp:effectExtent l="0" t="0" r="0" b="0"/>
                      <wp:wrapNone/>
                      <wp:docPr id="399" name="Frame3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24460" cy="175260"/>
                      <wp:effectExtent l="0" t="0" r="0" b="0"/>
                      <wp:wrapNone/>
                      <wp:docPr id="401" name="Frame4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38785" cy="175260"/>
                      <wp:effectExtent l="0" t="0" r="0" b="0"/>
                      <wp:wrapNone/>
                      <wp:docPr id="402" name="Frame4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9215" cy="175260"/>
                      <wp:effectExtent l="0" t="0" r="0" b="0"/>
                      <wp:wrapNone/>
                      <wp:docPr id="403" name="Frame4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25095" cy="175260"/>
                      <wp:effectExtent l="0" t="0" r="0" b="0"/>
                      <wp:wrapNone/>
                      <wp:docPr id="404" name="Frame404"/>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24180" cy="175260"/>
                      <wp:effectExtent l="0" t="0" r="0" b="0"/>
                      <wp:wrapNone/>
                      <wp:docPr id="405" name="Frame405"/>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93345" cy="175260"/>
                      <wp:effectExtent l="0" t="0" r="0" b="0"/>
                      <wp:wrapNone/>
                      <wp:docPr id="406" name="Frame406"/>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70535" cy="175260"/>
                      <wp:effectExtent l="0" t="0" r="0" b="0"/>
                      <wp:wrapNone/>
                      <wp:docPr id="407" name="Frame407"/>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94310" cy="175260"/>
                      <wp:effectExtent l="0" t="0" r="0" b="0"/>
                      <wp:wrapNone/>
                      <wp:docPr id="408" name="Frame408"/>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pPr>
            <w:r>
              <w:rPr/>
              <w:t>​</w:t>
            </w:r>
          </w:p>
        </w:tc>
        <w:tc>
          <w:tcPr>
            <w:tcW w:w="306" w:type="dxa"/>
            <w:tcBorders/>
            <w:vAlign w:val="center"/>
          </w:tcPr>
          <w:p>
            <w:pPr>
              <w:pStyle w:val="TableContents"/>
              <w:bidi w:val="0"/>
              <w:spacing w:before="0" w:after="0"/>
              <w:ind w:left="0" w:right="0" w:hanging="0"/>
              <w:jc w:val="right"/>
              <w:rPr/>
            </w:pPr>
            <w:r>
              <w:rPr/>
              <w:t>​</w:t>
            </w:r>
          </w:p>
        </w:tc>
      </w:tr>
      <w:tr>
        <w:trPr/>
        <w:tc>
          <w:tcPr>
            <w:tcW w:w="12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pPr>
            <w:r>
              <w:rPr/>
              <w:t>​</w:t>
            </w:r>
          </w:p>
        </w:tc>
        <w:tc>
          <w:tcPr>
            <w:tcW w:w="306" w:type="dxa"/>
            <w:tcBorders/>
            <w:vAlign w:val="center"/>
          </w:tcPr>
          <w:p>
            <w:pPr>
              <w:pStyle w:val="TableContents"/>
              <w:bidi w:val="0"/>
              <w:spacing w:before="0" w:after="0"/>
              <w:ind w:left="0" w:right="0" w:hanging="0"/>
              <w:jc w:val="righ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2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7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306" w:type="dxa"/>
            <w:tcBorders/>
            <w:vAlign w:val="center"/>
          </w:tcPr>
          <w:p>
            <w:pPr>
              <w:pStyle w:val="TableContents"/>
              <w:bidi w:val="0"/>
              <w:spacing w:before="0" w:after="0"/>
              <w:ind w:left="0" w:right="0" w:hanging="0"/>
              <w:jc w:val="righ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2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668"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741" w:type="dxa"/>
            <w:tcBorders/>
            <w:vAlign w:val="center"/>
          </w:tcPr>
          <w:p>
            <w:pPr>
              <w:pStyle w:val="TableContents"/>
              <w:bidi w:val="0"/>
              <w:spacing w:before="0" w:after="0"/>
              <w:ind w:left="0" w:right="0" w:hanging="0"/>
              <w:jc w:val="center"/>
              <w:rPr/>
            </w:pPr>
            <w:r>
              <w:rPr/>
              <w:t>​</w:t>
            </w:r>
          </w:p>
        </w:tc>
        <w:tc>
          <w:tcPr>
            <w:tcW w:w="306" w:type="dxa"/>
            <w:tcBorders/>
            <w:vAlign w:val="center"/>
          </w:tcPr>
          <w:p>
            <w:pPr>
              <w:pStyle w:val="TableContents"/>
              <w:bidi w:val="0"/>
              <w:spacing w:before="0" w:after="0"/>
              <w:ind w:left="0" w:right="0" w:hanging="0"/>
              <w:jc w:val="right"/>
              <w:rPr/>
            </w:pPr>
            <w:r>
              <w:rPr/>
              <w:t>​</w:t>
            </w:r>
          </w:p>
        </w:tc>
      </w:tr>
      <w:tr>
        <w:trPr/>
        <w:tc>
          <w:tcPr>
            <w:tcW w:w="1275"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righ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157,844</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136,443</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21,401</w:t>
            </w:r>
          </w:p>
        </w:tc>
        <w:tc>
          <w:tcPr>
            <w:tcW w:w="147"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308,605</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268,273</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40,332</w:t>
            </w:r>
          </w:p>
        </w:tc>
        <w:tc>
          <w:tcPr>
            <w:tcW w:w="147"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24,661</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2,054</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49,612</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3,404</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184,559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161,104</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23,455</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361,621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317,885</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43,736</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Software subscriptions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42,261</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2,198</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87,389</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1,315</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Services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16,155</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2,745</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32,016</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6,707</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63,359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58,416</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4,943</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119,405</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8,022</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121,200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102,688</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18,512</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234,194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198,480</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35,714</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r>
      <w:tr>
        <w:trPr/>
        <w:tc>
          <w:tcPr>
            <w:tcW w:w="127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Research and development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14,614</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5,968</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31,459</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10,009</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Selling and marketing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40,541</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7,913</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81,032</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15,577</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General and administrative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35,874</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7,518</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71,416</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17,004</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975</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10,218</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1,849</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(12,400)</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expense (income),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(1,098)</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5,247</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(1,625)</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9,033</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6" w:type="dxa"/>
            <w:tcBorders/>
            <w:vAlign w:val="center"/>
          </w:tcPr>
          <w:p>
            <w:pPr>
              <w:pStyle w:val="TableContents"/>
              <w:bidi w:val="0"/>
              <w:spacing w:before="0" w:after="0"/>
              <w:ind w:left="0" w:right="0" w:hanging="0"/>
              <w:jc w:val="left"/>
              <w:rPr/>
            </w:pPr>
            <w:r>
              <w:rPr/>
              <w:t>​</w:t>
            </w:r>
          </w:p>
        </w:tc>
      </w:tr>
      <w:tr>
        <w:trPr/>
        <w:tc>
          <w:tcPr>
            <w:tcW w:w="1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95,143</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29,921</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233,572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192,500</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41,072</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7,545</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(11,409)</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5,980</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(5,358)</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(1,409)</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(3,234)</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7,364</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5,513</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(2,124)</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2,200</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(3,875)</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(2,335)</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(4,445)</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5,164</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(6,125)</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10,169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7,848</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2,321</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3,335</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(33,069)</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(991.6)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7,346</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(52,185)</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(710.4)</w:t>
            </w:r>
          </w:p>
        </w:tc>
        <w:tc>
          <w:tcPr>
            <w:tcW w:w="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 (gain) on investments,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6" w:type="dxa"/>
            <w:tcBorders/>
            <w:shd w:fill="CCEEFF" w:val="clear"/>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(29,734)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3,316</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(33,050)</w:t>
            </w:r>
          </w:p>
        </w:tc>
        <w:tc>
          <w:tcPr>
            <w:tcW w:w="147"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7,344</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(52,174)</w:t>
            </w:r>
          </w:p>
        </w:tc>
        <w:tc>
          <w:tcPr>
            <w:tcW w:w="147"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6" w:type="dxa"/>
            <w:tcBorders/>
            <w:vAlign w:val="center"/>
          </w:tcPr>
          <w:p>
            <w:pPr>
              <w:pStyle w:val="TableContents"/>
              <w:bidi w:val="0"/>
              <w:spacing w:before="0" w:after="0"/>
              <w:ind w:left="0" w:right="0" w:hanging="0"/>
              <w:jc w:val="left"/>
              <w:rPr/>
            </w:pPr>
            <w:r>
              <w:rPr/>
              <w:t>​</w:t>
            </w:r>
          </w:p>
        </w:tc>
      </w:tr>
      <w:tr>
        <w:trPr/>
        <w:tc>
          <w:tcPr>
            <w:tcW w:w="1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1,848</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26,925</w:t>
            </w:r>
          </w:p>
        </w:tc>
        <w:tc>
          <w:tcPr>
            <w:tcW w:w="147"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1,457.0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54,999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54,495</w:t>
            </w:r>
          </w:p>
        </w:tc>
        <w:tc>
          <w:tcPr>
            <w:tcW w:w="147"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10,812.5</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stock-based compensation expenses as follows in the table below. </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Percentage change not meaningful.</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918" w:type="dxa"/>
        <w:jc w:val="left"/>
        <w:tblInd w:w="0" w:type="dxa"/>
        <w:tblLayout w:type="fixed"/>
        <w:tblCellMar>
          <w:top w:w="0" w:type="dxa"/>
          <w:left w:w="0" w:type="dxa"/>
          <w:bottom w:w="0" w:type="dxa"/>
          <w:right w:w="0" w:type="dxa"/>
        </w:tblCellMar>
      </w:tblPr>
      <w:tblGrid>
        <w:gridCol w:w="3451"/>
        <w:gridCol w:w="215"/>
        <w:gridCol w:w="690"/>
        <w:gridCol w:w="333"/>
        <w:gridCol w:w="215"/>
        <w:gridCol w:w="690"/>
        <w:gridCol w:w="109"/>
        <w:gridCol w:w="211"/>
        <w:gridCol w:w="676"/>
        <w:gridCol w:w="326"/>
        <w:gridCol w:w="211"/>
        <w:gridCol w:w="79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1385" cy="175260"/>
                      <wp:effectExtent l="0" t="0" r="0" b="0"/>
                      <wp:wrapNone/>
                      <wp:docPr id="409" name="Frame409"/>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6525" cy="175260"/>
                      <wp:effectExtent l="0" t="0" r="0" b="0"/>
                      <wp:wrapNone/>
                      <wp:docPr id="410" name="Frame41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38150" cy="175260"/>
                      <wp:effectExtent l="0" t="0" r="0" b="0"/>
                      <wp:wrapNone/>
                      <wp:docPr id="411" name="Frame41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1455" cy="175260"/>
                      <wp:effectExtent l="0" t="0" r="0" b="0"/>
                      <wp:wrapNone/>
                      <wp:docPr id="412" name="Frame412"/>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6525" cy="175260"/>
                      <wp:effectExtent l="0" t="0" r="0" b="0"/>
                      <wp:wrapNone/>
                      <wp:docPr id="413" name="Frame41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38150" cy="175260"/>
                      <wp:effectExtent l="0" t="0" r="0" b="0"/>
                      <wp:wrapNone/>
                      <wp:docPr id="414" name="Frame41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9215" cy="175260"/>
                      <wp:effectExtent l="0" t="0" r="0" b="0"/>
                      <wp:wrapNone/>
                      <wp:docPr id="415" name="Frame4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29260" cy="175260"/>
                      <wp:effectExtent l="0" t="0" r="0" b="0"/>
                      <wp:wrapNone/>
                      <wp:docPr id="417" name="Frame4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02285" cy="175260"/>
                      <wp:effectExtent l="0" t="0" r="0" b="0"/>
                      <wp:wrapNone/>
                      <wp:docPr id="420" name="Frame42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2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451"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918"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22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w:t>
            </w:r>
          </w:p>
        </w:tc>
        <w:tc>
          <w:tcPr>
            <w:tcW w:w="21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33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215"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5"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33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15"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3,235</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333"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26,325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following table sets forth our results of operations as a percentage of our total revenues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87"/>
        <w:gridCol w:w="326"/>
        <w:gridCol w:w="993"/>
        <w:gridCol w:w="613"/>
        <w:gridCol w:w="970"/>
        <w:gridCol w:w="361"/>
        <w:gridCol w:w="109"/>
        <w:gridCol w:w="935"/>
        <w:gridCol w:w="578"/>
        <w:gridCol w:w="914"/>
        <w:gridCol w:w="319"/>
      </w:tblGrid>
      <w:tr>
        <w:trPr/>
        <w:tc>
          <w:tcPr>
            <w:tcW w:w="4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595245" cy="175260"/>
                      <wp:effectExtent l="0" t="0" r="0" b="0"/>
                      <wp:wrapNone/>
                      <wp:docPr id="421" name="Frame421"/>
                      <a:graphic xmlns:a="http://schemas.openxmlformats.org/drawingml/2006/main">
                        <a:graphicData uri="http://schemas.microsoft.com/office/word/2010/wordprocessingShape">
                          <wps:wsp>
                            <wps:cNvSpPr txBox="1"/>
                            <wps:spPr>
                              <a:xfrm>
                                <a:off x="0" y="0"/>
                                <a:ext cx="2595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30555" cy="175260"/>
                      <wp:effectExtent l="0" t="0" r="0" b="0"/>
                      <wp:wrapNone/>
                      <wp:docPr id="423" name="Frame42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89255" cy="175260"/>
                      <wp:effectExtent l="0" t="0" r="0" b="0"/>
                      <wp:wrapNone/>
                      <wp:docPr id="424" name="Frame424"/>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15950" cy="175260"/>
                      <wp:effectExtent l="0" t="0" r="0" b="0"/>
                      <wp:wrapNone/>
                      <wp:docPr id="425" name="Frame425"/>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29235" cy="175260"/>
                      <wp:effectExtent l="0" t="0" r="0" b="0"/>
                      <wp:wrapNone/>
                      <wp:docPr id="426" name="Frame42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93725" cy="175260"/>
                      <wp:effectExtent l="0" t="0" r="0" b="0"/>
                      <wp:wrapNone/>
                      <wp:docPr id="428" name="Frame428"/>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67030" cy="175260"/>
                      <wp:effectExtent l="0" t="0" r="0" b="0"/>
                      <wp:wrapNone/>
                      <wp:docPr id="429" name="Frame42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80390" cy="175260"/>
                      <wp:effectExtent l="0" t="0" r="0" b="0"/>
                      <wp:wrapNone/>
                      <wp:docPr id="430" name="Frame430"/>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2565" cy="175260"/>
                      <wp:effectExtent l="0" t="0" r="0" b="0"/>
                      <wp:wrapNone/>
                      <wp:docPr id="431" name="Frame43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19" w:type="dxa"/>
            <w:tcBorders/>
            <w:vAlign w:val="center"/>
          </w:tcPr>
          <w:p>
            <w:pPr>
              <w:pStyle w:val="TableContents"/>
              <w:bidi w:val="0"/>
              <w:spacing w:before="0" w:after="0"/>
              <w:ind w:left="0" w:right="0" w:hanging="0"/>
              <w:jc w:val="center"/>
              <w:rPr/>
            </w:pPr>
            <w:r>
              <w:rPr/>
              <w:t>​</w:t>
            </w:r>
          </w:p>
        </w:tc>
      </w:tr>
      <w:tr>
        <w:trPr/>
        <w:tc>
          <w:tcPr>
            <w:tcW w:w="40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13" w:type="dxa"/>
            <w:tcBorders/>
            <w:vAlign w:val="center"/>
          </w:tcPr>
          <w:p>
            <w:pPr>
              <w:pStyle w:val="TableContents"/>
              <w:bidi w:val="0"/>
              <w:spacing w:before="0" w:after="0"/>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78" w:type="dxa"/>
            <w:tcBorders/>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9" w:type="dxa"/>
            <w:tcBorders/>
            <w:vAlign w:val="center"/>
          </w:tcPr>
          <w:p>
            <w:pPr>
              <w:pStyle w:val="TableContents"/>
              <w:bidi w:val="0"/>
              <w:spacing w:before="0" w:after="0"/>
              <w:ind w:left="0" w:right="0" w:hanging="0"/>
              <w:jc w:val="center"/>
              <w:rPr/>
            </w:pPr>
            <w:r>
              <w:rPr/>
              <w:t>​</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0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242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9" w:type="dxa"/>
            <w:tcBorders/>
            <w:vAlign w:val="center"/>
          </w:tcPr>
          <w:p>
            <w:pPr>
              <w:pStyle w:val="TableContents"/>
              <w:bidi w:val="0"/>
              <w:spacing w:before="0" w:after="0"/>
              <w:ind w:left="0" w:right="0" w:hanging="0"/>
              <w:jc w:val="center"/>
              <w:rPr/>
            </w:pPr>
            <w:r>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  </w:t>
            </w:r>
          </w:p>
        </w:tc>
        <w:tc>
          <w:tcPr>
            <w:tcW w:w="613"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  </w:t>
            </w:r>
          </w:p>
        </w:tc>
        <w:tc>
          <w:tcPr>
            <w:tcW w:w="578"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c>
          <w:tcPr>
            <w:tcW w:w="319" w:type="dxa"/>
            <w:tcBorders/>
            <w:shd w:fill="CCEEFF" w:val="clear"/>
            <w:vAlign w:val="center"/>
          </w:tcPr>
          <w:p>
            <w:pPr>
              <w:pStyle w:val="TableContents"/>
              <w:bidi w:val="0"/>
              <w:spacing w:before="0" w:after="0"/>
              <w:ind w:left="0" w:right="0" w:hanging="0"/>
              <w:jc w:val="right"/>
              <w:rPr/>
            </w:pPr>
            <w:r>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  </w:t>
            </w:r>
          </w:p>
        </w:tc>
        <w:tc>
          <w:tcPr>
            <w:tcW w:w="613"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  </w:t>
            </w:r>
          </w:p>
        </w:tc>
        <w:tc>
          <w:tcPr>
            <w:tcW w:w="578"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26" w:type="dxa"/>
            <w:tcBorders/>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  </w:t>
            </w:r>
          </w:p>
        </w:tc>
        <w:tc>
          <w:tcPr>
            <w:tcW w:w="578"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26"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(income), net</w:t>
            </w:r>
          </w:p>
        </w:tc>
        <w:tc>
          <w:tcPr>
            <w:tcW w:w="326" w:type="dxa"/>
            <w:tcBorders/>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c>
          <w:tcPr>
            <w:tcW w:w="578"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net of tax</w:t>
            </w:r>
          </w:p>
        </w:tc>
        <w:tc>
          <w:tcPr>
            <w:tcW w:w="326"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investments,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326" w:type="dxa"/>
            <w:tcBorders/>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5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 xml:space="preserve">Three Months Ended June 30, 2025 Compared to Three Months Ended June 30, 2024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tbl>
      <w:tblPr>
        <w:tblW w:w="7390" w:type="dxa"/>
        <w:jc w:val="left"/>
        <w:tblInd w:w="0" w:type="dxa"/>
        <w:tblLayout w:type="fixed"/>
        <w:tblCellMar>
          <w:top w:w="0" w:type="dxa"/>
          <w:left w:w="0" w:type="dxa"/>
          <w:bottom w:w="0" w:type="dxa"/>
          <w:right w:w="0" w:type="dxa"/>
        </w:tblCellMar>
      </w:tblPr>
      <w:tblGrid>
        <w:gridCol w:w="1951"/>
        <w:gridCol w:w="326"/>
        <w:gridCol w:w="211"/>
        <w:gridCol w:w="781"/>
        <w:gridCol w:w="326"/>
        <w:gridCol w:w="211"/>
        <w:gridCol w:w="781"/>
        <w:gridCol w:w="326"/>
        <w:gridCol w:w="304"/>
        <w:gridCol w:w="974"/>
        <w:gridCol w:w="210"/>
        <w:gridCol w:w="673"/>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238885" cy="175260"/>
                      <wp:effectExtent l="0" t="0" r="0" b="0"/>
                      <wp:wrapNone/>
                      <wp:docPr id="432" name="Frame432"/>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95935" cy="175260"/>
                      <wp:effectExtent l="0" t="0" r="0" b="0"/>
                      <wp:wrapNone/>
                      <wp:docPr id="435" name="Frame4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95935" cy="175260"/>
                      <wp:effectExtent l="0" t="0" r="0" b="0"/>
                      <wp:wrapNone/>
                      <wp:docPr id="438" name="Frame4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93040" cy="175260"/>
                      <wp:effectExtent l="0" t="0" r="0" b="0"/>
                      <wp:wrapNone/>
                      <wp:docPr id="440" name="Frame44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18490" cy="175260"/>
                      <wp:effectExtent l="0" t="0" r="0" b="0"/>
                      <wp:wrapNone/>
                      <wp:docPr id="441" name="Frame44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350" cy="175260"/>
                      <wp:effectExtent l="0" t="0" r="0" b="0"/>
                      <wp:wrapNone/>
                      <wp:docPr id="442" name="Frame442"/>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27355" cy="175260"/>
                      <wp:effectExtent l="0" t="0" r="0" b="0"/>
                      <wp:wrapNone/>
                      <wp:docPr id="443" name="Frame44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0660" cy="175260"/>
                      <wp:effectExtent l="0" t="0" r="0" b="0"/>
                      <wp:wrapNone/>
                      <wp:docPr id="444" name="Frame4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739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136,443</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21,401</w:t>
            </w:r>
          </w:p>
        </w:tc>
        <w:tc>
          <w:tcPr>
            <w:tcW w:w="210"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24,661</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161,104</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23,455</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852" w:name="_Hlk79409928"/>
      <w:bookmarkEnd w:id="1852"/>
      <w:r>
        <w:rPr>
          <w:rFonts w:ascii="Times New Roman;Times;serif" w:hAnsi="Times New Roman;Times;serif"/>
          <w:sz w:val="20"/>
        </w:rPr>
        <w:t>Revenues increased $23.5 million, or 14.6%, to $184.6 million for the three months ended June 30, 2025 compared to $161.1 million for the same period in 2024. The increase in software subscriptions revenues of $21.4 million, or 15.7%, was primarily driven by increases from our existing customers through cross-selling new products, and to a lesser extent, increases due to expanded use and price increases. Software subscriptions revenues derived from new customers averaged 8.4% and 5.8% of total software subscriptions revenues in the three months ended June 30, 2025 and 2024,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$2.1 million increase in services revenues was primarily driven by a $2.5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These increases were partially offset by a $0.4 million decrease in service revenues, primarily from the impact of our efforts to steer more implementation opportunities to our channel partners, who are an important referral source for new software opportunities.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Cost of Software Subscriptions Revenues </w:t>
      </w:r>
    </w:p>
    <w:tbl>
      <w:tblPr>
        <w:tblW w:w="8588" w:type="dxa"/>
        <w:jc w:val="left"/>
        <w:tblInd w:w="0" w:type="dxa"/>
        <w:tblLayout w:type="fixed"/>
        <w:tblCellMar>
          <w:top w:w="0" w:type="dxa"/>
          <w:left w:w="0" w:type="dxa"/>
          <w:bottom w:w="0" w:type="dxa"/>
          <w:right w:w="0" w:type="dxa"/>
        </w:tblCellMar>
      </w:tblPr>
      <w:tblGrid>
        <w:gridCol w:w="3316"/>
        <w:gridCol w:w="326"/>
        <w:gridCol w:w="215"/>
        <w:gridCol w:w="690"/>
        <w:gridCol w:w="333"/>
        <w:gridCol w:w="215"/>
        <w:gridCol w:w="690"/>
        <w:gridCol w:w="326"/>
        <w:gridCol w:w="353"/>
        <w:gridCol w:w="957"/>
        <w:gridCol w:w="244"/>
        <w:gridCol w:w="607"/>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05660" cy="175260"/>
                      <wp:effectExtent l="0" t="0" r="0" b="0"/>
                      <wp:wrapNone/>
                      <wp:docPr id="445" name="Frame445"/>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6525" cy="175260"/>
                      <wp:effectExtent l="0" t="0" r="0" b="0"/>
                      <wp:wrapNone/>
                      <wp:docPr id="447" name="Frame44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38150" cy="175260"/>
                      <wp:effectExtent l="0" t="0" r="0" b="0"/>
                      <wp:wrapNone/>
                      <wp:docPr id="448" name="Frame448"/>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1455" cy="175260"/>
                      <wp:effectExtent l="0" t="0" r="0" b="0"/>
                      <wp:wrapNone/>
                      <wp:docPr id="449" name="Frame44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6525" cy="175260"/>
                      <wp:effectExtent l="0" t="0" r="0" b="0"/>
                      <wp:wrapNone/>
                      <wp:docPr id="450" name="Frame45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38150" cy="175260"/>
                      <wp:effectExtent l="0" t="0" r="0" b="0"/>
                      <wp:wrapNone/>
                      <wp:docPr id="451" name="Frame45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24155" cy="175260"/>
                      <wp:effectExtent l="0" t="0" r="0" b="0"/>
                      <wp:wrapNone/>
                      <wp:docPr id="453" name="Frame45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07695" cy="175260"/>
                      <wp:effectExtent l="0" t="0" r="0" b="0"/>
                      <wp:wrapNone/>
                      <wp:docPr id="454" name="Frame454"/>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54940" cy="175260"/>
                      <wp:effectExtent l="0" t="0" r="0" b="0"/>
                      <wp:wrapNone/>
                      <wp:docPr id="455" name="Frame455"/>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85445" cy="175260"/>
                      <wp:effectExtent l="0" t="0" r="0" b="0"/>
                      <wp:wrapNone/>
                      <wp:docPr id="456" name="Frame456"/>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0660" cy="175260"/>
                      <wp:effectExtent l="0" t="0" r="0" b="0"/>
                      <wp:wrapNone/>
                      <wp:docPr id="457" name="Frame4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software subscriptions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44,459</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42,261</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w:t>
            </w:r>
          </w:p>
        </w:tc>
        <w:tc>
          <w:tcPr>
            <w:tcW w:w="244"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software subscriptions revenues increased $2.2 million, or 5.2%, to $44.5 million for the three months ended June 30, 2025 compared to $42.3 million for the same period in 2024. The increase was primarily driven by an increase in depreciation and amortization of capitalized software and acquired intangible assets associated with our ongoing investments in internal-use software for cloud-based subscription solutions, software developed for sale for new products and enhancements to existing products, and costs associated with the increased amortization of acquired intangible assets.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Cost of Services Revenues </w:t>
      </w:r>
    </w:p>
    <w:tbl>
      <w:tblPr>
        <w:tblW w:w="7433" w:type="dxa"/>
        <w:jc w:val="left"/>
        <w:tblInd w:w="0" w:type="dxa"/>
        <w:tblLayout w:type="fixed"/>
        <w:tblCellMar>
          <w:top w:w="0" w:type="dxa"/>
          <w:left w:w="0" w:type="dxa"/>
          <w:bottom w:w="0" w:type="dxa"/>
          <w:right w:w="0" w:type="dxa"/>
        </w:tblCellMar>
      </w:tblPr>
      <w:tblGrid>
        <w:gridCol w:w="2161"/>
        <w:gridCol w:w="326"/>
        <w:gridCol w:w="215"/>
        <w:gridCol w:w="690"/>
        <w:gridCol w:w="333"/>
        <w:gridCol w:w="215"/>
        <w:gridCol w:w="690"/>
        <w:gridCol w:w="326"/>
        <w:gridCol w:w="327"/>
        <w:gridCol w:w="885"/>
        <w:gridCol w:w="226"/>
        <w:gridCol w:w="723"/>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72235" cy="175260"/>
                      <wp:effectExtent l="0" t="0" r="0" b="0"/>
                      <wp:wrapNone/>
                      <wp:docPr id="458" name="Frame458"/>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6525" cy="175260"/>
                      <wp:effectExtent l="0" t="0" r="0" b="0"/>
                      <wp:wrapNone/>
                      <wp:docPr id="460" name="Frame46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38150" cy="175260"/>
                      <wp:effectExtent l="0" t="0" r="0" b="0"/>
                      <wp:wrapNone/>
                      <wp:docPr id="461" name="Frame46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1455" cy="175260"/>
                      <wp:effectExtent l="0" t="0" r="0" b="0"/>
                      <wp:wrapNone/>
                      <wp:docPr id="462" name="Frame462"/>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6525" cy="175260"/>
                      <wp:effectExtent l="0" t="0" r="0" b="0"/>
                      <wp:wrapNone/>
                      <wp:docPr id="463" name="Frame46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38150" cy="175260"/>
                      <wp:effectExtent l="0" t="0" r="0" b="0"/>
                      <wp:wrapNone/>
                      <wp:docPr id="464" name="Frame46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645" cy="175260"/>
                      <wp:effectExtent l="0" t="0" r="0" b="0"/>
                      <wp:wrapNone/>
                      <wp:docPr id="466" name="Frame46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61975" cy="175260"/>
                      <wp:effectExtent l="0" t="0" r="0" b="0"/>
                      <wp:wrapNone/>
                      <wp:docPr id="467" name="Frame467"/>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43510" cy="175260"/>
                      <wp:effectExtent l="0" t="0" r="0" b="0"/>
                      <wp:wrapNone/>
                      <wp:docPr id="468" name="Frame4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59105" cy="175260"/>
                      <wp:effectExtent l="0" t="0" r="0" b="0"/>
                      <wp:wrapNone/>
                      <wp:docPr id="469" name="Frame469"/>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0660" cy="175260"/>
                      <wp:effectExtent l="0" t="0" r="0" b="0"/>
                      <wp:wrapNone/>
                      <wp:docPr id="470" name="Frame4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18,900</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16,155</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2,745</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increased $2.7 million, or 17.0%, to $18.9 million for the three months ended June 30, 2025, compared to $16.2 million for the same period in 2024. The increase was primarily due to an increase in costs of service delivery personnel to support revenue growth in software subscription-related services and our managed services offering.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Research and Development </w:t>
      </w:r>
    </w:p>
    <w:tbl>
      <w:tblPr>
        <w:tblW w:w="7583" w:type="dxa"/>
        <w:jc w:val="left"/>
        <w:tblInd w:w="0" w:type="dxa"/>
        <w:tblLayout w:type="fixed"/>
        <w:tblCellMar>
          <w:top w:w="0" w:type="dxa"/>
          <w:left w:w="0" w:type="dxa"/>
          <w:bottom w:w="0" w:type="dxa"/>
          <w:right w:w="0" w:type="dxa"/>
        </w:tblCellMar>
      </w:tblPr>
      <w:tblGrid>
        <w:gridCol w:w="2311"/>
        <w:gridCol w:w="326"/>
        <w:gridCol w:w="215"/>
        <w:gridCol w:w="690"/>
        <w:gridCol w:w="333"/>
        <w:gridCol w:w="215"/>
        <w:gridCol w:w="690"/>
        <w:gridCol w:w="32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467485" cy="175260"/>
                      <wp:effectExtent l="0" t="0" r="0" b="0"/>
                      <wp:wrapNone/>
                      <wp:docPr id="471" name="Frame47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6525" cy="175260"/>
                      <wp:effectExtent l="0" t="0" r="0" b="0"/>
                      <wp:wrapNone/>
                      <wp:docPr id="473" name="Frame47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38150" cy="175260"/>
                      <wp:effectExtent l="0" t="0" r="0" b="0"/>
                      <wp:wrapNone/>
                      <wp:docPr id="474" name="Frame47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1455" cy="175260"/>
                      <wp:effectExtent l="0" t="0" r="0" b="0"/>
                      <wp:wrapNone/>
                      <wp:docPr id="475" name="Frame47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6525" cy="175260"/>
                      <wp:effectExtent l="0" t="0" r="0" b="0"/>
                      <wp:wrapNone/>
                      <wp:docPr id="476" name="Frame47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38150" cy="175260"/>
                      <wp:effectExtent l="0" t="0" r="0" b="0"/>
                      <wp:wrapNone/>
                      <wp:docPr id="477" name="Frame47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645" cy="175260"/>
                      <wp:effectExtent l="0" t="0" r="0" b="0"/>
                      <wp:wrapNone/>
                      <wp:docPr id="479" name="Frame47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61975" cy="175260"/>
                      <wp:effectExtent l="0" t="0" r="0" b="0"/>
                      <wp:wrapNone/>
                      <wp:docPr id="480" name="Frame480"/>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43510" cy="175260"/>
                      <wp:effectExtent l="0" t="0" r="0" b="0"/>
                      <wp:wrapNone/>
                      <wp:docPr id="481" name="Frame4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59105" cy="175260"/>
                      <wp:effectExtent l="0" t="0" r="0" b="0"/>
                      <wp:wrapNone/>
                      <wp:docPr id="482" name="Frame482"/>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0660" cy="175260"/>
                      <wp:effectExtent l="0" t="0" r="0" b="0"/>
                      <wp:wrapNone/>
                      <wp:docPr id="483" name="Frame4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20,582</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14,614</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5,968</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$6.0 million, or 40.8%, to $20.6 million for the three months ended June 30, 2025 compared to $14.6 million for the same period in 2024. This increase in research and development expenses was primarily due to an increase in personnel costs related to development work associated with new solutions to address end-to-end data analysis and compliance needs of our customers, and continued expansion of connectors and application program interfaces to customer ERP and other software platforms. Additionally, this increase reflects additional research and development investments related to the commercialization of our AI-based Smart Categorization product, other AI-related internal tools and new product initiatives, and other emerging technologies.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Selling and Marketing </w:t>
      </w:r>
    </w:p>
    <w:tbl>
      <w:tblPr>
        <w:tblW w:w="7193" w:type="dxa"/>
        <w:jc w:val="left"/>
        <w:tblInd w:w="0" w:type="dxa"/>
        <w:tblLayout w:type="fixed"/>
        <w:tblCellMar>
          <w:top w:w="0" w:type="dxa"/>
          <w:left w:w="0" w:type="dxa"/>
          <w:bottom w:w="0" w:type="dxa"/>
          <w:right w:w="0" w:type="dxa"/>
        </w:tblCellMar>
      </w:tblPr>
      <w:tblGrid>
        <w:gridCol w:w="1921"/>
        <w:gridCol w:w="326"/>
        <w:gridCol w:w="215"/>
        <w:gridCol w:w="690"/>
        <w:gridCol w:w="333"/>
        <w:gridCol w:w="215"/>
        <w:gridCol w:w="690"/>
        <w:gridCol w:w="326"/>
        <w:gridCol w:w="327"/>
        <w:gridCol w:w="885"/>
        <w:gridCol w:w="226"/>
        <w:gridCol w:w="723"/>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219835" cy="175260"/>
                      <wp:effectExtent l="0" t="0" r="0" b="0"/>
                      <wp:wrapNone/>
                      <wp:docPr id="484" name="Frame484"/>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6525" cy="175260"/>
                      <wp:effectExtent l="0" t="0" r="0" b="0"/>
                      <wp:wrapNone/>
                      <wp:docPr id="486" name="Frame48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38150" cy="175260"/>
                      <wp:effectExtent l="0" t="0" r="0" b="0"/>
                      <wp:wrapNone/>
                      <wp:docPr id="487" name="Frame48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1455" cy="175260"/>
                      <wp:effectExtent l="0" t="0" r="0" b="0"/>
                      <wp:wrapNone/>
                      <wp:docPr id="488" name="Frame48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6525" cy="175260"/>
                      <wp:effectExtent l="0" t="0" r="0" b="0"/>
                      <wp:wrapNone/>
                      <wp:docPr id="489" name="Frame48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38150" cy="175260"/>
                      <wp:effectExtent l="0" t="0" r="0" b="0"/>
                      <wp:wrapNone/>
                      <wp:docPr id="490" name="Frame49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91"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645" cy="175260"/>
                      <wp:effectExtent l="0" t="0" r="0" b="0"/>
                      <wp:wrapNone/>
                      <wp:docPr id="492" name="Frame49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61975" cy="175260"/>
                      <wp:effectExtent l="0" t="0" r="0" b="0"/>
                      <wp:wrapNone/>
                      <wp:docPr id="493" name="Frame493"/>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43510" cy="175260"/>
                      <wp:effectExtent l="0" t="0" r="0" b="0"/>
                      <wp:wrapNone/>
                      <wp:docPr id="494" name="Frame4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59105" cy="175260"/>
                      <wp:effectExtent l="0" t="0" r="0" b="0"/>
                      <wp:wrapNone/>
                      <wp:docPr id="495" name="Frame495"/>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0660" cy="175260"/>
                      <wp:effectExtent l="0" t="0" r="0" b="0"/>
                      <wp:wrapNone/>
                      <wp:docPr id="496" name="Frame49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48,454</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40,541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7,913</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and marketing expenses increased $7.9 million, or 19.5%, to $48.5 million for the three months ended June 30, 2025 compared to $40.5 million for the same period in 2024. This increase was primarily driven by a $4.3 million increase in payroll and related expenses associated with the growth in period-over-period subscription sales and services revenues and expansion of our partner and channel management programs. Additionally, there was an increase of $3.6 million in advertising and promotional spending related to expanded brand awareness efforts.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tbl>
      <w:tblPr>
        <w:tblW w:w="7583" w:type="dxa"/>
        <w:jc w:val="left"/>
        <w:tblInd w:w="0" w:type="dxa"/>
        <w:tblLayout w:type="fixed"/>
        <w:tblCellMar>
          <w:top w:w="0" w:type="dxa"/>
          <w:left w:w="0" w:type="dxa"/>
          <w:bottom w:w="0" w:type="dxa"/>
          <w:right w:w="0" w:type="dxa"/>
        </w:tblCellMar>
      </w:tblPr>
      <w:tblGrid>
        <w:gridCol w:w="2311"/>
        <w:gridCol w:w="326"/>
        <w:gridCol w:w="215"/>
        <w:gridCol w:w="690"/>
        <w:gridCol w:w="333"/>
        <w:gridCol w:w="215"/>
        <w:gridCol w:w="690"/>
        <w:gridCol w:w="32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467485" cy="175260"/>
                      <wp:effectExtent l="0" t="0" r="0" b="0"/>
                      <wp:wrapNone/>
                      <wp:docPr id="497" name="Frame49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6525" cy="175260"/>
                      <wp:effectExtent l="0" t="0" r="0" b="0"/>
                      <wp:wrapNone/>
                      <wp:docPr id="499" name="Frame49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38150" cy="175260"/>
                      <wp:effectExtent l="0" t="0" r="0" b="0"/>
                      <wp:wrapNone/>
                      <wp:docPr id="500" name="Frame50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1455" cy="175260"/>
                      <wp:effectExtent l="0" t="0" r="0" b="0"/>
                      <wp:wrapNone/>
                      <wp:docPr id="501" name="Frame50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6525" cy="175260"/>
                      <wp:effectExtent l="0" t="0" r="0" b="0"/>
                      <wp:wrapNone/>
                      <wp:docPr id="502" name="Frame50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38150" cy="175260"/>
                      <wp:effectExtent l="0" t="0" r="0" b="0"/>
                      <wp:wrapNone/>
                      <wp:docPr id="503" name="Frame50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645" cy="175260"/>
                      <wp:effectExtent l="0" t="0" r="0" b="0"/>
                      <wp:wrapNone/>
                      <wp:docPr id="505" name="Frame50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61975" cy="175260"/>
                      <wp:effectExtent l="0" t="0" r="0" b="0"/>
                      <wp:wrapNone/>
                      <wp:docPr id="506" name="Frame506"/>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43510" cy="175260"/>
                      <wp:effectExtent l="0" t="0" r="0" b="0"/>
                      <wp:wrapNone/>
                      <wp:docPr id="507" name="Frame5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59105" cy="175260"/>
                      <wp:effectExtent l="0" t="0" r="0" b="0"/>
                      <wp:wrapNone/>
                      <wp:docPr id="508" name="Frame508"/>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0660" cy="175260"/>
                      <wp:effectExtent l="0" t="0" r="0" b="0"/>
                      <wp:wrapNone/>
                      <wp:docPr id="509" name="Frame50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43,392</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35,874</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7,518</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$7.5 million, or 21.0%, to $43.4 million for the three months ended June 30, 2025 compared to $35.9 million for the same period in 2024, primarily driven by planned strategic investments in information technology infrastructure, business process re-engineering and other initiatives to drive future operating leverage, as well as investments in employees, systems and other resources in support of our growth.</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tbl>
      <w:tblPr>
        <w:tblW w:w="7869" w:type="dxa"/>
        <w:jc w:val="left"/>
        <w:tblInd w:w="0" w:type="dxa"/>
        <w:tblLayout w:type="fixed"/>
        <w:tblCellMar>
          <w:top w:w="0" w:type="dxa"/>
          <w:left w:w="0" w:type="dxa"/>
          <w:bottom w:w="0" w:type="dxa"/>
          <w:right w:w="0" w:type="dxa"/>
        </w:tblCellMar>
      </w:tblPr>
      <w:tblGrid>
        <w:gridCol w:w="2596"/>
        <w:gridCol w:w="326"/>
        <w:gridCol w:w="239"/>
        <w:gridCol w:w="648"/>
        <w:gridCol w:w="370"/>
        <w:gridCol w:w="239"/>
        <w:gridCol w:w="648"/>
        <w:gridCol w:w="326"/>
        <w:gridCol w:w="320"/>
        <w:gridCol w:w="638"/>
        <w:gridCol w:w="494"/>
        <w:gridCol w:w="709"/>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648460" cy="175260"/>
                      <wp:effectExtent l="0" t="0" r="0" b="0"/>
                      <wp:wrapNone/>
                      <wp:docPr id="510" name="Frame51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51765" cy="175260"/>
                      <wp:effectExtent l="0" t="0" r="0" b="0"/>
                      <wp:wrapNone/>
                      <wp:docPr id="512" name="Frame51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11480" cy="175260"/>
                      <wp:effectExtent l="0" t="0" r="0" b="0"/>
                      <wp:wrapNone/>
                      <wp:docPr id="513" name="Frame513"/>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34950" cy="175260"/>
                      <wp:effectExtent l="0" t="0" r="0" b="0"/>
                      <wp:wrapNone/>
                      <wp:docPr id="514" name="Frame514"/>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51765" cy="175260"/>
                      <wp:effectExtent l="0" t="0" r="0" b="0"/>
                      <wp:wrapNone/>
                      <wp:docPr id="515" name="Frame51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11480" cy="175260"/>
                      <wp:effectExtent l="0" t="0" r="0" b="0"/>
                      <wp:wrapNone/>
                      <wp:docPr id="516" name="Frame516"/>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3200" cy="175260"/>
                      <wp:effectExtent l="0" t="0" r="0" b="0"/>
                      <wp:wrapNone/>
                      <wp:docPr id="518" name="Frame51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405130" cy="175260"/>
                      <wp:effectExtent l="0" t="0" r="0" b="0"/>
                      <wp:wrapNone/>
                      <wp:docPr id="519" name="Frame519"/>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13690" cy="175260"/>
                      <wp:effectExtent l="0" t="0" r="0" b="0"/>
                      <wp:wrapNone/>
                      <wp:docPr id="520" name="Frame520"/>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50215" cy="175260"/>
                      <wp:effectExtent l="0" t="0" r="0" b="0"/>
                      <wp:wrapNone/>
                      <wp:docPr id="521" name="Frame521"/>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0660" cy="175260"/>
                      <wp:effectExtent l="0" t="0" r="0" b="0"/>
                      <wp:wrapNone/>
                      <wp:docPr id="522" name="Frame5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pPr>
            <w:r>
              <w:rPr/>
              <w:t>​</w:t>
            </w:r>
          </w:p>
        </w:tc>
        <w:tc>
          <w:tcPr>
            <w:tcW w:w="494"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pPr>
            <w:r>
              <w:rPr/>
              <w:t>​</w:t>
            </w:r>
          </w:p>
        </w:tc>
        <w:tc>
          <w:tcPr>
            <w:tcW w:w="494"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0"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c>
          <w:tcPr>
            <w:tcW w:w="370"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w:t>
            </w:r>
          </w:p>
        </w:tc>
        <w:tc>
          <w:tcPr>
            <w:tcW w:w="326" w:type="dxa"/>
            <w:tcBorders/>
            <w:shd w:fill="CCEEFF" w:val="clear"/>
            <w:vAlign w:val="center"/>
          </w:tcPr>
          <w:p>
            <w:pPr>
              <w:pStyle w:val="TableContents"/>
              <w:bidi w:val="0"/>
              <w:spacing w:before="0" w:after="0"/>
              <w:ind w:left="0" w:right="0" w:hanging="0"/>
              <w:jc w:val="left"/>
              <w:rPr/>
            </w:pPr>
            <w:r>
              <w:rPr/>
              <w:t>    </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494"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expenses increased $1.0 million, or 18.7%, to $6.2 million for the three months ended June 30, 2025 compared to $5.2 million for the same period in 2024. The increase was primarily due to the impact of infrastructure and technology purchases and other capitalized costs to support our growth.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Change in Fair Value of Acquisition Contingent Earn-outs</w:t>
      </w:r>
    </w:p>
    <w:p>
      <w:pPr>
        <w:pStyle w:val="TextBody"/>
        <w:bidi w:val="0"/>
        <w:spacing w:before="0" w:after="0"/>
        <w:ind w:left="0" w:right="0" w:firstLine="360"/>
        <w:jc w:val="both"/>
        <w:rPr/>
      </w:pPr>
      <w:r>
        <w:rPr/>
        <w:t>​</w:t>
      </w:r>
    </w:p>
    <w:tbl>
      <w:tblPr>
        <w:tblW w:w="9667" w:type="dxa"/>
        <w:jc w:val="left"/>
        <w:tblInd w:w="0" w:type="dxa"/>
        <w:tblLayout w:type="fixed"/>
        <w:tblCellMar>
          <w:top w:w="0" w:type="dxa"/>
          <w:left w:w="0" w:type="dxa"/>
          <w:bottom w:w="0" w:type="dxa"/>
          <w:right w:w="0" w:type="dxa"/>
        </w:tblCellMar>
      </w:tblPr>
      <w:tblGrid>
        <w:gridCol w:w="4666"/>
        <w:gridCol w:w="326"/>
        <w:gridCol w:w="288"/>
        <w:gridCol w:w="781"/>
        <w:gridCol w:w="149"/>
        <w:gridCol w:w="288"/>
        <w:gridCol w:w="637"/>
        <w:gridCol w:w="326"/>
        <w:gridCol w:w="341"/>
        <w:gridCol w:w="923"/>
        <w:gridCol w:w="527"/>
        <w:gridCol w:w="415"/>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962910" cy="175260"/>
                      <wp:effectExtent l="0" t="0" r="0" b="0"/>
                      <wp:wrapNone/>
                      <wp:docPr id="523" name="Frame523"/>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4"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82880" cy="175260"/>
                      <wp:effectExtent l="0" t="0" r="0" b="0"/>
                      <wp:wrapNone/>
                      <wp:docPr id="525" name="Frame525"/>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95935" cy="175260"/>
                      <wp:effectExtent l="0" t="0" r="0" b="0"/>
                      <wp:wrapNone/>
                      <wp:docPr id="526" name="Frame5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94615" cy="175260"/>
                      <wp:effectExtent l="0" t="0" r="0" b="0"/>
                      <wp:wrapNone/>
                      <wp:docPr id="527" name="Frame527"/>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82880" cy="175260"/>
                      <wp:effectExtent l="0" t="0" r="0" b="0"/>
                      <wp:wrapNone/>
                      <wp:docPr id="528" name="Frame528"/>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04495" cy="175260"/>
                      <wp:effectExtent l="0" t="0" r="0" b="0"/>
                      <wp:wrapNone/>
                      <wp:docPr id="529" name="Frame529"/>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30"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6535" cy="175260"/>
                      <wp:effectExtent l="0" t="0" r="0" b="0"/>
                      <wp:wrapNone/>
                      <wp:docPr id="531" name="Frame531"/>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86105" cy="175260"/>
                      <wp:effectExtent l="0" t="0" r="0" b="0"/>
                      <wp:wrapNone/>
                      <wp:docPr id="532" name="Frame532"/>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334645" cy="175260"/>
                      <wp:effectExtent l="0" t="0" r="0" b="0"/>
                      <wp:wrapNone/>
                      <wp:docPr id="533" name="Frame533"/>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63525" cy="175260"/>
                      <wp:effectExtent l="0" t="0" r="0" b="0"/>
                      <wp:wrapNone/>
                      <wp:docPr id="534" name="Frame534"/>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center"/>
              <w:rPr/>
            </w:pPr>
            <w:r>
              <w:rPr/>
              <w:t>​</w:t>
            </w:r>
          </w:p>
        </w:tc>
        <w:tc>
          <w:tcPr>
            <w:tcW w:w="527"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center"/>
              <w:rPr/>
            </w:pPr>
            <w:r>
              <w:rPr/>
              <w:t>​</w:t>
            </w:r>
          </w:p>
        </w:tc>
        <w:tc>
          <w:tcPr>
            <w:tcW w:w="527"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9" w:type="dxa"/>
            <w:tcBorders/>
            <w:vAlign w:val="center"/>
          </w:tcPr>
          <w:p>
            <w:pPr>
              <w:pStyle w:val="TableContents"/>
              <w:bidi w:val="0"/>
              <w:spacing w:before="0" w:after="0"/>
              <w:ind w:left="0" w:right="0" w:hanging="0"/>
              <w:jc w:val="center"/>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20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14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527"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Percentage change not meaningful.</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6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 in fair value of acquisition contingent earn-outs was $2.3 million for the three months ended June 30, 2025 due entirely to adjustments to the fair values of our ecosio acquisition contingent Cash Earn-outs and Stock Earn-outs of $1.8 million and $0.5 million, respectively.  For further information,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Other Operating Expense (Income), Net</w:t>
      </w:r>
    </w:p>
    <w:tbl>
      <w:tblPr>
        <w:tblW w:w="8484" w:type="dxa"/>
        <w:jc w:val="left"/>
        <w:tblInd w:w="0" w:type="dxa"/>
        <w:tblLayout w:type="fixed"/>
        <w:tblCellMar>
          <w:top w:w="0" w:type="dxa"/>
          <w:left w:w="0" w:type="dxa"/>
          <w:bottom w:w="0" w:type="dxa"/>
          <w:right w:w="0" w:type="dxa"/>
        </w:tblCellMar>
      </w:tblPr>
      <w:tblGrid>
        <w:gridCol w:w="3211"/>
        <w:gridCol w:w="326"/>
        <w:gridCol w:w="225"/>
        <w:gridCol w:w="609"/>
        <w:gridCol w:w="348"/>
        <w:gridCol w:w="225"/>
        <w:gridCol w:w="737"/>
        <w:gridCol w:w="326"/>
        <w:gridCol w:w="271"/>
        <w:gridCol w:w="734"/>
        <w:gridCol w:w="419"/>
        <w:gridCol w:w="737"/>
        <w:gridCol w:w="31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38985" cy="175260"/>
                      <wp:effectExtent l="0" t="0" r="0" b="0"/>
                      <wp:wrapNone/>
                      <wp:docPr id="535" name="Frame535"/>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42875" cy="175260"/>
                      <wp:effectExtent l="0" t="0" r="0" b="0"/>
                      <wp:wrapNone/>
                      <wp:docPr id="537" name="Frame53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86715" cy="175260"/>
                      <wp:effectExtent l="0" t="0" r="0" b="0"/>
                      <wp:wrapNone/>
                      <wp:docPr id="538" name="Frame538"/>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20980" cy="175260"/>
                      <wp:effectExtent l="0" t="0" r="0" b="0"/>
                      <wp:wrapNone/>
                      <wp:docPr id="539" name="Frame539"/>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42875" cy="175260"/>
                      <wp:effectExtent l="0" t="0" r="0" b="0"/>
                      <wp:wrapNone/>
                      <wp:docPr id="540" name="Frame540"/>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67995" cy="175260"/>
                      <wp:effectExtent l="0" t="0" r="0" b="0"/>
                      <wp:wrapNone/>
                      <wp:docPr id="541" name="Frame541"/>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72085" cy="175260"/>
                      <wp:effectExtent l="0" t="0" r="0" b="0"/>
                      <wp:wrapNone/>
                      <wp:docPr id="543" name="Frame54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66090" cy="175260"/>
                      <wp:effectExtent l="0" t="0" r="0" b="0"/>
                      <wp:wrapNone/>
                      <wp:docPr id="544" name="Frame544"/>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66065" cy="175260"/>
                      <wp:effectExtent l="0" t="0" r="0" b="0"/>
                      <wp:wrapNone/>
                      <wp:docPr id="545" name="Frame545"/>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67995" cy="175260"/>
                      <wp:effectExtent l="0" t="0" r="0" b="0"/>
                      <wp:wrapNone/>
                      <wp:docPr id="546" name="Frame54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0660" cy="175260"/>
                      <wp:effectExtent l="0" t="0" r="0" b="0"/>
                      <wp:wrapNone/>
                      <wp:docPr id="547" name="Frame54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center"/>
              <w:rPr/>
            </w:pPr>
            <w:r>
              <w:rPr/>
              <w:t>​</w:t>
            </w:r>
          </w:p>
        </w:tc>
        <w:tc>
          <w:tcPr>
            <w:tcW w:w="41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center"/>
              <w:rPr/>
            </w:pPr>
            <w:r>
              <w:rPr/>
              <w:t>​</w:t>
            </w:r>
          </w:p>
        </w:tc>
        <w:tc>
          <w:tcPr>
            <w:tcW w:w="41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8"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348"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5,247</w:t>
            </w:r>
          </w:p>
        </w:tc>
        <w:tc>
          <w:tcPr>
            <w:tcW w:w="419"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operating expense (income), net was $4.1 million of other operating expense, net for the three months ended June 30, 2025 compared to $1.1 million of other operating income, net for the same period in 2024. This change was primarily driven by $2.9 million related to legal costs associated with a pending legal claim and $1.0 million of foreign currency transaction losses incurred. For further information regarding the referenced pending legal claim, refer to Note 12, “Commitments and Contingencies” to the condensed consolidated financial statements included in this Quarterly Report on Form 10-Q. Additionally, in the prior year period, we recorded a fair value adjustment of $(1.6) million to the contingent consideration liability for the acquisition of Tellutax, LLC in 2021. For further information regarding the Tellutax, LLC contingent consideration liability,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both"/>
        <w:rPr/>
      </w:pPr>
      <w:r>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Interest Expense (Income), Net</w:t>
      </w:r>
    </w:p>
    <w:tbl>
      <w:tblPr>
        <w:tblW w:w="7809" w:type="dxa"/>
        <w:jc w:val="left"/>
        <w:tblInd w:w="0" w:type="dxa"/>
        <w:tblLayout w:type="fixed"/>
        <w:tblCellMar>
          <w:top w:w="0" w:type="dxa"/>
          <w:left w:w="0" w:type="dxa"/>
          <w:bottom w:w="0" w:type="dxa"/>
          <w:right w:w="0" w:type="dxa"/>
        </w:tblCellMar>
      </w:tblPr>
      <w:tblGrid>
        <w:gridCol w:w="2536"/>
        <w:gridCol w:w="326"/>
        <w:gridCol w:w="243"/>
        <w:gridCol w:w="797"/>
        <w:gridCol w:w="376"/>
        <w:gridCol w:w="243"/>
        <w:gridCol w:w="485"/>
        <w:gridCol w:w="326"/>
        <w:gridCol w:w="253"/>
        <w:gridCol w:w="757"/>
        <w:gridCol w:w="391"/>
        <w:gridCol w:w="760"/>
        <w:gridCol w:w="31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610360" cy="175260"/>
                      <wp:effectExtent l="0" t="0" r="0" b="0"/>
                      <wp:wrapNone/>
                      <wp:docPr id="548" name="Frame548"/>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49"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54305" cy="175260"/>
                      <wp:effectExtent l="0" t="0" r="0" b="0"/>
                      <wp:wrapNone/>
                      <wp:docPr id="550" name="Frame55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506095" cy="175260"/>
                      <wp:effectExtent l="0" t="0" r="0" b="0"/>
                      <wp:wrapNone/>
                      <wp:docPr id="551" name="Frame55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38760" cy="175260"/>
                      <wp:effectExtent l="0" t="0" r="0" b="0"/>
                      <wp:wrapNone/>
                      <wp:docPr id="552" name="Frame55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54305" cy="175260"/>
                      <wp:effectExtent l="0" t="0" r="0" b="0"/>
                      <wp:wrapNone/>
                      <wp:docPr id="553" name="Frame553"/>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307975" cy="175260"/>
                      <wp:effectExtent l="0" t="0" r="0" b="0"/>
                      <wp:wrapNone/>
                      <wp:docPr id="554" name="Frame554"/>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60655" cy="175260"/>
                      <wp:effectExtent l="0" t="0" r="0" b="0"/>
                      <wp:wrapNone/>
                      <wp:docPr id="556" name="Frame55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480695" cy="175260"/>
                      <wp:effectExtent l="0" t="0" r="0" b="0"/>
                      <wp:wrapNone/>
                      <wp:docPr id="557" name="Frame557"/>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48285" cy="175260"/>
                      <wp:effectExtent l="0" t="0" r="0" b="0"/>
                      <wp:wrapNone/>
                      <wp:docPr id="558" name="Frame55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82600" cy="175260"/>
                      <wp:effectExtent l="0" t="0" r="0" b="0"/>
                      <wp:wrapNone/>
                      <wp:docPr id="559" name="Frame559"/>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0660" cy="175260"/>
                      <wp:effectExtent l="0" t="0" r="0" b="0"/>
                      <wp:wrapNone/>
                      <wp:docPr id="560" name="Frame5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6" w:type="dxa"/>
            <w:tcBorders/>
            <w:vAlign w:val="center"/>
          </w:tcPr>
          <w:p>
            <w:pPr>
              <w:pStyle w:val="TableContents"/>
              <w:bidi w:val="0"/>
              <w:spacing w:before="0" w:after="0"/>
              <w:ind w:left="0" w:right="0" w:hanging="0"/>
              <w:jc w:val="left"/>
              <w:rPr/>
            </w:pPr>
            <w:r>
              <w:rPr/>
              <w:t>    </w:t>
            </w:r>
          </w:p>
        </w:tc>
        <w:tc>
          <w:tcPr>
            <w:tcW w:w="7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7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c>
          <w:tcPr>
            <w:tcW w:w="391" w:type="dxa"/>
            <w:tcBorders/>
            <w:shd w:fill="CCEEFF" w:val="clear"/>
            <w:vAlign w:val="center"/>
          </w:tcPr>
          <w:p>
            <w:pPr>
              <w:pStyle w:val="TableContents"/>
              <w:bidi w:val="0"/>
              <w:spacing w:before="0" w:after="0"/>
              <w:ind w:left="0" w:right="0" w:hanging="0"/>
              <w:jc w:val="left"/>
              <w:rPr/>
            </w:pPr>
            <w:r>
              <w:rPr/>
              <w:t>    </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(income), net was $1.2 million of interest income, net for the three months ended June 30, 2025 compared to $0.2 million of interest expense, net for the same period in 2024. This change was mainly due to several factors: a $0.8 million increase in interest income primarily due to increased dollars invested during the period, a reduction of $0.2 million of interest expense related to the valuation of our prior year foreign currency forward contracts due to market fluctuations, a $0.1 million decrease in deferred financing costs related to our Notes (as defined below), and a $0.3 million decrease in interest costs related to the repayment of our term loan in the aggregate amount of $50,000 (the “Term Loan”), which was fully repaid in the second quarter of 2024. </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Income Tax Expense (Benefit)</w:t>
      </w:r>
      <w:r>
        <w:rPr>
          <w:rFonts w:ascii="Times New Roman;Times;serif" w:hAnsi="Times New Roman;Times;serif"/>
          <w:color w:val="FF0000"/>
          <w:sz w:val="20"/>
        </w:rPr>
        <w:t xml:space="preserve"> </w:t>
      </w:r>
    </w:p>
    <w:tbl>
      <w:tblPr>
        <w:tblW w:w="7779" w:type="dxa"/>
        <w:jc w:val="left"/>
        <w:tblInd w:w="0" w:type="dxa"/>
        <w:tblLayout w:type="fixed"/>
        <w:tblCellMar>
          <w:top w:w="0" w:type="dxa"/>
          <w:left w:w="0" w:type="dxa"/>
          <w:bottom w:w="0" w:type="dxa"/>
          <w:right w:w="0" w:type="dxa"/>
        </w:tblCellMar>
      </w:tblPr>
      <w:tblGrid>
        <w:gridCol w:w="2506"/>
        <w:gridCol w:w="326"/>
        <w:gridCol w:w="225"/>
        <w:gridCol w:w="737"/>
        <w:gridCol w:w="348"/>
        <w:gridCol w:w="225"/>
        <w:gridCol w:w="609"/>
        <w:gridCol w:w="326"/>
        <w:gridCol w:w="253"/>
        <w:gridCol w:w="757"/>
        <w:gridCol w:w="391"/>
        <w:gridCol w:w="760"/>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591310" cy="175260"/>
                      <wp:effectExtent l="0" t="0" r="0" b="0"/>
                      <wp:wrapNone/>
                      <wp:docPr id="561" name="Frame56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2" name="Frame5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42875" cy="175260"/>
                      <wp:effectExtent l="0" t="0" r="0" b="0"/>
                      <wp:wrapNone/>
                      <wp:docPr id="563" name="Frame56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467995" cy="175260"/>
                      <wp:effectExtent l="0" t="0" r="0" b="0"/>
                      <wp:wrapNone/>
                      <wp:docPr id="564" name="Frame564"/>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20980" cy="175260"/>
                      <wp:effectExtent l="0" t="0" r="0" b="0"/>
                      <wp:wrapNone/>
                      <wp:docPr id="565" name="Frame56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42875" cy="175260"/>
                      <wp:effectExtent l="0" t="0" r="0" b="0"/>
                      <wp:wrapNone/>
                      <wp:docPr id="566" name="Frame56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86715" cy="175260"/>
                      <wp:effectExtent l="0" t="0" r="0" b="0"/>
                      <wp:wrapNone/>
                      <wp:docPr id="567" name="Frame567"/>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8" name="Frame5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60655" cy="175260"/>
                      <wp:effectExtent l="0" t="0" r="0" b="0"/>
                      <wp:wrapNone/>
                      <wp:docPr id="569" name="Frame569"/>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480695" cy="175260"/>
                      <wp:effectExtent l="0" t="0" r="0" b="0"/>
                      <wp:wrapNone/>
                      <wp:docPr id="570" name="Frame570"/>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48285" cy="175260"/>
                      <wp:effectExtent l="0" t="0" r="0" b="0"/>
                      <wp:wrapNone/>
                      <wp:docPr id="571" name="Frame57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82600" cy="175260"/>
                      <wp:effectExtent l="0" t="0" r="0" b="0"/>
                      <wp:wrapNone/>
                      <wp:docPr id="572" name="Frame572"/>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0660" cy="175260"/>
                      <wp:effectExtent l="0" t="0" r="0" b="0"/>
                      <wp:wrapNone/>
                      <wp:docPr id="573" name="Frame57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8" w:type="dxa"/>
            <w:tcBorders/>
            <w:vAlign w:val="center"/>
          </w:tcPr>
          <w:p>
            <w:pPr>
              <w:pStyle w:val="TableContents"/>
              <w:bidi w:val="0"/>
              <w:spacing w:before="0" w:after="0"/>
              <w:ind w:left="0" w:right="0" w:hanging="0"/>
              <w:jc w:val="left"/>
              <w:rPr/>
            </w:pPr>
            <w:r>
              <w:rPr/>
              <w:t>    </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(benefit) </w:t>
            </w:r>
          </w:p>
        </w:tc>
        <w:tc>
          <w:tcPr>
            <w:tcW w:w="32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348"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(3,875)</w:t>
            </w:r>
          </w:p>
        </w:tc>
        <w:tc>
          <w:tcPr>
            <w:tcW w:w="391" w:type="dxa"/>
            <w:tcBorders/>
            <w:shd w:fill="CCEEFF" w:val="clear"/>
            <w:vAlign w:val="center"/>
          </w:tcPr>
          <w:p>
            <w:pPr>
              <w:pStyle w:val="TableContents"/>
              <w:bidi w:val="0"/>
              <w:spacing w:before="0" w:after="0"/>
              <w:ind w:left="0" w:right="0" w:hanging="0"/>
              <w:jc w:val="left"/>
              <w:rPr/>
            </w:pPr>
            <w:r>
              <w:rPr/>
              <w:t>    </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(benefit) was $(1.7) million and $2.2 million for the three months ended June 30, 2025 and 2024, respectively. This change was primarily driven by higher tax benefits on exercises and vesting of stock awards recognized during the three months ended June 30, 2025, as well as income tax from fluctuations in income (loss). These income tax benefit increases were partially offset by fluctuations in valuation allowances on net deferred tax assets established for U.S. and certain foreign jurisdictions and a decrease in the impact of tax credits compared to the three months ended June 30, 2024.</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 xml:space="preserve">Six Months Ended June 30, 2025 Compared to Six Months Ended June 30, 2024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tbl>
      <w:tblPr>
        <w:tblW w:w="7148" w:type="dxa"/>
        <w:jc w:val="left"/>
        <w:tblInd w:w="0" w:type="dxa"/>
        <w:tblLayout w:type="fixed"/>
        <w:tblCellMar>
          <w:top w:w="0" w:type="dxa"/>
          <w:left w:w="0" w:type="dxa"/>
          <w:bottom w:w="0" w:type="dxa"/>
          <w:right w:w="0" w:type="dxa"/>
        </w:tblCellMar>
      </w:tblPr>
      <w:tblGrid>
        <w:gridCol w:w="1951"/>
        <w:gridCol w:w="326"/>
        <w:gridCol w:w="211"/>
        <w:gridCol w:w="781"/>
        <w:gridCol w:w="326"/>
        <w:gridCol w:w="211"/>
        <w:gridCol w:w="781"/>
        <w:gridCol w:w="326"/>
        <w:gridCol w:w="241"/>
        <w:gridCol w:w="773"/>
        <w:gridCol w:w="372"/>
        <w:gridCol w:w="533"/>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238885" cy="175260"/>
                      <wp:effectExtent l="0" t="0" r="0" b="0"/>
                      <wp:wrapNone/>
                      <wp:docPr id="574" name="Frame574"/>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75" name="Frame5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33985" cy="175260"/>
                      <wp:effectExtent l="0" t="0" r="0" b="0"/>
                      <wp:wrapNone/>
                      <wp:docPr id="576" name="Frame5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95935" cy="175260"/>
                      <wp:effectExtent l="0" t="0" r="0" b="0"/>
                      <wp:wrapNone/>
                      <wp:docPr id="577" name="Frame5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78" name="Frame5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33985" cy="175260"/>
                      <wp:effectExtent l="0" t="0" r="0" b="0"/>
                      <wp:wrapNone/>
                      <wp:docPr id="579" name="Frame5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495935" cy="175260"/>
                      <wp:effectExtent l="0" t="0" r="0" b="0"/>
                      <wp:wrapNone/>
                      <wp:docPr id="580" name="Frame5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7010" cy="175260"/>
                      <wp:effectExtent l="0" t="0" r="0" b="0"/>
                      <wp:wrapNone/>
                      <wp:docPr id="581"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53035" cy="175260"/>
                      <wp:effectExtent l="0" t="0" r="0" b="0"/>
                      <wp:wrapNone/>
                      <wp:docPr id="582" name="Frame58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490855" cy="175260"/>
                      <wp:effectExtent l="0" t="0" r="0" b="0"/>
                      <wp:wrapNone/>
                      <wp:docPr id="583" name="Frame583"/>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36220" cy="175260"/>
                      <wp:effectExtent l="0" t="0" r="0" b="0"/>
                      <wp:wrapNone/>
                      <wp:docPr id="584" name="Frame584"/>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338455" cy="175260"/>
                      <wp:effectExtent l="0" t="0" r="0" b="0"/>
                      <wp:wrapNone/>
                      <wp:docPr id="585" name="Frame585"/>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0660" cy="175260"/>
                      <wp:effectExtent l="0" t="0" r="0" b="0"/>
                      <wp:wrapNone/>
                      <wp:docPr id="586" name="Frame58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w:t>
            </w:r>
          </w:p>
        </w:tc>
      </w:tr>
      <w:tr>
        <w:trPr/>
        <w:tc>
          <w:tcPr>
            <w:tcW w:w="714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center"/>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268,273</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40,332</w:t>
            </w:r>
          </w:p>
        </w:tc>
        <w:tc>
          <w:tcPr>
            <w:tcW w:w="372"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49,612</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3,404</w:t>
            </w:r>
          </w:p>
        </w:tc>
        <w:tc>
          <w:tcPr>
            <w:tcW w:w="372" w:type="dxa"/>
            <w:tcBorders/>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317,885</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43,736</w:t>
            </w:r>
          </w:p>
        </w:tc>
        <w:tc>
          <w:tcPr>
            <w:tcW w:w="372" w:type="dxa"/>
            <w:tcBorders/>
            <w:shd w:fill="CCEEFF" w:val="clear"/>
            <w:vAlign w:val="center"/>
          </w:tcPr>
          <w:p>
            <w:pPr>
              <w:pStyle w:val="TableContents"/>
              <w:bidi w:val="0"/>
              <w:spacing w:before="0" w:after="0"/>
              <w:ind w:left="0" w:right="0" w:hanging="0"/>
              <w:jc w:val="left"/>
              <w:rPr/>
            </w:pPr>
            <w:r>
              <w:rPr/>
              <w:t> </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Revenues increased $43.7 million, or 13.8%, to $361.6 million for the six months ended June 30, 2025 compared to $317.9 million for the same period in 2024. The increase in software subscriptions revenues of $40.3 million, or 15.0%, was primarily driven by increases from our existing customers through cross-selling new products, and to a lesser extent, increases due to expanded use and price increases. Software subscriptions revenues derived from new customers averaged 8.3% and 5.7% of total software subscriptions revenues in the six months ended June 30, 2025 and 2024,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$3.4 million increase in services revenues was primarily driven by a $4.2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These increases were partially offset by a $0.8 million decrease in service revenues primarily from the impact of our efforts to steer more implementation opportunities to our channel partners, who are an important referral source for new software opportunities. </w:t>
      </w:r>
    </w:p>
    <w:p>
      <w:pPr>
        <w:pStyle w:val="TextBody"/>
        <w:bidi w:val="0"/>
        <w:spacing w:before="0" w:after="0"/>
        <w:ind w:left="0" w:right="0" w:firstLine="360"/>
        <w:jc w:val="both"/>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Cost of Software Subscriptions Revenues </w:t>
      </w:r>
    </w:p>
    <w:tbl>
      <w:tblPr>
        <w:tblW w:w="8303" w:type="dxa"/>
        <w:jc w:val="left"/>
        <w:tblInd w:w="0" w:type="dxa"/>
        <w:tblLayout w:type="fixed"/>
        <w:tblCellMar>
          <w:top w:w="0" w:type="dxa"/>
          <w:left w:w="0" w:type="dxa"/>
          <w:bottom w:w="0" w:type="dxa"/>
          <w:right w:w="0" w:type="dxa"/>
        </w:tblCellMar>
      </w:tblPr>
      <w:tblGrid>
        <w:gridCol w:w="3316"/>
        <w:gridCol w:w="326"/>
        <w:gridCol w:w="211"/>
        <w:gridCol w:w="676"/>
        <w:gridCol w:w="326"/>
        <w:gridCol w:w="211"/>
        <w:gridCol w:w="676"/>
        <w:gridCol w:w="326"/>
        <w:gridCol w:w="275"/>
        <w:gridCol w:w="746"/>
        <w:gridCol w:w="426"/>
        <w:gridCol w:w="472"/>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05660" cy="175260"/>
                      <wp:effectExtent l="0" t="0" r="0" b="0"/>
                      <wp:wrapNone/>
                      <wp:docPr id="587" name="Frame587"/>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07010" cy="175260"/>
                      <wp:effectExtent l="0" t="0" r="0" b="0"/>
                      <wp:wrapNone/>
                      <wp:docPr id="588" name="Frame5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33985" cy="175260"/>
                      <wp:effectExtent l="0" t="0" r="0" b="0"/>
                      <wp:wrapNone/>
                      <wp:docPr id="589" name="Frame5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29260" cy="175260"/>
                      <wp:effectExtent l="0" t="0" r="0" b="0"/>
                      <wp:wrapNone/>
                      <wp:docPr id="590" name="Frame5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91"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33985" cy="175260"/>
                      <wp:effectExtent l="0" t="0" r="0" b="0"/>
                      <wp:wrapNone/>
                      <wp:docPr id="592" name="Frame5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429260" cy="175260"/>
                      <wp:effectExtent l="0" t="0" r="0" b="0"/>
                      <wp:wrapNone/>
                      <wp:docPr id="593" name="Frame5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07010" cy="175260"/>
                      <wp:effectExtent l="0" t="0" r="0" b="0"/>
                      <wp:wrapNone/>
                      <wp:docPr id="594" name="Frame5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74625" cy="175260"/>
                      <wp:effectExtent l="0" t="0" r="0" b="0"/>
                      <wp:wrapNone/>
                      <wp:docPr id="595" name="Frame59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473710" cy="175260"/>
                      <wp:effectExtent l="0" t="0" r="0" b="0"/>
                      <wp:wrapNone/>
                      <wp:docPr id="596" name="Frame596"/>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70510" cy="175260"/>
                      <wp:effectExtent l="0" t="0" r="0" b="0"/>
                      <wp:wrapNone/>
                      <wp:docPr id="597" name="Frame597"/>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99720" cy="175260"/>
                      <wp:effectExtent l="0" t="0" r="0" b="0"/>
                      <wp:wrapNone/>
                      <wp:docPr id="598" name="Frame598"/>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0660" cy="175260"/>
                      <wp:effectExtent l="0" t="0" r="0" b="0"/>
                      <wp:wrapNone/>
                      <wp:docPr id="599" name="Frame59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center"/>
              <w:rPr/>
            </w:pPr>
            <w:r>
              <w:rPr/>
              <w:t>​</w:t>
            </w:r>
          </w:p>
        </w:tc>
        <w:tc>
          <w:tcPr>
            <w:tcW w:w="426" w:type="dxa"/>
            <w:tcBorders/>
            <w:vAlign w:val="center"/>
          </w:tcPr>
          <w:p>
            <w:pPr>
              <w:pStyle w:val="TableContents"/>
              <w:bidi w:val="0"/>
              <w:spacing w:before="0" w:after="0"/>
              <w:ind w:left="0" w:right="0" w:hanging="0"/>
              <w:jc w:val="left"/>
              <w:rPr/>
            </w:pPr>
            <w:r>
              <w:rPr/>
              <w:t>​</w:t>
            </w:r>
          </w:p>
        </w:tc>
        <w:tc>
          <w:tcPr>
            <w:tcW w:w="472"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center"/>
              <w:rPr/>
            </w:pPr>
            <w:r>
              <w:rPr/>
              <w:t>​</w:t>
            </w:r>
          </w:p>
        </w:tc>
        <w:tc>
          <w:tcPr>
            <w:tcW w:w="426" w:type="dxa"/>
            <w:tcBorders/>
            <w:vAlign w:val="center"/>
          </w:tcPr>
          <w:p>
            <w:pPr>
              <w:pStyle w:val="TableContents"/>
              <w:bidi w:val="0"/>
              <w:spacing w:before="0" w:after="0"/>
              <w:ind w:left="0" w:right="0" w:hanging="0"/>
              <w:jc w:val="left"/>
              <w:rPr/>
            </w:pPr>
            <w:r>
              <w:rPr/>
              <w:t>​</w:t>
            </w:r>
          </w:p>
        </w:tc>
        <w:tc>
          <w:tcPr>
            <w:tcW w:w="472"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software subscriptions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87,389</w:t>
            </w:r>
          </w:p>
        </w:tc>
        <w:tc>
          <w:tcPr>
            <w:tcW w:w="326" w:type="dxa"/>
            <w:tcBorders/>
            <w:shd w:fill="CCEEFF" w:val="clear"/>
            <w:vAlign w:val="center"/>
          </w:tcPr>
          <w:p>
            <w:pPr>
              <w:pStyle w:val="TableContents"/>
              <w:bidi w:val="0"/>
              <w:spacing w:before="0" w:after="0"/>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426"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software subscriptions revenues increased $1.3 million, or 1.5%, to $88.7 million for the six months ended June 30, 2025 compared to $87.4 million for the same period in 2024. The increase was primarily driven by an increase in depreciation and amortization of capitalized software and acquired intangible assets associated with our ongoing investments in internal-use software for cloud-based subscription solutions, software developed for sale for new products and enhancements to existing products, and costs associated with the increased amortization of acquired intangible assets. </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Cost of Services Revenues </w:t>
      </w:r>
    </w:p>
    <w:p>
      <w:pPr>
        <w:pStyle w:val="TextBody"/>
        <w:bidi w:val="0"/>
        <w:spacing w:before="0" w:after="0"/>
        <w:ind w:left="0" w:right="0" w:firstLine="360"/>
        <w:jc w:val="both"/>
        <w:rPr/>
      </w:pPr>
      <w:r>
        <w:rPr/>
        <w:t>​</w:t>
      </w:r>
    </w:p>
    <w:tbl>
      <w:tblPr>
        <w:tblW w:w="7147" w:type="dxa"/>
        <w:jc w:val="left"/>
        <w:tblInd w:w="0" w:type="dxa"/>
        <w:tblLayout w:type="fixed"/>
        <w:tblCellMar>
          <w:top w:w="0" w:type="dxa"/>
          <w:left w:w="0" w:type="dxa"/>
          <w:bottom w:w="0" w:type="dxa"/>
          <w:right w:w="0" w:type="dxa"/>
        </w:tblCellMar>
      </w:tblPr>
      <w:tblGrid>
        <w:gridCol w:w="2161"/>
        <w:gridCol w:w="326"/>
        <w:gridCol w:w="211"/>
        <w:gridCol w:w="676"/>
        <w:gridCol w:w="326"/>
        <w:gridCol w:w="211"/>
        <w:gridCol w:w="676"/>
        <w:gridCol w:w="326"/>
        <w:gridCol w:w="257"/>
        <w:gridCol w:w="696"/>
        <w:gridCol w:w="397"/>
        <w:gridCol w:w="568"/>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372235" cy="175260"/>
                      <wp:effectExtent l="0" t="0" r="0" b="0"/>
                      <wp:wrapNone/>
                      <wp:docPr id="600" name="Frame60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601" name="Frame6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33985" cy="175260"/>
                      <wp:effectExtent l="0" t="0" r="0" b="0"/>
                      <wp:wrapNone/>
                      <wp:docPr id="602" name="Frame6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29260" cy="175260"/>
                      <wp:effectExtent l="0" t="0" r="0" b="0"/>
                      <wp:wrapNone/>
                      <wp:docPr id="603" name="Frame6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604" name="Frame6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33985" cy="175260"/>
                      <wp:effectExtent l="0" t="0" r="0" b="0"/>
                      <wp:wrapNone/>
                      <wp:docPr id="605" name="Frame6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29260" cy="175260"/>
                      <wp:effectExtent l="0" t="0" r="0" b="0"/>
                      <wp:wrapNone/>
                      <wp:docPr id="606" name="Frame6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07010" cy="175260"/>
                      <wp:effectExtent l="0" t="0" r="0" b="0"/>
                      <wp:wrapNone/>
                      <wp:docPr id="607" name="Frame6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63195" cy="175260"/>
                      <wp:effectExtent l="0" t="0" r="0" b="0"/>
                      <wp:wrapNone/>
                      <wp:docPr id="608" name="Frame60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41960" cy="175260"/>
                      <wp:effectExtent l="0" t="0" r="0" b="0"/>
                      <wp:wrapNone/>
                      <wp:docPr id="609" name="Frame609"/>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52095" cy="175260"/>
                      <wp:effectExtent l="0" t="0" r="0" b="0"/>
                      <wp:wrapNone/>
                      <wp:docPr id="610" name="Frame610"/>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360680" cy="175260"/>
                      <wp:effectExtent l="0" t="0" r="0" b="0"/>
                      <wp:wrapNone/>
                      <wp:docPr id="611" name="Frame611"/>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00660" cy="175260"/>
                      <wp:effectExtent l="0" t="0" r="0" b="0"/>
                      <wp:wrapNone/>
                      <wp:docPr id="612" name="Frame61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c>
          <w:tcPr>
            <w:tcW w:w="397"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c>
          <w:tcPr>
            <w:tcW w:w="397"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32,016</w:t>
            </w:r>
          </w:p>
        </w:tc>
        <w:tc>
          <w:tcPr>
            <w:tcW w:w="32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6,707</w:t>
            </w:r>
          </w:p>
        </w:tc>
        <w:tc>
          <w:tcPr>
            <w:tcW w:w="397" w:type="dxa"/>
            <w:tcBorders/>
            <w:shd w:fill="CCEEFF" w:val="clear"/>
            <w:vAlign w:val="center"/>
          </w:tcPr>
          <w:p>
            <w:pPr>
              <w:pStyle w:val="TableContents"/>
              <w:bidi w:val="0"/>
              <w:spacing w:before="0" w:after="0"/>
              <w:ind w:left="0" w:right="0" w:hanging="0"/>
              <w:jc w:val="left"/>
              <w:rPr/>
            </w:pPr>
            <w:r>
              <w:rPr/>
              <w:t>    </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increased $6.7 million, or 20.9%, to $38.7 million for the six months ended June 30, 2025, compared to $32.0 million for the same period in 2024. The increase was primarily due to an increase in costs of service delivery personnel to support revenue growth in software subscription-related services and our managed services offering.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Research and Development </w:t>
      </w:r>
    </w:p>
    <w:tbl>
      <w:tblPr>
        <w:tblW w:w="7299" w:type="dxa"/>
        <w:jc w:val="left"/>
        <w:tblInd w:w="0" w:type="dxa"/>
        <w:tblLayout w:type="fixed"/>
        <w:tblCellMar>
          <w:top w:w="0" w:type="dxa"/>
          <w:left w:w="0" w:type="dxa"/>
          <w:bottom w:w="0" w:type="dxa"/>
          <w:right w:w="0" w:type="dxa"/>
        </w:tblCellMar>
      </w:tblPr>
      <w:tblGrid>
        <w:gridCol w:w="2311"/>
        <w:gridCol w:w="326"/>
        <w:gridCol w:w="211"/>
        <w:gridCol w:w="676"/>
        <w:gridCol w:w="326"/>
        <w:gridCol w:w="211"/>
        <w:gridCol w:w="676"/>
        <w:gridCol w:w="326"/>
        <w:gridCol w:w="270"/>
        <w:gridCol w:w="866"/>
        <w:gridCol w:w="187"/>
        <w:gridCol w:w="597"/>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467485" cy="175260"/>
                      <wp:effectExtent l="0" t="0" r="0" b="0"/>
                      <wp:wrapNone/>
                      <wp:docPr id="613" name="Frame61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07010" cy="175260"/>
                      <wp:effectExtent l="0" t="0" r="0" b="0"/>
                      <wp:wrapNone/>
                      <wp:docPr id="614" name="Frame6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33985" cy="175260"/>
                      <wp:effectExtent l="0" t="0" r="0" b="0"/>
                      <wp:wrapNone/>
                      <wp:docPr id="615" name="Frame6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429260" cy="175260"/>
                      <wp:effectExtent l="0" t="0" r="0" b="0"/>
                      <wp:wrapNone/>
                      <wp:docPr id="616" name="Frame6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07010" cy="175260"/>
                      <wp:effectExtent l="0" t="0" r="0" b="0"/>
                      <wp:wrapNone/>
                      <wp:docPr id="617" name="Frame6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33985" cy="175260"/>
                      <wp:effectExtent l="0" t="0" r="0" b="0"/>
                      <wp:wrapNone/>
                      <wp:docPr id="618" name="Frame6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29260" cy="175260"/>
                      <wp:effectExtent l="0" t="0" r="0" b="0"/>
                      <wp:wrapNone/>
                      <wp:docPr id="619" name="Frame6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07010" cy="175260"/>
                      <wp:effectExtent l="0" t="0" r="0" b="0"/>
                      <wp:wrapNone/>
                      <wp:docPr id="620" name="Frame6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71450" cy="175260"/>
                      <wp:effectExtent l="0" t="0" r="0" b="0"/>
                      <wp:wrapNone/>
                      <wp:docPr id="621" name="Frame62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549910" cy="175260"/>
                      <wp:effectExtent l="0" t="0" r="0" b="0"/>
                      <wp:wrapNone/>
                      <wp:docPr id="622" name="Frame622"/>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18745" cy="175260"/>
                      <wp:effectExtent l="0" t="0" r="0" b="0"/>
                      <wp:wrapNone/>
                      <wp:docPr id="623" name="Frame623"/>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379095" cy="175260"/>
                      <wp:effectExtent l="0" t="0" r="0" b="0"/>
                      <wp:wrapNone/>
                      <wp:docPr id="624" name="Frame624"/>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0660" cy="175260"/>
                      <wp:effectExtent l="0" t="0" r="0" b="0"/>
                      <wp:wrapNone/>
                      <wp:docPr id="625" name="Frame62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center"/>
              <w:rPr/>
            </w:pPr>
            <w:r>
              <w:rPr/>
              <w:t>​</w:t>
            </w:r>
          </w:p>
        </w:tc>
        <w:tc>
          <w:tcPr>
            <w:tcW w:w="187"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center"/>
              <w:rPr/>
            </w:pPr>
            <w:r>
              <w:rPr/>
              <w:t>​</w:t>
            </w:r>
          </w:p>
        </w:tc>
        <w:tc>
          <w:tcPr>
            <w:tcW w:w="187"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2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31,459</w:t>
            </w:r>
          </w:p>
        </w:tc>
        <w:tc>
          <w:tcPr>
            <w:tcW w:w="32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10,009</w:t>
            </w:r>
          </w:p>
        </w:tc>
        <w:tc>
          <w:tcPr>
            <w:tcW w:w="187" w:type="dxa"/>
            <w:tcBorders/>
            <w:shd w:fill="CCEEFF" w:val="clear"/>
            <w:vAlign w:val="center"/>
          </w:tcPr>
          <w:p>
            <w:pPr>
              <w:pStyle w:val="TableContents"/>
              <w:bidi w:val="0"/>
              <w:spacing w:before="0" w:after="0"/>
              <w:ind w:left="0" w:right="0" w:hanging="0"/>
              <w:jc w:val="left"/>
              <w:rPr/>
            </w:pPr>
            <w:r>
              <w:rPr/>
              <w:t> </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$10.0 million, or 31.8%, to $41.5 million for the six months ended June 30, 2025 compared to $31.5 million for the same period in 2024. This increase in research and development expenses was primarily due to an increase in personnel costs related to development work associated with new solutions to address end-to-end data analysis and compliance needs of our customers, and continued expansion of connectors and application program interfaces to customer ERP and other software platforms. Additionally, this increase reflects additional research and development investments related to the commercialization of our AI-based Smart Categorization product, other AI-related internal tools and new product initiatives, and other emerging technologies.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Selling and Marketing </w:t>
      </w:r>
    </w:p>
    <w:tbl>
      <w:tblPr>
        <w:tblW w:w="6908" w:type="dxa"/>
        <w:jc w:val="left"/>
        <w:tblInd w:w="0" w:type="dxa"/>
        <w:tblLayout w:type="fixed"/>
        <w:tblCellMar>
          <w:top w:w="0" w:type="dxa"/>
          <w:left w:w="0" w:type="dxa"/>
          <w:bottom w:w="0" w:type="dxa"/>
          <w:right w:w="0" w:type="dxa"/>
        </w:tblCellMar>
      </w:tblPr>
      <w:tblGrid>
        <w:gridCol w:w="1921"/>
        <w:gridCol w:w="326"/>
        <w:gridCol w:w="211"/>
        <w:gridCol w:w="676"/>
        <w:gridCol w:w="326"/>
        <w:gridCol w:w="211"/>
        <w:gridCol w:w="676"/>
        <w:gridCol w:w="326"/>
        <w:gridCol w:w="241"/>
        <w:gridCol w:w="773"/>
        <w:gridCol w:w="372"/>
        <w:gridCol w:w="533"/>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219835" cy="175260"/>
                      <wp:effectExtent l="0" t="0" r="0" b="0"/>
                      <wp:wrapNone/>
                      <wp:docPr id="626" name="Frame626"/>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07010" cy="175260"/>
                      <wp:effectExtent l="0" t="0" r="0" b="0"/>
                      <wp:wrapNone/>
                      <wp:docPr id="627" name="Frame6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33985" cy="175260"/>
                      <wp:effectExtent l="0" t="0" r="0" b="0"/>
                      <wp:wrapNone/>
                      <wp:docPr id="628" name="Frame6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429260" cy="175260"/>
                      <wp:effectExtent l="0" t="0" r="0" b="0"/>
                      <wp:wrapNone/>
                      <wp:docPr id="629" name="Frame6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07010" cy="175260"/>
                      <wp:effectExtent l="0" t="0" r="0" b="0"/>
                      <wp:wrapNone/>
                      <wp:docPr id="630" name="Frame6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31" name="Frame6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429260" cy="175260"/>
                      <wp:effectExtent l="0" t="0" r="0" b="0"/>
                      <wp:wrapNone/>
                      <wp:docPr id="632" name="Frame6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07010" cy="175260"/>
                      <wp:effectExtent l="0" t="0" r="0" b="0"/>
                      <wp:wrapNone/>
                      <wp:docPr id="633" name="Frame6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53035" cy="175260"/>
                      <wp:effectExtent l="0" t="0" r="0" b="0"/>
                      <wp:wrapNone/>
                      <wp:docPr id="634" name="Frame63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490855" cy="175260"/>
                      <wp:effectExtent l="0" t="0" r="0" b="0"/>
                      <wp:wrapNone/>
                      <wp:docPr id="635" name="Frame635"/>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36220" cy="175260"/>
                      <wp:effectExtent l="0" t="0" r="0" b="0"/>
                      <wp:wrapNone/>
                      <wp:docPr id="636" name="Frame636"/>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338455" cy="175260"/>
                      <wp:effectExtent l="0" t="0" r="0" b="0"/>
                      <wp:wrapNone/>
                      <wp:docPr id="637" name="Frame637"/>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00660" cy="175260"/>
                      <wp:effectExtent l="0" t="0" r="0" b="0"/>
                      <wp:wrapNone/>
                      <wp:docPr id="638" name="Frame6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 </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96,609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81,032</w:t>
            </w:r>
          </w:p>
        </w:tc>
        <w:tc>
          <w:tcPr>
            <w:tcW w:w="32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15,577</w:t>
            </w:r>
          </w:p>
        </w:tc>
        <w:tc>
          <w:tcPr>
            <w:tcW w:w="372"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and marketing expenses increased $15.6 million, or 19.2%, to $96.6 million for the six months ended June 30, 2025 compared to $81.0 million for the same period in 2024. This increase was primarily driven by an $8.8 million increase in payroll and related expenses associated with the growth in period-over-period subscription sales and services revenues and expansion of our partner and channel management programs. Additionally, there was an increase of $6.7 million in advertising and promotional spending related to expanded brand awareness efforts.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tbl>
      <w:tblPr>
        <w:tblW w:w="7298" w:type="dxa"/>
        <w:jc w:val="left"/>
        <w:tblInd w:w="0" w:type="dxa"/>
        <w:tblLayout w:type="fixed"/>
        <w:tblCellMar>
          <w:top w:w="0" w:type="dxa"/>
          <w:left w:w="0" w:type="dxa"/>
          <w:bottom w:w="0" w:type="dxa"/>
          <w:right w:w="0" w:type="dxa"/>
        </w:tblCellMar>
      </w:tblPr>
      <w:tblGrid>
        <w:gridCol w:w="2311"/>
        <w:gridCol w:w="326"/>
        <w:gridCol w:w="211"/>
        <w:gridCol w:w="676"/>
        <w:gridCol w:w="326"/>
        <w:gridCol w:w="211"/>
        <w:gridCol w:w="676"/>
        <w:gridCol w:w="326"/>
        <w:gridCol w:w="241"/>
        <w:gridCol w:w="773"/>
        <w:gridCol w:w="372"/>
        <w:gridCol w:w="53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467485" cy="175260"/>
                      <wp:effectExtent l="0" t="0" r="0" b="0"/>
                      <wp:wrapNone/>
                      <wp:docPr id="639" name="Frame63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7010" cy="175260"/>
                      <wp:effectExtent l="0" t="0" r="0" b="0"/>
                      <wp:wrapNone/>
                      <wp:docPr id="640" name="Frame6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33985" cy="175260"/>
                      <wp:effectExtent l="0" t="0" r="0" b="0"/>
                      <wp:wrapNone/>
                      <wp:docPr id="641" name="Frame6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429260" cy="175260"/>
                      <wp:effectExtent l="0" t="0" r="0" b="0"/>
                      <wp:wrapNone/>
                      <wp:docPr id="642" name="Frame6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07010" cy="175260"/>
                      <wp:effectExtent l="0" t="0" r="0" b="0"/>
                      <wp:wrapNone/>
                      <wp:docPr id="643" name="Frame6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33985" cy="175260"/>
                      <wp:effectExtent l="0" t="0" r="0" b="0"/>
                      <wp:wrapNone/>
                      <wp:docPr id="644" name="Frame6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429260" cy="175260"/>
                      <wp:effectExtent l="0" t="0" r="0" b="0"/>
                      <wp:wrapNone/>
                      <wp:docPr id="645" name="Frame6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7010" cy="175260"/>
                      <wp:effectExtent l="0" t="0" r="0" b="0"/>
                      <wp:wrapNone/>
                      <wp:docPr id="646" name="Frame6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53035" cy="175260"/>
                      <wp:effectExtent l="0" t="0" r="0" b="0"/>
                      <wp:wrapNone/>
                      <wp:docPr id="647" name="Frame64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490855" cy="175260"/>
                      <wp:effectExtent l="0" t="0" r="0" b="0"/>
                      <wp:wrapNone/>
                      <wp:docPr id="648" name="Frame648"/>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36220" cy="175260"/>
                      <wp:effectExtent l="0" t="0" r="0" b="0"/>
                      <wp:wrapNone/>
                      <wp:docPr id="649" name="Frame649"/>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338455" cy="175260"/>
                      <wp:effectExtent l="0" t="0" r="0" b="0"/>
                      <wp:wrapNone/>
                      <wp:docPr id="650" name="Frame650"/>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00660" cy="175260"/>
                      <wp:effectExtent l="0" t="0" r="0" b="0"/>
                      <wp:wrapNone/>
                      <wp:docPr id="651" name="Frame6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88,420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71,416</w:t>
            </w:r>
          </w:p>
        </w:tc>
        <w:tc>
          <w:tcPr>
            <w:tcW w:w="32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17,004</w:t>
            </w:r>
          </w:p>
        </w:tc>
        <w:tc>
          <w:tcPr>
            <w:tcW w:w="372"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$17.0 million, or 23.8%, to $88.4 million for the six months ended June 30, 2025 compared to $71.4 million for the same period in 2024, primarily driven by planned strategic investments in information technology infrastructure, business process re-engineering and other initiatives to drive future operating leverage, as well as investments in employees, systems and other resources in support of our growth.</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tbl>
      <w:tblPr>
        <w:tblW w:w="7582" w:type="dxa"/>
        <w:jc w:val="left"/>
        <w:tblInd w:w="0" w:type="dxa"/>
        <w:tblLayout w:type="fixed"/>
        <w:tblCellMar>
          <w:top w:w="0" w:type="dxa"/>
          <w:left w:w="0" w:type="dxa"/>
          <w:bottom w:w="0" w:type="dxa"/>
          <w:right w:w="0" w:type="dxa"/>
        </w:tblCellMar>
      </w:tblPr>
      <w:tblGrid>
        <w:gridCol w:w="2596"/>
        <w:gridCol w:w="326"/>
        <w:gridCol w:w="211"/>
        <w:gridCol w:w="676"/>
        <w:gridCol w:w="326"/>
        <w:gridCol w:w="211"/>
        <w:gridCol w:w="676"/>
        <w:gridCol w:w="326"/>
        <w:gridCol w:w="257"/>
        <w:gridCol w:w="696"/>
        <w:gridCol w:w="397"/>
        <w:gridCol w:w="568"/>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648460" cy="175260"/>
                      <wp:effectExtent l="0" t="0" r="0" b="0"/>
                      <wp:wrapNone/>
                      <wp:docPr id="652" name="Frame65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07010" cy="175260"/>
                      <wp:effectExtent l="0" t="0" r="0" b="0"/>
                      <wp:wrapNone/>
                      <wp:docPr id="653" name="Frame6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33985" cy="175260"/>
                      <wp:effectExtent l="0" t="0" r="0" b="0"/>
                      <wp:wrapNone/>
                      <wp:docPr id="654" name="Frame6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429260" cy="175260"/>
                      <wp:effectExtent l="0" t="0" r="0" b="0"/>
                      <wp:wrapNone/>
                      <wp:docPr id="655" name="Frame6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56" name="Frame6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57" name="Frame6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429260" cy="175260"/>
                      <wp:effectExtent l="0" t="0" r="0" b="0"/>
                      <wp:wrapNone/>
                      <wp:docPr id="658" name="Frame6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7010" cy="175260"/>
                      <wp:effectExtent l="0" t="0" r="0" b="0"/>
                      <wp:wrapNone/>
                      <wp:docPr id="659" name="Frame6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63195" cy="175260"/>
                      <wp:effectExtent l="0" t="0" r="0" b="0"/>
                      <wp:wrapNone/>
                      <wp:docPr id="660" name="Frame66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441960" cy="175260"/>
                      <wp:effectExtent l="0" t="0" r="0" b="0"/>
                      <wp:wrapNone/>
                      <wp:docPr id="661" name="Frame661"/>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52095" cy="175260"/>
                      <wp:effectExtent l="0" t="0" r="0" b="0"/>
                      <wp:wrapNone/>
                      <wp:docPr id="662" name="Frame662"/>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360680" cy="175260"/>
                      <wp:effectExtent l="0" t="0" r="0" b="0"/>
                      <wp:wrapNone/>
                      <wp:docPr id="663" name="Frame663"/>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00660" cy="175260"/>
                      <wp:effectExtent l="0" t="0" r="0" b="0"/>
                      <wp:wrapNone/>
                      <wp:docPr id="664" name="Frame66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c>
          <w:tcPr>
            <w:tcW w:w="397"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c>
          <w:tcPr>
            <w:tcW w:w="397"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9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w:t>
            </w:r>
          </w:p>
        </w:tc>
        <w:tc>
          <w:tcPr>
            <w:tcW w:w="32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w:t>
            </w:r>
          </w:p>
        </w:tc>
        <w:tc>
          <w:tcPr>
            <w:tcW w:w="397" w:type="dxa"/>
            <w:tcBorders/>
            <w:shd w:fill="CCEEFF" w:val="clear"/>
            <w:vAlign w:val="center"/>
          </w:tcPr>
          <w:p>
            <w:pPr>
              <w:pStyle w:val="TableContents"/>
              <w:bidi w:val="0"/>
              <w:spacing w:before="0" w:after="0"/>
              <w:ind w:left="0" w:right="0" w:hanging="0"/>
              <w:jc w:val="left"/>
              <w:rPr/>
            </w:pPr>
            <w:r>
              <w:rPr/>
              <w:t>    </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expenses increased $1.8 million, or 18.1%, to $12.1 million for the six months ended June 30, 2025 compared to $10.2 million for the same period in 2024. The increase was primarily due to the impact of infrastructure and technology purchases and other capitalized costs to support our growth.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Change in Fair Value of Acquisition Contingent Earn-outs</w:t>
      </w:r>
    </w:p>
    <w:tbl>
      <w:tblPr>
        <w:tblW w:w="9487" w:type="dxa"/>
        <w:jc w:val="left"/>
        <w:tblInd w:w="0" w:type="dxa"/>
        <w:tblLayout w:type="fixed"/>
        <w:tblCellMar>
          <w:top w:w="0" w:type="dxa"/>
          <w:left w:w="0" w:type="dxa"/>
          <w:bottom w:w="0" w:type="dxa"/>
          <w:right w:w="0" w:type="dxa"/>
        </w:tblCellMar>
      </w:tblPr>
      <w:tblGrid>
        <w:gridCol w:w="4666"/>
        <w:gridCol w:w="326"/>
        <w:gridCol w:w="231"/>
        <w:gridCol w:w="872"/>
        <w:gridCol w:w="119"/>
        <w:gridCol w:w="231"/>
        <w:gridCol w:w="510"/>
        <w:gridCol w:w="326"/>
        <w:gridCol w:w="304"/>
        <w:gridCol w:w="1061"/>
        <w:gridCol w:w="470"/>
        <w:gridCol w:w="371"/>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962910" cy="175260"/>
                      <wp:effectExtent l="0" t="0" r="0" b="0"/>
                      <wp:wrapNone/>
                      <wp:docPr id="665" name="Frame665"/>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6" name="Frame6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46685" cy="175260"/>
                      <wp:effectExtent l="0" t="0" r="0" b="0"/>
                      <wp:wrapNone/>
                      <wp:docPr id="667" name="Frame66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553720" cy="175260"/>
                      <wp:effectExtent l="0" t="0" r="0" b="0"/>
                      <wp:wrapNone/>
                      <wp:docPr id="668" name="Frame668"/>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75565" cy="175260"/>
                      <wp:effectExtent l="0" t="0" r="0" b="0"/>
                      <wp:wrapNone/>
                      <wp:docPr id="669" name="Frame669"/>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146685" cy="175260"/>
                      <wp:effectExtent l="0" t="0" r="0" b="0"/>
                      <wp:wrapNone/>
                      <wp:docPr id="670" name="Frame67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323850" cy="175260"/>
                      <wp:effectExtent l="0" t="0" r="0" b="0"/>
                      <wp:wrapNone/>
                      <wp:docPr id="671" name="Frame671"/>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07010" cy="175260"/>
                      <wp:effectExtent l="0" t="0" r="0" b="0"/>
                      <wp:wrapNone/>
                      <wp:docPr id="672" name="Frame6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93040" cy="175260"/>
                      <wp:effectExtent l="0" t="0" r="0" b="0"/>
                      <wp:wrapNone/>
                      <wp:docPr id="673" name="Frame673"/>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73735" cy="175260"/>
                      <wp:effectExtent l="0" t="0" r="0" b="0"/>
                      <wp:wrapNone/>
                      <wp:docPr id="674" name="Frame674"/>
                      <a:graphic xmlns:a="http://schemas.openxmlformats.org/drawingml/2006/main">
                        <a:graphicData uri="http://schemas.microsoft.com/office/word/2010/wordprocessingShape">
                          <wps:wsp>
                            <wps:cNvSpPr txBox="1"/>
                            <wps:spPr>
                              <a:xfrm>
                                <a:off x="0" y="0"/>
                                <a:ext cx="673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98450" cy="175260"/>
                      <wp:effectExtent l="0" t="0" r="0" b="0"/>
                      <wp:wrapNone/>
                      <wp:docPr id="675" name="Frame675"/>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35585" cy="175260"/>
                      <wp:effectExtent l="0" t="0" r="0" b="0"/>
                      <wp:wrapNone/>
                      <wp:docPr id="676" name="Frame67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1061" w:type="dxa"/>
            <w:tcBorders/>
            <w:vAlign w:val="center"/>
          </w:tcPr>
          <w:p>
            <w:pPr>
              <w:pStyle w:val="TableContents"/>
              <w:bidi w:val="0"/>
              <w:spacing w:before="0" w:after="1"/>
              <w:ind w:left="0" w:right="0" w:hanging="0"/>
              <w:jc w:val="center"/>
              <w:rPr/>
            </w:pPr>
            <w:r>
              <w:rPr/>
              <w:t>​</w:t>
            </w:r>
          </w:p>
        </w:tc>
        <w:tc>
          <w:tcPr>
            <w:tcW w:w="470"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center"/>
              <w:rPr/>
            </w:pPr>
            <w:r>
              <w:rPr/>
              <w:t>​</w:t>
            </w:r>
          </w:p>
        </w:tc>
      </w:tr>
      <w:tr>
        <w:trPr/>
        <w:tc>
          <w:tcPr>
            <w:tcW w:w="4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1061" w:type="dxa"/>
            <w:tcBorders/>
            <w:vAlign w:val="center"/>
          </w:tcPr>
          <w:p>
            <w:pPr>
              <w:pStyle w:val="TableContents"/>
              <w:bidi w:val="0"/>
              <w:spacing w:before="0" w:after="1"/>
              <w:ind w:left="0" w:right="0" w:hanging="0"/>
              <w:jc w:val="center"/>
              <w:rPr/>
            </w:pPr>
            <w:r>
              <w:rPr/>
              <w:t>​</w:t>
            </w:r>
          </w:p>
        </w:tc>
        <w:tc>
          <w:tcPr>
            <w:tcW w:w="470"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center"/>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9" w:type="dxa"/>
            <w:tcBorders/>
            <w:vAlign w:val="center"/>
          </w:tcPr>
          <w:p>
            <w:pPr>
              <w:pStyle w:val="TableContents"/>
              <w:bidi w:val="0"/>
              <w:spacing w:before="0" w:after="1"/>
              <w:ind w:left="0" w:right="0" w:hanging="0"/>
              <w:jc w:val="center"/>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1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220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(12,400)</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(12,400)</w:t>
            </w:r>
          </w:p>
        </w:tc>
        <w:tc>
          <w:tcPr>
            <w:tcW w:w="470"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Percentage change not meaningful.</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left"/>
              <w:rPr/>
            </w:pPr>
            <w:r>
              <w:rPr/>
              <w:t>​</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1061" w:type="dxa"/>
            <w:tcBorders/>
            <w:vAlign w:val="center"/>
          </w:tcPr>
          <w:p>
            <w:pPr>
              <w:pStyle w:val="TableContents"/>
              <w:bidi w:val="0"/>
              <w:spacing w:before="0" w:after="1"/>
              <w:ind w:left="0" w:right="0" w:hanging="0"/>
              <w:jc w:val="left"/>
              <w:rPr/>
            </w:pPr>
            <w:r>
              <w:rPr/>
              <w:t>​</w:t>
            </w:r>
          </w:p>
        </w:tc>
        <w:tc>
          <w:tcPr>
            <w:tcW w:w="470"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 in fair value of acquisition contingent earn-outs was $12.4 million for the six months ended June 30, 2025 due entirely to adjustments to the fair values of our ecosio acquisition contingent Cash Earn-outs and Stock Earn-outs of $3.5 million and $(15.9) million, respectively. For further information,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Other Operating Expense (Income), Net</w:t>
      </w:r>
    </w:p>
    <w:tbl>
      <w:tblPr>
        <w:tblW w:w="8108" w:type="dxa"/>
        <w:jc w:val="left"/>
        <w:tblInd w:w="0" w:type="dxa"/>
        <w:tblLayout w:type="fixed"/>
        <w:tblCellMar>
          <w:top w:w="0" w:type="dxa"/>
          <w:left w:w="0" w:type="dxa"/>
          <w:bottom w:w="0" w:type="dxa"/>
          <w:right w:w="0" w:type="dxa"/>
        </w:tblCellMar>
      </w:tblPr>
      <w:tblGrid>
        <w:gridCol w:w="3211"/>
        <w:gridCol w:w="326"/>
        <w:gridCol w:w="211"/>
        <w:gridCol w:w="571"/>
        <w:gridCol w:w="326"/>
        <w:gridCol w:w="211"/>
        <w:gridCol w:w="691"/>
        <w:gridCol w:w="326"/>
        <w:gridCol w:w="241"/>
        <w:gridCol w:w="653"/>
        <w:gridCol w:w="372"/>
        <w:gridCol w:w="653"/>
        <w:gridCol w:w="31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038985" cy="175260"/>
                      <wp:effectExtent l="0" t="0" r="0" b="0"/>
                      <wp:wrapNone/>
                      <wp:docPr id="677" name="Frame677"/>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07010" cy="175260"/>
                      <wp:effectExtent l="0" t="0" r="0" b="0"/>
                      <wp:wrapNone/>
                      <wp:docPr id="678" name="Frame6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133985" cy="175260"/>
                      <wp:effectExtent l="0" t="0" r="0" b="0"/>
                      <wp:wrapNone/>
                      <wp:docPr id="679" name="Frame6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362585" cy="175260"/>
                      <wp:effectExtent l="0" t="0" r="0" b="0"/>
                      <wp:wrapNone/>
                      <wp:docPr id="680" name="Frame6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07010" cy="175260"/>
                      <wp:effectExtent l="0" t="0" r="0" b="0"/>
                      <wp:wrapNone/>
                      <wp:docPr id="681" name="Frame6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33985" cy="175260"/>
                      <wp:effectExtent l="0" t="0" r="0" b="0"/>
                      <wp:wrapNone/>
                      <wp:docPr id="682" name="Frame6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438785" cy="175260"/>
                      <wp:effectExtent l="0" t="0" r="0" b="0"/>
                      <wp:wrapNone/>
                      <wp:docPr id="683" name="Frame6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207010" cy="175260"/>
                      <wp:effectExtent l="0" t="0" r="0" b="0"/>
                      <wp:wrapNone/>
                      <wp:docPr id="684" name="Frame6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153035" cy="175260"/>
                      <wp:effectExtent l="0" t="0" r="0" b="0"/>
                      <wp:wrapNone/>
                      <wp:docPr id="685" name="Frame68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414655" cy="175260"/>
                      <wp:effectExtent l="0" t="0" r="0" b="0"/>
                      <wp:wrapNone/>
                      <wp:docPr id="686" name="Frame686"/>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36220" cy="175260"/>
                      <wp:effectExtent l="0" t="0" r="0" b="0"/>
                      <wp:wrapNone/>
                      <wp:docPr id="687" name="Frame68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414655" cy="175260"/>
                      <wp:effectExtent l="0" t="0" r="0" b="0"/>
                      <wp:wrapNone/>
                      <wp:docPr id="688" name="Frame688"/>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00660" cy="175260"/>
                      <wp:effectExtent l="0" t="0" r="0" b="0"/>
                      <wp:wrapNone/>
                      <wp:docPr id="689" name="Frame6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w:t>
            </w:r>
          </w:p>
        </w:tc>
        <w:tc>
          <w:tcPr>
            <w:tcW w:w="32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9,033</w:t>
            </w:r>
          </w:p>
        </w:tc>
        <w:tc>
          <w:tcPr>
            <w:tcW w:w="372"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(income), net was $7.4 million of other operating expense, net for the six months ended June 30, 2025 compared to $1.6 million of other operating income, net for the same period in 2024. This change was primarily driven by $5.3 million related to legal costs associated with a pending legal claim and $1.6 million in foreign currency transaction losses incurred. For further information regarding the referenced pending legal claim, refer to Note 12, “Commitments and Contingencies” to the condensed consolidated financial statements included in this Quarterly Report on Form 10-Q. Additionally, in the prior year period we recorded a fair value adjustment of $(2.4) million to the contingent consideration liability for the  acquisition of Tellutax, LLC in 2021. For further information regarding the Tellutax, LLC contingent consideration liability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Interest Expense (Income), Net</w:t>
      </w:r>
    </w:p>
    <w:tbl>
      <w:tblPr>
        <w:tblW w:w="7387" w:type="dxa"/>
        <w:jc w:val="left"/>
        <w:tblInd w:w="0" w:type="dxa"/>
        <w:tblLayout w:type="fixed"/>
        <w:tblCellMar>
          <w:top w:w="0" w:type="dxa"/>
          <w:left w:w="0" w:type="dxa"/>
          <w:bottom w:w="0" w:type="dxa"/>
          <w:right w:w="0" w:type="dxa"/>
        </w:tblCellMar>
      </w:tblPr>
      <w:tblGrid>
        <w:gridCol w:w="2536"/>
        <w:gridCol w:w="326"/>
        <w:gridCol w:w="223"/>
        <w:gridCol w:w="730"/>
        <w:gridCol w:w="344"/>
        <w:gridCol w:w="223"/>
        <w:gridCol w:w="444"/>
        <w:gridCol w:w="326"/>
        <w:gridCol w:w="211"/>
        <w:gridCol w:w="691"/>
        <w:gridCol w:w="326"/>
        <w:gridCol w:w="691"/>
        <w:gridCol w:w="31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1610360" cy="175260"/>
                      <wp:effectExtent l="0" t="0" r="0" b="0"/>
                      <wp:wrapNone/>
                      <wp:docPr id="690" name="Frame690"/>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07010" cy="175260"/>
                      <wp:effectExtent l="0" t="0" r="0" b="0"/>
                      <wp:wrapNone/>
                      <wp:docPr id="691" name="Frame6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41605" cy="175260"/>
                      <wp:effectExtent l="0" t="0" r="0" b="0"/>
                      <wp:wrapNone/>
                      <wp:docPr id="692" name="Frame69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463550" cy="175260"/>
                      <wp:effectExtent l="0" t="0" r="0" b="0"/>
                      <wp:wrapNone/>
                      <wp:docPr id="693" name="Frame693"/>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18440" cy="175260"/>
                      <wp:effectExtent l="0" t="0" r="0" b="0"/>
                      <wp:wrapNone/>
                      <wp:docPr id="694" name="Frame694"/>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41605" cy="175260"/>
                      <wp:effectExtent l="0" t="0" r="0" b="0"/>
                      <wp:wrapNone/>
                      <wp:docPr id="695" name="Frame69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81940" cy="175260"/>
                      <wp:effectExtent l="0" t="0" r="0" b="0"/>
                      <wp:wrapNone/>
                      <wp:docPr id="696" name="Frame696"/>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07010" cy="175260"/>
                      <wp:effectExtent l="0" t="0" r="0" b="0"/>
                      <wp:wrapNone/>
                      <wp:docPr id="697" name="Frame6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33985" cy="175260"/>
                      <wp:effectExtent l="0" t="0" r="0" b="0"/>
                      <wp:wrapNone/>
                      <wp:docPr id="698" name="Frame6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438785" cy="175260"/>
                      <wp:effectExtent l="0" t="0" r="0" b="0"/>
                      <wp:wrapNone/>
                      <wp:docPr id="699" name="Frame6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07010" cy="175260"/>
                      <wp:effectExtent l="0" t="0" r="0" b="0"/>
                      <wp:wrapNone/>
                      <wp:docPr id="700" name="Frame7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438785" cy="175260"/>
                      <wp:effectExtent l="0" t="0" r="0" b="0"/>
                      <wp:wrapNone/>
                      <wp:docPr id="701" name="Frame7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00660" cy="175260"/>
                      <wp:effectExtent l="0" t="0" r="0" b="0"/>
                      <wp:wrapNone/>
                      <wp:docPr id="702" name="Frame7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4" w:type="dxa"/>
            <w:tcBorders/>
            <w:vAlign w:val="center"/>
          </w:tcPr>
          <w:p>
            <w:pPr>
              <w:pStyle w:val="TableContents"/>
              <w:bidi w:val="0"/>
              <w:spacing w:before="0" w:after="0"/>
              <w:ind w:left="0" w:right="0" w:hanging="0"/>
              <w:jc w:val="left"/>
              <w:rPr/>
            </w:pPr>
            <w:r>
              <w:rPr/>
              <w:t>    </w:t>
            </w:r>
          </w:p>
        </w:tc>
        <w:tc>
          <w:tcPr>
            <w:tcW w:w="6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44"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(income), net was $2.8 million of interest income, net for the six months ended June 30, 2025, compared to $0.5 million of interest expense, net for the same period in 2024. This change was mainly due to several factors: a $3.0 million increase in interest income primarily due to increased dollars invested during the period, a reduction of $0.3 million of interest expense related to the valuation of our prior year foreign currency forward contracts due to market fluctuations, and a $1.0 million decrease in interest costs related to the repayment of our Term Loan, which was fully repaid in the second quarter of 2024. These interest income increases were partially offset by $0.7 million in interest expense and a $0.4 million increase in deferred financing costs related to our Notes (as defined below).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Income Tax Benefit </w:t>
      </w:r>
    </w:p>
    <w:tbl>
      <w:tblPr>
        <w:tblW w:w="6728" w:type="dxa"/>
        <w:jc w:val="left"/>
        <w:tblInd w:w="0" w:type="dxa"/>
        <w:tblLayout w:type="fixed"/>
        <w:tblCellMar>
          <w:top w:w="0" w:type="dxa"/>
          <w:left w:w="0" w:type="dxa"/>
          <w:bottom w:w="0" w:type="dxa"/>
          <w:right w:w="0" w:type="dxa"/>
        </w:tblCellMar>
      </w:tblPr>
      <w:tblGrid>
        <w:gridCol w:w="1711"/>
        <w:gridCol w:w="326"/>
        <w:gridCol w:w="211"/>
        <w:gridCol w:w="691"/>
        <w:gridCol w:w="326"/>
        <w:gridCol w:w="211"/>
        <w:gridCol w:w="691"/>
        <w:gridCol w:w="326"/>
        <w:gridCol w:w="225"/>
        <w:gridCol w:w="737"/>
        <w:gridCol w:w="348"/>
        <w:gridCol w:w="609"/>
        <w:gridCol w:w="31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086485" cy="175260"/>
                      <wp:effectExtent l="0" t="0" r="0" b="0"/>
                      <wp:wrapNone/>
                      <wp:docPr id="703" name="Frame70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07010" cy="175260"/>
                      <wp:effectExtent l="0" t="0" r="0" b="0"/>
                      <wp:wrapNone/>
                      <wp:docPr id="704" name="Frame7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33985" cy="175260"/>
                      <wp:effectExtent l="0" t="0" r="0" b="0"/>
                      <wp:wrapNone/>
                      <wp:docPr id="705" name="Frame7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438785" cy="175260"/>
                      <wp:effectExtent l="0" t="0" r="0" b="0"/>
                      <wp:wrapNone/>
                      <wp:docPr id="706" name="Frame7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07010" cy="175260"/>
                      <wp:effectExtent l="0" t="0" r="0" b="0"/>
                      <wp:wrapNone/>
                      <wp:docPr id="707" name="Frame7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33985" cy="175260"/>
                      <wp:effectExtent l="0" t="0" r="0" b="0"/>
                      <wp:wrapNone/>
                      <wp:docPr id="708" name="Frame7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438785" cy="175260"/>
                      <wp:effectExtent l="0" t="0" r="0" b="0"/>
                      <wp:wrapNone/>
                      <wp:docPr id="709" name="Frame7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07010" cy="175260"/>
                      <wp:effectExtent l="0" t="0" r="0" b="0"/>
                      <wp:wrapNone/>
                      <wp:docPr id="710" name="Frame7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42875" cy="175260"/>
                      <wp:effectExtent l="0" t="0" r="0" b="0"/>
                      <wp:wrapNone/>
                      <wp:docPr id="711" name="Frame71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467995" cy="175260"/>
                      <wp:effectExtent l="0" t="0" r="0" b="0"/>
                      <wp:wrapNone/>
                      <wp:docPr id="712" name="Frame712"/>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220980" cy="175260"/>
                      <wp:effectExtent l="0" t="0" r="0" b="0"/>
                      <wp:wrapNone/>
                      <wp:docPr id="713" name="Frame713"/>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386715" cy="175260"/>
                      <wp:effectExtent l="0" t="0" r="0" b="0"/>
                      <wp:wrapNone/>
                      <wp:docPr id="714" name="Frame714"/>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00660" cy="175260"/>
                      <wp:effectExtent l="0" t="0" r="0" b="0"/>
                      <wp:wrapNone/>
                      <wp:docPr id="715" name="Frame7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c>
          <w:tcPr>
            <w:tcW w:w="348" w:type="dxa"/>
            <w:tcBorders/>
            <w:vAlign w:val="center"/>
          </w:tcPr>
          <w:p>
            <w:pPr>
              <w:pStyle w:val="TableContents"/>
              <w:bidi w:val="0"/>
              <w:spacing w:before="0" w:after="0"/>
              <w:ind w:left="0" w:right="0" w:hanging="0"/>
              <w:jc w:val="left"/>
              <w:rPr/>
            </w:pPr>
            <w:r>
              <w:rPr/>
              <w:t>​</w:t>
            </w:r>
          </w:p>
        </w:tc>
        <w:tc>
          <w:tcPr>
            <w:tcW w:w="609"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c>
          <w:tcPr>
            <w:tcW w:w="348" w:type="dxa"/>
            <w:tcBorders/>
            <w:vAlign w:val="center"/>
          </w:tcPr>
          <w:p>
            <w:pPr>
              <w:pStyle w:val="TableContents"/>
              <w:bidi w:val="0"/>
              <w:spacing w:before="0" w:after="0"/>
              <w:ind w:left="0" w:right="0" w:hanging="0"/>
              <w:jc w:val="left"/>
              <w:rPr/>
            </w:pPr>
            <w:r>
              <w:rPr/>
              <w:t>​</w:t>
            </w:r>
          </w:p>
        </w:tc>
        <w:tc>
          <w:tcPr>
            <w:tcW w:w="609"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c>
          <w:tcPr>
            <w:tcW w:w="32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w:t>
            </w:r>
          </w:p>
        </w:tc>
        <w:tc>
          <w:tcPr>
            <w:tcW w:w="348" w:type="dxa"/>
            <w:tcBorders/>
            <w:shd w:fill="CCEEFF" w:val="clear"/>
            <w:vAlign w:val="center"/>
          </w:tcPr>
          <w:p>
            <w:pPr>
              <w:pStyle w:val="TableContents"/>
              <w:bidi w:val="0"/>
              <w:spacing w:before="0" w:after="0"/>
              <w:ind w:left="0" w:right="0" w:hanging="0"/>
              <w:jc w:val="left"/>
              <w:rPr/>
            </w:pPr>
            <w:r>
              <w:rPr/>
              <w:t>    </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Income tax benefit was $6.8 million and $2.3 million for the six months ended June 30, 2025 and 2024, respectively. The change in tax benefit was primarily driven by higher tax benefits on exercises and vesting of stock awards recognized during the six months ended June 30, 2025, as well as fluctuations in income (loss) and nondeductible contingent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consideration liabilities. These income tax benefit increases were partially offset by fluctuations in valuation allowances on net deferred tax assets established for U.S. and certain foreign jurisdictions and increased limitations on deductions of certain employees’ compensation.</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2025, we had unrestricted cash and cash equivalents of $284.4 million. Our primary sources of capital include sales of our solutions, proceeds from bank lending facilities, and the offering of existing or future classes of stock.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2025, we had a credit agreement with a banking syndicate (the “Credit Agreement”) that provides a $300.0 million revolving facility (the “Line of Credit”). There were no outstanding borrowings under the Credit Agreement at June 30,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26, 2024, we closed a private offering of $345.0 million aggregate principal amount of 0.750% Convertible Senior Notes due in 2029 (the “Notes”). The net proceeds from the offering of the Notes were $333.7 million, after deducting the initial purchasers’ discount and commissions, and other transaction and offering expenses. For further information on the Notes, refer to our 2024 Annual Report.</w:t>
      </w:r>
    </w:p>
    <w:p>
      <w:pPr>
        <w:pStyle w:val="TextBody"/>
        <w:bidi w:val="0"/>
        <w:spacing w:before="0" w:after="0"/>
        <w:ind w:left="0" w:right="0" w:firstLine="360"/>
        <w:jc w:val="both"/>
        <w:rPr>
          <w:color w:val="7030A0"/>
        </w:rPr>
      </w:pPr>
      <w:r>
        <w:rPr>
          <w:color w:val="7030A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that our existing cash resources and our Line of Credit will be sufficient to meet our capital requirements and fund our operations for the next 12 months as well as our longer-term liquidity needs. If an early conversion notice occurs on our Notes, we have the option to pay cash, shares of our Class A common stock, or a combination of both. Also,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pStyle w:val="TextBody"/>
        <w:bidi w:val="0"/>
        <w:spacing w:before="0" w:after="0"/>
        <w:ind w:left="0" w:right="0" w:firstLine="360"/>
        <w:jc w:val="both"/>
        <w:rPr>
          <w:color w:val="7030A0"/>
        </w:rPr>
      </w:pPr>
      <w:r>
        <w:rPr>
          <w:color w:val="7030A0"/>
        </w:rPr>
        <w:t>​</w:t>
      </w:r>
    </w:p>
    <w:p>
      <w:pPr>
        <w:pStyle w:val="TextBody"/>
        <w:bidi w:val="0"/>
        <w:spacing w:before="0" w:after="0"/>
        <w:ind w:left="0" w:right="0" w:firstLine="360"/>
        <w:jc w:val="both"/>
        <w:rPr>
          <w:color w:val="7030A0"/>
        </w:rPr>
      </w:pPr>
      <w:r>
        <w:rPr>
          <w:color w:val="7030A0"/>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a summary of our cash flows for the periods indicated:</w:t>
      </w:r>
    </w:p>
    <w:p>
      <w:pPr>
        <w:pStyle w:val="TextBody"/>
        <w:bidi w:val="0"/>
        <w:spacing w:before="0" w:after="0"/>
        <w:ind w:left="0" w:right="0" w:hanging="0"/>
        <w:jc w:val="left"/>
        <w:rPr/>
      </w:pPr>
      <w:r>
        <w:rPr/>
        <w:t>​</w:t>
      </w:r>
    </w:p>
    <w:tbl>
      <w:tblPr>
        <w:tblW w:w="10067" w:type="dxa"/>
        <w:jc w:val="left"/>
        <w:tblInd w:w="0" w:type="dxa"/>
        <w:tblLayout w:type="fixed"/>
        <w:tblCellMar>
          <w:top w:w="0" w:type="dxa"/>
          <w:left w:w="0" w:type="dxa"/>
          <w:bottom w:w="0" w:type="dxa"/>
          <w:right w:w="0" w:type="dxa"/>
        </w:tblCellMar>
      </w:tblPr>
      <w:tblGrid>
        <w:gridCol w:w="5566"/>
        <w:gridCol w:w="211"/>
        <w:gridCol w:w="796"/>
        <w:gridCol w:w="109"/>
        <w:gridCol w:w="211"/>
        <w:gridCol w:w="796"/>
        <w:gridCol w:w="109"/>
        <w:gridCol w:w="211"/>
        <w:gridCol w:w="901"/>
        <w:gridCol w:w="146"/>
        <w:gridCol w:w="586"/>
        <w:gridCol w:w="271"/>
        <w:gridCol w:w="154"/>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3534410" cy="175260"/>
                      <wp:effectExtent l="0" t="0" r="0" b="0"/>
                      <wp:wrapNone/>
                      <wp:docPr id="716" name="Frame716"/>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33985" cy="175260"/>
                      <wp:effectExtent l="0" t="0" r="0" b="0"/>
                      <wp:wrapNone/>
                      <wp:docPr id="717" name="Frame7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505460" cy="175260"/>
                      <wp:effectExtent l="0" t="0" r="0" b="0"/>
                      <wp:wrapNone/>
                      <wp:docPr id="718" name="Frame7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69215" cy="175260"/>
                      <wp:effectExtent l="0" t="0" r="0" b="0"/>
                      <wp:wrapNone/>
                      <wp:docPr id="719" name="Frame7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133985" cy="175260"/>
                      <wp:effectExtent l="0" t="0" r="0" b="0"/>
                      <wp:wrapNone/>
                      <wp:docPr id="720" name="Frame7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505460" cy="175260"/>
                      <wp:effectExtent l="0" t="0" r="0" b="0"/>
                      <wp:wrapNone/>
                      <wp:docPr id="721" name="Frame7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69215" cy="175260"/>
                      <wp:effectExtent l="0" t="0" r="0" b="0"/>
                      <wp:wrapNone/>
                      <wp:docPr id="722" name="Frame7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133985" cy="175260"/>
                      <wp:effectExtent l="0" t="0" r="0" b="0"/>
                      <wp:wrapNone/>
                      <wp:docPr id="723" name="Frame7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572135" cy="175260"/>
                      <wp:effectExtent l="0" t="0" r="0" b="0"/>
                      <wp:wrapNone/>
                      <wp:docPr id="724" name="Frame72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92710" cy="175260"/>
                      <wp:effectExtent l="0" t="0" r="0" b="0"/>
                      <wp:wrapNone/>
                      <wp:docPr id="725" name="Frame7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372110" cy="175260"/>
                      <wp:effectExtent l="0" t="0" r="0" b="0"/>
                      <wp:wrapNone/>
                      <wp:docPr id="726" name="Frame7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172085" cy="175260"/>
                      <wp:effectExtent l="0" t="0" r="0" b="0"/>
                      <wp:wrapNone/>
                      <wp:docPr id="727" name="Frame72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97790" cy="175260"/>
                      <wp:effectExtent l="0" t="0" r="0" b="0"/>
                      <wp:wrapNone/>
                      <wp:docPr id="728" name="Frame7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0"/>
              <w:ind w:left="0" w:right="0" w:hanging="0"/>
              <w:jc w:val="left"/>
              <w:rPr/>
            </w:pPr>
            <w:r>
              <w:rPr/>
              <w:t>​</w:t>
            </w:r>
          </w:p>
        </w:tc>
        <w:tc>
          <w:tcPr>
            <w:tcW w:w="212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5566" w:type="dxa"/>
            <w:tcBorders/>
            <w:vAlign w:val="center"/>
          </w:tcPr>
          <w:p>
            <w:pPr>
              <w:pStyle w:val="TableContents"/>
              <w:bidi w:val="0"/>
              <w:spacing w:before="0" w:after="0"/>
              <w:ind w:left="0" w:right="0" w:hanging="0"/>
              <w:jc w:val="left"/>
              <w:rPr/>
            </w:pPr>
            <w:r>
              <w:rPr/>
              <w:t>​</w:t>
            </w:r>
          </w:p>
        </w:tc>
        <w:tc>
          <w:tcPr>
            <w:tcW w:w="2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154" w:type="dxa"/>
            <w:tcBorders/>
            <w:vAlign w:val="center"/>
          </w:tcPr>
          <w:p>
            <w:pPr>
              <w:pStyle w:val="TableContents"/>
              <w:bidi w:val="0"/>
              <w:spacing w:before="0" w:after="0"/>
              <w:ind w:left="0" w:right="0" w:hanging="0"/>
              <w:jc w:val="center"/>
              <w:rPr/>
            </w:pPr>
            <w:r>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82,292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(21,484)</w:t>
            </w:r>
          </w:p>
        </w:tc>
        <w:tc>
          <w:tcPr>
            <w:tcW w:w="1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(59,262)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(11,425)</w:t>
            </w:r>
          </w:p>
        </w:tc>
        <w:tc>
          <w:tcPr>
            <w:tcW w:w="1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(258,283)</w:t>
            </w:r>
          </w:p>
        </w:tc>
        <w:tc>
          <w:tcPr>
            <w:tcW w:w="1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w:t>
            </w:r>
          </w:p>
        </w:tc>
        <w:tc>
          <w:tcPr>
            <w:tcW w:w="1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(287,096)</w:t>
            </w:r>
          </w:p>
        </w:tc>
        <w:tc>
          <w:tcPr>
            <w:tcW w:w="1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Operating Activities. </w:t>
      </w:r>
      <w:r>
        <w:rPr>
          <w:rFonts w:ascii="Times New Roman;Times;serif" w:hAnsi="Times New Roman;Times;serif"/>
          <w:sz w:val="20"/>
        </w:rPr>
        <w:t>Net cash provided by operating activities of $60.8 million for the six months ended June 30, 2025 consisted of net income of $10.2 million and adjustments for non-cash charges of $69.7 million, which were partly offset by cash outflows of $19.0 million related to changes in operating assets and liabilities. The change in operating assets and liabilities was primarily driven by a decrease in accrued and deferred compensation and an increase in prepaid expenses and other current assets due to the timing of cash payments during the period. These changes were partially offset by a decrease in accounts receivable due to the timing of cash collections during the period.</w:t>
      </w:r>
    </w:p>
    <w:p>
      <w:pPr>
        <w:pStyle w:val="TextBody"/>
        <w:bidi w:val="0"/>
        <w:spacing w:lineRule="auto" w:line="302" w:before="0" w:after="0"/>
        <w:ind w:left="0" w:right="0" w:firstLine="360"/>
        <w:jc w:val="both"/>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sz w:val="20"/>
        </w:rPr>
        <w:t xml:space="preserve">Net cash provided by operating activities of $82.3 million for the six months ended June 30, 2024 consisted of net income of $7.8 million, adjusted for non-cash charges of $60.7 million and cash inflows of $18.1 million from changes in operating assets and liabilities, which were partially offset by $4.7 million in payments for purchase commitment and contingent consideration liabilities in excess of their initial fair value. The change in operating assets and liabilities was primarily driven by a decrease in accounts receivable and an increase in deferred revenue, primarily due to cash collections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2" w:before="0" w:after="0"/>
        <w:ind w:left="0" w:right="0" w:hanging="0"/>
        <w:jc w:val="both"/>
        <w:rPr>
          <w:rFonts w:ascii="Times New Roman;Times;serif" w:hAnsi="Times New Roman;Times;serif"/>
          <w:sz w:val="20"/>
        </w:rPr>
      </w:pPr>
      <w:r>
        <w:rPr>
          <w:rFonts w:ascii="Times New Roman;Times;serif" w:hAnsi="Times New Roman;Times;serif"/>
          <w:sz w:val="20"/>
        </w:rPr>
        <w:t>and customer growth during the period.  These changes were partially offset by decreases in accrued and deferred compensation and accrued expenses. These movements were primarily due to the timing of cash payments.</w:t>
      </w:r>
    </w:p>
    <w:p>
      <w:pPr>
        <w:pStyle w:val="TextBody"/>
        <w:bidi w:val="0"/>
        <w:spacing w:lineRule="auto" w:line="302"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Investing Activities. </w:t>
      </w:r>
      <w:r>
        <w:rPr>
          <w:rFonts w:ascii="Times New Roman;Times;serif" w:hAnsi="Times New Roman;Times;serif"/>
          <w:sz w:val="20"/>
        </w:rPr>
        <w:t>Net cash used in investing activities of $59.3 million for the six months ended June 30, 2025 consisted of investments in property and equipment, and capitalized software of $42.9 million and $10.6 million, respectively, related to investments in infrastructure, new products, and enhancements to existing products. During the second quarter of 2025, we invested $15.0 million in the Kintsugi Investment. Additionally, we invested $2.4 million in available-for-sale investment securities, which was more than offset by proceeds of $11.6 million received during the period for sales and maturities in our investment securities. For further information on the Kintsugi Investment, refer to Note 3, “Investments” to the condensed consolidated financial statements included in this Quarterly Report on Form 10-Q.</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Net cash used in investing activities of $47.8 million for the six months ended June 30, 2024 consisted of investments in property and equipment, and capitalized software of $29.7 million and $11.1 million, respectively, related to investments in infrastructure, new products, and enhancements to existing products. Additionally, we invested $7.8 million in available-for-sale investment securities, which was more than offset by proceeds of $8.9 million received during the period for sales and maturities in our investment securities. Finally, we paid $6.1 million related to an asset acquisition completed during the second quarter of 2024.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Financing Activities.</w:t>
      </w:r>
      <w:r>
        <w:rPr>
          <w:rFonts w:ascii="Times New Roman;Times;serif" w:hAnsi="Times New Roman;Times;serif"/>
          <w:sz w:val="20"/>
        </w:rPr>
        <w:t xml:space="preserve"> Net cash used in financing activities of $20.2 million for the six months ended June 30, 2025 consisted of $26.1 million in payments for taxes related to the net share settlement of stock-based awards as well as a $3.5 million decrease in customer funds obligations, primarily due to timing differences between receipt of funds from customers and taxing jurisdiction withdrawals of these funds, partly offset by $7.7 million in proceeds from the exercise of stock options, and $1.8 million in proceeds from the purchase of stock under our employee stock purchase plan (“ESPP”).</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of $238.1 million for the six months ended June 30, 2024 consisted of $345.0 million in gross proceeds from our Notes, as well as a $15.0 million increase in customer funds obligations, primarily due to timing differences between receipt of funds from customers and taxing jurisdiction withdrawals of these funds, $3.3 million in proceeds from the exercise of stock options, and $1.4 million in proceeds from the purchase of stock under our ESPP. These transactions were partly offset by $46.9 million for the repayment of our Term Loan, $42.4 million for the purchase of the Capped Call Transactions, $18.3 million in payments for taxes related to the net share settlement of stock-based awards, $11.4 million for payments related to deferred financing costs, and $7.6 million for payments on purchase commitment and contingent consideration liabilities.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As of June 30, 2025, we had a $300.0 million Line of Credit with no outstanding borrowings in connection with our Credit Agreement. As of June 30, 2025, we had $345.0 million aggregate principal amount of debt outstanding related to our Notes. For further information on our debt obligations, refer to Note 8, “Debt” to the condensed consolidated financial statements included in this Quarterly Report on Form 10-Q.</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Funds Held for Customers and Customer Funds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trust accounts with financial institutions, which allow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Customer funds obligations represent our contractual obligations to remit collected funds to satisfy customer tax payments. Customer funds obligations are included as a current liability on our consolidated balance sheets as the obligations are expected to be settled within one year. Cash flows related to changes in customer funds obligations liability are presented as cash flows from financing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June 30, 2025, we have no outstanding borrowings under our Line of Credit. Our Notes are due in May 2029. We expect to continue to fund debt maturities and interest payments with cash flows generated from operations, existing cash and cash equivalents, or proceeds from additional financing. For further information on our debt obligations, refer to Note 8, “Debt” to the condensed consolidated financial statements included in this Quarterly Report on Form 10-Q.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material updates or changes to our contractual obligations and commitments compared to contractual obligations and commitments described in our 2024 Annual Report.</w:t>
      </w:r>
    </w:p>
    <w:p>
      <w:pPr>
        <w:pStyle w:val="TextBody"/>
        <w:bidi w:val="0"/>
        <w:spacing w:before="0" w:after="0"/>
        <w:ind w:left="0" w:right="0" w:firstLine="36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review the metrics identified below to evaluate growth trends, measure our performance, formulate financial projections and make strategic decisions.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Annual Recurring Revenue (“ARR”) and Average Annual Revenue Per Customer (“AARPC”).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AARPC represents average annual revenue per customer and is calculated by dividing ARR by the number of software subscription customers at the end of the respective period.</w:t>
      </w:r>
    </w:p>
    <w:tbl>
      <w:tblPr>
        <w:tblW w:w="7162" w:type="dxa"/>
        <w:jc w:val="left"/>
        <w:tblInd w:w="0" w:type="dxa"/>
        <w:tblLayout w:type="fixed"/>
        <w:tblCellMar>
          <w:top w:w="0" w:type="dxa"/>
          <w:left w:w="0" w:type="dxa"/>
          <w:bottom w:w="0" w:type="dxa"/>
          <w:right w:w="0" w:type="dxa"/>
        </w:tblCellMar>
      </w:tblPr>
      <w:tblGrid>
        <w:gridCol w:w="2341"/>
        <w:gridCol w:w="326"/>
        <w:gridCol w:w="211"/>
        <w:gridCol w:w="571"/>
        <w:gridCol w:w="326"/>
        <w:gridCol w:w="211"/>
        <w:gridCol w:w="571"/>
        <w:gridCol w:w="326"/>
        <w:gridCol w:w="321"/>
        <w:gridCol w:w="709"/>
        <w:gridCol w:w="221"/>
        <w:gridCol w:w="712"/>
        <w:gridCol w:w="316"/>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486535" cy="175260"/>
                      <wp:effectExtent l="0" t="0" r="0" b="0"/>
                      <wp:wrapNone/>
                      <wp:docPr id="729" name="Frame729"/>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07010" cy="175260"/>
                      <wp:effectExtent l="0" t="0" r="0" b="0"/>
                      <wp:wrapNone/>
                      <wp:docPr id="730" name="Frame7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33985" cy="175260"/>
                      <wp:effectExtent l="0" t="0" r="0" b="0"/>
                      <wp:wrapNone/>
                      <wp:docPr id="731" name="Frame7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362585" cy="175260"/>
                      <wp:effectExtent l="0" t="0" r="0" b="0"/>
                      <wp:wrapNone/>
                      <wp:docPr id="732" name="Frame7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07010" cy="175260"/>
                      <wp:effectExtent l="0" t="0" r="0" b="0"/>
                      <wp:wrapNone/>
                      <wp:docPr id="733" name="Frame7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33985" cy="175260"/>
                      <wp:effectExtent l="0" t="0" r="0" b="0"/>
                      <wp:wrapNone/>
                      <wp:docPr id="734" name="Frame7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362585" cy="175260"/>
                      <wp:effectExtent l="0" t="0" r="0" b="0"/>
                      <wp:wrapNone/>
                      <wp:docPr id="735" name="Frame7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07010" cy="175260"/>
                      <wp:effectExtent l="0" t="0" r="0" b="0"/>
                      <wp:wrapNone/>
                      <wp:docPr id="736" name="Frame7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03835" cy="175260"/>
                      <wp:effectExtent l="0" t="0" r="0" b="0"/>
                      <wp:wrapNone/>
                      <wp:docPr id="737" name="Frame737"/>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450215" cy="175260"/>
                      <wp:effectExtent l="0" t="0" r="0" b="0"/>
                      <wp:wrapNone/>
                      <wp:docPr id="738" name="Frame738"/>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140335" cy="175260"/>
                      <wp:effectExtent l="0" t="0" r="0" b="0"/>
                      <wp:wrapNone/>
                      <wp:docPr id="739" name="Frame73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452120" cy="175260"/>
                      <wp:effectExtent l="0" t="0" r="0" b="0"/>
                      <wp:wrapNone/>
                      <wp:docPr id="740" name="Frame740"/>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0660" cy="175260"/>
                      <wp:effectExtent l="0" t="0" r="0" b="0"/>
                      <wp:wrapNone/>
                      <wp:docPr id="741" name="Frame7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left"/>
              <w:rPr/>
            </w:pPr>
            <w:r>
              <w:rPr/>
              <w:t>​</w:t>
            </w:r>
          </w:p>
        </w:tc>
        <w:tc>
          <w:tcPr>
            <w:tcW w:w="1963" w:type="dxa"/>
            <w:gridSpan w:val="4"/>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Year-Over-Year Change </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Recurring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221"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ARR increased by $88.2 million, or 16.1%, at June 30, 2025, as compared to June 30, 2024. The increase was primarily driven by $43.7 million of growth in revenues from existing customers through their expanded use of our solutions as well as price increases, and $33.7 million in growth of subscriptions of our solutions to new customers. Additionally, $10.8 million was added to ARR due to the ecosio acquisition during the third quarter of 2024. Excluding the impact of ecosio, the ARR growth rate would have been 14.1%.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4,862 direct customers and AARPC was approximately $130,934 at June 30, 2025. At June 30, 2024, we had 4,438 direct customers and approximately $123,570 of AARPC. The increase in AARPC was primarily due to expansion of usage by existing customers and adding new customers through organic growth. Additionally, the inclusion of ecosio added 473 customers to the second quarter of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Revenue Retention Rate (“NRR”).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 </w:t>
      </w:r>
    </w:p>
    <w:tbl>
      <w:tblPr>
        <w:tblW w:w="4516" w:type="dxa"/>
        <w:jc w:val="left"/>
        <w:tblInd w:w="0" w:type="dxa"/>
        <w:tblLayout w:type="fixed"/>
        <w:tblCellMar>
          <w:top w:w="0" w:type="dxa"/>
          <w:left w:w="0" w:type="dxa"/>
          <w:bottom w:w="0" w:type="dxa"/>
          <w:right w:w="0" w:type="dxa"/>
        </w:tblCellMar>
      </w:tblPr>
      <w:tblGrid>
        <w:gridCol w:w="2491"/>
        <w:gridCol w:w="326"/>
        <w:gridCol w:w="466"/>
        <w:gridCol w:w="361"/>
        <w:gridCol w:w="466"/>
        <w:gridCol w:w="40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1581785" cy="175260"/>
                      <wp:effectExtent l="0" t="0" r="0" b="0"/>
                      <wp:wrapNone/>
                      <wp:docPr id="742" name="Frame742"/>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07010" cy="175260"/>
                      <wp:effectExtent l="0" t="0" r="0" b="0"/>
                      <wp:wrapNone/>
                      <wp:docPr id="743" name="Frame7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95910" cy="175260"/>
                      <wp:effectExtent l="0" t="0" r="0" b="0"/>
                      <wp:wrapNone/>
                      <wp:docPr id="744" name="Frame74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229235" cy="175260"/>
                      <wp:effectExtent l="0" t="0" r="0" b="0"/>
                      <wp:wrapNone/>
                      <wp:docPr id="745" name="Frame74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95910" cy="175260"/>
                      <wp:effectExtent l="0" t="0" r="0" b="0"/>
                      <wp:wrapNone/>
                      <wp:docPr id="746" name="Frame74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57810" cy="175260"/>
                      <wp:effectExtent l="0" t="0" r="0" b="0"/>
                      <wp:wrapNone/>
                      <wp:docPr id="747" name="Frame74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Revenue Retention Rate </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NRR decreased by 2.0%, at June 30, 2025, as compared to June 30, 2024. The decrease was largely due to lower growth of additional entitlements as our customers’ annual growth has slowed, keeping them within current bands of usage, as well as delayed deal activity seen for some of our large multinational customers due to the macroeconomic environment.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Revenue Retention Rate (“GRR”).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 ​</w:t>
      </w:r>
    </w:p>
    <w:tbl>
      <w:tblPr>
        <w:tblW w:w="4681" w:type="dxa"/>
        <w:jc w:val="left"/>
        <w:tblInd w:w="0" w:type="dxa"/>
        <w:tblLayout w:type="fixed"/>
        <w:tblCellMar>
          <w:top w:w="0" w:type="dxa"/>
          <w:left w:w="0" w:type="dxa"/>
          <w:bottom w:w="0" w:type="dxa"/>
          <w:right w:w="0" w:type="dxa"/>
        </w:tblCellMar>
      </w:tblPr>
      <w:tblGrid>
        <w:gridCol w:w="2656"/>
        <w:gridCol w:w="326"/>
        <w:gridCol w:w="466"/>
        <w:gridCol w:w="361"/>
        <w:gridCol w:w="466"/>
        <w:gridCol w:w="40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686560" cy="175260"/>
                      <wp:effectExtent l="0" t="0" r="0" b="0"/>
                      <wp:wrapNone/>
                      <wp:docPr id="748" name="Frame748"/>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207010" cy="175260"/>
                      <wp:effectExtent l="0" t="0" r="0" b="0"/>
                      <wp:wrapNone/>
                      <wp:docPr id="749" name="Frame7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95910" cy="175260"/>
                      <wp:effectExtent l="0" t="0" r="0" b="0"/>
                      <wp:wrapNone/>
                      <wp:docPr id="750" name="Frame75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229235" cy="175260"/>
                      <wp:effectExtent l="0" t="0" r="0" b="0"/>
                      <wp:wrapNone/>
                      <wp:docPr id="751" name="Frame7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295910" cy="175260"/>
                      <wp:effectExtent l="0" t="0" r="0" b="0"/>
                      <wp:wrapNone/>
                      <wp:docPr id="752" name="Frame75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57810" cy="175260"/>
                      <wp:effectExtent l="0" t="0" r="0" b="0"/>
                      <wp:wrapNone/>
                      <wp:docPr id="753" name="Frame75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Revenue Retention Rate </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(including adjustments to the settlement value of deferred purchase commitment liabilities),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changes in the settlement value of deferred purchase commitment liabilities recorded as interest expense, and transaction costs. Adjusted EBITDA margin represents Adjusted EBITDA divided by total revenues for the same period. For purposes of comparison, our net income (loss) was $(1.0) million and $5.2 million for the three months ended June 30, 2025 and 2024, respectively,  while our net income (loss) margin was (0.5)% and 3.2% over the same periods, respectively. Additionally, our net income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was $10.2 million and $7.8 million for the six months ended June 30, 2025 and 2024, respectively, while our net income margin was 2.8% and 2.5% over the same periods, respectively.</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157"/>
        <w:gridCol w:w="346"/>
        <w:gridCol w:w="223"/>
        <w:gridCol w:w="829"/>
        <w:gridCol w:w="383"/>
        <w:gridCol w:w="223"/>
        <w:gridCol w:w="829"/>
        <w:gridCol w:w="383"/>
        <w:gridCol w:w="223"/>
        <w:gridCol w:w="833"/>
        <w:gridCol w:w="383"/>
        <w:gridCol w:w="223"/>
        <w:gridCol w:w="829"/>
        <w:gridCol w:w="341"/>
      </w:tblGrid>
      <w:tr>
        <w:trPr/>
        <w:tc>
          <w:tcPr>
            <w:tcW w:w="4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2639695" cy="175260"/>
                      <wp:effectExtent l="0" t="0" r="0" b="0"/>
                      <wp:wrapNone/>
                      <wp:docPr id="754" name="Frame754"/>
                      <a:graphic xmlns:a="http://schemas.openxmlformats.org/drawingml/2006/main">
                        <a:graphicData uri="http://schemas.microsoft.com/office/word/2010/wordprocessingShape">
                          <wps:wsp>
                            <wps:cNvSpPr txBox="1"/>
                            <wps:spPr>
                              <a:xfrm>
                                <a:off x="0" y="0"/>
                                <a:ext cx="263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19710" cy="175260"/>
                      <wp:effectExtent l="0" t="0" r="0" b="0"/>
                      <wp:wrapNone/>
                      <wp:docPr id="755" name="Frame7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41605" cy="175260"/>
                      <wp:effectExtent l="0" t="0" r="0" b="0"/>
                      <wp:wrapNone/>
                      <wp:docPr id="756" name="Frame75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526415" cy="175260"/>
                      <wp:effectExtent l="0" t="0" r="0" b="0"/>
                      <wp:wrapNone/>
                      <wp:docPr id="757" name="Frame757"/>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43205" cy="175260"/>
                      <wp:effectExtent l="0" t="0" r="0" b="0"/>
                      <wp:wrapNone/>
                      <wp:docPr id="758" name="Frame75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41605" cy="175260"/>
                      <wp:effectExtent l="0" t="0" r="0" b="0"/>
                      <wp:wrapNone/>
                      <wp:docPr id="759" name="Frame75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526415" cy="175260"/>
                      <wp:effectExtent l="0" t="0" r="0" b="0"/>
                      <wp:wrapNone/>
                      <wp:docPr id="760" name="Frame760"/>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243205" cy="175260"/>
                      <wp:effectExtent l="0" t="0" r="0" b="0"/>
                      <wp:wrapNone/>
                      <wp:docPr id="761" name="Frame761"/>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141605" cy="175260"/>
                      <wp:effectExtent l="0" t="0" r="0" b="0"/>
                      <wp:wrapNone/>
                      <wp:docPr id="762" name="Frame76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528955" cy="175260"/>
                      <wp:effectExtent l="0" t="0" r="0" b="0"/>
                      <wp:wrapNone/>
                      <wp:docPr id="763" name="Frame76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43205" cy="175260"/>
                      <wp:effectExtent l="0" t="0" r="0" b="0"/>
                      <wp:wrapNone/>
                      <wp:docPr id="764" name="Frame764"/>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141605" cy="175260"/>
                      <wp:effectExtent l="0" t="0" r="0" b="0"/>
                      <wp:wrapNone/>
                      <wp:docPr id="765" name="Frame76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526415" cy="175260"/>
                      <wp:effectExtent l="0" t="0" r="0" b="0"/>
                      <wp:wrapNone/>
                      <wp:docPr id="766" name="Frame766"/>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16535" cy="175260"/>
                      <wp:effectExtent l="0" t="0" r="0" b="0"/>
                      <wp:wrapNone/>
                      <wp:docPr id="767" name="Frame767"/>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8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83" w:type="dxa"/>
            <w:tcBorders/>
            <w:vAlign w:val="center"/>
          </w:tcPr>
          <w:p>
            <w:pPr>
              <w:pStyle w:val="TableContents"/>
              <w:bidi w:val="0"/>
              <w:spacing w:before="0" w:after="0"/>
              <w:ind w:left="0" w:right="0" w:hanging="0"/>
              <w:jc w:val="center"/>
              <w:rPr/>
            </w:pPr>
            <w:r>
              <w:rPr/>
              <w:t>​</w:t>
            </w:r>
          </w:p>
        </w:tc>
        <w:tc>
          <w:tcPr>
            <w:tcW w:w="249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1" w:type="dxa"/>
            <w:tcBorders/>
            <w:vAlign w:val="center"/>
          </w:tcPr>
          <w:p>
            <w:pPr>
              <w:pStyle w:val="TableContents"/>
              <w:bidi w:val="0"/>
              <w:spacing w:before="0" w:after="0"/>
              <w:ind w:left="0" w:right="0" w:hanging="0"/>
              <w:jc w:val="center"/>
              <w:rPr/>
            </w:pPr>
            <w:r>
              <w:rPr/>
              <w:t>​</w:t>
            </w:r>
          </w:p>
        </w:tc>
      </w:tr>
      <w:tr>
        <w:trPr/>
        <w:tc>
          <w:tcPr>
            <w:tcW w:w="41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83" w:type="dxa"/>
            <w:tcBorders/>
            <w:vAlign w:val="center"/>
          </w:tcPr>
          <w:p>
            <w:pPr>
              <w:pStyle w:val="TableContents"/>
              <w:bidi w:val="0"/>
              <w:spacing w:before="0" w:after="0"/>
              <w:ind w:left="0" w:right="0" w:hanging="0"/>
              <w:jc w:val="center"/>
              <w:rPr/>
            </w:pPr>
            <w:r>
              <w:rPr/>
              <w:t>​</w:t>
            </w:r>
          </w:p>
        </w:tc>
        <w:tc>
          <w:tcPr>
            <w:tcW w:w="24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1" w:type="dxa"/>
            <w:tcBorders/>
            <w:vAlign w:val="center"/>
          </w:tcPr>
          <w:p>
            <w:pPr>
              <w:pStyle w:val="TableContents"/>
              <w:bidi w:val="0"/>
              <w:spacing w:before="0" w:after="0"/>
              <w:ind w:left="0" w:right="0" w:hanging="0"/>
              <w:jc w:val="center"/>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3"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3" w:type="dxa"/>
            <w:tcBorders/>
            <w:vAlign w:val="center"/>
          </w:tcPr>
          <w:p>
            <w:pPr>
              <w:pStyle w:val="TableContents"/>
              <w:bidi w:val="0"/>
              <w:spacing w:before="0" w:after="0"/>
              <w:ind w:left="0" w:right="0" w:hanging="0"/>
              <w:jc w:val="center"/>
              <w:rPr/>
            </w:pPr>
            <w:r>
              <w:rPr/>
              <w:t>​</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3"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1" w:type="dxa"/>
            <w:tcBorders/>
            <w:vAlign w:val="center"/>
          </w:tcPr>
          <w:p>
            <w:pPr>
              <w:pStyle w:val="TableContents"/>
              <w:bidi w:val="0"/>
              <w:spacing w:before="0" w:after="0"/>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1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22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83"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2268"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1" w:type="dxa"/>
            <w:tcBorders/>
            <w:vAlign w:val="center"/>
          </w:tcPr>
          <w:p>
            <w:pPr>
              <w:pStyle w:val="TableContents"/>
              <w:bidi w:val="0"/>
              <w:spacing w:before="0" w:after="0"/>
              <w:ind w:left="0" w:right="0" w:hanging="0"/>
              <w:jc w:val="center"/>
              <w:rPr/>
            </w:pPr>
            <w:r>
              <w:rPr/>
              <w:t>​</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5,164</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10,169</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7,848</w:t>
            </w:r>
          </w:p>
        </w:tc>
        <w:tc>
          <w:tcPr>
            <w:tcW w:w="341" w:type="dxa"/>
            <w:tcBorders/>
            <w:vAlign w:val="center"/>
          </w:tcPr>
          <w:p>
            <w:pPr>
              <w:pStyle w:val="TableContents"/>
              <w:bidi w:val="0"/>
              <w:spacing w:before="0" w:after="0"/>
              <w:ind w:left="0" w:right="0" w:hanging="0"/>
              <w:jc w:val="left"/>
              <w:rPr/>
            </w:pPr>
            <w:r>
              <w:rPr/>
              <w:t>​</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(income), net </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83"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41" w:type="dxa"/>
            <w:tcBorders/>
            <w:shd w:fill="CCEEFF" w:val="clear"/>
            <w:vAlign w:val="center"/>
          </w:tcPr>
          <w:p>
            <w:pPr>
              <w:pStyle w:val="TableContents"/>
              <w:bidi w:val="0"/>
              <w:spacing w:before="0" w:after="0"/>
              <w:ind w:left="0" w:right="0" w:hanging="0"/>
              <w:jc w:val="righ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83"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c>
          <w:tcPr>
            <w:tcW w:w="341" w:type="dxa"/>
            <w:tcBorders/>
            <w:vAlign w:val="center"/>
          </w:tcPr>
          <w:p>
            <w:pPr>
              <w:pStyle w:val="TableContents"/>
              <w:bidi w:val="0"/>
              <w:spacing w:before="0" w:after="0"/>
              <w:ind w:left="0" w:right="0" w:hanging="0"/>
              <w:jc w:val="right"/>
              <w:rPr/>
            </w:pPr>
            <w:r>
              <w:rPr/>
              <w:t>​</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w:t>
            </w:r>
          </w:p>
        </w:tc>
        <w:tc>
          <w:tcPr>
            <w:tcW w:w="383"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w:t>
            </w:r>
          </w:p>
        </w:tc>
        <w:tc>
          <w:tcPr>
            <w:tcW w:w="341" w:type="dxa"/>
            <w:tcBorders/>
            <w:shd w:fill="CCEEFF" w:val="clear"/>
            <w:vAlign w:val="center"/>
          </w:tcPr>
          <w:p>
            <w:pPr>
              <w:pStyle w:val="TableContents"/>
              <w:bidi w:val="0"/>
              <w:spacing w:before="0" w:after="0"/>
              <w:ind w:left="0" w:right="0" w:hanging="0"/>
              <w:jc w:val="righ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14,578</w:t>
            </w:r>
          </w:p>
        </w:tc>
        <w:tc>
          <w:tcPr>
            <w:tcW w:w="383"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32,525</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29,925</w:t>
            </w:r>
          </w:p>
        </w:tc>
        <w:tc>
          <w:tcPr>
            <w:tcW w:w="341" w:type="dxa"/>
            <w:tcBorders/>
            <w:vAlign w:val="center"/>
          </w:tcPr>
          <w:p>
            <w:pPr>
              <w:pStyle w:val="TableContents"/>
              <w:bidi w:val="0"/>
              <w:spacing w:before="0" w:after="0"/>
              <w:ind w:left="0" w:right="0" w:hanging="0"/>
              <w:jc w:val="right"/>
              <w:rPr/>
            </w:pPr>
            <w:r>
              <w:rPr/>
              <w:t>​</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83"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41" w:type="dxa"/>
            <w:tcBorders/>
            <w:shd w:fill="CCEEFF" w:val="clear"/>
            <w:vAlign w:val="center"/>
          </w:tcPr>
          <w:p>
            <w:pPr>
              <w:pStyle w:val="TableContents"/>
              <w:bidi w:val="0"/>
              <w:spacing w:before="0" w:after="0"/>
              <w:ind w:left="0" w:right="0" w:hanging="0"/>
              <w:jc w:val="righ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383"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c>
          <w:tcPr>
            <w:tcW w:w="341" w:type="dxa"/>
            <w:tcBorders/>
            <w:vAlign w:val="center"/>
          </w:tcPr>
          <w:p>
            <w:pPr>
              <w:pStyle w:val="TableContents"/>
              <w:bidi w:val="0"/>
              <w:spacing w:before="0" w:after="0"/>
              <w:ind w:left="0" w:right="0" w:hanging="0"/>
              <w:jc w:val="right"/>
              <w:rPr/>
            </w:pPr>
            <w:r>
              <w:rPr/>
              <w:t>​</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10,001</w:t>
            </w:r>
          </w:p>
        </w:tc>
        <w:tc>
          <w:tcPr>
            <w:tcW w:w="383"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33,034</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26,325</w:t>
            </w:r>
          </w:p>
        </w:tc>
        <w:tc>
          <w:tcPr>
            <w:tcW w:w="341" w:type="dxa"/>
            <w:tcBorders/>
            <w:shd w:fill="CCEEFF" w:val="clear"/>
            <w:vAlign w:val="center"/>
          </w:tcPr>
          <w:p>
            <w:pPr>
              <w:pStyle w:val="TableContents"/>
              <w:bidi w:val="0"/>
              <w:spacing w:before="0" w:after="0"/>
              <w:ind w:left="0" w:right="0" w:hanging="0"/>
              <w:jc w:val="righ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83"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c>
          <w:tcPr>
            <w:tcW w:w="341" w:type="dxa"/>
            <w:tcBorders/>
            <w:vAlign w:val="center"/>
          </w:tcPr>
          <w:p>
            <w:pPr>
              <w:pStyle w:val="TableContents"/>
              <w:bidi w:val="0"/>
              <w:spacing w:before="0" w:after="0"/>
              <w:ind w:left="0" w:right="0" w:hanging="0"/>
              <w:jc w:val="right"/>
              <w:rPr/>
            </w:pPr>
            <w:r>
              <w:rPr/>
              <w:t>​</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83"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341" w:type="dxa"/>
            <w:tcBorders/>
            <w:shd w:fill="CCEEFF" w:val="clear"/>
            <w:vAlign w:val="center"/>
          </w:tcPr>
          <w:p>
            <w:pPr>
              <w:pStyle w:val="TableContents"/>
              <w:bidi w:val="0"/>
              <w:spacing w:before="0" w:after="0"/>
              <w:ind w:left="0" w:right="0" w:hanging="0"/>
              <w:jc w:val="righ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right"/>
              <w:rPr/>
            </w:pPr>
            <w:r>
              <w:rPr/>
              <w:t>​</w:t>
            </w:r>
          </w:p>
        </w:tc>
      </w:tr>
      <w:tr>
        <w:trPr/>
        <w:tc>
          <w:tcPr>
            <w:tcW w:w="415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83"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1" w:type="dxa"/>
            <w:tcBorders/>
            <w:shd w:fill="CCEEFF" w:val="clear"/>
            <w:vAlign w:val="center"/>
          </w:tcPr>
          <w:p>
            <w:pPr>
              <w:pStyle w:val="TableContents"/>
              <w:bidi w:val="0"/>
              <w:spacing w:before="0" w:after="0"/>
              <w:ind w:left="0" w:right="0" w:hanging="0"/>
              <w:jc w:val="righ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38,369</w:t>
            </w:r>
          </w:p>
        </w:tc>
        <w:tc>
          <w:tcPr>
            <w:tcW w:w="383"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38,515</w:t>
            </w:r>
          </w:p>
        </w:tc>
        <w:tc>
          <w:tcPr>
            <w:tcW w:w="383" w:type="dxa"/>
            <w:tcBorders/>
            <w:vAlign w:val="center"/>
          </w:tcPr>
          <w:p>
            <w:pPr>
              <w:pStyle w:val="TableContents"/>
              <w:bidi w:val="0"/>
              <w:spacing w:before="0" w:after="0"/>
              <w:ind w:left="0" w:right="0" w:hanging="0"/>
              <w:jc w:val="righ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75,588</w:t>
            </w:r>
          </w:p>
        </w:tc>
        <w:tc>
          <w:tcPr>
            <w:tcW w:w="383"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75,258</w:t>
            </w:r>
          </w:p>
        </w:tc>
        <w:tc>
          <w:tcPr>
            <w:tcW w:w="341" w:type="dxa"/>
            <w:tcBorders/>
            <w:vAlign w:val="center"/>
          </w:tcPr>
          <w:p>
            <w:pPr>
              <w:pStyle w:val="TableContents"/>
              <w:bidi w:val="0"/>
              <w:spacing w:before="0" w:after="0"/>
              <w:ind w:left="0" w:right="0" w:hanging="0"/>
              <w:jc w:val="right"/>
              <w:rPr/>
            </w:pPr>
            <w:r>
              <w:rPr/>
              <w:t>​</w:t>
            </w:r>
          </w:p>
        </w:tc>
      </w:tr>
      <w:tr>
        <w:trPr/>
        <w:tc>
          <w:tcPr>
            <w:tcW w:w="41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righ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pPr>
            <w:r>
              <w:rPr/>
              <w:t>  </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pPr>
            <w:r>
              <w:rPr/>
              <w:t>  </w:t>
            </w:r>
          </w:p>
        </w:tc>
        <w:tc>
          <w:tcPr>
            <w:tcW w:w="383"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  </w:t>
            </w:r>
          </w:p>
        </w:tc>
        <w:tc>
          <w:tcPr>
            <w:tcW w:w="383"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pPr>
            <w:r>
              <w:rPr/>
              <w:t>  </w:t>
            </w:r>
          </w:p>
        </w:tc>
        <w:tc>
          <w:tcPr>
            <w:tcW w:w="341" w:type="dxa"/>
            <w:tcBorders/>
            <w:vAlign w:val="center"/>
          </w:tcPr>
          <w:p>
            <w:pPr>
              <w:pStyle w:val="TableContents"/>
              <w:bidi w:val="0"/>
              <w:spacing w:before="0" w:after="0"/>
              <w:ind w:left="0" w:right="0" w:hanging="0"/>
              <w:jc w:val="right"/>
              <w:rPr/>
            </w:pPr>
            <w:r>
              <w:rPr/>
              <w:t>​</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161,104</w:t>
            </w:r>
          </w:p>
        </w:tc>
        <w:tc>
          <w:tcPr>
            <w:tcW w:w="383" w:type="dxa"/>
            <w:tcBorders/>
            <w:shd w:fill="CCEEFF" w:val="clear"/>
            <w:vAlign w:val="center"/>
          </w:tcPr>
          <w:p>
            <w:pPr>
              <w:pStyle w:val="TableContents"/>
              <w:bidi w:val="0"/>
              <w:spacing w:before="0" w:after="0"/>
              <w:ind w:left="0" w:right="0" w:hanging="0"/>
              <w:jc w:val="righ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383"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317,885</w:t>
            </w:r>
          </w:p>
        </w:tc>
        <w:tc>
          <w:tcPr>
            <w:tcW w:w="341" w:type="dxa"/>
            <w:tcBorders/>
            <w:shd w:fill="CCEEFF" w:val="clear"/>
            <w:vAlign w:val="center"/>
          </w:tcPr>
          <w:p>
            <w:pPr>
              <w:pStyle w:val="TableContents"/>
              <w:bidi w:val="0"/>
              <w:spacing w:before="0" w:after="0"/>
              <w:ind w:left="0" w:right="0" w:hanging="0"/>
              <w:jc w:val="righ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205" w:type="dxa"/>
            <w:gridSpan w:val="14"/>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 xml:space="preserve">The current year periods include legal expenses associated with pending litigation related to claims we have made against a competitor. For further information, refer to Note 12, “Commitments and Contingencies” to our condensed consolidated financial statements. </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bookmarkStart w:id="1853" w:name="_9kMI1H6ZWu4AB78IT5l3DD0lMpuD9r"/>
      <w:bookmarkStart w:id="1854" w:name="_9kMI0G6ZWu4AB78IT5l3DD0lMpuD9r"/>
      <w:bookmarkEnd w:id="1853"/>
      <w:bookmarkEnd w:id="1854"/>
      <w:r>
        <w:rPr>
          <w:rFonts w:ascii="Times New Roman;Times;serif" w:hAnsi="Times New Roman;Times;serif"/>
          <w:sz w:val="20"/>
        </w:rPr>
        <w:t>The decrease in Adjusted EBITDA for the three months ended June 30, 2025 of $0.1 million over the comparable period in 2024 was primarily driven by increases of $7.6 million in non-GAAP selling and marketing expense, $7.4 million in non-GAAP general and administrative expense, and $5.4 million in non-GAAP research and development expense, which were offset by a $21.3 million increase in non-GAAP gross profit. Adjusted EBITDA margin decreased to 20.8% for the three months ended June 30, 2025 compared to 23.9% for the comparable period in 2024, primarily due to strategic investments into information technology infrastructure, business and re-engineering processes and other continuing initiatives related to our 2024 acquisitions.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increase in Adjusted EBITDA for the six months ended June 30, 2025 of $0.3 million over the comparable period in 2024 was primarily driven by a $40.4 million increase in non-GAAP gross profit, which was partially offset by increases of $16.5 million in non-GAAP general and administrative expense, $13.8 million in non-GAAP selling and marketing expense, and $8.4 million in non-GAAP research and development expense. Adjusted EBITDA margin decreased to 20.9% for the six months ended June 30, 2025 compared to 23.7% for the comparable period in 2024, primarily due to strategic investments into information technology infrastructure, business and re-engineering processes and other continuing initiatives related to our 2024 acquisitions.</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Free Cash Flow and Free Cash Flow Margin.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We define free cash flow margin as free cash flow divided by total revenues for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cash provided by operating activities was $46.0 million and $57.7 million for the three months ended June 30, 2025 and 2024, respectively, while our operating cash flow margin was 24.9% and 35.8% over the same periods, respectively. Our net cash provided by operating activities was $60.8 million and $82.3 million for the six months ended June 30, 2025 and 2024, respectively, while our operating cash flow margin was 16.8% and 25.9% over the same periods, respectively.</w:t>
      </w:r>
    </w:p>
    <w:tbl>
      <w:tblPr>
        <w:tblW w:w="9242" w:type="dxa"/>
        <w:jc w:val="left"/>
        <w:tblInd w:w="0" w:type="dxa"/>
        <w:tblLayout w:type="fixed"/>
        <w:tblCellMar>
          <w:top w:w="0" w:type="dxa"/>
          <w:left w:w="0" w:type="dxa"/>
          <w:bottom w:w="0" w:type="dxa"/>
          <w:right w:w="0" w:type="dxa"/>
        </w:tblCellMar>
      </w:tblPr>
      <w:tblGrid>
        <w:gridCol w:w="3286"/>
        <w:gridCol w:w="326"/>
        <w:gridCol w:w="211"/>
        <w:gridCol w:w="796"/>
        <w:gridCol w:w="361"/>
        <w:gridCol w:w="109"/>
        <w:gridCol w:w="211"/>
        <w:gridCol w:w="796"/>
        <w:gridCol w:w="271"/>
        <w:gridCol w:w="109"/>
        <w:gridCol w:w="211"/>
        <w:gridCol w:w="796"/>
        <w:gridCol w:w="361"/>
        <w:gridCol w:w="211"/>
        <w:gridCol w:w="796"/>
        <w:gridCol w:w="39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086610" cy="175260"/>
                      <wp:effectExtent l="0" t="0" r="0" b="0"/>
                      <wp:wrapNone/>
                      <wp:docPr id="768" name="Frame768"/>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07010" cy="175260"/>
                      <wp:effectExtent l="0" t="0" r="0" b="0"/>
                      <wp:wrapNone/>
                      <wp:docPr id="769" name="Frame7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33985" cy="175260"/>
                      <wp:effectExtent l="0" t="0" r="0" b="0"/>
                      <wp:wrapNone/>
                      <wp:docPr id="770" name="Frame7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505460" cy="175260"/>
                      <wp:effectExtent l="0" t="0" r="0" b="0"/>
                      <wp:wrapNone/>
                      <wp:docPr id="771" name="Frame7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29235" cy="175260"/>
                      <wp:effectExtent l="0" t="0" r="0" b="0"/>
                      <wp:wrapNone/>
                      <wp:docPr id="772" name="Frame7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69215" cy="175260"/>
                      <wp:effectExtent l="0" t="0" r="0" b="0"/>
                      <wp:wrapNone/>
                      <wp:docPr id="773" name="Frame7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133985" cy="175260"/>
                      <wp:effectExtent l="0" t="0" r="0" b="0"/>
                      <wp:wrapNone/>
                      <wp:docPr id="774" name="Frame7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505460" cy="175260"/>
                      <wp:effectExtent l="0" t="0" r="0" b="0"/>
                      <wp:wrapNone/>
                      <wp:docPr id="775" name="Frame7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172085" cy="175260"/>
                      <wp:effectExtent l="0" t="0" r="0" b="0"/>
                      <wp:wrapNone/>
                      <wp:docPr id="776" name="Frame77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69215" cy="175260"/>
                      <wp:effectExtent l="0" t="0" r="0" b="0"/>
                      <wp:wrapNone/>
                      <wp:docPr id="777" name="Frame7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133985" cy="175260"/>
                      <wp:effectExtent l="0" t="0" r="0" b="0"/>
                      <wp:wrapNone/>
                      <wp:docPr id="778" name="Frame7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505460" cy="175260"/>
                      <wp:effectExtent l="0" t="0" r="0" b="0"/>
                      <wp:wrapNone/>
                      <wp:docPr id="779" name="Frame7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29235" cy="175260"/>
                      <wp:effectExtent l="0" t="0" r="0" b="0"/>
                      <wp:wrapNone/>
                      <wp:docPr id="780" name="Frame78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133985" cy="175260"/>
                      <wp:effectExtent l="0" t="0" r="0" b="0"/>
                      <wp:wrapNone/>
                      <wp:docPr id="781" name="Frame7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505460" cy="175260"/>
                      <wp:effectExtent l="0" t="0" r="0" b="0"/>
                      <wp:wrapNone/>
                      <wp:docPr id="782" name="Frame78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48285" cy="175260"/>
                      <wp:effectExtent l="0" t="0" r="0" b="0"/>
                      <wp:wrapNone/>
                      <wp:docPr id="783" name="Frame78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84"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91"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8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center"/>
              <w:rPr/>
            </w:pPr>
            <w:r>
              <w:rPr/>
              <w:t>​</w:t>
            </w:r>
          </w:p>
        </w:tc>
      </w:tr>
      <w:tr>
        <w:trPr/>
        <w:tc>
          <w:tcPr>
            <w:tcW w:w="9242"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2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1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operating activities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46,003</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57,726</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60,808</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82,292</w:t>
            </w:r>
          </w:p>
        </w:tc>
        <w:tc>
          <w:tcPr>
            <w:tcW w:w="391" w:type="dxa"/>
            <w:tcBorders/>
            <w:vAlign w:val="center"/>
          </w:tcPr>
          <w:p>
            <w:pPr>
              <w:pStyle w:val="TableContents"/>
              <w:bidi w:val="0"/>
              <w:spacing w:before="0" w:after="0"/>
              <w:ind w:left="0" w:right="0" w:hanging="0"/>
              <w:jc w:val="center"/>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(21,512)</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(15,300)</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(42,906)</w:t>
            </w:r>
          </w:p>
        </w:tc>
        <w:tc>
          <w:tcPr>
            <w:tcW w:w="36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(29,749)</w:t>
            </w:r>
          </w:p>
        </w:tc>
        <w:tc>
          <w:tcPr>
            <w:tcW w:w="391" w:type="dxa"/>
            <w:tcBorders/>
            <w:shd w:fill="CCEEFF" w:val="clear"/>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additions</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(5,482)</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(11,097)</w:t>
            </w:r>
          </w:p>
        </w:tc>
        <w:tc>
          <w:tcPr>
            <w:tcW w:w="391"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41,446</w:t>
            </w:r>
          </w:p>
        </w:tc>
        <w:tc>
          <w:tcPr>
            <w:tcW w:w="391"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161,104</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317,885</w:t>
            </w:r>
          </w:p>
        </w:tc>
        <w:tc>
          <w:tcPr>
            <w:tcW w:w="391"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decreased by $17.4 million for the three months ended June 30, 2025, as compared to the same period in 2024. This decrease was primarily driven by a decrease in net cash provided by operating activities of $11.7 million, primarily attributable to the timing of cash payments during the period, as well as $5.6 million in additional investments in property and equipment, and capitalized software related to investments in infrastructure, new products, and enhancements to existing products. Free cash flow margin decreased to 10.6% for the three months ended June 30, 2025 compared to 22.9% for the same period in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decreased by $34.1 million for the six months ended June 30, 2025, as compared to the same period in 2024. This decrease was primarily driven by a decrease in net cash provided by operating activities of $21.5 million primarily attributable to the timing of cash payments during the period, as well as $12.6 million in additional investments in property and equipment, and capitalized software related to investments in infrastructure, new products, and enhancements to existing products. Free cash flow margin decreased to 2.0% for the three months ended June 30, 2025 compared to 13.0% for the same period in 2024.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and Reconciliation of 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Additional Non-GAAP Financial Measures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Adjusted EBITDA, Adjusted EBITDA margin, free cash flow, and free cash flow margin calculated and discussed in “Key Business Metrics,” the following additional non-GAAP financial measures are calculated and presented further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services is determined by adding back to GAAP cost of revenues, services, the stock-based compensation expense included in cost of revenues, services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is determined by dividing non-GAAP gross profit by total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Non-GAAP research and development expense is determined by adding back to GAAP research and development expense the stock-based compensation expense and transaction costs related to acquired technology</w:t>
            </w:r>
            <w:r>
              <w:rPr>
                <w:caps w:val="false"/>
                <w:smallCaps w:val="false"/>
                <w:color w:val="FF0000"/>
              </w:rPr>
              <w:t xml:space="preserve"> </w:t>
            </w:r>
            <w:r>
              <w:rPr>
                <w:rFonts w:ascii="Times New Roman;Times;serif" w:hAnsi="Times New Roman;Times;serif"/>
                <w:b w:val="false"/>
                <w:i w:val="false"/>
                <w:caps w:val="false"/>
                <w:smallCaps w:val="false"/>
                <w:sz w:val="20"/>
              </w:rPr>
              <w:t xml:space="preserve">included in research and development expense for the respective periods.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selling and marketing expense is determined by adding back to GAAP selling and marketing expense the stock-based compensation expense and the amortization of acquired intangible assets included in selling and marketing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changes in the fair value of acquisition contingent earn-outs, and transaction costs, included in GAAP loss or income from operations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net income is determined by adding back to GAAP net income or loss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and administrative expense, severance expense, acquisition contingent consideration, adjustments to the settlement value of deferred purchase commitment liabilities recorded as interest expense, changes in the fair value of acquisition contingent earn-outs,</w:t>
            </w:r>
            <w:r>
              <w:rPr>
                <w:caps w:val="false"/>
                <w:smallCaps w:val="false"/>
              </w:rPr>
              <w:t xml:space="preserve"> </w:t>
            </w:r>
            <w:r>
              <w:rPr>
                <w:rFonts w:ascii="Times New Roman;Times;serif" w:hAnsi="Times New Roman;Times;serif"/>
                <w:b w:val="false"/>
                <w:i w:val="false"/>
                <w:caps w:val="false"/>
                <w:smallCaps w:val="false"/>
                <w:sz w:val="20"/>
              </w:rPr>
              <w:t>and transaction costs, included in GAAP net income or loss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encourage investors and others to review our financial information in its entirety, not to rely on any single financial measure and to view these non-GAAP financial measures in conjunction with the related GAAP financial measures.</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The following schedules reflect our additional non-GAAP financial measures and reconciles our additional non-GAAP financial measures to the related GAAP financial measures.</w:t>
      </w:r>
    </w:p>
    <w:p>
      <w:pPr>
        <w:pStyle w:val="TextBody"/>
        <w:bidi w:val="0"/>
        <w:spacing w:before="0" w:after="0"/>
        <w:ind w:left="0" w:right="0" w:firstLine="360"/>
        <w:jc w:val="left"/>
        <w:rPr/>
      </w:pPr>
      <w:r>
        <w:rPr/>
        <w:t>​</w:t>
      </w:r>
    </w:p>
    <w:p>
      <w:pPr>
        <w:pStyle w:val="TextBody"/>
        <w:bidi w:val="0"/>
        <w:spacing w:before="0" w:after="0"/>
        <w:ind w:left="0" w:right="0" w:hanging="0"/>
        <w:jc w:val="both"/>
        <w:rPr/>
      </w:pPr>
      <w:r>
        <w:rPr/>
        <w:t>​</w:t>
      </w:r>
    </w:p>
    <w:tbl>
      <w:tblPr>
        <w:tblW w:w="9789" w:type="dxa"/>
        <w:jc w:val="left"/>
        <w:tblInd w:w="0" w:type="dxa"/>
        <w:tblLayout w:type="fixed"/>
        <w:tblCellMar>
          <w:top w:w="0" w:type="dxa"/>
          <w:left w:w="0" w:type="dxa"/>
          <w:bottom w:w="0" w:type="dxa"/>
          <w:right w:w="0" w:type="dxa"/>
        </w:tblCellMar>
      </w:tblPr>
      <w:tblGrid>
        <w:gridCol w:w="4276"/>
        <w:gridCol w:w="326"/>
        <w:gridCol w:w="211"/>
        <w:gridCol w:w="781"/>
        <w:gridCol w:w="271"/>
        <w:gridCol w:w="211"/>
        <w:gridCol w:w="781"/>
        <w:gridCol w:w="271"/>
        <w:gridCol w:w="211"/>
        <w:gridCol w:w="781"/>
        <w:gridCol w:w="361"/>
        <w:gridCol w:w="211"/>
        <w:gridCol w:w="781"/>
        <w:gridCol w:w="3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715260" cy="175260"/>
                      <wp:effectExtent l="0" t="0" r="0" b="0"/>
                      <wp:wrapNone/>
                      <wp:docPr id="784" name="Frame784"/>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07010" cy="175260"/>
                      <wp:effectExtent l="0" t="0" r="0" b="0"/>
                      <wp:wrapNone/>
                      <wp:docPr id="785" name="Frame7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133985" cy="175260"/>
                      <wp:effectExtent l="0" t="0" r="0" b="0"/>
                      <wp:wrapNone/>
                      <wp:docPr id="786" name="Frame7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495935" cy="175260"/>
                      <wp:effectExtent l="0" t="0" r="0" b="0"/>
                      <wp:wrapNone/>
                      <wp:docPr id="787" name="Frame7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172085" cy="175260"/>
                      <wp:effectExtent l="0" t="0" r="0" b="0"/>
                      <wp:wrapNone/>
                      <wp:docPr id="788" name="Frame78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133985" cy="175260"/>
                      <wp:effectExtent l="0" t="0" r="0" b="0"/>
                      <wp:wrapNone/>
                      <wp:docPr id="789" name="Frame7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495935" cy="175260"/>
                      <wp:effectExtent l="0" t="0" r="0" b="0"/>
                      <wp:wrapNone/>
                      <wp:docPr id="790" name="Frame7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172085" cy="175260"/>
                      <wp:effectExtent l="0" t="0" r="0" b="0"/>
                      <wp:wrapNone/>
                      <wp:docPr id="791" name="Frame79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133985" cy="175260"/>
                      <wp:effectExtent l="0" t="0" r="0" b="0"/>
                      <wp:wrapNone/>
                      <wp:docPr id="792" name="Frame7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495935" cy="175260"/>
                      <wp:effectExtent l="0" t="0" r="0" b="0"/>
                      <wp:wrapNone/>
                      <wp:docPr id="793" name="Frame7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229235" cy="175260"/>
                      <wp:effectExtent l="0" t="0" r="0" b="0"/>
                      <wp:wrapNone/>
                      <wp:docPr id="794" name="Frame7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133985" cy="175260"/>
                      <wp:effectExtent l="0" t="0" r="0" b="0"/>
                      <wp:wrapNone/>
                      <wp:docPr id="795" name="Frame7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495935" cy="175260"/>
                      <wp:effectExtent l="0" t="0" r="0" b="0"/>
                      <wp:wrapNone/>
                      <wp:docPr id="796" name="Frame7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200660" cy="175260"/>
                      <wp:effectExtent l="0" t="0" r="0" b="0"/>
                      <wp:wrapNone/>
                      <wp:docPr id="797" name="Frame79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71"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16"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 </w:t>
            </w:r>
          </w:p>
        </w:tc>
      </w:tr>
      <w:tr>
        <w:trPr/>
        <w:tc>
          <w:tcPr>
            <w:tcW w:w="9789"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software subscriptions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26,556</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26,730</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52,719</w:t>
            </w:r>
          </w:p>
        </w:tc>
        <w:tc>
          <w:tcPr>
            <w:tcW w:w="36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54,921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17,876</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15,590</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36,003</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30,445</w:t>
            </w:r>
          </w:p>
        </w:tc>
        <w:tc>
          <w:tcPr>
            <w:tcW w:w="31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140,127</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118,784</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272,899</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232,519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research and development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18,070</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12,692</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34,604</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selling and marketing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44,648</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37,021</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86,466</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72,695</w:t>
            </w:r>
          </w:p>
        </w:tc>
        <w:tc>
          <w:tcPr>
            <w:tcW w:w="31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38,071</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30,627</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74,673</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32,182</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33,303</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63,521</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65,040</w:t>
            </w:r>
          </w:p>
        </w:tc>
        <w:tc>
          <w:tcPr>
            <w:tcW w:w="31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24,891</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24,991</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49,385</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48,422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37"/>
        <w:gridCol w:w="196"/>
        <w:gridCol w:w="708"/>
        <w:gridCol w:w="346"/>
        <w:gridCol w:w="196"/>
        <w:gridCol w:w="708"/>
        <w:gridCol w:w="256"/>
        <w:gridCol w:w="196"/>
        <w:gridCol w:w="708"/>
        <w:gridCol w:w="346"/>
        <w:gridCol w:w="196"/>
        <w:gridCol w:w="708"/>
        <w:gridCol w:w="304"/>
      </w:tblGrid>
      <w:tr>
        <w:trPr/>
        <w:tc>
          <w:tcPr>
            <w:tcW w:w="5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3388995" cy="175260"/>
                      <wp:effectExtent l="0" t="0" r="0" b="0"/>
                      <wp:wrapNone/>
                      <wp:docPr id="798" name="Frame798"/>
                      <a:graphic xmlns:a="http://schemas.openxmlformats.org/drawingml/2006/main">
                        <a:graphicData uri="http://schemas.microsoft.com/office/word/2010/wordprocessingShape">
                          <wps:wsp>
                            <wps:cNvSpPr txBox="1"/>
                            <wps:spPr>
                              <a:xfrm>
                                <a:off x="0" y="0"/>
                                <a:ext cx="338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124460" cy="175260"/>
                      <wp:effectExtent l="0" t="0" r="0" b="0"/>
                      <wp:wrapNone/>
                      <wp:docPr id="799" name="Frame7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449580" cy="175260"/>
                      <wp:effectExtent l="0" t="0" r="0" b="0"/>
                      <wp:wrapNone/>
                      <wp:docPr id="800" name="Frame800"/>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219710" cy="175260"/>
                      <wp:effectExtent l="0" t="0" r="0" b="0"/>
                      <wp:wrapNone/>
                      <wp:docPr id="801" name="Frame8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124460" cy="175260"/>
                      <wp:effectExtent l="0" t="0" r="0" b="0"/>
                      <wp:wrapNone/>
                      <wp:docPr id="802" name="Frame8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449580" cy="175260"/>
                      <wp:effectExtent l="0" t="0" r="0" b="0"/>
                      <wp:wrapNone/>
                      <wp:docPr id="803" name="Frame803"/>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62560" cy="175260"/>
                      <wp:effectExtent l="0" t="0" r="0" b="0"/>
                      <wp:wrapNone/>
                      <wp:docPr id="804" name="Frame80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124460" cy="175260"/>
                      <wp:effectExtent l="0" t="0" r="0" b="0"/>
                      <wp:wrapNone/>
                      <wp:docPr id="805" name="Frame8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449580" cy="175260"/>
                      <wp:effectExtent l="0" t="0" r="0" b="0"/>
                      <wp:wrapNone/>
                      <wp:docPr id="806" name="Frame806"/>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219710" cy="175260"/>
                      <wp:effectExtent l="0" t="0" r="0" b="0"/>
                      <wp:wrapNone/>
                      <wp:docPr id="807" name="Frame8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124460" cy="175260"/>
                      <wp:effectExtent l="0" t="0" r="0" b="0"/>
                      <wp:wrapNone/>
                      <wp:docPr id="808" name="Frame8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449580" cy="175260"/>
                      <wp:effectExtent l="0" t="0" r="0" b="0"/>
                      <wp:wrapNone/>
                      <wp:docPr id="809" name="Frame80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93040" cy="175260"/>
                      <wp:effectExtent l="0" t="0" r="0" b="0"/>
                      <wp:wrapNone/>
                      <wp:docPr id="810" name="Frame81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37" w:type="dxa"/>
            <w:tcBorders/>
            <w:vAlign w:val="center"/>
          </w:tcPr>
          <w:p>
            <w:pPr>
              <w:pStyle w:val="TableContents"/>
              <w:bidi w:val="0"/>
              <w:spacing w:before="0" w:after="0"/>
              <w:ind w:left="0" w:right="0" w:hanging="0"/>
              <w:jc w:val="left"/>
              <w:rPr/>
            </w:pPr>
            <w:r>
              <w:rPr/>
              <w:t>​</w:t>
            </w:r>
          </w:p>
        </w:tc>
        <w:tc>
          <w:tcPr>
            <w:tcW w:w="215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256" w:type="dxa"/>
            <w:tcBorders/>
            <w:vAlign w:val="center"/>
          </w:tcPr>
          <w:p>
            <w:pPr>
              <w:pStyle w:val="TableContents"/>
              <w:bidi w:val="0"/>
              <w:spacing w:before="0" w:after="0"/>
              <w:ind w:left="0" w:right="0" w:hanging="0"/>
              <w:jc w:val="center"/>
              <w:rPr/>
            </w:pPr>
            <w:r>
              <w:rPr/>
              <w:t> </w:t>
            </w:r>
          </w:p>
        </w:tc>
        <w:tc>
          <w:tcPr>
            <w:tcW w:w="215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04" w:type="dxa"/>
            <w:tcBorders/>
            <w:vAlign w:val="center"/>
          </w:tcPr>
          <w:p>
            <w:pPr>
              <w:pStyle w:val="TableContents"/>
              <w:bidi w:val="0"/>
              <w:spacing w:before="0" w:after="0"/>
              <w:ind w:left="0" w:right="0" w:hanging="0"/>
              <w:jc w:val="center"/>
              <w:rPr/>
            </w:pPr>
            <w:r>
              <w:rPr/>
              <w:t>​</w:t>
            </w:r>
          </w:p>
        </w:tc>
      </w:tr>
      <w:tr>
        <w:trPr/>
        <w:tc>
          <w:tcPr>
            <w:tcW w:w="5337" w:type="dxa"/>
            <w:tcBorders/>
            <w:vAlign w:val="center"/>
          </w:tcPr>
          <w:p>
            <w:pPr>
              <w:pStyle w:val="TableContents"/>
              <w:bidi w:val="0"/>
              <w:spacing w:before="0" w:after="0"/>
              <w:ind w:left="0" w:right="0" w:hanging="0"/>
              <w:jc w:val="left"/>
              <w:rPr/>
            </w:pPr>
            <w:r>
              <w:rPr/>
              <w:t>​</w:t>
            </w:r>
          </w:p>
        </w:tc>
        <w:tc>
          <w:tcPr>
            <w:tcW w:w="21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56" w:type="dxa"/>
            <w:tcBorders/>
            <w:vAlign w:val="center"/>
          </w:tcPr>
          <w:p>
            <w:pPr>
              <w:pStyle w:val="TableContents"/>
              <w:bidi w:val="0"/>
              <w:spacing w:before="0" w:after="0"/>
              <w:ind w:left="0" w:right="0" w:hanging="0"/>
              <w:jc w:val="center"/>
              <w:rPr/>
            </w:pPr>
            <w:r>
              <w:rPr/>
              <w:t> </w:t>
            </w:r>
          </w:p>
        </w:tc>
        <w:tc>
          <w:tcPr>
            <w:tcW w:w="21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04" w:type="dxa"/>
            <w:tcBorders/>
            <w:vAlign w:val="center"/>
          </w:tcPr>
          <w:p>
            <w:pPr>
              <w:pStyle w:val="TableContents"/>
              <w:bidi w:val="0"/>
              <w:spacing w:before="0" w:after="0"/>
              <w:ind w:left="0" w:right="0" w:hanging="0"/>
              <w:jc w:val="center"/>
              <w:rPr/>
            </w:pPr>
            <w:r>
              <w:rPr/>
              <w:t>​</w:t>
            </w:r>
          </w:p>
        </w:tc>
      </w:tr>
      <w:tr>
        <w:trPr/>
        <w:tc>
          <w:tcPr>
            <w:tcW w:w="5337" w:type="dxa"/>
            <w:tcBorders/>
            <w:vAlign w:val="center"/>
          </w:tcPr>
          <w:p>
            <w:pPr>
              <w:pStyle w:val="TableContents"/>
              <w:bidi w:val="0"/>
              <w:spacing w:before="0" w:after="0"/>
              <w:ind w:left="0" w:right="0" w:hanging="0"/>
              <w:jc w:val="left"/>
              <w:rPr/>
            </w:pPr>
            <w:r>
              <w:rPr/>
              <w:t>​</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56" w:type="dxa"/>
            <w:tcBorders/>
            <w:vAlign w:val="center"/>
          </w:tcPr>
          <w:p>
            <w:pPr>
              <w:pStyle w:val="TableContents"/>
              <w:bidi w:val="0"/>
              <w:spacing w:before="0" w:after="0"/>
              <w:ind w:left="0" w:right="0" w:hanging="0"/>
              <w:jc w:val="center"/>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04" w:type="dxa"/>
            <w:tcBorders/>
            <w:vAlign w:val="center"/>
          </w:tcPr>
          <w:p>
            <w:pPr>
              <w:pStyle w:val="TableContents"/>
              <w:bidi w:val="0"/>
              <w:spacing w:before="0" w:after="0"/>
              <w:ind w:left="0" w:right="0" w:hanging="0"/>
              <w:jc w:val="center"/>
              <w:rPr/>
            </w:pPr>
            <w:r>
              <w:rPr/>
              <w:t>​</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215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56" w:type="dxa"/>
            <w:tcBorders/>
            <w:vAlign w:val="center"/>
          </w:tcPr>
          <w:p>
            <w:pPr>
              <w:pStyle w:val="TableContents"/>
              <w:bidi w:val="0"/>
              <w:spacing w:before="0" w:after="0"/>
              <w:ind w:left="0" w:right="0" w:hanging="0"/>
              <w:jc w:val="center"/>
              <w:rPr/>
            </w:pPr>
            <w:r>
              <w:rPr/>
              <w:t>​</w:t>
            </w:r>
          </w:p>
        </w:tc>
        <w:tc>
          <w:tcPr>
            <w:tcW w:w="215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04" w:type="dxa"/>
            <w:tcBorders/>
            <w:vAlign w:val="center"/>
          </w:tcPr>
          <w:p>
            <w:pPr>
              <w:pStyle w:val="TableContents"/>
              <w:bidi w:val="0"/>
              <w:spacing w:before="0" w:after="0"/>
              <w:ind w:left="0" w:right="0" w:hanging="0"/>
              <w:jc w:val="center"/>
              <w:rPr/>
            </w:pPr>
            <w:r>
              <w:rPr/>
              <w:t>​</w:t>
            </w:r>
          </w:p>
        </w:tc>
      </w:tr>
      <w:tr>
        <w:trPr/>
        <w:tc>
          <w:tcPr>
            <w:tcW w:w="533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  </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revenues, software subscriptions</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42,261</w:t>
            </w:r>
          </w:p>
        </w:tc>
        <w:tc>
          <w:tcPr>
            <w:tcW w:w="25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87,389</w:t>
            </w:r>
          </w:p>
        </w:tc>
        <w:tc>
          <w:tcPr>
            <w:tcW w:w="304" w:type="dxa"/>
            <w:tcBorders/>
            <w:vAlign w:val="center"/>
          </w:tcPr>
          <w:p>
            <w:pPr>
              <w:pStyle w:val="TableContents"/>
              <w:bidi w:val="0"/>
              <w:spacing w:before="0" w:after="0"/>
              <w:ind w:left="0" w:right="0" w:hanging="0"/>
              <w:jc w:val="left"/>
              <w:rPr/>
            </w:pPr>
            <w:r>
              <w:rPr/>
              <w:t>​</w:t>
            </w:r>
          </w:p>
        </w:tc>
      </w:tr>
      <w:tr>
        <w:trPr/>
        <w:tc>
          <w:tcPr>
            <w:tcW w:w="53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96"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(953)</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(2,543)</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(14,578)</w:t>
            </w:r>
          </w:p>
        </w:tc>
        <w:tc>
          <w:tcPr>
            <w:tcW w:w="25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(29,925)</w:t>
            </w:r>
          </w:p>
        </w:tc>
        <w:tc>
          <w:tcPr>
            <w:tcW w:w="304" w:type="dxa"/>
            <w:tcBorders/>
            <w:vAlign w:val="center"/>
          </w:tcPr>
          <w:p>
            <w:pPr>
              <w:pStyle w:val="TableContents"/>
              <w:bidi w:val="0"/>
              <w:spacing w:before="0" w:after="0"/>
              <w:ind w:left="0" w:right="0" w:hanging="0"/>
              <w:jc w:val="left"/>
              <w:rPr/>
            </w:pPr>
            <w:r>
              <w:rPr/>
              <w:t>​</w:t>
            </w:r>
          </w:p>
        </w:tc>
      </w:tr>
      <w:tr>
        <w:trPr/>
        <w:tc>
          <w:tcPr>
            <w:tcW w:w="533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26,730</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54,921</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w:t>
            </w:r>
          </w:p>
        </w:tc>
      </w:tr>
      <w:tr>
        <w:trPr/>
        <w:tc>
          <w:tcPr>
            <w:tcW w:w="533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revenues, services</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16,155</w:t>
            </w:r>
          </w:p>
        </w:tc>
        <w:tc>
          <w:tcPr>
            <w:tcW w:w="25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32,016</w:t>
            </w:r>
          </w:p>
        </w:tc>
        <w:tc>
          <w:tcPr>
            <w:tcW w:w="304" w:type="dxa"/>
            <w:tcBorders/>
            <w:vAlign w:val="center"/>
          </w:tcPr>
          <w:p>
            <w:pPr>
              <w:pStyle w:val="TableContents"/>
              <w:bidi w:val="0"/>
              <w:spacing w:before="0" w:after="0"/>
              <w:ind w:left="0" w:right="0" w:hanging="0"/>
              <w:jc w:val="left"/>
              <w:rPr/>
            </w:pPr>
            <w:r>
              <w:rPr/>
              <w:t>​</w:t>
            </w:r>
          </w:p>
        </w:tc>
      </w:tr>
      <w:tr>
        <w:trPr/>
        <w:tc>
          <w:tcPr>
            <w:tcW w:w="53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(1,571)</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17,876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15,590</w:t>
            </w:r>
          </w:p>
        </w:tc>
        <w:tc>
          <w:tcPr>
            <w:tcW w:w="25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30,445</w:t>
            </w:r>
          </w:p>
        </w:tc>
        <w:tc>
          <w:tcPr>
            <w:tcW w:w="304" w:type="dxa"/>
            <w:tcBorders/>
            <w:vAlign w:val="center"/>
          </w:tcPr>
          <w:p>
            <w:pPr>
              <w:pStyle w:val="TableContents"/>
              <w:bidi w:val="0"/>
              <w:spacing w:before="0" w:after="0"/>
              <w:ind w:left="0" w:right="0" w:hanging="0"/>
              <w:jc w:val="left"/>
              <w:rPr/>
            </w:pPr>
            <w:r>
              <w:rPr/>
              <w:t>​</w:t>
            </w:r>
          </w:p>
        </w:tc>
      </w:tr>
      <w:tr>
        <w:trPr/>
        <w:tc>
          <w:tcPr>
            <w:tcW w:w="5337"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w:t>
            </w:r>
          </w:p>
        </w:tc>
      </w:tr>
      <w:tr>
        <w:trPr/>
        <w:tc>
          <w:tcPr>
            <w:tcW w:w="533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121,200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102,688</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234,194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198,480</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1,518</w:t>
            </w:r>
          </w:p>
        </w:tc>
        <w:tc>
          <w:tcPr>
            <w:tcW w:w="25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4,114</w:t>
            </w:r>
          </w:p>
        </w:tc>
        <w:tc>
          <w:tcPr>
            <w:tcW w:w="304" w:type="dxa"/>
            <w:tcBorders/>
            <w:vAlign w:val="center"/>
          </w:tcPr>
          <w:p>
            <w:pPr>
              <w:pStyle w:val="TableContents"/>
              <w:bidi w:val="0"/>
              <w:spacing w:before="0" w:after="0"/>
              <w:ind w:left="0" w:right="0" w:hanging="0"/>
              <w:jc w:val="left"/>
              <w:rPr/>
            </w:pPr>
            <w:r>
              <w:rPr/>
              <w:t>​</w:t>
            </w:r>
          </w:p>
        </w:tc>
      </w:tr>
      <w:tr>
        <w:trPr/>
        <w:tc>
          <w:tcPr>
            <w:tcW w:w="53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14,578</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29,925</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140,127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118,784</w:t>
            </w:r>
          </w:p>
        </w:tc>
        <w:tc>
          <w:tcPr>
            <w:tcW w:w="25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272,899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232,519</w:t>
            </w:r>
          </w:p>
        </w:tc>
        <w:tc>
          <w:tcPr>
            <w:tcW w:w="304" w:type="dxa"/>
            <w:tcBorders/>
            <w:vAlign w:val="center"/>
          </w:tcPr>
          <w:p>
            <w:pPr>
              <w:pStyle w:val="TableContents"/>
              <w:bidi w:val="0"/>
              <w:spacing w:before="0" w:after="0"/>
              <w:ind w:left="0" w:right="0" w:hanging="0"/>
              <w:jc w:val="left"/>
              <w:rPr/>
            </w:pPr>
            <w:r>
              <w:rPr/>
              <w:t>​</w:t>
            </w:r>
          </w:p>
        </w:tc>
      </w:tr>
      <w:tr>
        <w:trPr/>
        <w:tc>
          <w:tcPr>
            <w:tcW w:w="5337"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w:t>
            </w:r>
          </w:p>
        </w:tc>
      </w:tr>
      <w:tr>
        <w:trPr/>
        <w:tc>
          <w:tcPr>
            <w:tcW w:w="53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184,559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161,104</w:t>
            </w:r>
          </w:p>
        </w:tc>
        <w:tc>
          <w:tcPr>
            <w:tcW w:w="25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361,621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317,885</w:t>
            </w:r>
          </w:p>
        </w:tc>
        <w:tc>
          <w:tcPr>
            <w:tcW w:w="304" w:type="dxa"/>
            <w:tcBorders/>
            <w:shd w:fill="CCEEFF" w:val="clear"/>
            <w:vAlign w:val="center"/>
          </w:tcPr>
          <w:p>
            <w:pPr>
              <w:pStyle w:val="TableContents"/>
              <w:bidi w:val="0"/>
              <w:spacing w:before="0" w:after="0"/>
              <w:ind w:left="0" w:right="0" w:hanging="0"/>
              <w:jc w:val="left"/>
              <w:rPr/>
            </w:pPr>
            <w:r>
              <w:rPr/>
              <w:t>​</w:t>
            </w:r>
          </w:p>
        </w:tc>
      </w:tr>
      <w:tr>
        <w:trPr/>
        <w:tc>
          <w:tcPr>
            <w:tcW w:w="533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w:t>
            </w:r>
          </w:p>
        </w:tc>
        <w:tc>
          <w:tcPr>
            <w:tcW w:w="3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337"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426"/>
        <w:gridCol w:w="255"/>
        <w:gridCol w:w="806"/>
        <w:gridCol w:w="141"/>
        <w:gridCol w:w="255"/>
        <w:gridCol w:w="806"/>
        <w:gridCol w:w="129"/>
        <w:gridCol w:w="232"/>
        <w:gridCol w:w="817"/>
        <w:gridCol w:w="129"/>
        <w:gridCol w:w="232"/>
        <w:gridCol w:w="817"/>
        <w:gridCol w:w="160"/>
      </w:tblGrid>
      <w:tr>
        <w:trPr/>
        <w:tc>
          <w:tcPr>
            <w:tcW w:w="5426" w:type="dxa"/>
            <w:tcBorders/>
            <w:vAlign w:val="center"/>
          </w:tcPr>
          <w:p>
            <w:pPr>
              <w:pStyle w:val="TableContents"/>
              <w:bidi w:val="0"/>
              <w:spacing w:before="0" w:after="0"/>
              <w:ind w:left="0" w:right="0" w:hanging="0"/>
              <w:jc w:val="left"/>
              <w:rPr/>
            </w:pPr>
            <w:r>
              <w:rPr/>
              <w:t>​</w:t>
            </w:r>
          </w:p>
        </w:tc>
        <w:tc>
          <w:tcPr>
            <w:tcW w:w="22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29" w:type="dxa"/>
            <w:tcBorders/>
            <w:vAlign w:val="center"/>
          </w:tcPr>
          <w:p>
            <w:pPr>
              <w:pStyle w:val="TableContents"/>
              <w:bidi w:val="0"/>
              <w:spacing w:before="0" w:after="0"/>
              <w:ind w:left="0" w:right="0" w:hanging="0"/>
              <w:jc w:val="left"/>
              <w:rPr/>
            </w:pPr>
            <w:r>
              <w:rPr/>
              <w:t>​</w:t>
            </w:r>
          </w:p>
        </w:tc>
        <w:tc>
          <w:tcPr>
            <w:tcW w:w="2387"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426" w:type="dxa"/>
            <w:tcBorders/>
            <w:vAlign w:val="center"/>
          </w:tcPr>
          <w:p>
            <w:pPr>
              <w:pStyle w:val="TableContents"/>
              <w:bidi w:val="0"/>
              <w:spacing w:before="0" w:after="0"/>
              <w:ind w:left="0" w:right="0" w:hanging="0"/>
              <w:jc w:val="left"/>
              <w:rPr/>
            </w:pPr>
            <w:r>
              <w:rPr/>
              <w:t>​</w:t>
            </w:r>
          </w:p>
        </w:tc>
        <w:tc>
          <w:tcPr>
            <w:tcW w:w="22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29" w:type="dxa"/>
            <w:tcBorders/>
            <w:vAlign w:val="center"/>
          </w:tcPr>
          <w:p>
            <w:pPr>
              <w:pStyle w:val="TableContents"/>
              <w:bidi w:val="0"/>
              <w:spacing w:before="0" w:after="0"/>
              <w:ind w:left="0" w:right="0" w:hanging="0"/>
              <w:jc w:val="left"/>
              <w:rPr/>
            </w:pPr>
            <w:r>
              <w:rPr/>
              <w:t>​</w:t>
            </w:r>
          </w:p>
        </w:tc>
        <w:tc>
          <w:tcPr>
            <w:tcW w:w="22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1" w:type="dxa"/>
            <w:tcBorders/>
            <w:vAlign w:val="center"/>
          </w:tcPr>
          <w:p>
            <w:pPr>
              <w:pStyle w:val="TableContents"/>
              <w:bidi w:val="0"/>
              <w:spacing w:before="0" w:after="0"/>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32" w:type="dxa"/>
            <w:tcBorders/>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60" w:type="dxa"/>
            <w:tcBorders/>
            <w:vAlign w:val="center"/>
          </w:tcPr>
          <w:p>
            <w:pPr>
              <w:pStyle w:val="TableContents"/>
              <w:bidi w:val="0"/>
              <w:spacing w:before="0" w:after="0"/>
              <w:ind w:left="0" w:right="0" w:hanging="0"/>
              <w:jc w:val="left"/>
              <w:rPr/>
            </w:pPr>
            <w:r>
              <w:rPr/>
              <w:t>​</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22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29" w:type="dxa"/>
            <w:tcBorders/>
            <w:vAlign w:val="center"/>
          </w:tcPr>
          <w:p>
            <w:pPr>
              <w:pStyle w:val="TableContents"/>
              <w:bidi w:val="0"/>
              <w:spacing w:before="0" w:after="0"/>
              <w:ind w:left="0" w:right="0" w:hanging="0"/>
              <w:jc w:val="left"/>
              <w:rPr/>
            </w:pPr>
            <w:r>
              <w:rPr/>
              <w:t>​</w:t>
            </w:r>
          </w:p>
        </w:tc>
        <w:tc>
          <w:tcPr>
            <w:tcW w:w="22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255"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Research and development expense</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20,582</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14,614</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41,468</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31,459</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(2,512)</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(1,922)</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(6,864)</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(5,295)</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18,070</w:t>
            </w:r>
          </w:p>
        </w:tc>
        <w:tc>
          <w:tcPr>
            <w:tcW w:w="141"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12,692</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34,604</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26,164</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Selling and marketing expense</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48,454</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40,541</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96,609</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81,032</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(3,235)</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(2,928)</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(9,041)</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(7,150)</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44,648</w:t>
            </w:r>
          </w:p>
        </w:tc>
        <w:tc>
          <w:tcPr>
            <w:tcW w:w="141"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37,021</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86,466</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72,695</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General and administrative expense</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43,392</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35,874</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88,420</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71,416</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(3,986)</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(3,633)</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(10,949)</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(9,766)</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(1,461)</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(1,018)</w:t>
            </w:r>
          </w:p>
        </w:tc>
        <w:tc>
          <w:tcPr>
            <w:tcW w:w="141"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(995)</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(1,989)</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38,071</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30,627</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74,673</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58,200</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left"/>
              <w:rPr/>
            </w:pPr>
            <w:r>
              <w:rPr/>
              <w:t>​</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  </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  </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  </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(loss) from operations</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(3,864)</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7,545</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5,980</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11,990</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10,001</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33,034</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26,325</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55"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16,670</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14,578</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32,525</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29,925</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1,018</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995</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1,989</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1,461</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(1,575)</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(2,375)</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(12,400)</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r>
              <w:rPr>
                <w:rFonts w:ascii="Times New Roman;Times;serif" w:hAnsi="Times New Roman;Times;serif"/>
                <w:sz w:val="14"/>
              </w:rPr>
              <w:t>(1)</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2,980</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5,640</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32,182</w:t>
            </w:r>
          </w:p>
        </w:tc>
        <w:tc>
          <w:tcPr>
            <w:tcW w:w="141"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33,303</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63,521</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65,040</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  </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  </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5,164</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10,169</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7,848</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2,200</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(6,780)</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(2,335)</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55"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11,990</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10,001</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33,034</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26,325</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16,670</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14,578</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32,525</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29,925</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1,018</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995</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1,989</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55"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1,461</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(1,575)</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(2,375)</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(12,400)</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r>
              <w:rPr>
                <w:rFonts w:ascii="Times New Roman;Times;serif" w:hAnsi="Times New Roman;Times;serif"/>
                <w:sz w:val="14"/>
              </w:rPr>
              <w:t>(1)</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2,980</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5,640</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Change in settlement value of deferred purchase commitment liability – interest expense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FF0000"/>
              </w:rPr>
            </w:pPr>
            <w:r>
              <w:rPr>
                <w:color w:val="FF0000"/>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Non-GAAP income before income taxes</w:t>
            </w:r>
          </w:p>
        </w:tc>
        <w:tc>
          <w:tcPr>
            <w:tcW w:w="255"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33,410</w:t>
            </w:r>
          </w:p>
        </w:tc>
        <w:tc>
          <w:tcPr>
            <w:tcW w:w="14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33,545</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66,288</w:t>
            </w:r>
          </w:p>
        </w:tc>
        <w:tc>
          <w:tcPr>
            <w:tcW w:w="12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64,996</w:t>
            </w:r>
          </w:p>
        </w:tc>
        <w:tc>
          <w:tcPr>
            <w:tcW w:w="160" w:type="dxa"/>
            <w:tcBorders/>
            <w:vAlign w:val="center"/>
          </w:tcPr>
          <w:p>
            <w:pPr>
              <w:pStyle w:val="TableContents"/>
              <w:bidi w:val="0"/>
              <w:spacing w:before="0" w:after="0"/>
              <w:ind w:left="0" w:right="0" w:hanging="0"/>
              <w:jc w:val="left"/>
              <w:rPr/>
            </w:pPr>
            <w:r>
              <w:rPr/>
              <w:t>​</w:t>
            </w:r>
          </w:p>
        </w:tc>
      </w:tr>
      <w:tr>
        <w:trPr/>
        <w:tc>
          <w:tcPr>
            <w:tcW w:w="5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Income tax adjustment at statutory rate </w:t>
            </w:r>
            <w:r>
              <w:rPr>
                <w:rFonts w:ascii="Times New Roman;Times;serif" w:hAnsi="Times New Roman;Times;serif"/>
                <w:sz w:val="14"/>
              </w:rPr>
              <w:t>(2)</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(8,519)</w:t>
            </w:r>
          </w:p>
        </w:tc>
        <w:tc>
          <w:tcPr>
            <w:tcW w:w="141"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(8,554)</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(16,903)</w:t>
            </w:r>
          </w:p>
        </w:tc>
        <w:tc>
          <w:tcPr>
            <w:tcW w:w="12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(16,574)</w:t>
            </w:r>
          </w:p>
        </w:tc>
        <w:tc>
          <w:tcPr>
            <w:tcW w:w="160" w:type="dxa"/>
            <w:tcBorders/>
            <w:shd w:fill="CCEEFF" w:val="clear"/>
            <w:vAlign w:val="center"/>
          </w:tcPr>
          <w:p>
            <w:pPr>
              <w:pStyle w:val="TableContents"/>
              <w:bidi w:val="0"/>
              <w:spacing w:before="0" w:after="0"/>
              <w:ind w:left="0" w:right="0" w:hanging="0"/>
              <w:jc w:val="left"/>
              <w:rPr/>
            </w:pPr>
            <w:r>
              <w:rPr/>
              <w:t>​</w:t>
            </w:r>
          </w:p>
        </w:tc>
      </w:tr>
      <w:tr>
        <w:trPr/>
        <w:tc>
          <w:tcPr>
            <w:tcW w:w="54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24,891</w:t>
            </w:r>
          </w:p>
        </w:tc>
        <w:tc>
          <w:tcPr>
            <w:tcW w:w="141"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24,991</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49,385</w:t>
            </w:r>
          </w:p>
        </w:tc>
        <w:tc>
          <w:tcPr>
            <w:tcW w:w="12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48,422</w:t>
            </w:r>
          </w:p>
        </w:tc>
        <w:tc>
          <w:tcPr>
            <w:tcW w:w="160" w:type="dxa"/>
            <w:tcBorders/>
            <w:vAlign w:val="center"/>
          </w:tcPr>
          <w:p>
            <w:pPr>
              <w:pStyle w:val="TableContents"/>
              <w:bidi w:val="0"/>
              <w:spacing w:before="0" w:after="0"/>
              <w:ind w:left="0" w:right="0" w:hanging="0"/>
              <w:jc w:val="left"/>
              <w:rPr/>
            </w:pPr>
            <w:r>
              <w:rPr/>
              <w:t>​</w:t>
            </w:r>
          </w:p>
        </w:tc>
      </w:tr>
      <w:tr>
        <w:trPr/>
        <w:tc>
          <w:tcPr>
            <w:tcW w:w="1004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 xml:space="preserve">The current year periods include legal expenses associated with pending litigation related to claims we have made against a competitor. For further information, refer to Note 12, “Commitments and Contingencies” to our condensed consolidated financial statements. </w:t>
            </w:r>
          </w:p>
        </w:tc>
        <w:tc>
          <w:tcPr>
            <w:tcW w:w="160" w:type="dxa"/>
            <w:tcBorders/>
            <w:vAlign w:val="center"/>
          </w:tcPr>
          <w:p>
            <w:pPr>
              <w:pStyle w:val="TableContents"/>
              <w:bidi w:val="0"/>
              <w:spacing w:before="0" w:after="0"/>
              <w:ind w:left="0" w:right="0" w:hanging="0"/>
              <w:jc w:val="left"/>
              <w:rPr/>
            </w:pPr>
            <w:r>
              <w:rPr/>
              <w:t>​</w:t>
            </w:r>
          </w:p>
        </w:tc>
      </w:tr>
      <w:tr>
        <w:trPr/>
        <w:tc>
          <w:tcPr>
            <w:tcW w:w="1004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Non-GAAP income before income taxes is adjusted for income taxes using the respective statutory tax rates for applicable jurisdictions, which for purposes of this determination were assumed to be 25.5%.</w:t>
            </w:r>
          </w:p>
        </w:tc>
        <w:tc>
          <w:tcPr>
            <w:tcW w:w="160"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critical accounting policies that reflect our more significant judgments and estimates used in the preparation of our condensed consolidated financial statements include revenue recognition and income taxes, which are described in our 2024 Annual Report. There have been no material updates or changes to our critical accounting estimates compared to the critical accounting estimates described in our 2024 Annual Report.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information on recent accounting pronouncements, refer to Note 1, “Summary of Significant Accounting Policies” to the condensed consolidated financial statements included in this Quarterly Report on Form 10-Q.</w:t>
      </w:r>
    </w:p>
    <w:p>
      <w:pPr>
        <w:pStyle w:val="Normal"/>
        <w:bidi w:val="0"/>
        <w:spacing w:before="0" w:after="0"/>
        <w:jc w:val="left"/>
        <w:rPr>
          <w:sz w:val="4"/>
          <w:szCs w:val="4"/>
        </w:rPr>
      </w:pPr>
      <w:r>
        <w:rPr>
          <w:sz w:val="4"/>
          <w:szCs w:val="4"/>
        </w:rPr>
      </w:r>
      <w:bookmarkStart w:id="1855" w:name="Item3QUANTITATIVEANDQUALITATIVE_86752"/>
      <w:bookmarkStart w:id="1856" w:name="_ba06f078_9a5c_434b_88a2_d213d2f247ea"/>
      <w:bookmarkStart w:id="1857" w:name="Item3QUANTITATIVEANDQUALITATIVE_86752"/>
      <w:bookmarkStart w:id="1858" w:name="_ba06f078_9a5c_434b_88a2_d213d2f247ea"/>
      <w:bookmarkEnd w:id="1857"/>
      <w:bookmarkEnd w:id="1858"/>
    </w:p>
    <w:tbl>
      <w:tblPr>
        <w:tblW w:w="7847" w:type="dxa"/>
        <w:jc w:val="left"/>
        <w:tblInd w:w="0" w:type="dxa"/>
        <w:tblLayout w:type="fixed"/>
        <w:tblCellMar>
          <w:top w:w="0" w:type="dxa"/>
          <w:left w:w="0" w:type="dxa"/>
          <w:bottom w:w="0" w:type="dxa"/>
          <w:right w:w="0" w:type="dxa"/>
        </w:tblCellMar>
      </w:tblPr>
      <w:tblGrid>
        <w:gridCol w:w="706"/>
        <w:gridCol w:w="714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7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QUANTITATIVE AND QUALITATIVE DISCLOSURES ABOUT MARKET RISK</w:t>
            </w:r>
            <w:r>
              <w:rPr>
                <w:rFonts w:ascii="Times New Roman;Times;serif" w:hAnsi="Times New Roman;Times;serif"/>
                <w:sz w:val="20"/>
              </w:rPr>
              <w:t xml:space="preserve"> </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Interest Rate Risk</w:t>
      </w:r>
      <w:r>
        <w:rPr>
          <w:rFonts w:ascii="Times New Roman;Times;serif" w:hAnsi="Times New Roman;Times;serif"/>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had unrestricted cash and cash equivalents of $284.4 million and $296.1 million as of June 30, 2025 and December 31, 2024, respectively, and investments of $9.2 million as of December 31, 2024. We maintain our cash and cash equivalents in deposit accounts and money market funds with various financial institutions.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exposed to risk related to changes in interest rates on our outstanding borrowings. Borrowings under our Credit Agreement bear interest at rates that are variable. Increases in the bank prime or SOFR rates would increase the interest rate on any future outstanding borrowings. Any debt we incur in the future may also bear interest at variable rates.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Notes have a fixed annual interest rate; therefore, we have no financial or economic interest exposure associated with changes in interest rates. However, the fair value of fixed rate debt instruments fluctuates when interest rates change. Additionally, the fair value of the Notes can be affected when the market price of our common stock fluctuates. We carry the Notes at principal value less unamortized issuance costs on our condensed consolidated balance sheets, and we present fair value for required disclosure purposes only.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Foreign Currency Exchange Risk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three and six months ended June 30, 2025, approximately 6% and 5%, respectively,</w:t>
      </w:r>
      <w:r>
        <w:rPr>
          <w:rFonts w:ascii="Times New Roman;Times;serif" w:hAnsi="Times New Roman;Times;serif"/>
          <w:color w:val="FF0000"/>
          <w:sz w:val="20"/>
        </w:rPr>
        <w:t xml:space="preserve"> </w:t>
      </w:r>
      <w:r>
        <w:rPr>
          <w:rFonts w:ascii="Times New Roman;Times;serif" w:hAnsi="Times New Roman;Times;serif"/>
          <w:sz w:val="20"/>
        </w:rPr>
        <w:t>of our revenues were denominated in currencies other than U.S. Dollars. For both the three and six months ended June 30, 2024, approximately 4%</w:t>
      </w:r>
      <w:r>
        <w:rPr>
          <w:rFonts w:ascii="Times New Roman;Times;serif" w:hAnsi="Times New Roman;Times;serif"/>
          <w:color w:val="FF0000"/>
          <w:sz w:val="20"/>
        </w:rPr>
        <w:t xml:space="preserve"> </w:t>
      </w:r>
      <w:r>
        <w:rPr>
          <w:rFonts w:ascii="Times New Roman;Times;serif" w:hAnsi="Times New Roman;Times;serif"/>
          <w:sz w:val="20"/>
        </w:rPr>
        <w:t>of our revenues were denominated in currencies other than U.S. Dollars.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859" w:name="Item4CONTROLSANDPROCEDURES_722053"/>
      <w:bookmarkStart w:id="1860" w:name="_f74d19d2_b222_4e4c_b99b_ded42a067da1"/>
      <w:bookmarkStart w:id="1861" w:name="Item4CONTROLSANDPROCEDURES_722053"/>
      <w:bookmarkStart w:id="1862" w:name="_f74d19d2_b222_4e4c_b99b_ded42a067da1"/>
      <w:bookmarkEnd w:id="1861"/>
      <w:bookmarkEnd w:id="1862"/>
    </w:p>
    <w:tbl>
      <w:tblPr>
        <w:tblW w:w="3797" w:type="dxa"/>
        <w:jc w:val="left"/>
        <w:tblInd w:w="0" w:type="dxa"/>
        <w:tblLayout w:type="fixed"/>
        <w:tblCellMar>
          <w:top w:w="0" w:type="dxa"/>
          <w:left w:w="0" w:type="dxa"/>
          <w:bottom w:w="0" w:type="dxa"/>
          <w:right w:w="0" w:type="dxa"/>
        </w:tblCellMar>
      </w:tblPr>
      <w:tblGrid>
        <w:gridCol w:w="706"/>
        <w:gridCol w:w="309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30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CONTROLS AND PROCEDURES</w:t>
            </w:r>
            <w:r>
              <w:rPr>
                <w:rFonts w:ascii="Times New Roman;Times;serif" w:hAnsi="Times New Roman;Times;serif"/>
                <w:sz w:val="20"/>
              </w:rPr>
              <w:t xml:space="preserve"> </w:t>
            </w:r>
          </w:p>
        </w:tc>
      </w:tr>
    </w:tbl>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principal financial officer, evaluated the effectiveness of our disclosure controls and procedures as defined in Rule 13a-15(b) of the Securities Exchange Act of 1934, as amended (the “Exchange Act”).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evaluation of our disclosure controls and procedures, our principal executive officer and principal financial officer concluded that, as of June 30, 2025, our disclosure controls and procedures were effective at a reasonable assurance level.</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the period covered by this Quarterly Report on Form 10-Q that materially affected, or are reasonably likely to materially affect, our internal control over financial reporting.</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1863" w:name="PARTIIOTHERINFORMATION_466846"/>
      <w:bookmarkEnd w:id="1863"/>
      <w:r>
        <w:rPr>
          <w:rFonts w:ascii="Times New Roman;Times;serif" w:hAnsi="Times New Roman;Times;serif"/>
          <w:b/>
          <w:sz w:val="20"/>
        </w:rPr>
        <w:t>PART II---OTHER INFORMATION</w:t>
      </w:r>
      <w:r>
        <w:rPr>
          <w:rFonts w:ascii="Times New Roman;Times;serif" w:hAnsi="Times New Roman;Times;serif"/>
          <w:color w:val="FF0000"/>
          <w:sz w:val="20"/>
          <w:shd w:fill="FFFF00" w:val="clear"/>
        </w:rPr>
        <w:t xml:space="preserve"> </w:t>
      </w:r>
    </w:p>
    <w:p>
      <w:pPr>
        <w:pStyle w:val="TextBody"/>
        <w:bidi w:val="0"/>
        <w:spacing w:before="0" w:after="240"/>
        <w:ind w:left="0" w:right="0" w:hanging="0"/>
        <w:jc w:val="both"/>
        <w:rPr>
          <w:rFonts w:ascii="Times New Roman;Times;serif" w:hAnsi="Times New Roman;Times;serif"/>
          <w:sz w:val="20"/>
        </w:rPr>
      </w:pPr>
      <w:bookmarkStart w:id="1864" w:name="ITEM1LEGALPROCEEDINGS_169419"/>
      <w:bookmarkStart w:id="1865" w:name="_86eda621_ac3a_4501_bd08_72396a9f8a81"/>
      <w:bookmarkEnd w:id="1864"/>
      <w:bookmarkEnd w:id="1865"/>
      <w:r>
        <w:rPr>
          <w:rFonts w:ascii="Times New Roman;Times;serif" w:hAnsi="Times New Roman;Times;serif"/>
          <w:b/>
          <w:sz w:val="20"/>
        </w:rPr>
        <w:t>ITEM 1. LEGAL PROCEEDINGS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are also seeking monetary damages, including punitive damages and attorney’s fees. As of June 30, 2025, the matter remains before the Court and is proceeding through the discovery process.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bidi w:val="0"/>
        <w:spacing w:before="0" w:after="240"/>
        <w:ind w:left="0" w:right="0" w:hanging="0"/>
        <w:jc w:val="both"/>
        <w:rPr>
          <w:rFonts w:ascii="Times New Roman;Times;serif" w:hAnsi="Times New Roman;Times;serif"/>
          <w:sz w:val="20"/>
        </w:rPr>
      </w:pPr>
      <w:bookmarkStart w:id="1866" w:name="ITEM1ARISKFACTORS_159906"/>
      <w:bookmarkStart w:id="1867" w:name="_58d1ae60_ded3_4fd7_b97c_47e28a9ee529"/>
      <w:bookmarkEnd w:id="1866"/>
      <w:bookmarkEnd w:id="1867"/>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document incorporates by reference various risk factors discussed in the Company’s 2024 Annual Report, under the heading “Risk Factors”.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pStyle w:val="Normal"/>
        <w:bidi w:val="0"/>
        <w:spacing w:before="0" w:after="0"/>
        <w:jc w:val="left"/>
        <w:rPr>
          <w:sz w:val="4"/>
          <w:szCs w:val="4"/>
        </w:rPr>
      </w:pPr>
      <w:r>
        <w:rPr>
          <w:sz w:val="4"/>
          <w:szCs w:val="4"/>
        </w:rPr>
      </w:r>
      <w:bookmarkStart w:id="1868" w:name="ITEM2UNREGISTEREDSALESOFEQUITYSECURITIES"/>
      <w:bookmarkStart w:id="1869" w:name="_e32ba893_34a8_478c_b8c0_9eb31d91794f"/>
      <w:bookmarkStart w:id="1870" w:name="ITEM2UNREGISTEREDSALESOFEQUITYSECURITIES"/>
      <w:bookmarkStart w:id="1871" w:name="_e32ba893_34a8_478c_b8c0_9eb31d91794f"/>
      <w:bookmarkEnd w:id="1870"/>
      <w:bookmarkEnd w:id="1871"/>
    </w:p>
    <w:tbl>
      <w:tblPr>
        <w:tblW w:w="7817" w:type="dxa"/>
        <w:jc w:val="left"/>
        <w:tblInd w:w="0" w:type="dxa"/>
        <w:tblLayout w:type="fixed"/>
        <w:tblCellMar>
          <w:top w:w="0" w:type="dxa"/>
          <w:left w:w="0" w:type="dxa"/>
          <w:bottom w:w="0" w:type="dxa"/>
          <w:right w:w="0" w:type="dxa"/>
        </w:tblCellMar>
      </w:tblPr>
      <w:tblGrid>
        <w:gridCol w:w="841"/>
        <w:gridCol w:w="697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6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None. </w:t>
      </w:r>
    </w:p>
    <w:p>
      <w:pPr>
        <w:pStyle w:val="Normal"/>
        <w:bidi w:val="0"/>
        <w:spacing w:before="0" w:after="0"/>
        <w:jc w:val="left"/>
        <w:rPr>
          <w:sz w:val="4"/>
          <w:szCs w:val="4"/>
        </w:rPr>
      </w:pPr>
      <w:r>
        <w:rPr>
          <w:sz w:val="4"/>
          <w:szCs w:val="4"/>
        </w:rPr>
      </w:r>
      <w:bookmarkStart w:id="1872" w:name="ITEM3DEFAULTSUPONSENIORSECURITIES_573487"/>
      <w:bookmarkStart w:id="1873" w:name="_9c5ed30a_80de_40df_8e69_d1a896b72395"/>
      <w:bookmarkStart w:id="1874" w:name="ITEM3DEFAULTSUPONSENIORSECURITIES_573487"/>
      <w:bookmarkStart w:id="1875" w:name="_9c5ed30a_80de_40df_8e69_d1a896b72395"/>
      <w:bookmarkEnd w:id="1874"/>
      <w:bookmarkEnd w:id="1875"/>
    </w:p>
    <w:tbl>
      <w:tblPr>
        <w:tblW w:w="4607" w:type="dxa"/>
        <w:jc w:val="left"/>
        <w:tblInd w:w="0" w:type="dxa"/>
        <w:tblLayout w:type="fixed"/>
        <w:tblCellMar>
          <w:top w:w="0" w:type="dxa"/>
          <w:left w:w="0" w:type="dxa"/>
          <w:bottom w:w="0" w:type="dxa"/>
          <w:right w:w="0" w:type="dxa"/>
        </w:tblCellMar>
      </w:tblPr>
      <w:tblGrid>
        <w:gridCol w:w="841"/>
        <w:gridCol w:w="376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37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876" w:name="ITEM4MINESAFETYDISCLOSURES_7256"/>
      <w:bookmarkStart w:id="1877" w:name="_985d2706_d941_486f_9241_f9f4833b41bf"/>
      <w:bookmarkEnd w:id="1876"/>
      <w:bookmarkEnd w:id="1877"/>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sz w:val="20"/>
        </w:rPr>
      </w:pPr>
      <w:bookmarkStart w:id="1878" w:name="ITEM5OTHERINFORMATION_591263"/>
      <w:bookmarkStart w:id="1879" w:name="_e1fdd487_129d_4a11_b391_17fa88f49741"/>
      <w:bookmarkEnd w:id="1878"/>
      <w:bookmarkEnd w:id="1879"/>
      <w:r>
        <w:rPr>
          <w:rFonts w:ascii="Times New Roman;Times;serif" w:hAnsi="Times New Roman;Times;serif"/>
          <w:b/>
          <w:sz w:val="20"/>
        </w:rPr>
        <w:t>ITEM 5. OTHER INFORMATION</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2025, no director or officer of the Company adopted, modified or terminated a “Rule 10b5-1 trading arrangement” or “non-Rule 10b5-1 trading arrangement,” as each term is defined in Item 408(a)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880" w:name="ITEM6EXHIBITS_780342"/>
      <w:bookmarkStart w:id="1881" w:name="_695e6879_ccbe_45e9_b3be_0cafeb27b79d"/>
      <w:bookmarkEnd w:id="1880"/>
      <w:bookmarkEnd w:id="1881"/>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18"/>
        <w:gridCol w:w="386"/>
        <w:gridCol w:w="3408"/>
        <w:gridCol w:w="326"/>
        <w:gridCol w:w="511"/>
        <w:gridCol w:w="326"/>
        <w:gridCol w:w="416"/>
        <w:gridCol w:w="326"/>
        <w:gridCol w:w="631"/>
        <w:gridCol w:w="326"/>
        <w:gridCol w:w="526"/>
        <w:gridCol w:w="326"/>
        <w:gridCol w:w="781"/>
        <w:gridCol w:w="326"/>
        <w:gridCol w:w="872"/>
      </w:tblGrid>
      <w:tr>
        <w:trPr/>
        <w:tc>
          <w:tcPr>
            <w:tcW w:w="718" w:type="dxa"/>
            <w:tcBorders/>
            <w:vAlign w:val="center"/>
          </w:tcPr>
          <w:p>
            <w:pPr>
              <w:pStyle w:val="TableHeading"/>
              <w:bidi w:val="0"/>
              <w:spacing w:before="0" w:after="0"/>
              <w:ind w:left="0" w:right="0" w:hanging="0"/>
              <w:jc w:val="left"/>
              <w:rPr/>
            </w:pPr>
            <w:r>
              <w:rPr/>
              <w:t>​</w:t>
            </w:r>
          </w:p>
        </w:tc>
        <w:tc>
          <w:tcPr>
            <w:tcW w:w="386" w:type="dxa"/>
            <w:tcBorders/>
            <w:vAlign w:val="center"/>
          </w:tcPr>
          <w:p>
            <w:pPr>
              <w:pStyle w:val="TableHeading"/>
              <w:bidi w:val="0"/>
              <w:spacing w:before="0" w:after="283"/>
              <w:ind w:left="0" w:right="0" w:hanging="0"/>
              <w:rPr>
                <w:sz w:val="4"/>
                <w:szCs w:val="4"/>
              </w:rPr>
            </w:pPr>
            <w:r>
              <w:rPr>
                <w:sz w:val="4"/>
                <w:szCs w:val="4"/>
              </w:rPr>
            </w:r>
          </w:p>
        </w:tc>
        <w:tc>
          <w:tcPr>
            <w:tcW w:w="3408"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51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416"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63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526"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78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72" w:type="dxa"/>
            <w:tcBorders/>
            <w:vAlign w:val="center"/>
          </w:tcPr>
          <w:p>
            <w:pPr>
              <w:pStyle w:val="TableHeading"/>
              <w:bidi w:val="0"/>
              <w:spacing w:before="0" w:after="283"/>
              <w:ind w:left="0" w:right="0" w:hanging="0"/>
              <w:rPr>
                <w:sz w:val="4"/>
                <w:szCs w:val="4"/>
              </w:rPr>
            </w:pPr>
            <w:r>
              <w:rPr>
                <w:sz w:val="4"/>
                <w:szCs w:val="4"/>
              </w:rPr>
            </w:r>
          </w:p>
        </w:tc>
      </w:tr>
      <w:tr>
        <w:trPr/>
        <w:tc>
          <w:tcPr>
            <w:tcW w:w="718" w:type="dxa"/>
            <w:tcBorders>
              <w:bottom w:val="single" w:sz="8"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Exhibit </w:t>
              <w:br/>
              <w:t>Number</w:t>
            </w:r>
          </w:p>
        </w:tc>
        <w:tc>
          <w:tcPr>
            <w:tcW w:w="38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3408"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Description </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51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41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63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52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78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872"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br/>
              <w:t>Herewith</w:t>
            </w:r>
          </w:p>
        </w:tc>
      </w:tr>
      <w:tr>
        <w:trPr/>
        <w:tc>
          <w:tcPr>
            <w:tcW w:w="718" w:type="dxa"/>
            <w:tcBorders/>
            <w:vAlign w:val="center"/>
          </w:tcPr>
          <w:p>
            <w:pPr>
              <w:pStyle w:val="TableContents"/>
              <w:bidi w:val="0"/>
              <w:spacing w:before="0" w:after="0"/>
              <w:ind w:left="0" w:right="0" w:hanging="0"/>
              <w:jc w:val="left"/>
              <w:rPr/>
            </w:pPr>
            <w:hyperlink w:anchor="verx-20250630xex31d1.htm">
              <w:r>
                <w:rPr>
                  <w:rStyle w:val="InternetLink"/>
                  <w:rFonts w:ascii="Times New Roman;Times;serif" w:hAnsi="Times New Roman;Times;serif"/>
                  <w:b w:val="false"/>
                  <w:i w:val="false"/>
                  <w:caps w:val="false"/>
                  <w:smallCaps w:val="false"/>
                  <w:sz w:val="20"/>
                </w:rPr>
                <w:t>31.1</w:t>
              </w:r>
            </w:hyperlink>
          </w:p>
        </w:tc>
        <w:tc>
          <w:tcPr>
            <w:tcW w:w="386" w:type="dxa"/>
            <w:tcBorders/>
            <w:vAlign w:val="center"/>
          </w:tcPr>
          <w:p>
            <w:pPr>
              <w:pStyle w:val="TableContents"/>
              <w:bidi w:val="0"/>
              <w:spacing w:before="0" w:after="0"/>
              <w:ind w:left="0" w:right="0" w:hanging="0"/>
              <w:jc w:val="both"/>
              <w:rPr/>
            </w:pPr>
            <w:r>
              <w:rPr/>
              <w:t>​</w:t>
            </w:r>
          </w:p>
        </w:tc>
        <w:tc>
          <w:tcPr>
            <w:tcW w:w="3408" w:type="dxa"/>
            <w:tcBorders/>
            <w:vAlign w:val="center"/>
          </w:tcPr>
          <w:p>
            <w:pPr>
              <w:pStyle w:val="TableContents"/>
              <w:bidi w:val="0"/>
              <w:spacing w:before="0" w:after="0"/>
              <w:ind w:left="0" w:right="0" w:hanging="0"/>
              <w:jc w:val="left"/>
              <w:rPr/>
            </w:pPr>
            <w:hyperlink w:anchor="verx-2025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pPr>
            <w:hyperlink w:anchor="verx-20250630xex31d2.htm">
              <w:r>
                <w:rPr>
                  <w:rStyle w:val="InternetLink"/>
                  <w:rFonts w:ascii="Times New Roman;Times;serif" w:hAnsi="Times New Roman;Times;serif"/>
                  <w:b w:val="false"/>
                  <w:i w:val="false"/>
                  <w:caps w:val="false"/>
                  <w:smallCaps w:val="false"/>
                  <w:sz w:val="20"/>
                </w:rPr>
                <w:t>31.2</w:t>
              </w:r>
            </w:hyperlink>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pPr>
            <w:hyperlink w:anchor="verx-2025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pPr>
            <w:hyperlink w:anchor="verx-20250630xex32d1.htm">
              <w:r>
                <w:rPr>
                  <w:rStyle w:val="InternetLink"/>
                  <w:rFonts w:ascii="Times New Roman;Times;serif" w:hAnsi="Times New Roman;Times;serif"/>
                  <w:b w:val="false"/>
                  <w:i w:val="false"/>
                  <w:caps w:val="false"/>
                  <w:smallCaps w:val="false"/>
                  <w:sz w:val="20"/>
                </w:rPr>
                <w:t>32.1</w:t>
              </w:r>
            </w:hyperlink>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pPr>
            <w:hyperlink w:anchor="verx-2025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18" w:type="dxa"/>
            <w:tcBorders/>
            <w:vAlign w:val="center"/>
          </w:tcPr>
          <w:p>
            <w:pPr>
              <w:pStyle w:val="TableContents"/>
              <w:bidi w:val="0"/>
              <w:spacing w:before="0" w:after="0"/>
              <w:ind w:left="0" w:right="0" w:hanging="0"/>
              <w:jc w:val="left"/>
              <w:rPr/>
            </w:pPr>
            <w:hyperlink w:anchor="verx-20250630xex32d2.htm">
              <w:r>
                <w:rPr>
                  <w:rStyle w:val="InternetLink"/>
                  <w:rFonts w:ascii="Times New Roman;Times;serif" w:hAnsi="Times New Roman;Times;serif"/>
                  <w:b w:val="false"/>
                  <w:i w:val="false"/>
                  <w:caps w:val="false"/>
                  <w:smallCaps w:val="false"/>
                  <w:sz w:val="20"/>
                </w:rPr>
                <w:t>32.2</w:t>
              </w:r>
            </w:hyperlink>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pPr>
            <w:hyperlink w:anchor="verx-2025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283"/>
              <w:ind w:left="0" w:right="0" w:hanging="0"/>
              <w:jc w:val="left"/>
              <w:rPr>
                <w:sz w:val="4"/>
                <w:szCs w:val="4"/>
              </w:rPr>
            </w:pPr>
            <w:r>
              <w:rPr>
                <w:sz w:val="4"/>
                <w:szCs w:val="4"/>
              </w:rPr>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86" w:type="dxa"/>
            <w:tcBorders/>
            <w:vAlign w:val="center"/>
          </w:tcPr>
          <w:p>
            <w:pPr>
              <w:pStyle w:val="TableContents"/>
              <w:bidi w:val="0"/>
              <w:spacing w:before="0" w:after="0"/>
              <w:ind w:left="0" w:right="0" w:hanging="0"/>
              <w:jc w:val="both"/>
              <w:rPr/>
            </w:pPr>
            <w:r>
              <w:rPr/>
              <w:t>​</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82" w:name="SIGNATURES_99336"/>
      <w:bookmarkStart w:id="1883" w:name="_5d28e0dc_0f79_47a0_8a06_140089e36fd4"/>
      <w:bookmarkEnd w:id="1882"/>
      <w:bookmarkEnd w:id="1883"/>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9209" w:type="dxa"/>
        <w:jc w:val="left"/>
        <w:tblInd w:w="0" w:type="dxa"/>
        <w:tblLayout w:type="fixed"/>
        <w:tblCellMar>
          <w:top w:w="0" w:type="dxa"/>
          <w:left w:w="0" w:type="dxa"/>
          <w:bottom w:w="0" w:type="dxa"/>
          <w:right w:w="0" w:type="dxa"/>
        </w:tblCellMar>
      </w:tblPr>
      <w:tblGrid>
        <w:gridCol w:w="1846"/>
        <w:gridCol w:w="266"/>
        <w:gridCol w:w="406"/>
        <w:gridCol w:w="669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69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0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Vertex, Inc.</w:t>
            </w:r>
          </w:p>
        </w:tc>
      </w:tr>
      <w:tr>
        <w:trPr/>
        <w:tc>
          <w:tcPr>
            <w:tcW w:w="18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7097" w:type="dxa"/>
            <w:gridSpan w:val="2"/>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18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18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Chairperson (principal executive officer)</w:t>
            </w:r>
          </w:p>
        </w:tc>
      </w:tr>
      <w:tr>
        <w:trPr/>
        <w:tc>
          <w:tcPr>
            <w:tcW w:w="18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7097" w:type="dxa"/>
            <w:gridSpan w:val="2"/>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8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8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0"/>
        <w:ind w:left="0" w:right="0" w:hanging="0"/>
        <w:jc w:val="right"/>
        <w:rPr>
          <w:rFonts w:ascii="Times New Roman;Times;serif" w:hAnsi="Times New Roman;Times;serif"/>
          <w:b/>
          <w:sz w:val="20"/>
        </w:rPr>
      </w:pPr>
      <w:bookmarkStart w:id="1884" w:name="verx-20250630xex31d1.htm"/>
      <w:bookmarkStart w:id="1885" w:name="ksverx20250630xex31d1"/>
      <w:bookmarkEnd w:id="1884"/>
      <w:bookmarkEnd w:id="1885"/>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David DeStefano,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pBdr/>
        <w:bidi w:val="0"/>
        <w:spacing w:before="0" w:after="0"/>
        <w:ind w:left="1080" w:right="0" w:hanging="36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276" w:type="dxa"/>
        <w:jc w:val="left"/>
        <w:tblInd w:w="0" w:type="dxa"/>
        <w:tblLayout w:type="fixed"/>
        <w:tblCellMar>
          <w:top w:w="0" w:type="dxa"/>
          <w:left w:w="0" w:type="dxa"/>
          <w:bottom w:w="0" w:type="dxa"/>
          <w:right w:w="0" w:type="dxa"/>
        </w:tblCellMar>
      </w:tblPr>
      <w:tblGrid>
        <w:gridCol w:w="1846"/>
        <w:gridCol w:w="453"/>
        <w:gridCol w:w="1977"/>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77"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184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184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86" w:name="verx-20250630xex31d2.htm"/>
      <w:bookmarkStart w:id="1887" w:name="ksverx20250630xex31d2"/>
      <w:bookmarkEnd w:id="1886"/>
      <w:bookmarkEnd w:id="1887"/>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John Schwab,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261" w:type="dxa"/>
        <w:jc w:val="center"/>
        <w:tblInd w:w="0" w:type="dxa"/>
        <w:tblLayout w:type="fixed"/>
        <w:tblCellMar>
          <w:top w:w="0" w:type="dxa"/>
          <w:left w:w="0" w:type="dxa"/>
          <w:bottom w:w="0" w:type="dxa"/>
          <w:right w:w="0" w:type="dxa"/>
        </w:tblCellMar>
      </w:tblPr>
      <w:tblGrid>
        <w:gridCol w:w="1846"/>
        <w:gridCol w:w="526"/>
        <w:gridCol w:w="1889"/>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1172210" cy="29210"/>
                      <wp:effectExtent l="0" t="0" r="0" b="0"/>
                      <wp:wrapNone/>
                      <wp:docPr id="811" name="Frame811"/>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334010" cy="29210"/>
                      <wp:effectExtent l="0" t="0" r="0" b="0"/>
                      <wp:wrapNone/>
                      <wp:docPr id="812" name="Frame812"/>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199515" cy="29210"/>
                      <wp:effectExtent l="0" t="0" r="0" b="0"/>
                      <wp:wrapNone/>
                      <wp:docPr id="813" name="Frame813"/>
                      <a:graphic xmlns:a="http://schemas.openxmlformats.org/drawingml/2006/main">
                        <a:graphicData uri="http://schemas.microsoft.com/office/word/2010/wordprocessingShape">
                          <wps:wsp>
                            <wps:cNvSpPr txBox="1"/>
                            <wps:spPr>
                              <a:xfrm>
                                <a:off x="0" y="0"/>
                                <a:ext cx="1199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84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84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88" w:name="verx-20250630xex32d1.htm"/>
      <w:bookmarkStart w:id="1889" w:name="ksverx20250630xex32d1"/>
      <w:bookmarkEnd w:id="1888"/>
      <w:bookmarkEnd w:id="1889"/>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June 30, 2025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276" w:type="dxa"/>
        <w:jc w:val="center"/>
        <w:tblInd w:w="0" w:type="dxa"/>
        <w:tblLayout w:type="fixed"/>
        <w:tblCellMar>
          <w:top w:w="0" w:type="dxa"/>
          <w:left w:w="0" w:type="dxa"/>
          <w:bottom w:w="0" w:type="dxa"/>
          <w:right w:w="0" w:type="dxa"/>
        </w:tblCellMar>
      </w:tblPr>
      <w:tblGrid>
        <w:gridCol w:w="1846"/>
        <w:gridCol w:w="531"/>
        <w:gridCol w:w="1899"/>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1172210" cy="29210"/>
                      <wp:effectExtent l="0" t="0" r="0" b="0"/>
                      <wp:wrapNone/>
                      <wp:docPr id="814" name="Frame814"/>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337185" cy="29210"/>
                      <wp:effectExtent l="0" t="0" r="0" b="0"/>
                      <wp:wrapNone/>
                      <wp:docPr id="815" name="Frame815"/>
                      <a:graphic xmlns:a="http://schemas.openxmlformats.org/drawingml/2006/main">
                        <a:graphicData uri="http://schemas.microsoft.com/office/word/2010/wordprocessingShape">
                          <wps:wsp>
                            <wps:cNvSpPr txBox="1"/>
                            <wps:spPr>
                              <a:xfrm>
                                <a:off x="0" y="0"/>
                                <a:ext cx="337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1206500" cy="29210"/>
                      <wp:effectExtent l="0" t="0" r="0" b="0"/>
                      <wp:wrapNone/>
                      <wp:docPr id="816" name="Frame816"/>
                      <a:graphic xmlns:a="http://schemas.openxmlformats.org/drawingml/2006/main">
                        <a:graphicData uri="http://schemas.microsoft.com/office/word/2010/wordprocessingShape">
                          <wps:wsp>
                            <wps:cNvSpPr txBox="1"/>
                            <wps:spPr>
                              <a:xfrm>
                                <a:off x="0" y="0"/>
                                <a:ext cx="12065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189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184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184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90" w:name="verx-20250630xex32d2.htm"/>
      <w:bookmarkStart w:id="1891" w:name="ksverx20250630xex32d2"/>
      <w:bookmarkEnd w:id="1890"/>
      <w:bookmarkEnd w:id="1891"/>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June 30, 2025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tbl>
      <w:tblPr>
        <w:tblW w:w="4261" w:type="dxa"/>
        <w:jc w:val="left"/>
        <w:tblInd w:w="0" w:type="dxa"/>
        <w:tblLayout w:type="fixed"/>
        <w:tblCellMar>
          <w:top w:w="0" w:type="dxa"/>
          <w:left w:w="0" w:type="dxa"/>
          <w:bottom w:w="0" w:type="dxa"/>
          <w:right w:w="0" w:type="dxa"/>
        </w:tblCellMar>
      </w:tblPr>
      <w:tblGrid>
        <w:gridCol w:w="1846"/>
        <w:gridCol w:w="526"/>
        <w:gridCol w:w="1889"/>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1172210" cy="160655"/>
                      <wp:effectExtent l="0" t="0" r="0" b="0"/>
                      <wp:wrapNone/>
                      <wp:docPr id="817" name="Frame817"/>
                      <a:graphic xmlns:a="http://schemas.openxmlformats.org/drawingml/2006/main">
                        <a:graphicData uri="http://schemas.microsoft.com/office/word/2010/wordprocessingShape">
                          <wps:wsp>
                            <wps:cNvSpPr txBox="1"/>
                            <wps:spPr>
                              <a:xfrm>
                                <a:off x="0" y="0"/>
                                <a:ext cx="1172210" cy="16065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334010" cy="29210"/>
                      <wp:effectExtent l="0" t="0" r="0" b="0"/>
                      <wp:wrapNone/>
                      <wp:docPr id="818" name="Frame818"/>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1199515" cy="29210"/>
                      <wp:effectExtent l="0" t="0" r="0" b="0"/>
                      <wp:wrapNone/>
                      <wp:docPr id="819" name="Frame819"/>
                      <a:graphic xmlns:a="http://schemas.openxmlformats.org/drawingml/2006/main">
                        <a:graphicData uri="http://schemas.microsoft.com/office/word/2010/wordprocessingShape">
                          <wps:wsp>
                            <wps:cNvSpPr txBox="1"/>
                            <wps:spPr>
                              <a:xfrm>
                                <a:off x="0" y="0"/>
                                <a:ext cx="1199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84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84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28837</Words>
  <Characters>162342</Characters>
  <CharactersWithSpaces>195394</CharactersWithSpaces>
  <Paragraphs>12024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