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344805</wp:posOffset>
            </wp:positionV>
            <wp:extent cx="649541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5415" cy="330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410845</wp:posOffset>
            </wp:positionV>
            <wp:extent cx="6495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5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92" w:lineRule="exact"/>
        <w:rPr>
          <w:sz w:val="24"/>
          <w:szCs w:val="24"/>
          <w:color w:val="auto"/>
        </w:rPr>
      </w:pPr>
    </w:p>
    <w:p>
      <w:pPr>
        <w:ind w:left="520" w:hanging="511"/>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89"/>
              </w:rPr>
              <w:t>For the transition period from to</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9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88"/>
              </w:rPr>
              <w:t>Commission File Number: 333-239644</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0"/>
        </w:trPr>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gridSpan w:val="3"/>
          </w:tcPr>
          <w:p>
            <w:pPr>
              <w:jc w:val="center"/>
              <w:ind w:right="620"/>
              <w:spacing w:after="0"/>
              <w:rPr>
                <w:sz w:val="20"/>
                <w:szCs w:val="20"/>
                <w:color w:val="auto"/>
              </w:rPr>
            </w:pPr>
            <w:r>
              <w:rPr>
                <w:rFonts w:ascii="Arial" w:cs="Arial" w:eastAsia="Arial" w:hAnsi="Arial"/>
                <w:sz w:val="40"/>
                <w:szCs w:val="40"/>
                <w:b w:val="1"/>
                <w:bCs w:val="1"/>
                <w:color w:val="auto"/>
              </w:rPr>
              <w:t>VERTEX, INC.</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8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88"/>
              </w:rPr>
              <w:t>(Exact Name of Registrant as Specified in its Charter)</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180" w:type="dxa"/>
            <w:vAlign w:val="bottom"/>
          </w:tcPr>
          <w:p>
            <w:pPr>
              <w:jc w:val="center"/>
              <w:ind w:left="9"/>
              <w:spacing w:after="0"/>
              <w:rPr>
                <w:sz w:val="20"/>
                <w:szCs w:val="20"/>
                <w:color w:val="auto"/>
              </w:rPr>
            </w:pPr>
            <w:r>
              <w:rPr>
                <w:rFonts w:ascii="Arial" w:cs="Arial" w:eastAsia="Arial" w:hAnsi="Arial"/>
                <w:sz w:val="16"/>
                <w:szCs w:val="16"/>
                <w:b w:val="1"/>
                <w:bCs w:val="1"/>
                <w:color w:val="auto"/>
                <w:w w:val="88"/>
              </w:rPr>
              <w:t>Delaware</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20" w:type="dxa"/>
            <w:vAlign w:val="bottom"/>
          </w:tcPr>
          <w:p>
            <w:pPr>
              <w:jc w:val="center"/>
              <w:ind w:right="392"/>
              <w:spacing w:after="0"/>
              <w:rPr>
                <w:sz w:val="20"/>
                <w:szCs w:val="20"/>
                <w:color w:val="auto"/>
              </w:rPr>
            </w:pPr>
            <w:r>
              <w:rPr>
                <w:rFonts w:ascii="Arial" w:cs="Arial" w:eastAsia="Arial" w:hAnsi="Arial"/>
                <w:sz w:val="16"/>
                <w:szCs w:val="16"/>
                <w:b w:val="1"/>
                <w:bCs w:val="1"/>
                <w:color w:val="auto"/>
                <w:w w:val="88"/>
              </w:rPr>
              <w:t>23-2081753</w:t>
            </w:r>
          </w:p>
        </w:tc>
        <w:tc>
          <w:tcPr>
            <w:tcW w:w="0" w:type="dxa"/>
            <w:vAlign w:val="bottom"/>
          </w:tcPr>
          <w:p>
            <w:pPr>
              <w:spacing w:after="0"/>
              <w:rPr>
                <w:sz w:val="1"/>
                <w:szCs w:val="1"/>
                <w:color w:val="auto"/>
              </w:rPr>
            </w:pPr>
          </w:p>
        </w:tc>
      </w:tr>
      <w:tr>
        <w:trPr>
          <w:trHeight w:val="130"/>
        </w:trPr>
        <w:tc>
          <w:tcPr>
            <w:tcW w:w="3180" w:type="dxa"/>
            <w:vAlign w:val="bottom"/>
          </w:tcPr>
          <w:p>
            <w:pPr>
              <w:jc w:val="center"/>
              <w:ind w:left="9"/>
              <w:spacing w:after="0" w:line="130" w:lineRule="exact"/>
              <w:rPr>
                <w:sz w:val="20"/>
                <w:szCs w:val="20"/>
                <w:color w:val="auto"/>
              </w:rPr>
            </w:pPr>
            <w:r>
              <w:rPr>
                <w:rFonts w:ascii="Arial" w:cs="Arial" w:eastAsia="Arial" w:hAnsi="Arial"/>
                <w:sz w:val="12"/>
                <w:szCs w:val="12"/>
                <w:b w:val="1"/>
                <w:bCs w:val="1"/>
                <w:color w:val="auto"/>
                <w:w w:val="91"/>
              </w:rPr>
              <w:t>(State or other jurisdiction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20" w:type="dxa"/>
            <w:vAlign w:val="bottom"/>
          </w:tcPr>
          <w:p>
            <w:pPr>
              <w:jc w:val="center"/>
              <w:ind w:right="392"/>
              <w:spacing w:after="0" w:line="130"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8"/>
        </w:trPr>
        <w:tc>
          <w:tcPr>
            <w:tcW w:w="3180" w:type="dxa"/>
            <w:vAlign w:val="bottom"/>
          </w:tcPr>
          <w:p>
            <w:pPr>
              <w:jc w:val="center"/>
              <w:ind w:left="9"/>
              <w:spacing w:after="0"/>
              <w:rPr>
                <w:sz w:val="20"/>
                <w:szCs w:val="20"/>
                <w:color w:val="auto"/>
              </w:rPr>
            </w:pPr>
            <w:r>
              <w:rPr>
                <w:rFonts w:ascii="Arial" w:cs="Arial" w:eastAsia="Arial" w:hAnsi="Arial"/>
                <w:sz w:val="12"/>
                <w:szCs w:val="12"/>
                <w:b w:val="1"/>
                <w:bCs w:val="1"/>
                <w:color w:val="auto"/>
                <w:w w:val="92"/>
              </w:rPr>
              <w:t>incorporation or organization)</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20" w:type="dxa"/>
            <w:vAlign w:val="bottom"/>
          </w:tcPr>
          <w:p>
            <w:pPr>
              <w:jc w:val="center"/>
              <w:ind w:right="372"/>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365"/>
        </w:trPr>
        <w:tc>
          <w:tcPr>
            <w:tcW w:w="3180" w:type="dxa"/>
            <w:vAlign w:val="bottom"/>
          </w:tcPr>
          <w:p>
            <w:pPr>
              <w:jc w:val="center"/>
              <w:ind w:left="9"/>
              <w:spacing w:after="0"/>
              <w:rPr>
                <w:sz w:val="20"/>
                <w:szCs w:val="20"/>
                <w:color w:val="auto"/>
              </w:rPr>
            </w:pPr>
            <w:r>
              <w:rPr>
                <w:rFonts w:ascii="Arial" w:cs="Arial" w:eastAsia="Arial" w:hAnsi="Arial"/>
                <w:sz w:val="16"/>
                <w:szCs w:val="16"/>
                <w:b w:val="1"/>
                <w:bCs w:val="1"/>
                <w:color w:val="auto"/>
                <w:w w:val="84"/>
              </w:rPr>
              <w:t>2301 Renaissance Blvd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tcPr>
          <w:p>
            <w:pPr>
              <w:jc w:val="center"/>
              <w:ind w:right="412"/>
              <w:spacing w:after="0"/>
              <w:rPr>
                <w:sz w:val="20"/>
                <w:szCs w:val="20"/>
                <w:color w:val="auto"/>
              </w:rPr>
            </w:pPr>
            <w:r>
              <w:rPr>
                <w:rFonts w:ascii="Arial" w:cs="Arial" w:eastAsia="Arial" w:hAnsi="Arial"/>
                <w:sz w:val="16"/>
                <w:szCs w:val="16"/>
                <w:b w:val="1"/>
                <w:bCs w:val="1"/>
                <w:color w:val="auto"/>
                <w:w w:val="85"/>
              </w:rPr>
              <w:t>19406</w:t>
            </w:r>
          </w:p>
        </w:tc>
        <w:tc>
          <w:tcPr>
            <w:tcW w:w="0" w:type="dxa"/>
            <w:vAlign w:val="bottom"/>
          </w:tcPr>
          <w:p>
            <w:pPr>
              <w:spacing w:after="0"/>
              <w:rPr>
                <w:sz w:val="1"/>
                <w:szCs w:val="1"/>
                <w:color w:val="auto"/>
              </w:rPr>
            </w:pPr>
          </w:p>
        </w:tc>
      </w:tr>
      <w:tr>
        <w:trPr>
          <w:trHeight w:val="190"/>
        </w:trPr>
        <w:tc>
          <w:tcPr>
            <w:tcW w:w="3180" w:type="dxa"/>
            <w:vAlign w:val="bottom"/>
          </w:tcPr>
          <w:p>
            <w:pPr>
              <w:jc w:val="center"/>
              <w:ind w:left="9"/>
              <w:spacing w:after="0"/>
              <w:rPr>
                <w:sz w:val="20"/>
                <w:szCs w:val="20"/>
                <w:color w:val="auto"/>
              </w:rPr>
            </w:pPr>
            <w:r>
              <w:rPr>
                <w:rFonts w:ascii="Arial" w:cs="Arial" w:eastAsia="Arial" w:hAnsi="Arial"/>
                <w:sz w:val="16"/>
                <w:szCs w:val="16"/>
                <w:b w:val="1"/>
                <w:bCs w:val="1"/>
                <w:color w:val="auto"/>
                <w:w w:val="86"/>
              </w:rPr>
              <w:t>King of Prussia, Pennsylvania</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180" w:type="dxa"/>
            <w:vAlign w:val="bottom"/>
          </w:tcPr>
          <w:p>
            <w:pPr>
              <w:jc w:val="center"/>
              <w:ind w:left="9"/>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20" w:type="dxa"/>
            <w:vAlign w:val="bottom"/>
          </w:tcPr>
          <w:p>
            <w:pPr>
              <w:jc w:val="center"/>
              <w:ind w:right="392"/>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321"/>
        </w:trPr>
        <w:tc>
          <w:tcPr>
            <w:tcW w:w="7420" w:type="dxa"/>
            <w:vAlign w:val="bottom"/>
            <w:gridSpan w:val="6"/>
          </w:tcPr>
          <w:p>
            <w:pPr>
              <w:jc w:val="center"/>
              <w:ind w:left="2749"/>
              <w:spacing w:after="0"/>
              <w:rPr>
                <w:sz w:val="20"/>
                <w:szCs w:val="20"/>
                <w:color w:val="auto"/>
              </w:rPr>
            </w:pPr>
            <w:r>
              <w:rPr>
                <w:rFonts w:ascii="Arial" w:cs="Arial" w:eastAsia="Arial" w:hAnsi="Arial"/>
                <w:sz w:val="16"/>
                <w:szCs w:val="16"/>
                <w:b w:val="1"/>
                <w:bCs w:val="1"/>
                <w:color w:val="auto"/>
                <w:w w:val="87"/>
              </w:rPr>
              <w:t>Registrant’s telephone number, including area code: (800) 355-3500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180" w:type="dxa"/>
            <w:vAlign w:val="bottom"/>
          </w:tcPr>
          <w:p>
            <w:pPr>
              <w:spacing w:after="0"/>
              <w:rPr>
                <w:sz w:val="23"/>
                <w:szCs w:val="23"/>
                <w:color w:val="auto"/>
              </w:rPr>
            </w:pPr>
          </w:p>
        </w:tc>
        <w:tc>
          <w:tcPr>
            <w:tcW w:w="42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6"/>
              </w:rPr>
              <w:t>Securities registered pursuant to Section 12(b) of the Act:</w:t>
            </w: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80" w:type="dxa"/>
            <w:vAlign w:val="bottom"/>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8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1"/>
              </w:rPr>
              <w:t>Trading symbol</w:t>
            </w:r>
          </w:p>
        </w:tc>
        <w:tc>
          <w:tcPr>
            <w:tcW w:w="2820" w:type="dxa"/>
            <w:vAlign w:val="bottom"/>
          </w:tcPr>
          <w:p>
            <w:pPr>
              <w:jc w:val="center"/>
              <w:ind w:right="372"/>
              <w:spacing w:after="0"/>
              <w:rPr>
                <w:sz w:val="20"/>
                <w:szCs w:val="20"/>
                <w:color w:val="auto"/>
              </w:rPr>
            </w:pPr>
            <w:r>
              <w:rPr>
                <w:rFonts w:ascii="Arial" w:cs="Arial" w:eastAsia="Arial" w:hAnsi="Arial"/>
                <w:sz w:val="12"/>
                <w:szCs w:val="12"/>
                <w:b w:val="1"/>
                <w:bCs w:val="1"/>
                <w:color w:val="auto"/>
                <w:w w:val="89"/>
              </w:rPr>
              <w:t>Name of each exchange on which registered</w:t>
            </w:r>
          </w:p>
        </w:tc>
        <w:tc>
          <w:tcPr>
            <w:tcW w:w="0" w:type="dxa"/>
            <w:vAlign w:val="bottom"/>
          </w:tcPr>
          <w:p>
            <w:pPr>
              <w:spacing w:after="0"/>
              <w:rPr>
                <w:sz w:val="1"/>
                <w:szCs w:val="1"/>
                <w:color w:val="auto"/>
              </w:rPr>
            </w:pPr>
          </w:p>
        </w:tc>
      </w:tr>
      <w:tr>
        <w:trPr>
          <w:trHeight w:val="55"/>
        </w:trPr>
        <w:tc>
          <w:tcPr>
            <w:tcW w:w="3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18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87"/>
              </w:rPr>
              <w:t>Class A Common Stock, Par Value $0.001 Per</w:t>
            </w: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34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rPr>
              <w:t>VERX</w:t>
            </w:r>
          </w:p>
        </w:tc>
        <w:tc>
          <w:tcPr>
            <w:tcW w:w="2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820" w:type="dxa"/>
            <w:vAlign w:val="bottom"/>
          </w:tcPr>
          <w:p>
            <w:pPr>
              <w:jc w:val="center"/>
              <w:ind w:right="372"/>
              <w:spacing w:after="0" w:line="174" w:lineRule="exact"/>
              <w:rPr>
                <w:sz w:val="20"/>
                <w:szCs w:val="20"/>
                <w:color w:val="auto"/>
              </w:rPr>
            </w:pPr>
            <w:r>
              <w:rPr>
                <w:rFonts w:ascii="Arial" w:cs="Arial" w:eastAsia="Arial" w:hAnsi="Arial"/>
                <w:sz w:val="16"/>
                <w:szCs w:val="16"/>
                <w:b w:val="1"/>
                <w:bCs w:val="1"/>
                <w:color w:val="auto"/>
                <w:w w:val="95"/>
              </w:rPr>
              <w:t>NASDAQ</w:t>
            </w:r>
          </w:p>
        </w:tc>
        <w:tc>
          <w:tcPr>
            <w:tcW w:w="0" w:type="dxa"/>
            <w:vAlign w:val="bottom"/>
          </w:tcPr>
          <w:p>
            <w:pPr>
              <w:spacing w:after="0"/>
              <w:rPr>
                <w:sz w:val="1"/>
                <w:szCs w:val="1"/>
                <w:color w:val="auto"/>
              </w:rPr>
            </w:pPr>
          </w:p>
        </w:tc>
      </w:tr>
      <w:tr>
        <w:trPr>
          <w:trHeight w:val="203"/>
        </w:trPr>
        <w:tc>
          <w:tcPr>
            <w:tcW w:w="3180" w:type="dxa"/>
            <w:vAlign w:val="bottom"/>
          </w:tcPr>
          <w:p>
            <w:pPr>
              <w:jc w:val="center"/>
              <w:ind w:left="9"/>
              <w:spacing w:after="0"/>
              <w:rPr>
                <w:sz w:val="20"/>
                <w:szCs w:val="20"/>
                <w:color w:val="auto"/>
              </w:rPr>
            </w:pPr>
            <w:r>
              <w:rPr>
                <w:rFonts w:ascii="Arial" w:cs="Arial" w:eastAsia="Arial" w:hAnsi="Arial"/>
                <w:sz w:val="16"/>
                <w:szCs w:val="16"/>
                <w:b w:val="1"/>
                <w:bCs w:val="1"/>
                <w:color w:val="auto"/>
                <w:w w:val="85"/>
              </w:rPr>
              <w:t>Share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jc w:val="both"/>
        <w:ind w:firstLine="452"/>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firstLine="452"/>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firstLine="448"/>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194"/>
        </w:trPr>
        <w:tc>
          <w:tcPr>
            <w:tcW w:w="3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6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4"/>
        </w:trPr>
        <w:tc>
          <w:tcPr>
            <w:tcW w:w="3060" w:type="dxa"/>
            <w:vAlign w:val="bottom"/>
          </w:tcPr>
          <w:p>
            <w:pPr>
              <w:spacing w:after="0"/>
              <w:rPr>
                <w:sz w:val="20"/>
                <w:szCs w:val="20"/>
                <w:color w:val="auto"/>
              </w:rPr>
            </w:pPr>
            <w:r>
              <w:rPr>
                <w:rFonts w:ascii="Arial" w:cs="Arial" w:eastAsia="Arial" w:hAnsi="Arial"/>
                <w:sz w:val="16"/>
                <w:szCs w:val="16"/>
                <w:color w:val="auto"/>
              </w:rPr>
              <w:t>Non-accelerated filer</w:t>
            </w:r>
          </w:p>
        </w:tc>
        <w:tc>
          <w:tcPr>
            <w:tcW w:w="196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80"/>
              <w:spacing w:after="0"/>
              <w:rPr>
                <w:sz w:val="20"/>
                <w:szCs w:val="20"/>
                <w:color w:val="auto"/>
              </w:rPr>
            </w:pPr>
            <w:r>
              <w:rPr>
                <w:rFonts w:ascii="Arial" w:cs="Arial" w:eastAsia="Arial" w:hAnsi="Arial"/>
                <w:sz w:val="16"/>
                <w:szCs w:val="16"/>
                <w:color w:val="auto"/>
              </w:rPr>
              <w:t>Small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4"/>
        </w:trPr>
        <w:tc>
          <w:tcPr>
            <w:tcW w:w="30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0" w:type="dxa"/>
            <w:vAlign w:val="bottom"/>
          </w:tcPr>
          <w:p>
            <w:pPr>
              <w:ind w:left="180"/>
              <w:spacing w:after="0"/>
              <w:rPr>
                <w:sz w:val="20"/>
                <w:szCs w:val="20"/>
                <w:color w:val="auto"/>
              </w:rPr>
            </w:pPr>
            <w:r>
              <w:rPr>
                <w:rFonts w:ascii="Arial" w:cs="Arial" w:eastAsia="Arial" w:hAnsi="Arial"/>
                <w:sz w:val="16"/>
                <w:szCs w:val="16"/>
                <w:color w:val="auto"/>
              </w:rPr>
              <w:t>Emerging growth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6" w:lineRule="exact"/>
        <w:rPr>
          <w:sz w:val="24"/>
          <w:szCs w:val="24"/>
          <w:color w:val="auto"/>
        </w:rPr>
      </w:pPr>
    </w:p>
    <w:p>
      <w:pPr>
        <w:ind w:firstLine="448"/>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460"/>
        <w:spacing w:after="0" w:line="161" w:lineRule="exact"/>
        <w:tabs>
          <w:tab w:leader="none" w:pos="82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ind w:firstLine="448"/>
        <w:spacing w:after="0" w:line="272" w:lineRule="auto"/>
        <w:rPr>
          <w:sz w:val="20"/>
          <w:szCs w:val="20"/>
          <w:color w:val="auto"/>
        </w:rPr>
      </w:pPr>
      <w:r>
        <w:rPr>
          <w:rFonts w:ascii="Arial" w:cs="Arial" w:eastAsia="Arial" w:hAnsi="Arial"/>
          <w:sz w:val="16"/>
          <w:szCs w:val="16"/>
          <w:color w:val="auto"/>
        </w:rPr>
        <w:t>As of May 11, 2021, the registrant had 27,458,773 shares of Class A common stock, $0.001 par value per share, and 120,117,000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49541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5415"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62865</wp:posOffset>
            </wp:positionV>
            <wp:extent cx="6495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103505</wp:posOffset>
            </wp:positionV>
            <wp:extent cx="649541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5415" cy="33020"/>
                    </a:xfrm>
                    <a:prstGeom prst="rect">
                      <a:avLst/>
                    </a:prstGeom>
                    <a:noFill/>
                  </pic:spPr>
                </pic:pic>
              </a:graphicData>
            </a:graphic>
          </wp:anchor>
        </w:drawing>
      </w:r>
    </w:p>
    <w:p>
      <w:pPr>
        <w:sectPr>
          <w:pgSz w:w="11900" w:h="16838" w:orient="portrait"/>
          <w:cols w:equalWidth="0" w:num="1">
            <w:col w:w="10240"/>
          </w:cols>
          <w:pgMar w:left="820" w:top="646" w:right="839" w:bottom="1440" w:gutter="0" w:footer="0" w:header="0"/>
        </w:sectPr>
      </w:pPr>
    </w:p>
    <w:bookmarkStart w:id="1" w:name="page2"/>
    <w:bookmarkEnd w:id="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780" w:type="dxa"/>
            <w:vAlign w:val="bottom"/>
            <w:gridSpan w:val="12"/>
          </w:tcPr>
          <w:p>
            <w:pPr>
              <w:ind w:left="60"/>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ind w:right="74"/>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65"/>
        </w:trPr>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40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220" w:type="dxa"/>
            <w:vAlign w:val="bottom"/>
            <w:vMerge w:val="restart"/>
          </w:tcPr>
          <w:p>
            <w:pPr>
              <w:spacing w:after="0"/>
              <w:rPr>
                <w:sz w:val="5"/>
                <w:szCs w:val="5"/>
                <w:color w:val="auto"/>
              </w:rPr>
            </w:pPr>
          </w:p>
        </w:tc>
        <w:tc>
          <w:tcPr>
            <w:tcW w:w="520" w:type="dxa"/>
            <w:vAlign w:val="bottom"/>
            <w:vMerge w:val="restart"/>
          </w:tcPr>
          <w:p>
            <w:pPr>
              <w:spacing w:after="0"/>
              <w:rPr>
                <w:sz w:val="5"/>
                <w:szCs w:val="5"/>
                <w:color w:val="auto"/>
              </w:rPr>
            </w:pPr>
          </w:p>
        </w:tc>
        <w:tc>
          <w:tcPr>
            <w:tcW w:w="4780" w:type="dxa"/>
            <w:vAlign w:val="bottom"/>
            <w:gridSpan w:val="12"/>
            <w:vMerge w:val="restart"/>
          </w:tcPr>
          <w:p>
            <w:pPr>
              <w:ind w:left="240"/>
              <w:spacing w:after="0"/>
              <w:rPr>
                <w:rFonts w:ascii="Arial" w:cs="Arial" w:eastAsia="Arial" w:hAnsi="Arial"/>
                <w:sz w:val="17"/>
                <w:szCs w:val="17"/>
                <w:color w:val="0000EE"/>
              </w:rPr>
            </w:pPr>
            <w:hyperlink w:anchor="page5">
              <w:r>
                <w:rPr>
                  <w:rFonts w:ascii="Arial" w:cs="Arial" w:eastAsia="Arial" w:hAnsi="Arial"/>
                  <w:sz w:val="17"/>
                  <w:szCs w:val="17"/>
                  <w:color w:val="0000EE"/>
                </w:rPr>
                <w:t>Part I - Financial Information</w:t>
              </w:r>
            </w:hyperlink>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780" w:type="dxa"/>
            <w:vAlign w:val="bottom"/>
            <w:gridSpan w:val="1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5">
              <w:r>
                <w:rPr>
                  <w:rFonts w:ascii="Arial" w:cs="Arial" w:eastAsia="Arial" w:hAnsi="Arial"/>
                  <w:sz w:val="17"/>
                  <w:szCs w:val="17"/>
                  <w:color w:val="0000EE"/>
                  <w:w w:val="88"/>
                </w:rPr>
                <w:t>Item 1.</w:t>
              </w:r>
            </w:hyperlink>
          </w:p>
        </w:tc>
        <w:tc>
          <w:tcPr>
            <w:tcW w:w="760" w:type="dxa"/>
            <w:vAlign w:val="bottom"/>
            <w:gridSpan w:val="2"/>
          </w:tcPr>
          <w:p>
            <w:pPr>
              <w:spacing w:after="0"/>
              <w:rPr>
                <w:sz w:val="23"/>
                <w:szCs w:val="23"/>
                <w:color w:val="auto"/>
              </w:rPr>
            </w:pPr>
          </w:p>
        </w:tc>
        <w:tc>
          <w:tcPr>
            <w:tcW w:w="1440" w:type="dxa"/>
            <w:vAlign w:val="bottom"/>
            <w:tcBorders>
              <w:bottom w:val="single" w:sz="8" w:color="0000EE"/>
            </w:tcBorders>
            <w:gridSpan w:val="6"/>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Financial Statements</w:t>
              </w:r>
            </w:hyperlink>
          </w:p>
        </w:tc>
        <w:tc>
          <w:tcPr>
            <w:tcW w:w="1020" w:type="dxa"/>
            <w:vAlign w:val="bottom"/>
            <w:gridSpan w:val="4"/>
          </w:tcPr>
          <w:p>
            <w:pPr>
              <w:spacing w:after="0"/>
              <w:rPr>
                <w:sz w:val="23"/>
                <w:szCs w:val="23"/>
                <w:color w:val="auto"/>
              </w:rPr>
            </w:pPr>
          </w:p>
        </w:tc>
        <w:tc>
          <w:tcPr>
            <w:tcW w:w="2080" w:type="dxa"/>
            <w:vAlign w:val="bottom"/>
            <w:tcBorders>
              <w:top w:val="single" w:sz="8" w:color="0000EE"/>
            </w:tcBorders>
            <w:gridSpan w:val="6"/>
          </w:tcPr>
          <w:p>
            <w:pPr>
              <w:spacing w:after="0"/>
              <w:rPr>
                <w:sz w:val="23"/>
                <w:szCs w:val="23"/>
                <w:color w:val="auto"/>
              </w:rPr>
            </w:pPr>
          </w:p>
        </w:tc>
        <w:tc>
          <w:tcPr>
            <w:tcW w:w="2460" w:type="dxa"/>
            <w:vAlign w:val="bottom"/>
            <w:gridSpan w:val="5"/>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0" w:type="dxa"/>
            <w:vAlign w:val="bottom"/>
            <w:gridSpan w:val="21"/>
          </w:tcPr>
          <w:p>
            <w:pPr>
              <w:spacing w:after="0"/>
              <w:rPr>
                <w:rFonts w:ascii="Arial" w:cs="Arial" w:eastAsia="Arial" w:hAnsi="Arial"/>
                <w:sz w:val="17"/>
                <w:szCs w:val="17"/>
                <w:color w:val="0000EE"/>
                <w:w w:val="92"/>
              </w:rPr>
            </w:pPr>
            <w:hyperlink w:anchor="page5">
              <w:r>
                <w:rPr>
                  <w:rFonts w:ascii="Arial" w:cs="Arial" w:eastAsia="Arial" w:hAnsi="Arial"/>
                  <w:sz w:val="17"/>
                  <w:szCs w:val="17"/>
                  <w:color w:val="0000EE"/>
                  <w:w w:val="92"/>
                </w:rPr>
                <w:t>Condensed Consolidated Balance Sheets as of March 31, 2021 and December 31, 2020 (unaudited)</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0" w:type="dxa"/>
            <w:vAlign w:val="bottom"/>
            <w:gridSpan w:val="21"/>
          </w:tcPr>
          <w:p>
            <w:pPr>
              <w:spacing w:after="0"/>
              <w:rPr>
                <w:rFonts w:ascii="Arial" w:cs="Arial" w:eastAsia="Arial" w:hAnsi="Arial"/>
                <w:sz w:val="17"/>
                <w:szCs w:val="17"/>
                <w:color w:val="0000EE"/>
                <w:w w:val="92"/>
              </w:rPr>
            </w:pPr>
            <w:hyperlink w:anchor="page6">
              <w:r>
                <w:rPr>
                  <w:rFonts w:ascii="Arial" w:cs="Arial" w:eastAsia="Arial" w:hAnsi="Arial"/>
                  <w:sz w:val="17"/>
                  <w:szCs w:val="17"/>
                  <w:color w:val="0000EE"/>
                  <w:w w:val="92"/>
                </w:rPr>
                <w:t>Condensed Consolidated Statements of Comprehensive Income (Loss) for the Three Months Ended</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20" w:type="dxa"/>
            <w:vAlign w:val="bottom"/>
            <w:tcBorders>
              <w:top w:val="single" w:sz="8" w:color="0000EE"/>
              <w:bottom w:val="single" w:sz="8" w:color="0000EE"/>
            </w:tcBorders>
            <w:gridSpan w:val="12"/>
          </w:tcPr>
          <w:p>
            <w:pPr>
              <w:spacing w:after="0" w:line="188" w:lineRule="exact"/>
              <w:rPr>
                <w:rFonts w:ascii="Arial" w:cs="Arial" w:eastAsia="Arial" w:hAnsi="Arial"/>
                <w:sz w:val="17"/>
                <w:szCs w:val="17"/>
                <w:color w:val="0000EE"/>
                <w:w w:val="91"/>
              </w:rPr>
            </w:pPr>
            <w:hyperlink w:anchor="page6">
              <w:r>
                <w:rPr>
                  <w:rFonts w:ascii="Arial" w:cs="Arial" w:eastAsia="Arial" w:hAnsi="Arial"/>
                  <w:sz w:val="17"/>
                  <w:szCs w:val="17"/>
                  <w:color w:val="0000EE"/>
                  <w:w w:val="91"/>
                </w:rPr>
                <w:t>March 31, 2021 and 2020 (unaudited)</w:t>
              </w:r>
            </w:hyperlink>
          </w:p>
        </w:tc>
        <w:tc>
          <w:tcPr>
            <w:tcW w:w="4360" w:type="dxa"/>
            <w:vAlign w:val="bottom"/>
            <w:tcBorders>
              <w:top w:val="single" w:sz="8" w:color="0000EE"/>
            </w:tcBorders>
            <w:gridSpan w:val="8"/>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52"/>
        </w:trPr>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0" w:type="dxa"/>
            <w:vAlign w:val="bottom"/>
            <w:tcBorders>
              <w:bottom w:val="single" w:sz="8" w:color="0000EE"/>
            </w:tcBorders>
            <w:gridSpan w:val="21"/>
          </w:tcPr>
          <w:p>
            <w:pPr>
              <w:spacing w:after="0"/>
              <w:rPr>
                <w:rFonts w:ascii="Arial" w:cs="Arial" w:eastAsia="Arial" w:hAnsi="Arial"/>
                <w:sz w:val="17"/>
                <w:szCs w:val="17"/>
                <w:color w:val="0000EE"/>
                <w:w w:val="96"/>
              </w:rPr>
            </w:pPr>
            <w:hyperlink w:anchor="page7">
              <w:r>
                <w:rPr>
                  <w:rFonts w:ascii="Arial" w:cs="Arial" w:eastAsia="Arial" w:hAnsi="Arial"/>
                  <w:sz w:val="17"/>
                  <w:szCs w:val="17"/>
                  <w:color w:val="0000EE"/>
                  <w:w w:val="96"/>
                </w:rPr>
                <w:t>Condensed Consolidated Statements of Changes in Equity (Deficit) for the Three Months Ended</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20" w:type="dxa"/>
            <w:vAlign w:val="bottom"/>
            <w:tcBorders>
              <w:bottom w:val="single" w:sz="8" w:color="0000EE"/>
            </w:tcBorders>
            <w:gridSpan w:val="12"/>
          </w:tcPr>
          <w:p>
            <w:pPr>
              <w:spacing w:after="0" w:line="188" w:lineRule="exact"/>
              <w:rPr>
                <w:rFonts w:ascii="Arial" w:cs="Arial" w:eastAsia="Arial" w:hAnsi="Arial"/>
                <w:sz w:val="17"/>
                <w:szCs w:val="17"/>
                <w:color w:val="0000EE"/>
                <w:w w:val="91"/>
              </w:rPr>
            </w:pPr>
            <w:hyperlink w:anchor="page7">
              <w:r>
                <w:rPr>
                  <w:rFonts w:ascii="Arial" w:cs="Arial" w:eastAsia="Arial" w:hAnsi="Arial"/>
                  <w:sz w:val="17"/>
                  <w:szCs w:val="17"/>
                  <w:color w:val="0000EE"/>
                  <w:w w:val="91"/>
                </w:rPr>
                <w:t>March 31, 2021 and 2020 (unaudited)</w:t>
              </w:r>
            </w:hyperlink>
          </w:p>
        </w:tc>
        <w:tc>
          <w:tcPr>
            <w:tcW w:w="4380" w:type="dxa"/>
            <w:vAlign w:val="bottom"/>
            <w:gridSpan w:val="9"/>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52"/>
        </w:trPr>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0" w:type="dxa"/>
            <w:vAlign w:val="bottom"/>
            <w:gridSpan w:val="21"/>
          </w:tcPr>
          <w:p>
            <w:pPr>
              <w:spacing w:after="0"/>
              <w:rPr>
                <w:rFonts w:ascii="Arial" w:cs="Arial" w:eastAsia="Arial" w:hAnsi="Arial"/>
                <w:sz w:val="17"/>
                <w:szCs w:val="17"/>
                <w:color w:val="0000EE"/>
                <w:w w:val="95"/>
              </w:rPr>
            </w:pPr>
            <w:hyperlink w:anchor="page8">
              <w:r>
                <w:rPr>
                  <w:rFonts w:ascii="Arial" w:cs="Arial" w:eastAsia="Arial" w:hAnsi="Arial"/>
                  <w:sz w:val="17"/>
                  <w:szCs w:val="17"/>
                  <w:color w:val="0000EE"/>
                  <w:w w:val="95"/>
                </w:rPr>
                <w:t>Condensed Consolidated Statements of Cash Flows for the Three Months Ended March 31, 2021</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7"/>
          </w:tcPr>
          <w:p>
            <w:pPr>
              <w:spacing w:after="0" w:line="188" w:lineRule="exact"/>
              <w:rPr>
                <w:rFonts w:ascii="Arial" w:cs="Arial" w:eastAsia="Arial" w:hAnsi="Arial"/>
                <w:sz w:val="17"/>
                <w:szCs w:val="17"/>
                <w:color w:val="0000EE"/>
                <w:w w:val="90"/>
              </w:rPr>
            </w:pPr>
            <w:hyperlink w:anchor="page8">
              <w:r>
                <w:rPr>
                  <w:rFonts w:ascii="Arial" w:cs="Arial" w:eastAsia="Arial" w:hAnsi="Arial"/>
                  <w:sz w:val="17"/>
                  <w:szCs w:val="17"/>
                  <w:color w:val="0000EE"/>
                  <w:w w:val="90"/>
                </w:rPr>
                <w:t>and 2020 (unaudited)</w:t>
              </w:r>
            </w:hyperlink>
          </w:p>
        </w:tc>
        <w:tc>
          <w:tcPr>
            <w:tcW w:w="5500" w:type="dxa"/>
            <w:vAlign w:val="bottom"/>
            <w:tcBorders>
              <w:top w:val="single" w:sz="8" w:color="0000EE"/>
            </w:tcBorders>
            <w:gridSpan w:val="13"/>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52"/>
        </w:trPr>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0" w:type="dxa"/>
            <w:vAlign w:val="bottom"/>
            <w:gridSpan w:val="21"/>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Notes to Condensed Consolidated Financial Statements (unaudited)</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33">
              <w:r>
                <w:rPr>
                  <w:rFonts w:ascii="Arial" w:cs="Arial" w:eastAsia="Arial" w:hAnsi="Arial"/>
                  <w:sz w:val="17"/>
                  <w:szCs w:val="17"/>
                  <w:color w:val="0000EE"/>
                  <w:w w:val="88"/>
                </w:rPr>
                <w:t>Item 2.</w:t>
              </w:r>
            </w:hyperlink>
          </w:p>
        </w:tc>
        <w:tc>
          <w:tcPr>
            <w:tcW w:w="760" w:type="dxa"/>
            <w:vAlign w:val="bottom"/>
            <w:gridSpan w:val="2"/>
          </w:tcPr>
          <w:p>
            <w:pPr>
              <w:spacing w:after="0"/>
              <w:rPr>
                <w:sz w:val="21"/>
                <w:szCs w:val="21"/>
                <w:color w:val="auto"/>
              </w:rPr>
            </w:pPr>
          </w:p>
        </w:tc>
        <w:tc>
          <w:tcPr>
            <w:tcW w:w="6200" w:type="dxa"/>
            <w:vAlign w:val="bottom"/>
            <w:tcBorders>
              <w:bottom w:val="single" w:sz="8" w:color="0000EE"/>
            </w:tcBorders>
            <w:gridSpan w:val="18"/>
          </w:tcPr>
          <w:p>
            <w:pPr>
              <w:spacing w:after="0"/>
              <w:rPr>
                <w:rFonts w:ascii="Arial" w:cs="Arial" w:eastAsia="Arial" w:hAnsi="Arial"/>
                <w:sz w:val="17"/>
                <w:szCs w:val="17"/>
                <w:color w:val="0000EE"/>
                <w:w w:val="92"/>
              </w:rPr>
            </w:pPr>
            <w:hyperlink w:anchor="page33">
              <w:r>
                <w:rPr>
                  <w:rFonts w:ascii="Arial" w:cs="Arial" w:eastAsia="Arial" w:hAnsi="Arial"/>
                  <w:sz w:val="17"/>
                  <w:szCs w:val="17"/>
                  <w:color w:val="0000EE"/>
                  <w:w w:val="92"/>
                </w:rPr>
                <w:t>Management’s Discussion and Analysis of Financial Condition and Results of Operations</w:t>
              </w:r>
            </w:hyperlink>
          </w:p>
        </w:tc>
        <w:tc>
          <w:tcPr>
            <w:tcW w:w="800" w:type="dxa"/>
            <w:vAlign w:val="bottom"/>
            <w:gridSpan w:val="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52"/>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50">
              <w:r>
                <w:rPr>
                  <w:rFonts w:ascii="Arial" w:cs="Arial" w:eastAsia="Arial" w:hAnsi="Arial"/>
                  <w:sz w:val="17"/>
                  <w:szCs w:val="17"/>
                  <w:color w:val="0000EE"/>
                  <w:w w:val="88"/>
                </w:rPr>
                <w:t>Item 3.</w:t>
              </w:r>
            </w:hyperlink>
          </w:p>
        </w:tc>
        <w:tc>
          <w:tcPr>
            <w:tcW w:w="760" w:type="dxa"/>
            <w:vAlign w:val="bottom"/>
            <w:gridSpan w:val="2"/>
          </w:tcPr>
          <w:p>
            <w:pPr>
              <w:spacing w:after="0"/>
              <w:rPr>
                <w:sz w:val="21"/>
                <w:szCs w:val="21"/>
                <w:color w:val="auto"/>
              </w:rPr>
            </w:pPr>
          </w:p>
        </w:tc>
        <w:tc>
          <w:tcPr>
            <w:tcW w:w="4140" w:type="dxa"/>
            <w:vAlign w:val="bottom"/>
            <w:tcBorders>
              <w:bottom w:val="single" w:sz="8" w:color="0000EE"/>
            </w:tcBorders>
            <w:gridSpan w:val="13"/>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Quantitative and Qualitative Disclosures about Market Risk</w:t>
              </w:r>
            </w:hyperlink>
          </w:p>
        </w:tc>
        <w:tc>
          <w:tcPr>
            <w:tcW w:w="2860" w:type="dxa"/>
            <w:vAlign w:val="bottom"/>
            <w:gridSpan w:val="8"/>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2"/>
        </w:trPr>
        <w:tc>
          <w:tcPr>
            <w:tcW w:w="1240" w:type="dxa"/>
            <w:vAlign w:val="bottom"/>
            <w:gridSpan w:val="3"/>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Item 4.</w:t>
              </w:r>
            </w:hyperlink>
          </w:p>
        </w:tc>
        <w:tc>
          <w:tcPr>
            <w:tcW w:w="7000" w:type="dxa"/>
            <w:vAlign w:val="bottom"/>
            <w:gridSpan w:val="21"/>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52"/>
        </w:trPr>
        <w:tc>
          <w:tcPr>
            <w:tcW w:w="48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Borders>
              <w:bottom w:val="single" w:sz="8" w:color="0000EE"/>
            </w:tcBorders>
            <w:gridSpan w:val="4"/>
          </w:tcPr>
          <w:p>
            <w:pPr>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Part II - Other Information</w:t>
              </w:r>
            </w:hyperlink>
          </w:p>
        </w:tc>
        <w:tc>
          <w:tcPr>
            <w:tcW w:w="2580" w:type="dxa"/>
            <w:vAlign w:val="bottom"/>
            <w:gridSpan w:val="6"/>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2"/>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52">
              <w:r>
                <w:rPr>
                  <w:rFonts w:ascii="Arial" w:cs="Arial" w:eastAsia="Arial" w:hAnsi="Arial"/>
                  <w:sz w:val="17"/>
                  <w:szCs w:val="17"/>
                  <w:color w:val="0000EE"/>
                  <w:w w:val="88"/>
                </w:rPr>
                <w:t>Item 1.</w:t>
              </w:r>
            </w:hyperlink>
          </w:p>
        </w:tc>
        <w:tc>
          <w:tcPr>
            <w:tcW w:w="760" w:type="dxa"/>
            <w:vAlign w:val="bottom"/>
            <w:gridSpan w:val="2"/>
          </w:tcPr>
          <w:p>
            <w:pPr>
              <w:spacing w:after="0"/>
              <w:rPr>
                <w:sz w:val="21"/>
                <w:szCs w:val="21"/>
                <w:color w:val="auto"/>
              </w:rPr>
            </w:pPr>
          </w:p>
        </w:tc>
        <w:tc>
          <w:tcPr>
            <w:tcW w:w="128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52">
              <w:r>
                <w:rPr>
                  <w:rFonts w:ascii="Arial" w:cs="Arial" w:eastAsia="Arial" w:hAnsi="Arial"/>
                  <w:sz w:val="17"/>
                  <w:szCs w:val="17"/>
                  <w:color w:val="0000EE"/>
                  <w:w w:val="89"/>
                </w:rPr>
                <w:t>Legal Proceedings</w:t>
              </w:r>
            </w:hyperlink>
          </w:p>
        </w:tc>
        <w:tc>
          <w:tcPr>
            <w:tcW w:w="5720" w:type="dxa"/>
            <w:vAlign w:val="bottom"/>
            <w:gridSpan w:val="16"/>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2"/>
        </w:trPr>
        <w:tc>
          <w:tcPr>
            <w:tcW w:w="1240" w:type="dxa"/>
            <w:vAlign w:val="bottom"/>
            <w:gridSpan w:val="3"/>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1A.</w:t>
              </w:r>
            </w:hyperlink>
          </w:p>
        </w:tc>
        <w:tc>
          <w:tcPr>
            <w:tcW w:w="7000" w:type="dxa"/>
            <w:vAlign w:val="bottom"/>
            <w:gridSpan w:val="21"/>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80" w:type="dxa"/>
            <w:vAlign w:val="bottom"/>
          </w:tcPr>
          <w:p>
            <w:pPr>
              <w:spacing w:after="0"/>
              <w:rPr>
                <w:rFonts w:ascii="Arial" w:cs="Arial" w:eastAsia="Arial" w:hAnsi="Arial"/>
                <w:sz w:val="17"/>
                <w:szCs w:val="17"/>
                <w:color w:val="0000EE"/>
                <w:w w:val="88"/>
              </w:rPr>
            </w:pPr>
            <w:hyperlink w:anchor="page52">
              <w:r>
                <w:rPr>
                  <w:rFonts w:ascii="Arial" w:cs="Arial" w:eastAsia="Arial" w:hAnsi="Arial"/>
                  <w:sz w:val="17"/>
                  <w:szCs w:val="17"/>
                  <w:color w:val="0000EE"/>
                  <w:w w:val="88"/>
                </w:rPr>
                <w:t>Item 2.</w:t>
              </w:r>
            </w:hyperlink>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0" w:type="dxa"/>
            <w:vAlign w:val="bottom"/>
            <w:gridSpan w:val="21"/>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2"/>
        </w:trPr>
        <w:tc>
          <w:tcPr>
            <w:tcW w:w="480" w:type="dxa"/>
            <w:vAlign w:val="bottom"/>
            <w:tcBorders>
              <w:top w:val="single" w:sz="8" w:color="0000EE"/>
            </w:tcBorders>
          </w:tcPr>
          <w:p>
            <w:pPr>
              <w:spacing w:after="0"/>
              <w:rPr>
                <w:rFonts w:ascii="Arial" w:cs="Arial" w:eastAsia="Arial" w:hAnsi="Arial"/>
                <w:sz w:val="17"/>
                <w:szCs w:val="17"/>
                <w:color w:val="0000EE"/>
                <w:w w:val="88"/>
              </w:rPr>
            </w:pPr>
            <w:hyperlink w:anchor="page52">
              <w:r>
                <w:rPr>
                  <w:rFonts w:ascii="Arial" w:cs="Arial" w:eastAsia="Arial" w:hAnsi="Arial"/>
                  <w:sz w:val="17"/>
                  <w:szCs w:val="17"/>
                  <w:color w:val="0000EE"/>
                  <w:w w:val="88"/>
                </w:rPr>
                <w:t>Item 3.</w:t>
              </w:r>
            </w:hyperlink>
          </w:p>
        </w:tc>
        <w:tc>
          <w:tcPr>
            <w:tcW w:w="760" w:type="dxa"/>
            <w:vAlign w:val="bottom"/>
            <w:gridSpan w:val="2"/>
          </w:tcPr>
          <w:p>
            <w:pPr>
              <w:spacing w:after="0"/>
              <w:rPr>
                <w:sz w:val="21"/>
                <w:szCs w:val="21"/>
                <w:color w:val="auto"/>
              </w:rPr>
            </w:pPr>
          </w:p>
        </w:tc>
        <w:tc>
          <w:tcPr>
            <w:tcW w:w="4160" w:type="dxa"/>
            <w:vAlign w:val="bottom"/>
            <w:tcBorders>
              <w:top w:val="single" w:sz="8" w:color="0000EE"/>
            </w:tcBorders>
            <w:gridSpan w:val="1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Defaults Upon Senior Securities</w:t>
              </w:r>
            </w:hyperlink>
          </w:p>
        </w:tc>
        <w:tc>
          <w:tcPr>
            <w:tcW w:w="2840" w:type="dxa"/>
            <w:vAlign w:val="bottom"/>
            <w:gridSpan w:val="7"/>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2"/>
        </w:trPr>
        <w:tc>
          <w:tcPr>
            <w:tcW w:w="480" w:type="dxa"/>
            <w:vAlign w:val="bottom"/>
            <w:tcBorders>
              <w:top w:val="single" w:sz="8" w:color="0000EE"/>
              <w:bottom w:val="single" w:sz="8" w:color="0000EE"/>
            </w:tcBorders>
          </w:tcPr>
          <w:p>
            <w:pPr>
              <w:spacing w:after="0"/>
              <w:rPr>
                <w:rFonts w:ascii="Arial" w:cs="Arial" w:eastAsia="Arial" w:hAnsi="Arial"/>
                <w:sz w:val="17"/>
                <w:szCs w:val="17"/>
                <w:color w:val="0000EE"/>
                <w:w w:val="88"/>
              </w:rPr>
            </w:pPr>
            <w:hyperlink w:anchor="page52">
              <w:r>
                <w:rPr>
                  <w:rFonts w:ascii="Arial" w:cs="Arial" w:eastAsia="Arial" w:hAnsi="Arial"/>
                  <w:sz w:val="17"/>
                  <w:szCs w:val="17"/>
                  <w:color w:val="0000EE"/>
                  <w:w w:val="88"/>
                </w:rPr>
                <w:t>Item 4.</w:t>
              </w:r>
            </w:hyperlink>
          </w:p>
        </w:tc>
        <w:tc>
          <w:tcPr>
            <w:tcW w:w="760" w:type="dxa"/>
            <w:vAlign w:val="bottom"/>
            <w:gridSpan w:val="2"/>
          </w:tcPr>
          <w:p>
            <w:pPr>
              <w:spacing w:after="0"/>
              <w:rPr>
                <w:sz w:val="21"/>
                <w:szCs w:val="21"/>
                <w:color w:val="auto"/>
              </w:rPr>
            </w:pPr>
          </w:p>
        </w:tc>
        <w:tc>
          <w:tcPr>
            <w:tcW w:w="170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2"/>
              </w:rPr>
            </w:pPr>
            <w:hyperlink w:anchor="page52">
              <w:r>
                <w:rPr>
                  <w:rFonts w:ascii="Arial" w:cs="Arial" w:eastAsia="Arial" w:hAnsi="Arial"/>
                  <w:sz w:val="17"/>
                  <w:szCs w:val="17"/>
                  <w:color w:val="0000EE"/>
                  <w:w w:val="92"/>
                </w:rPr>
                <w:t>Mine Safety Disclosures</w:t>
              </w:r>
            </w:hyperlink>
          </w:p>
        </w:tc>
        <w:tc>
          <w:tcPr>
            <w:tcW w:w="520" w:type="dxa"/>
            <w:vAlign w:val="bottom"/>
            <w:tcBorders>
              <w:top w:val="single" w:sz="8" w:color="0000EE"/>
            </w:tcBorders>
          </w:tcPr>
          <w:p>
            <w:pPr>
              <w:spacing w:after="0"/>
              <w:rPr>
                <w:sz w:val="21"/>
                <w:szCs w:val="21"/>
                <w:color w:val="auto"/>
              </w:rPr>
            </w:pPr>
          </w:p>
        </w:tc>
        <w:tc>
          <w:tcPr>
            <w:tcW w:w="4780" w:type="dxa"/>
            <w:vAlign w:val="bottom"/>
            <w:gridSpan w:val="1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2"/>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52">
              <w:r>
                <w:rPr>
                  <w:rFonts w:ascii="Arial" w:cs="Arial" w:eastAsia="Arial" w:hAnsi="Arial"/>
                  <w:sz w:val="17"/>
                  <w:szCs w:val="17"/>
                  <w:color w:val="0000EE"/>
                  <w:w w:val="88"/>
                </w:rPr>
                <w:t>Item 5.</w:t>
              </w:r>
            </w:hyperlink>
          </w:p>
        </w:tc>
        <w:tc>
          <w:tcPr>
            <w:tcW w:w="760" w:type="dxa"/>
            <w:vAlign w:val="bottom"/>
            <w:gridSpan w:val="2"/>
          </w:tcPr>
          <w:p>
            <w:pPr>
              <w:spacing w:after="0"/>
              <w:rPr>
                <w:sz w:val="21"/>
                <w:szCs w:val="21"/>
                <w:color w:val="auto"/>
              </w:rPr>
            </w:pPr>
          </w:p>
        </w:tc>
        <w:tc>
          <w:tcPr>
            <w:tcW w:w="1260" w:type="dxa"/>
            <w:vAlign w:val="bottom"/>
            <w:tcBorders>
              <w:bottom w:val="single" w:sz="8" w:color="0000EE"/>
            </w:tcBorders>
            <w:gridSpan w:val="4"/>
          </w:tcPr>
          <w:p>
            <w:pPr>
              <w:spacing w:after="0"/>
              <w:rPr>
                <w:rFonts w:ascii="Arial" w:cs="Arial" w:eastAsia="Arial" w:hAnsi="Arial"/>
                <w:sz w:val="17"/>
                <w:szCs w:val="17"/>
                <w:color w:val="0000EE"/>
                <w:w w:val="93"/>
              </w:rPr>
            </w:pPr>
            <w:hyperlink w:anchor="page52">
              <w:r>
                <w:rPr>
                  <w:rFonts w:ascii="Arial" w:cs="Arial" w:eastAsia="Arial" w:hAnsi="Arial"/>
                  <w:sz w:val="17"/>
                  <w:szCs w:val="17"/>
                  <w:color w:val="0000EE"/>
                  <w:w w:val="93"/>
                </w:rPr>
                <w:t>Other Information</w:t>
              </w:r>
            </w:hyperlink>
          </w:p>
        </w:tc>
        <w:tc>
          <w:tcPr>
            <w:tcW w:w="5740" w:type="dxa"/>
            <w:vAlign w:val="bottom"/>
            <w:gridSpan w:val="17"/>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2"/>
        </w:trPr>
        <w:tc>
          <w:tcPr>
            <w:tcW w:w="480" w:type="dxa"/>
            <w:vAlign w:val="bottom"/>
            <w:tcBorders>
              <w:bottom w:val="single" w:sz="8" w:color="0000EE"/>
            </w:tcBorders>
          </w:tcPr>
          <w:p>
            <w:pPr>
              <w:spacing w:after="0"/>
              <w:rPr>
                <w:rFonts w:ascii="Arial" w:cs="Arial" w:eastAsia="Arial" w:hAnsi="Arial"/>
                <w:sz w:val="17"/>
                <w:szCs w:val="17"/>
                <w:color w:val="0000EE"/>
                <w:w w:val="88"/>
              </w:rPr>
            </w:pPr>
            <w:hyperlink w:anchor="page53">
              <w:r>
                <w:rPr>
                  <w:rFonts w:ascii="Arial" w:cs="Arial" w:eastAsia="Arial" w:hAnsi="Arial"/>
                  <w:sz w:val="17"/>
                  <w:szCs w:val="17"/>
                  <w:color w:val="0000EE"/>
                  <w:w w:val="88"/>
                </w:rPr>
                <w:t>Item 6.</w:t>
              </w:r>
            </w:hyperlink>
          </w:p>
        </w:tc>
        <w:tc>
          <w:tcPr>
            <w:tcW w:w="760" w:type="dxa"/>
            <w:vAlign w:val="bottom"/>
            <w:gridSpan w:val="2"/>
          </w:tcPr>
          <w:p>
            <w:pPr>
              <w:spacing w:after="0"/>
              <w:rPr>
                <w:sz w:val="21"/>
                <w:szCs w:val="21"/>
                <w:color w:val="auto"/>
              </w:rPr>
            </w:pPr>
          </w:p>
        </w:tc>
        <w:tc>
          <w:tcPr>
            <w:tcW w:w="580" w:type="dxa"/>
            <w:vAlign w:val="bottom"/>
            <w:tcBorders>
              <w:bottom w:val="single" w:sz="8" w:color="0000EE"/>
            </w:tcBorders>
          </w:tcPr>
          <w:p>
            <w:pPr>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Exhibits</w:t>
              </w:r>
            </w:hyperlink>
          </w:p>
        </w:tc>
        <w:tc>
          <w:tcPr>
            <w:tcW w:w="6420" w:type="dxa"/>
            <w:vAlign w:val="bottom"/>
            <w:gridSpan w:val="20"/>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52"/>
        </w:trPr>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0" w:type="dxa"/>
            <w:vAlign w:val="bottom"/>
            <w:gridSpan w:val="21"/>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062"/>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3" w:right="1440" w:bottom="1440" w:gutter="0" w:footer="0" w:header="0"/>
        </w:sectPr>
      </w:pPr>
    </w:p>
    <w:bookmarkStart w:id="2" w:name="page3"/>
    <w:bookmarkEnd w:id="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78" w:lineRule="exact"/>
        <w:rPr>
          <w:sz w:val="20"/>
          <w:szCs w:val="20"/>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effects on our business of the current novel coronavirus (“COVID-19”) pandemic;</w:t>
      </w:r>
    </w:p>
    <w:p>
      <w:pPr>
        <w:spacing w:after="0" w:line="89" w:lineRule="exact"/>
        <w:rPr>
          <w:rFonts w:ascii="Arial" w:cs="Arial" w:eastAsia="Arial" w:hAnsi="Arial"/>
          <w:sz w:val="17"/>
          <w:szCs w:val="17"/>
          <w:color w:val="auto"/>
        </w:rPr>
      </w:pPr>
    </w:p>
    <w:p>
      <w:pPr>
        <w:ind w:left="980" w:right="219" w:hanging="311"/>
        <w:spacing w:after="0" w:line="284" w:lineRule="auto"/>
        <w:tabs>
          <w:tab w:leader="none" w:pos="89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customers on a cost-effective basis and the extent to which existing customers renew and upgrade their subscriptions;</w:t>
      </w:r>
    </w:p>
    <w:p>
      <w:pPr>
        <w:spacing w:after="0" w:line="17"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sustain and expand revenues, maintain profitability, and to effectively manage our anticipated growth;</w:t>
      </w:r>
    </w:p>
    <w:p>
      <w:pPr>
        <w:spacing w:after="0" w:line="99" w:lineRule="exact"/>
        <w:rPr>
          <w:rFonts w:ascii="Arial" w:cs="Arial" w:eastAsia="Arial" w:hAnsi="Arial"/>
          <w:sz w:val="15"/>
          <w:szCs w:val="15"/>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our introduction of new solutions or updates to existing solutions;</w:t>
      </w:r>
    </w:p>
    <w:p>
      <w:pPr>
        <w:spacing w:after="0" w:line="89" w:lineRule="exact"/>
        <w:rPr>
          <w:rFonts w:ascii="Arial" w:cs="Arial" w:eastAsia="Arial" w:hAnsi="Arial"/>
          <w:sz w:val="17"/>
          <w:szCs w:val="17"/>
          <w:color w:val="auto"/>
        </w:rPr>
      </w:pPr>
    </w:p>
    <w:p>
      <w:pPr>
        <w:ind w:left="980" w:right="519" w:hanging="311"/>
        <w:spacing w:after="0" w:line="284" w:lineRule="auto"/>
        <w:tabs>
          <w:tab w:leader="none" w:pos="89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diversify our solutions by developing or introducing new solutions or acquiring and integrating additional businesses, products, services or content;</w:t>
      </w:r>
    </w:p>
    <w:p>
      <w:pPr>
        <w:spacing w:after="0" w:line="17"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and expand our strategic relationships with third-parties;</w:t>
      </w:r>
    </w:p>
    <w:p>
      <w:pPr>
        <w:spacing w:after="0" w:line="76"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our expanding international operations;</w:t>
      </w:r>
    </w:p>
    <w:p>
      <w:pPr>
        <w:spacing w:after="0" w:line="89"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deliver our solutions to customers without disruption or delay;</w:t>
      </w:r>
    </w:p>
    <w:p>
      <w:pPr>
        <w:spacing w:after="0" w:line="76"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exposure to liability from errors, delays, fraud or system failures, which may not be covered by insurance;</w:t>
      </w:r>
    </w:p>
    <w:p>
      <w:pPr>
        <w:spacing w:after="0" w:line="88" w:lineRule="exact"/>
        <w:rPr>
          <w:rFonts w:ascii="Arial" w:cs="Arial" w:eastAsia="Arial" w:hAnsi="Arial"/>
          <w:sz w:val="16"/>
          <w:szCs w:val="16"/>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our determinations of customers’ transaction tax and tax payments;</w:t>
      </w:r>
    </w:p>
    <w:p>
      <w:pPr>
        <w:spacing w:after="0" w:line="89"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changes in tax laws and regulations or their interpretation or enforcement;</w:t>
      </w:r>
    </w:p>
    <w:p>
      <w:pPr>
        <w:spacing w:after="0" w:line="76"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cybersecurity and data privacy risks;</w:t>
      </w:r>
    </w:p>
    <w:p>
      <w:pPr>
        <w:spacing w:after="0" w:line="76"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failures in information technology, infrastructure and third party service providers;</w:t>
      </w:r>
    </w:p>
    <w:p>
      <w:pPr>
        <w:spacing w:after="0" w:line="89"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protect, maintain and enhance our brand;</w:t>
      </w:r>
    </w:p>
    <w:p>
      <w:pPr>
        <w:spacing w:after="0" w:line="76"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global economic weakness and uncertainties, and disruption in the capital and credit markets;</w:t>
      </w:r>
    </w:p>
    <w:p>
      <w:pPr>
        <w:spacing w:after="0" w:line="76" w:lineRule="exact"/>
        <w:rPr>
          <w:rFonts w:ascii="Arial" w:cs="Arial" w:eastAsia="Arial" w:hAnsi="Arial"/>
          <w:sz w:val="17"/>
          <w:szCs w:val="17"/>
          <w:color w:val="auto"/>
        </w:rPr>
      </w:pPr>
    </w:p>
    <w:p>
      <w:pPr>
        <w:ind w:left="980" w:right="279" w:hanging="311"/>
        <w:spacing w:after="0" w:line="284" w:lineRule="auto"/>
        <w:tabs>
          <w:tab w:leader="none" w:pos="894"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disruptions related to natural disasters, epidemic outbreaks, terrorist acts, political events or other events outside of our control;</w:t>
      </w:r>
    </w:p>
    <w:p>
      <w:pPr>
        <w:spacing w:after="0" w:line="30"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anti-corruption, anti-bribery and similar laws;</w:t>
      </w:r>
    </w:p>
    <w:p>
      <w:pPr>
        <w:spacing w:after="0" w:line="76" w:lineRule="exact"/>
        <w:rPr>
          <w:rFonts w:ascii="Arial" w:cs="Arial" w:eastAsia="Arial" w:hAnsi="Arial"/>
          <w:sz w:val="17"/>
          <w:szCs w:val="17"/>
          <w:color w:val="auto"/>
        </w:rPr>
      </w:pPr>
    </w:p>
    <w:p>
      <w:pPr>
        <w:ind w:left="980" w:right="179" w:hanging="311"/>
        <w:spacing w:after="0" w:line="284" w:lineRule="auto"/>
        <w:tabs>
          <w:tab w:leader="none" w:pos="89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interest rates, security ratings and market perceptions of the industry in which we operate, or our ability to obtain capital on commercially reasonable terms or at all;</w:t>
      </w:r>
    </w:p>
    <w:p>
      <w:pPr>
        <w:spacing w:after="0" w:line="17"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statements of belief and any statements of assumptions underlying any of the foregoing; and</w:t>
      </w:r>
    </w:p>
    <w:p>
      <w:pPr>
        <w:spacing w:after="0" w:line="89" w:lineRule="exact"/>
        <w:rPr>
          <w:rFonts w:ascii="Arial" w:cs="Arial" w:eastAsia="Arial" w:hAnsi="Arial"/>
          <w:sz w:val="17"/>
          <w:szCs w:val="17"/>
          <w:color w:val="auto"/>
        </w:rPr>
      </w:pPr>
    </w:p>
    <w:p>
      <w:pPr>
        <w:ind w:left="900" w:hanging="231"/>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 w:name="page4"/>
    <w:bookmarkEnd w:id="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59" w:firstLine="224"/>
        <w:spacing w:after="0" w:line="293" w:lineRule="auto"/>
        <w:rPr>
          <w:sz w:val="20"/>
          <w:szCs w:val="20"/>
          <w:color w:val="auto"/>
        </w:rPr>
      </w:pPr>
      <w:r>
        <w:rPr>
          <w:rFonts w:ascii="Arial" w:cs="Arial" w:eastAsia="Arial" w:hAnsi="Arial"/>
          <w:sz w:val="15"/>
          <w:szCs w:val="15"/>
          <w:color w:val="auto"/>
        </w:rPr>
        <w:t>The risks included here are not exhaustive, and additional factors could adversely affect our business and financial performance, including factors and risks included in our Annual Report on Form 10-K for the year ended December 31, 2020 and in other sections of this Quarterly Report on Form 10-Q, including under Part II, Item 1A, Risk Factors.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572770</wp:posOffset>
            </wp:positionV>
            <wp:extent cx="565594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 w:name="page5"/>
    <w:bookmarkEnd w:id="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2"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auto"/>
        </w:rPr>
        <w:t>As of March 31, 2021 and December 31, 2020</w:t>
      </w:r>
    </w:p>
    <w:p>
      <w:pPr>
        <w:spacing w:after="0" w:line="12"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(Amounts in thousands, except per share data)</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31"/>
              <w:spacing w:after="0" w:line="136" w:lineRule="exact"/>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line="143"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Cash and cash equivalents</w:t>
            </w:r>
          </w:p>
        </w:tc>
        <w:tc>
          <w:tcPr>
            <w:tcW w:w="36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277,681</w:t>
            </w:r>
          </w:p>
        </w:tc>
        <w:tc>
          <w:tcPr>
            <w:tcW w:w="1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303,051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ind w:left="100"/>
              <w:spacing w:after="0" w:line="143" w:lineRule="exact"/>
              <w:rPr>
                <w:sz w:val="20"/>
                <w:szCs w:val="20"/>
                <w:color w:val="auto"/>
              </w:rPr>
            </w:pPr>
            <w:r>
              <w:rPr>
                <w:rFonts w:ascii="Arial" w:cs="Arial" w:eastAsia="Arial" w:hAnsi="Arial"/>
                <w:sz w:val="14"/>
                <w:szCs w:val="14"/>
                <w:color w:val="auto"/>
              </w:rPr>
              <w:t>Funds held for customers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8,745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9,222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Accounts receivable, net of allowance of $8,059, and $8,592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63,798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77,159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Borders>
              <w:bottom w:val="single" w:sz="8" w:color="CCEEFF"/>
            </w:tcBorders>
          </w:tcPr>
          <w:p>
            <w:pPr>
              <w:ind w:left="100"/>
              <w:spacing w:after="0" w:line="143" w:lineRule="exact"/>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26,696</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13,259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shd w:val="clear" w:color="auto" w:fill="CCEEFF"/>
          </w:tcPr>
          <w:p>
            <w:pPr>
              <w:ind w:left="100"/>
              <w:spacing w:after="0" w:line="136"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376,920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402,691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tcPr>
          <w:p>
            <w:pPr>
              <w:spacing w:after="0" w:line="136" w:lineRule="exact"/>
              <w:rPr>
                <w:sz w:val="20"/>
                <w:szCs w:val="20"/>
                <w:color w:val="auto"/>
              </w:rPr>
            </w:pPr>
            <w:r>
              <w:rPr>
                <w:rFonts w:ascii="Arial" w:cs="Arial" w:eastAsia="Arial" w:hAnsi="Arial"/>
                <w:sz w:val="14"/>
                <w:szCs w:val="14"/>
                <w:color w:val="auto"/>
              </w:rPr>
              <w:t>Property and equipment, net of accumulated depreciation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Arial" w:cs="Arial" w:eastAsia="Arial" w:hAnsi="Arial"/>
                <w:sz w:val="14"/>
                <w:szCs w:val="14"/>
                <w:color w:val="auto"/>
              </w:rPr>
              <w:t>57,408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4"/>
                <w:szCs w:val="14"/>
                <w:color w:val="auto"/>
              </w:rPr>
              <w:t>56,557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Capitalized software, net of accumulated amortization</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34,642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31,989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line="143" w:lineRule="exact"/>
              <w:rPr>
                <w:sz w:val="20"/>
                <w:szCs w:val="20"/>
                <w:color w:val="auto"/>
              </w:rPr>
            </w:pPr>
            <w:r>
              <w:rPr>
                <w:rFonts w:ascii="Arial" w:cs="Arial" w:eastAsia="Arial" w:hAnsi="Arial"/>
                <w:sz w:val="14"/>
                <w:szCs w:val="14"/>
                <w:color w:val="auto"/>
              </w:rPr>
              <w:t>Goodwill and other intangible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21,553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18,711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commissions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11,693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11,743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line="143" w:lineRule="exact"/>
              <w:rPr>
                <w:sz w:val="20"/>
                <w:szCs w:val="20"/>
                <w:color w:val="auto"/>
              </w:rPr>
            </w:pPr>
            <w:r>
              <w:rPr>
                <w:rFonts w:ascii="Arial" w:cs="Arial" w:eastAsia="Arial" w:hAnsi="Arial"/>
                <w:sz w:val="14"/>
                <w:szCs w:val="14"/>
                <w:color w:val="auto"/>
              </w:rPr>
              <w:t>Deferred income tax asset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30,373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29,974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22,981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line="143" w:lineRule="exact"/>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2,767</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3,263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tcBorders>
              <w:bottom w:val="single" w:sz="8" w:color="CCEEFF"/>
            </w:tcBorders>
            <w:shd w:val="clear" w:color="auto" w:fill="CCEEFF"/>
          </w:tcPr>
          <w:p>
            <w:pPr>
              <w:ind w:left="100"/>
              <w:spacing w:after="0" w:line="136"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558,337</w:t>
            </w: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554,928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line="143" w:lineRule="exact"/>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Accounts payable</w:t>
            </w:r>
          </w:p>
        </w:tc>
        <w:tc>
          <w:tcPr>
            <w:tcW w:w="36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11,115</w:t>
            </w:r>
          </w:p>
        </w:tc>
        <w:tc>
          <w:tcPr>
            <w:tcW w:w="1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8,876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ind w:left="100"/>
              <w:spacing w:after="0" w:line="143" w:lineRule="exact"/>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15,936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19,176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Distributions payable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2,700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ind w:left="100"/>
              <w:spacing w:after="0" w:line="143" w:lineRule="exact"/>
              <w:rPr>
                <w:sz w:val="20"/>
                <w:szCs w:val="20"/>
                <w:color w:val="auto"/>
              </w:rPr>
            </w:pPr>
            <w:r>
              <w:rPr>
                <w:rFonts w:ascii="Arial" w:cs="Arial" w:eastAsia="Arial" w:hAnsi="Arial"/>
                <w:sz w:val="14"/>
                <w:szCs w:val="14"/>
                <w:color w:val="auto"/>
              </w:rPr>
              <w:t>Customer funds obligations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8,798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9,235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Accrued salaries and benefits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18,065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17,326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ind w:left="100"/>
              <w:spacing w:after="0" w:line="143" w:lineRule="exact"/>
              <w:rPr>
                <w:sz w:val="20"/>
                <w:szCs w:val="20"/>
                <w:color w:val="auto"/>
              </w:rPr>
            </w:pPr>
            <w:r>
              <w:rPr>
                <w:rFonts w:ascii="Arial" w:cs="Arial" w:eastAsia="Arial" w:hAnsi="Arial"/>
                <w:sz w:val="14"/>
                <w:szCs w:val="14"/>
                <w:color w:val="auto"/>
              </w:rPr>
              <w:t>Accrued variable compensation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5,854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22,372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Deferred compensation, current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2,057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ind w:left="100"/>
              <w:spacing w:after="0" w:line="143" w:lineRule="exact"/>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204,971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207,560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ind w:left="100"/>
              <w:spacing w:after="0" w:line="143" w:lineRule="exact"/>
              <w:rPr>
                <w:sz w:val="20"/>
                <w:szCs w:val="20"/>
                <w:color w:val="auto"/>
              </w:rPr>
            </w:pPr>
            <w:r>
              <w:rPr>
                <w:rFonts w:ascii="Arial" w:cs="Arial" w:eastAsia="Arial" w:hAnsi="Arial"/>
                <w:sz w:val="14"/>
                <w:szCs w:val="14"/>
                <w:color w:val="auto"/>
              </w:rPr>
              <w:t>Current portion of operating lease liabilities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4,665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Current portion of finance lease liabilities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ind w:left="100"/>
              <w:spacing w:after="0" w:line="143" w:lineRule="exact"/>
              <w:rPr>
                <w:sz w:val="20"/>
                <w:szCs w:val="20"/>
                <w:color w:val="auto"/>
              </w:rPr>
            </w:pPr>
            <w:r>
              <w:rPr>
                <w:rFonts w:ascii="Arial" w:cs="Arial" w:eastAsia="Arial" w:hAnsi="Arial"/>
                <w:sz w:val="14"/>
                <w:szCs w:val="14"/>
                <w:color w:val="auto"/>
              </w:rPr>
              <w:t>Deferred rent and 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Purchase commitment and contingent consideration liabilities, current</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tcBorders>
              <w:bottom w:val="single" w:sz="8" w:color="CCEEFF"/>
            </w:tcBorders>
          </w:tcPr>
          <w:p>
            <w:pPr>
              <w:ind w:left="100"/>
              <w:spacing w:after="0" w:line="136" w:lineRule="exact"/>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275,195</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291,968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Deferred compensation, net of current portion</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6,048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5,010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line="143" w:lineRule="exact"/>
              <w:rPr>
                <w:sz w:val="20"/>
                <w:szCs w:val="20"/>
                <w:color w:val="auto"/>
              </w:rPr>
            </w:pPr>
            <w:r>
              <w:rPr>
                <w:rFonts w:ascii="Arial" w:cs="Arial" w:eastAsia="Arial" w:hAnsi="Arial"/>
                <w:sz w:val="14"/>
                <w:szCs w:val="14"/>
                <w:color w:val="auto"/>
              </w:rPr>
              <w:t>Deferred revenue, net of current portion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13,162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14,702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Debt, net of current portion</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line="143" w:lineRule="exact"/>
              <w:rPr>
                <w:sz w:val="20"/>
                <w:szCs w:val="20"/>
                <w:color w:val="auto"/>
              </w:rPr>
            </w:pPr>
            <w:r>
              <w:rPr>
                <w:rFonts w:ascii="Arial" w:cs="Arial" w:eastAsia="Arial" w:hAnsi="Arial"/>
                <w:sz w:val="14"/>
                <w:szCs w:val="14"/>
                <w:color w:val="auto"/>
              </w:rPr>
              <w:t>Operating lease liabilities, net of current portion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26,671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Finance lease liabilities, net of current portion</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334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line="143" w:lineRule="exact"/>
              <w:rPr>
                <w:sz w:val="20"/>
                <w:szCs w:val="20"/>
                <w:color w:val="auto"/>
              </w:rPr>
            </w:pPr>
            <w:r>
              <w:rPr>
                <w:rFonts w:ascii="Arial" w:cs="Arial" w:eastAsia="Arial" w:hAnsi="Arial"/>
                <w:sz w:val="14"/>
                <w:szCs w:val="14"/>
                <w:color w:val="auto"/>
              </w:rPr>
              <w:t>Purchase commitment and contingent consideration liabilities, net of current portion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10,287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8,905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other liabilities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8,632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tcBorders>
              <w:bottom w:val="single" w:sz="8" w:color="CCEEFF"/>
            </w:tcBorders>
          </w:tcPr>
          <w:p>
            <w:pPr>
              <w:ind w:left="100"/>
              <w:spacing w:after="0" w:line="136" w:lineRule="exact"/>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331,761</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329,442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Commitments and contingencies (Note 13)</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line="143" w:lineRule="exact"/>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Preferred shares, $0.001 par value, 30,000 shares authorized; no shares issued and outstanding</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320" w:type="dxa"/>
            <w:vAlign w:val="bottom"/>
          </w:tcPr>
          <w:p>
            <w:pPr>
              <w:ind w:left="100"/>
              <w:spacing w:after="0" w:line="125" w:lineRule="exact"/>
              <w:rPr>
                <w:sz w:val="20"/>
                <w:szCs w:val="20"/>
                <w:color w:val="auto"/>
              </w:rPr>
            </w:pPr>
            <w:r>
              <w:rPr>
                <w:rFonts w:ascii="Arial" w:cs="Arial" w:eastAsia="Arial" w:hAnsi="Arial"/>
                <w:sz w:val="14"/>
                <w:szCs w:val="14"/>
                <w:color w:val="auto"/>
                <w:w w:val="92"/>
              </w:rPr>
              <w:t>Class A common stock, $0.001 par value, 300,000 shares authorized; 26,972 and 26,327 shares issued and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Arial" w:cs="Arial" w:eastAsia="Arial" w:hAnsi="Arial"/>
                <w:sz w:val="14"/>
                <w:szCs w:val="14"/>
                <w:color w:val="auto"/>
              </w:rPr>
              <w:t>outstanding, respectively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320" w:type="dxa"/>
            <w:vAlign w:val="bottom"/>
            <w:shd w:val="clear" w:color="auto" w:fill="CCEEFF"/>
          </w:tcPr>
          <w:p>
            <w:pPr>
              <w:ind w:left="100"/>
              <w:spacing w:after="0" w:line="125" w:lineRule="exact"/>
              <w:rPr>
                <w:sz w:val="20"/>
                <w:szCs w:val="20"/>
                <w:color w:val="auto"/>
              </w:rPr>
            </w:pPr>
            <w:r>
              <w:rPr>
                <w:rFonts w:ascii="Arial" w:cs="Arial" w:eastAsia="Arial" w:hAnsi="Arial"/>
                <w:sz w:val="14"/>
                <w:szCs w:val="14"/>
                <w:color w:val="auto"/>
                <w:w w:val="90"/>
              </w:rPr>
              <w:t>Class B common stock, $0.001 par value, 150,000 shares authorized; 120,117 and 120,117 shares issued and</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outstanding, respectively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ind w:left="100"/>
              <w:spacing w:after="0" w:line="143" w:lineRule="exact"/>
              <w:rPr>
                <w:sz w:val="20"/>
                <w:szCs w:val="20"/>
                <w:color w:val="auto"/>
              </w:rPr>
            </w:pPr>
            <w:r>
              <w:rPr>
                <w:rFonts w:ascii="Arial" w:cs="Arial" w:eastAsia="Arial" w:hAnsi="Arial"/>
                <w:sz w:val="14"/>
                <w:szCs w:val="14"/>
                <w:color w:val="auto"/>
              </w:rPr>
              <w:t>Additional paid in capital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205,811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206,541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24,722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21,926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Borders>
              <w:bottom w:val="single" w:sz="8" w:color="CCEEFF"/>
            </w:tcBorders>
          </w:tcPr>
          <w:p>
            <w:pPr>
              <w:ind w:left="100"/>
              <w:spacing w:after="0" w:line="143" w:lineRule="exact"/>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(4,104)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(3,127)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shd w:val="clear" w:color="auto" w:fill="CCEEFF"/>
          </w:tcPr>
          <w:p>
            <w:pPr>
              <w:ind w:left="100"/>
              <w:spacing w:after="0" w:line="136" w:lineRule="exact"/>
              <w:rPr>
                <w:sz w:val="20"/>
                <w:szCs w:val="20"/>
                <w:color w:val="auto"/>
              </w:rPr>
            </w:pPr>
            <w:r>
              <w:rPr>
                <w:rFonts w:ascii="Arial" w:cs="Arial" w:eastAsia="Arial" w:hAnsi="Arial"/>
                <w:sz w:val="14"/>
                <w:szCs w:val="14"/>
                <w:color w:val="auto"/>
              </w:rPr>
              <w:t>Total stockholders' equity</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226,576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225,486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20" w:type="dxa"/>
            <w:vAlign w:val="bottom"/>
          </w:tcPr>
          <w:p>
            <w:pPr>
              <w:ind w:left="200"/>
              <w:spacing w:after="0" w:line="136" w:lineRule="exact"/>
              <w:rPr>
                <w:sz w:val="20"/>
                <w:szCs w:val="20"/>
                <w:color w:val="auto"/>
              </w:rPr>
            </w:pPr>
            <w:r>
              <w:rPr>
                <w:rFonts w:ascii="Arial" w:cs="Arial" w:eastAsia="Arial" w:hAnsi="Arial"/>
                <w:sz w:val="14"/>
                <w:szCs w:val="14"/>
                <w:color w:val="auto"/>
              </w:rPr>
              <w:t>Total liabilities and equity</w:t>
            </w:r>
          </w:p>
        </w:tc>
        <w:tc>
          <w:tcPr>
            <w:tcW w:w="240" w:type="dxa"/>
            <w:vAlign w:val="bottom"/>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558,337</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554,928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 w:name="page6"/>
    <w:bookmarkEnd w:id="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three months ended March 31, 2021 and 2020</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per share data)</w:t>
      </w:r>
    </w:p>
    <w:p>
      <w:pPr>
        <w:spacing w:after="0" w:line="207"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w:t>
      </w:r>
    </w:p>
    <w:p>
      <w:pPr>
        <w:ind w:left="752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11"/>
              <w:spacing w:after="0" w:line="136"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11"/>
              <w:spacing w:after="0" w:line="136"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jc w:val="right"/>
              <w:spacing w:after="0" w:line="123"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Software subscriptions</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83,280</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75,760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Services</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14,956</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tcPr>
          <w:p>
            <w:pPr>
              <w:ind w:left="100"/>
              <w:spacing w:after="0" w:line="175" w:lineRule="exact"/>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98,236</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89,245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Software subscriptions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25,590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Services</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11,343</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tcPr>
          <w:p>
            <w:pPr>
              <w:ind w:left="100"/>
              <w:spacing w:after="0" w:line="175" w:lineRule="exact"/>
              <w:rPr>
                <w:sz w:val="20"/>
                <w:szCs w:val="20"/>
                <w:color w:val="auto"/>
              </w:rPr>
            </w:pPr>
            <w:r>
              <w:rPr>
                <w:rFonts w:ascii="Arial" w:cs="Arial" w:eastAsia="Arial" w:hAnsi="Arial"/>
                <w:sz w:val="16"/>
                <w:szCs w:val="16"/>
                <w:color w:val="auto"/>
              </w:rPr>
              <w:t>Total cost of revenues</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36,933</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61,303</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Pr>
          <w:p>
            <w:pPr>
              <w:spacing w:after="0" w:line="175" w:lineRule="exact"/>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Selling and marketing</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20,150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operating (income) expense, net</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tcPr>
          <w:p>
            <w:pPr>
              <w:ind w:left="100"/>
              <w:spacing w:after="0" w:line="175" w:lineRule="exact"/>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59,159</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Income (loss) from operations</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0"/>
              </w:rPr>
              <w:t>Other comprehensive loss from foreign currency translation adjustments and revaluations, net of tax</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Total comprehensive income (loss)</w:t>
            </w: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 attributable to Class A stockholders</w:t>
            </w: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bottom w:val="single" w:sz="8" w:color="CCEEFF"/>
            </w:tcBorders>
            <w:vMerge w:val="restart"/>
          </w:tcPr>
          <w:p>
            <w:pPr>
              <w:spacing w:after="0" w:line="175" w:lineRule="exact"/>
              <w:rPr>
                <w:sz w:val="20"/>
                <w:szCs w:val="20"/>
                <w:color w:val="auto"/>
              </w:rPr>
            </w:pPr>
            <w:r>
              <w:rPr>
                <w:rFonts w:ascii="Arial" w:cs="Arial" w:eastAsia="Arial" w:hAnsi="Arial"/>
                <w:sz w:val="16"/>
                <w:szCs w:val="16"/>
                <w:color w:val="auto"/>
              </w:rPr>
              <w:t>Net income per Class A share, basic</w:t>
            </w: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0.02</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Weighted average Class A common stock, basic</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26,458</w:t>
            </w: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spacing w:after="0" w:line="175" w:lineRule="exact"/>
              <w:rPr>
                <w:sz w:val="20"/>
                <w:szCs w:val="20"/>
                <w:color w:val="auto"/>
              </w:rPr>
            </w:pPr>
            <w:r>
              <w:rPr>
                <w:rFonts w:ascii="Arial" w:cs="Arial" w:eastAsia="Arial" w:hAnsi="Arial"/>
                <w:sz w:val="16"/>
                <w:szCs w:val="16"/>
                <w:color w:val="auto"/>
              </w:rPr>
              <w:t>Net income attributable to Class A stockholders, diluted</w:t>
            </w: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550</w:t>
            </w:r>
          </w:p>
        </w:tc>
        <w:tc>
          <w:tcPr>
            <w:tcW w:w="1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Net income per Class A share, diluted</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0.01</w:t>
            </w: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spacing w:after="0" w:line="175" w:lineRule="exact"/>
              <w:rPr>
                <w:sz w:val="20"/>
                <w:szCs w:val="20"/>
                <w:color w:val="auto"/>
              </w:rPr>
            </w:pPr>
            <w:r>
              <w:rPr>
                <w:rFonts w:ascii="Arial" w:cs="Arial" w:eastAsia="Arial" w:hAnsi="Arial"/>
                <w:sz w:val="16"/>
                <w:szCs w:val="16"/>
                <w:color w:val="auto"/>
              </w:rPr>
              <w:t>Weighted average Class A common stock, diluted</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38,003</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440" w:type="dxa"/>
            <w:vAlign w:val="bottom"/>
          </w:tcPr>
          <w:p>
            <w:pPr>
              <w:spacing w:after="0" w:line="181" w:lineRule="exact"/>
              <w:rPr>
                <w:sz w:val="20"/>
                <w:szCs w:val="20"/>
                <w:color w:val="auto"/>
              </w:rPr>
            </w:pPr>
            <w:r>
              <w:rPr>
                <w:rFonts w:ascii="Arial" w:cs="Arial" w:eastAsia="Arial" w:hAnsi="Arial"/>
                <w:sz w:val="16"/>
                <w:szCs w:val="16"/>
                <w:color w:val="auto"/>
              </w:rPr>
              <w:t>Net income (loss) attributable to Class B stockholders</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1,875</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(29,064)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Net income (loss) per Class B share, basic</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0.02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spacing w:after="0" w:line="175" w:lineRule="exact"/>
              <w:rPr>
                <w:sz w:val="20"/>
                <w:szCs w:val="20"/>
                <w:color w:val="auto"/>
              </w:rPr>
            </w:pPr>
            <w:r>
              <w:rPr>
                <w:rFonts w:ascii="Arial" w:cs="Arial" w:eastAsia="Arial" w:hAnsi="Arial"/>
                <w:sz w:val="16"/>
                <w:szCs w:val="16"/>
                <w:color w:val="auto"/>
              </w:rPr>
              <w:t>Weighted average Class B common stock, basic</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120,117</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120,417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Net income (loss) attributable to Class B stockholders, diluted</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1,738</w:t>
            </w: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(29,064)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spacing w:after="0" w:line="175" w:lineRule="exact"/>
              <w:rPr>
                <w:sz w:val="20"/>
                <w:szCs w:val="20"/>
                <w:color w:val="auto"/>
              </w:rPr>
            </w:pPr>
            <w:r>
              <w:rPr>
                <w:rFonts w:ascii="Arial" w:cs="Arial" w:eastAsia="Arial" w:hAnsi="Arial"/>
                <w:sz w:val="16"/>
                <w:szCs w:val="16"/>
                <w:color w:val="auto"/>
              </w:rPr>
              <w:t>Net income (loss) per Class B share, diluted</w:t>
            </w: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0.01</w:t>
            </w:r>
          </w:p>
        </w:tc>
        <w:tc>
          <w:tcPr>
            <w:tcW w:w="1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Weighted average Class B common stock, diluted</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120,117</w:t>
            </w: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120,417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6" w:name="page7"/>
    <w:bookmarkEnd w:id="6"/>
    <w:p>
      <w:pPr>
        <w:ind w:left="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Vertex, Inc. and Subsidiaries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Consolidated Statements of Changes in Equity (Deficit)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 the three months ended March 31, 2021 and 2020 (unaudited)</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6487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716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20" w:type="dxa"/>
            <w:vAlign w:val="bottom"/>
          </w:tcPr>
          <w:p>
            <w:pPr>
              <w:spacing w:after="0"/>
              <w:rPr>
                <w:sz w:val="12"/>
                <w:szCs w:val="12"/>
                <w:color w:val="auto"/>
              </w:rPr>
            </w:pPr>
          </w:p>
        </w:tc>
        <w:tc>
          <w:tcPr>
            <w:tcW w:w="1940" w:type="dxa"/>
            <w:vAlign w:val="bottom"/>
            <w:tcBorders>
              <w:bottom w:val="single" w:sz="8" w:color="auto"/>
            </w:tcBorders>
            <w:gridSpan w:val="7"/>
          </w:tcPr>
          <w:p>
            <w:pPr>
              <w:ind w:left="600"/>
              <w:spacing w:after="0"/>
              <w:rPr>
                <w:sz w:val="20"/>
                <w:szCs w:val="20"/>
                <w:color w:val="auto"/>
              </w:rPr>
            </w:pPr>
            <w:r>
              <w:rPr>
                <w:rFonts w:ascii="Arial" w:cs="Arial" w:eastAsia="Arial" w:hAnsi="Arial"/>
                <w:sz w:val="12"/>
                <w:szCs w:val="12"/>
                <w:b w:val="1"/>
                <w:bCs w:val="1"/>
                <w:color w:val="auto"/>
                <w:w w:val="99"/>
              </w:rPr>
              <w:t>Before Recapitalization</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tcPr>
          <w:p>
            <w:pPr>
              <w:spacing w:after="0"/>
              <w:rPr>
                <w:sz w:val="20"/>
                <w:szCs w:val="20"/>
                <w:color w:val="auto"/>
              </w:rPr>
            </w:pPr>
            <w:r>
              <w:rPr>
                <w:rFonts w:ascii="Arial" w:cs="Arial" w:eastAsia="Arial" w:hAnsi="Arial"/>
                <w:sz w:val="12"/>
                <w:szCs w:val="12"/>
                <w:b w:val="1"/>
                <w:bCs w:val="1"/>
                <w:color w:val="auto"/>
              </w:rPr>
              <w:t>After Recapitalization</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Accumulated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700" w:type="dxa"/>
            <w:vAlign w:val="bottom"/>
            <w:gridSpan w:val="2"/>
          </w:tcPr>
          <w:p>
            <w:pPr>
              <w:jc w:val="center"/>
              <w:ind w:right="60"/>
              <w:spacing w:after="0" w:line="105" w:lineRule="exact"/>
              <w:rPr>
                <w:sz w:val="20"/>
                <w:szCs w:val="20"/>
                <w:color w:val="auto"/>
              </w:rPr>
            </w:pPr>
            <w:r>
              <w:rPr>
                <w:rFonts w:ascii="Arial" w:cs="Arial" w:eastAsia="Arial" w:hAnsi="Arial"/>
                <w:sz w:val="12"/>
                <w:szCs w:val="12"/>
                <w:b w:val="1"/>
                <w:bCs w:val="1"/>
                <w:color w:val="auto"/>
                <w:w w:val="90"/>
              </w:rPr>
              <w:t>Outstanding</w:t>
            </w:r>
          </w:p>
        </w:tc>
        <w:tc>
          <w:tcPr>
            <w:tcW w:w="540" w:type="dxa"/>
            <w:vAlign w:val="bottom"/>
            <w:gridSpan w:val="3"/>
          </w:tcPr>
          <w:p>
            <w:pPr>
              <w:jc w:val="right"/>
              <w:ind w:right="100"/>
              <w:spacing w:after="0" w:line="105" w:lineRule="exact"/>
              <w:rPr>
                <w:sz w:val="20"/>
                <w:szCs w:val="20"/>
                <w:color w:val="auto"/>
              </w:rPr>
            </w:pPr>
            <w:r>
              <w:rPr>
                <w:rFonts w:ascii="Arial" w:cs="Arial" w:eastAsia="Arial" w:hAnsi="Arial"/>
                <w:sz w:val="12"/>
                <w:szCs w:val="12"/>
                <w:b w:val="1"/>
                <w:bCs w:val="1"/>
                <w:color w:val="auto"/>
                <w:w w:val="95"/>
              </w:rPr>
              <w:t>Class A</w:t>
            </w:r>
          </w:p>
        </w:tc>
        <w:tc>
          <w:tcPr>
            <w:tcW w:w="700" w:type="dxa"/>
            <w:vAlign w:val="bottom"/>
            <w:gridSpan w:val="2"/>
          </w:tcPr>
          <w:p>
            <w:pPr>
              <w:jc w:val="center"/>
              <w:ind w:right="60"/>
              <w:spacing w:after="0" w:line="105" w:lineRule="exact"/>
              <w:rPr>
                <w:sz w:val="20"/>
                <w:szCs w:val="20"/>
                <w:color w:val="auto"/>
              </w:rPr>
            </w:pPr>
            <w:r>
              <w:rPr>
                <w:rFonts w:ascii="Arial" w:cs="Arial" w:eastAsia="Arial" w:hAnsi="Arial"/>
                <w:sz w:val="12"/>
                <w:szCs w:val="12"/>
                <w:b w:val="1"/>
                <w:bCs w:val="1"/>
                <w:color w:val="auto"/>
                <w:w w:val="90"/>
              </w:rPr>
              <w:t>Outstanding</w:t>
            </w:r>
          </w:p>
        </w:tc>
        <w:tc>
          <w:tcPr>
            <w:tcW w:w="1140" w:type="dxa"/>
            <w:vAlign w:val="bottom"/>
            <w:gridSpan w:val="4"/>
          </w:tcPr>
          <w:p>
            <w:pPr>
              <w:ind w:left="60"/>
              <w:spacing w:after="0" w:line="105" w:lineRule="exact"/>
              <w:rPr>
                <w:sz w:val="20"/>
                <w:szCs w:val="20"/>
                <w:color w:val="auto"/>
              </w:rPr>
            </w:pPr>
            <w:r>
              <w:rPr>
                <w:rFonts w:ascii="Arial" w:cs="Arial" w:eastAsia="Arial" w:hAnsi="Arial"/>
                <w:sz w:val="12"/>
                <w:szCs w:val="12"/>
                <w:b w:val="1"/>
                <w:bCs w:val="1"/>
                <w:color w:val="auto"/>
                <w:w w:val="89"/>
              </w:rPr>
              <w:t>Class B Outstanding</w:t>
            </w:r>
          </w:p>
        </w:tc>
        <w:tc>
          <w:tcPr>
            <w:tcW w:w="60" w:type="dxa"/>
            <w:vAlign w:val="bottom"/>
          </w:tcPr>
          <w:p>
            <w:pPr>
              <w:spacing w:after="0"/>
              <w:rPr>
                <w:sz w:val="9"/>
                <w:szCs w:val="9"/>
                <w:color w:val="auto"/>
              </w:rPr>
            </w:pPr>
          </w:p>
        </w:tc>
        <w:tc>
          <w:tcPr>
            <w:tcW w:w="540" w:type="dxa"/>
            <w:vAlign w:val="bottom"/>
            <w:gridSpan w:val="3"/>
          </w:tcPr>
          <w:p>
            <w:pPr>
              <w:jc w:val="center"/>
              <w:ind w:right="60"/>
              <w:spacing w:after="0" w:line="105" w:lineRule="exact"/>
              <w:rPr>
                <w:sz w:val="20"/>
                <w:szCs w:val="20"/>
                <w:color w:val="auto"/>
              </w:rPr>
            </w:pPr>
            <w:r>
              <w:rPr>
                <w:rFonts w:ascii="Arial" w:cs="Arial" w:eastAsia="Arial" w:hAnsi="Arial"/>
                <w:sz w:val="12"/>
                <w:szCs w:val="12"/>
                <w:b w:val="1"/>
                <w:bCs w:val="1"/>
                <w:color w:val="auto"/>
                <w:w w:val="90"/>
              </w:rPr>
              <w:t>Class A</w:t>
            </w:r>
          </w:p>
        </w:tc>
        <w:tc>
          <w:tcPr>
            <w:tcW w:w="740" w:type="dxa"/>
            <w:vAlign w:val="bottom"/>
            <w:gridSpan w:val="2"/>
          </w:tcPr>
          <w:p>
            <w:pPr>
              <w:jc w:val="center"/>
              <w:ind w:right="60"/>
              <w:spacing w:after="0" w:line="105" w:lineRule="exact"/>
              <w:rPr>
                <w:sz w:val="20"/>
                <w:szCs w:val="20"/>
                <w:color w:val="auto"/>
              </w:rPr>
            </w:pPr>
            <w:r>
              <w:rPr>
                <w:rFonts w:ascii="Arial" w:cs="Arial" w:eastAsia="Arial" w:hAnsi="Arial"/>
                <w:sz w:val="12"/>
                <w:szCs w:val="12"/>
                <w:b w:val="1"/>
                <w:bCs w:val="1"/>
                <w:color w:val="auto"/>
                <w:w w:val="90"/>
              </w:rPr>
              <w:t>Outstanding</w:t>
            </w:r>
          </w:p>
        </w:tc>
        <w:tc>
          <w:tcPr>
            <w:tcW w:w="46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w w:val="86"/>
              </w:rPr>
              <w:t>Class B</w:t>
            </w:r>
          </w:p>
        </w:tc>
        <w:tc>
          <w:tcPr>
            <w:tcW w:w="80" w:type="dxa"/>
            <w:vAlign w:val="bottom"/>
          </w:tcPr>
          <w:p>
            <w:pPr>
              <w:spacing w:after="0"/>
              <w:rPr>
                <w:sz w:val="9"/>
                <w:szCs w:val="9"/>
                <w:color w:val="auto"/>
              </w:rPr>
            </w:pPr>
          </w:p>
        </w:tc>
        <w:tc>
          <w:tcPr>
            <w:tcW w:w="620" w:type="dxa"/>
            <w:vAlign w:val="bottom"/>
            <w:gridSpan w:val="3"/>
          </w:tcPr>
          <w:p>
            <w:pPr>
              <w:jc w:val="center"/>
              <w:ind w:right="60"/>
              <w:spacing w:after="0" w:line="10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160"/>
              <w:spacing w:after="0" w:line="105" w:lineRule="exact"/>
              <w:rPr>
                <w:sz w:val="20"/>
                <w:szCs w:val="20"/>
                <w:color w:val="auto"/>
              </w:rPr>
            </w:pPr>
            <w:r>
              <w:rPr>
                <w:rFonts w:ascii="Arial" w:cs="Arial" w:eastAsia="Arial" w:hAnsi="Arial"/>
                <w:sz w:val="12"/>
                <w:szCs w:val="12"/>
                <w:b w:val="1"/>
                <w:bCs w:val="1"/>
                <w:color w:val="auto"/>
                <w:w w:val="99"/>
              </w:rPr>
              <w:t>Other</w:t>
            </w:r>
          </w:p>
        </w:tc>
        <w:tc>
          <w:tcPr>
            <w:tcW w:w="540" w:type="dxa"/>
            <w:vAlign w:val="bottom"/>
            <w:gridSpan w:val="2"/>
          </w:tcPr>
          <w:p>
            <w:pPr>
              <w:jc w:val="center"/>
              <w:ind w:right="60"/>
              <w:spacing w:after="0" w:line="105" w:lineRule="exact"/>
              <w:rPr>
                <w:sz w:val="20"/>
                <w:szCs w:val="20"/>
                <w:color w:val="auto"/>
              </w:rPr>
            </w:pPr>
            <w:r>
              <w:rPr>
                <w:rFonts w:ascii="Arial" w:cs="Arial" w:eastAsia="Arial" w:hAnsi="Arial"/>
                <w:sz w:val="12"/>
                <w:szCs w:val="12"/>
                <w:b w:val="1"/>
                <w:bCs w:val="1"/>
                <w:color w:val="auto"/>
                <w:w w:val="94"/>
              </w:rPr>
              <w:t>Treasury</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w w:val="90"/>
              </w:rPr>
              <w:t>Total</w:t>
            </w:r>
          </w:p>
        </w:tc>
        <w:tc>
          <w:tcPr>
            <w:tcW w:w="600" w:type="dxa"/>
            <w:vAlign w:val="bottom"/>
            <w:gridSpan w:val="2"/>
          </w:tcPr>
          <w:p>
            <w:pPr>
              <w:ind w:left="20"/>
              <w:spacing w:after="0" w:line="105" w:lineRule="exact"/>
              <w:rPr>
                <w:sz w:val="20"/>
                <w:szCs w:val="20"/>
                <w:color w:val="auto"/>
              </w:rPr>
            </w:pPr>
            <w:r>
              <w:rPr>
                <w:rFonts w:ascii="Arial" w:cs="Arial" w:eastAsia="Arial" w:hAnsi="Arial"/>
                <w:sz w:val="12"/>
                <w:szCs w:val="12"/>
                <w:b w:val="1"/>
                <w:bCs w:val="1"/>
                <w:color w:val="auto"/>
                <w:w w:val="86"/>
              </w:rPr>
              <w:t>Options for</w:t>
            </w: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700" w:type="dxa"/>
            <w:vAlign w:val="bottom"/>
            <w:gridSpan w:val="2"/>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Class A</w:t>
            </w:r>
          </w:p>
        </w:tc>
        <w:tc>
          <w:tcPr>
            <w:tcW w:w="5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6"/>
              </w:rPr>
              <w:t>Common</w:t>
            </w:r>
          </w:p>
        </w:tc>
        <w:tc>
          <w:tcPr>
            <w:tcW w:w="70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86"/>
              </w:rPr>
              <w:t>Class B</w:t>
            </w: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Common</w:t>
            </w:r>
          </w:p>
        </w:tc>
        <w:tc>
          <w:tcPr>
            <w:tcW w:w="5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Class A</w:t>
            </w:r>
          </w:p>
        </w:tc>
        <w:tc>
          <w:tcPr>
            <w:tcW w:w="60" w:type="dxa"/>
            <w:vAlign w:val="bottom"/>
          </w:tcPr>
          <w:p>
            <w:pPr>
              <w:spacing w:after="0"/>
              <w:rPr>
                <w:sz w:val="11"/>
                <w:szCs w:val="11"/>
                <w:color w:val="auto"/>
              </w:rPr>
            </w:pPr>
          </w:p>
        </w:tc>
        <w:tc>
          <w:tcPr>
            <w:tcW w:w="5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Common</w:t>
            </w:r>
          </w:p>
        </w:tc>
        <w:tc>
          <w:tcPr>
            <w:tcW w:w="74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6"/>
              </w:rPr>
              <w:t>Class B</w:t>
            </w:r>
          </w:p>
        </w:tc>
        <w:tc>
          <w:tcPr>
            <w:tcW w:w="5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Common</w:t>
            </w:r>
          </w:p>
        </w:tc>
        <w:tc>
          <w:tcPr>
            <w:tcW w:w="80" w:type="dxa"/>
            <w:vAlign w:val="bottom"/>
          </w:tcPr>
          <w:p>
            <w:pPr>
              <w:spacing w:after="0"/>
              <w:rPr>
                <w:sz w:val="11"/>
                <w:szCs w:val="11"/>
                <w:color w:val="auto"/>
              </w:rPr>
            </w:pPr>
          </w:p>
        </w:tc>
        <w:tc>
          <w:tcPr>
            <w:tcW w:w="54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6"/>
              </w:rPr>
              <w:t>Paid In</w:t>
            </w:r>
          </w:p>
        </w:tc>
        <w:tc>
          <w:tcPr>
            <w:tcW w:w="166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w w:val="97"/>
              </w:rPr>
              <w:t>Accumulated Comprehensive</w:t>
            </w:r>
          </w:p>
        </w:tc>
        <w:tc>
          <w:tcPr>
            <w:tcW w:w="540" w:type="dxa"/>
            <w:vAlign w:val="bottom"/>
            <w:gridSpan w:val="2"/>
          </w:tcPr>
          <w:p>
            <w:pPr>
              <w:jc w:val="center"/>
              <w:ind w:right="60"/>
              <w:spacing w:after="0" w:line="130" w:lineRule="exact"/>
              <w:rPr>
                <w:sz w:val="20"/>
                <w:szCs w:val="20"/>
                <w:color w:val="auto"/>
              </w:rPr>
            </w:pPr>
            <w:r>
              <w:rPr>
                <w:rFonts w:ascii="Arial" w:cs="Arial" w:eastAsia="Arial" w:hAnsi="Arial"/>
                <w:sz w:val="12"/>
                <w:szCs w:val="12"/>
                <w:b w:val="1"/>
                <w:bCs w:val="1"/>
                <w:color w:val="auto"/>
                <w:w w:val="89"/>
              </w:rPr>
              <w:t>Shares</w:t>
            </w: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Treasury</w:t>
            </w: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6"/>
              </w:rPr>
              <w:t>Stockholders'</w:t>
            </w: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0"/>
              </w:rPr>
              <w:t>Redeemabl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Shares</w:t>
            </w:r>
          </w:p>
        </w:tc>
        <w:tc>
          <w:tcPr>
            <w:tcW w:w="100" w:type="dxa"/>
            <w:vAlign w:val="bottom"/>
          </w:tcPr>
          <w:p>
            <w:pPr>
              <w:spacing w:after="0"/>
              <w:rPr>
                <w:sz w:val="12"/>
                <w:szCs w:val="12"/>
                <w:color w:val="auto"/>
              </w:rPr>
            </w:pPr>
          </w:p>
        </w:tc>
        <w:tc>
          <w:tcPr>
            <w:tcW w:w="44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w:t>
            </w: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b w:val="1"/>
                <w:bCs w:val="1"/>
                <w:color w:val="auto"/>
                <w:w w:val="91"/>
              </w:rPr>
              <w:t>Stock</w:t>
            </w:r>
          </w:p>
        </w:tc>
        <w:tc>
          <w:tcPr>
            <w:tcW w:w="5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Stock</w:t>
            </w: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4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Stock</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Deficit</w:t>
            </w:r>
          </w:p>
        </w:tc>
        <w:tc>
          <w:tcPr>
            <w:tcW w:w="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78"/>
              </w:rPr>
              <w:t>Loss</w:t>
            </w:r>
          </w:p>
        </w:tc>
        <w:tc>
          <w:tcPr>
            <w:tcW w:w="5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4"/>
              </w:rPr>
              <w:t>Issued</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Stock</w:t>
            </w:r>
          </w:p>
        </w:tc>
        <w:tc>
          <w:tcPr>
            <w:tcW w:w="12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2"/>
                <w:szCs w:val="12"/>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b w:val="1"/>
                <w:bCs w:val="1"/>
                <w:color w:val="auto"/>
                <w:w w:val="89"/>
              </w:rPr>
              <w:t>Shares</w:t>
            </w:r>
          </w:p>
        </w:tc>
        <w:tc>
          <w:tcPr>
            <w:tcW w:w="0" w:type="dxa"/>
            <w:vAlign w:val="bottom"/>
          </w:tcPr>
          <w:p>
            <w:pPr>
              <w:spacing w:after="0"/>
              <w:rPr>
                <w:sz w:val="1"/>
                <w:szCs w:val="1"/>
                <w:color w:val="auto"/>
              </w:rPr>
            </w:pPr>
          </w:p>
        </w:tc>
      </w:tr>
      <w:tr>
        <w:trPr>
          <w:trHeight w:val="96"/>
        </w:trPr>
        <w:tc>
          <w:tcPr>
            <w:tcW w:w="1120" w:type="dxa"/>
            <w:vAlign w:val="bottom"/>
            <w:tcBorders>
              <w:top w:val="single" w:sz="8" w:color="CCEEFF"/>
            </w:tcBorders>
            <w:shd w:val="clear" w:color="auto" w:fill="CCEEFF"/>
          </w:tcPr>
          <w:p>
            <w:pPr>
              <w:ind w:left="20"/>
              <w:spacing w:after="0" w:line="96" w:lineRule="exact"/>
              <w:rPr>
                <w:sz w:val="20"/>
                <w:szCs w:val="20"/>
                <w:color w:val="auto"/>
              </w:rPr>
            </w:pPr>
            <w:r>
              <w:rPr>
                <w:rFonts w:ascii="Arial" w:cs="Arial" w:eastAsia="Arial" w:hAnsi="Arial"/>
                <w:sz w:val="11"/>
                <w:szCs w:val="11"/>
                <w:color w:val="auto"/>
              </w:rPr>
              <w:t>Balance, January</w:t>
            </w: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1, 2020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120,270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(90,701)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(491)</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41,910</w:t>
            </w: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9"/>
              </w:rPr>
              <w:t>$(38,638)</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(129,776)</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17,344</w:t>
            </w:r>
          </w:p>
        </w:tc>
        <w:tc>
          <w:tcPr>
            <w:tcW w:w="0" w:type="dxa"/>
            <w:vAlign w:val="bottom"/>
          </w:tcPr>
          <w:p>
            <w:pPr>
              <w:spacing w:after="0"/>
              <w:rPr>
                <w:sz w:val="1"/>
                <w:szCs w:val="1"/>
                <w:color w:val="auto"/>
              </w:rPr>
            </w:pPr>
          </w:p>
        </w:tc>
      </w:tr>
      <w:tr>
        <w:trPr>
          <w:trHeight w:val="116"/>
        </w:trPr>
        <w:tc>
          <w:tcPr>
            <w:tcW w:w="1120" w:type="dxa"/>
            <w:vAlign w:val="bottom"/>
          </w:tcPr>
          <w:p>
            <w:pPr>
              <w:ind w:left="120"/>
              <w:spacing w:after="0" w:line="116" w:lineRule="exact"/>
              <w:rPr>
                <w:sz w:val="20"/>
                <w:szCs w:val="20"/>
                <w:color w:val="auto"/>
              </w:rPr>
            </w:pPr>
            <w:r>
              <w:rPr>
                <w:rFonts w:ascii="Arial" w:cs="Arial" w:eastAsia="Arial" w:hAnsi="Arial"/>
                <w:sz w:val="12"/>
                <w:szCs w:val="12"/>
                <w:color w:val="auto"/>
              </w:rPr>
              <w:t>Remeasurement</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of options for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redeemable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20"/>
              <w:spacing w:after="0"/>
              <w:rPr>
                <w:sz w:val="20"/>
                <w:szCs w:val="20"/>
                <w:color w:val="auto"/>
              </w:rPr>
            </w:pPr>
            <w:r>
              <w:rPr>
                <w:rFonts w:ascii="Arial" w:cs="Arial" w:eastAsia="Arial" w:hAnsi="Arial"/>
                <w:sz w:val="12"/>
                <w:szCs w:val="12"/>
                <w:color w:val="auto"/>
              </w:rPr>
              <w:t>shares</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(15,242)</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(15,242)</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15,242</w:t>
            </w:r>
          </w:p>
        </w:tc>
        <w:tc>
          <w:tcPr>
            <w:tcW w:w="0" w:type="dxa"/>
            <w:vAlign w:val="bottom"/>
          </w:tcPr>
          <w:p>
            <w:pPr>
              <w:spacing w:after="0"/>
              <w:rPr>
                <w:sz w:val="1"/>
                <w:szCs w:val="1"/>
                <w:color w:val="auto"/>
              </w:rPr>
            </w:pPr>
          </w:p>
        </w:tc>
      </w:tr>
      <w:tr>
        <w:trPr>
          <w:trHeight w:val="116"/>
        </w:trPr>
        <w:tc>
          <w:tcPr>
            <w:tcW w:w="1120" w:type="dxa"/>
            <w:vAlign w:val="bottom"/>
            <w:shd w:val="clear" w:color="auto" w:fill="CCEEFF"/>
          </w:tcPr>
          <w:p>
            <w:pPr>
              <w:ind w:left="120"/>
              <w:spacing w:after="0" w:line="116" w:lineRule="exact"/>
              <w:rPr>
                <w:sz w:val="20"/>
                <w:szCs w:val="20"/>
                <w:color w:val="auto"/>
              </w:rPr>
            </w:pPr>
            <w:r>
              <w:rPr>
                <w:rFonts w:ascii="Arial" w:cs="Arial" w:eastAsia="Arial" w:hAnsi="Arial"/>
                <w:sz w:val="12"/>
                <w:szCs w:val="12"/>
                <w:color w:val="auto"/>
              </w:rPr>
              <w:t>Distributions</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declared</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(4,010)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(4,010)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120" w:type="dxa"/>
            <w:vAlign w:val="bottom"/>
          </w:tcPr>
          <w:p>
            <w:pPr>
              <w:ind w:left="120"/>
              <w:spacing w:after="0" w:line="116" w:lineRule="exact"/>
              <w:rPr>
                <w:sz w:val="20"/>
                <w:szCs w:val="20"/>
                <w:color w:val="auto"/>
              </w:rPr>
            </w:pPr>
            <w:r>
              <w:rPr>
                <w:rFonts w:ascii="Arial" w:cs="Arial" w:eastAsia="Arial" w:hAnsi="Arial"/>
                <w:sz w:val="12"/>
                <w:szCs w:val="12"/>
                <w:color w:val="auto"/>
              </w:rPr>
              <w:t>Foreign</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currency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translation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adjustments and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20"/>
              <w:spacing w:after="0"/>
              <w:rPr>
                <w:sz w:val="20"/>
                <w:szCs w:val="20"/>
                <w:color w:val="auto"/>
              </w:rPr>
            </w:pPr>
            <w:r>
              <w:rPr>
                <w:rFonts w:ascii="Arial" w:cs="Arial" w:eastAsia="Arial" w:hAnsi="Arial"/>
                <w:sz w:val="12"/>
                <w:szCs w:val="12"/>
                <w:color w:val="auto"/>
              </w:rPr>
              <w:t>revaluations</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(2,998)</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(2,998)</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ind w:left="120"/>
              <w:spacing w:after="0" w:line="130" w:lineRule="exact"/>
              <w:rPr>
                <w:sz w:val="20"/>
                <w:szCs w:val="20"/>
                <w:color w:val="auto"/>
              </w:rPr>
            </w:pPr>
            <w:r>
              <w:rPr>
                <w:rFonts w:ascii="Arial" w:cs="Arial" w:eastAsia="Arial" w:hAnsi="Arial"/>
                <w:sz w:val="12"/>
                <w:szCs w:val="12"/>
                <w:color w:val="auto"/>
              </w:rPr>
              <w:t>Net loss</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(29,064)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(29,064)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16" w:lineRule="exact"/>
              <w:rPr>
                <w:sz w:val="20"/>
                <w:szCs w:val="20"/>
                <w:color w:val="auto"/>
              </w:rPr>
            </w:pPr>
            <w:r>
              <w:rPr>
                <w:rFonts w:ascii="Arial" w:cs="Arial" w:eastAsia="Arial" w:hAnsi="Arial"/>
                <w:sz w:val="12"/>
                <w:szCs w:val="12"/>
                <w:color w:val="auto"/>
              </w:rPr>
              <w:t>Balance,</w:t>
            </w: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120" w:type="dxa"/>
            <w:vAlign w:val="bottom"/>
            <w:vMerge w:val="continue"/>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147</w:t>
            </w:r>
          </w:p>
        </w:tc>
        <w:tc>
          <w:tcPr>
            <w:tcW w:w="6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w w:val="89"/>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120,270</w:t>
            </w:r>
          </w:p>
        </w:tc>
        <w:tc>
          <w:tcPr>
            <w:tcW w:w="60" w:type="dxa"/>
            <w:vAlign w:val="bottom"/>
          </w:tcPr>
          <w:p>
            <w:pPr>
              <w:spacing w:after="0"/>
              <w:rPr>
                <w:sz w:val="8"/>
                <w:szCs w:val="8"/>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ind w:right="60"/>
              <w:spacing w:after="0"/>
              <w:rPr>
                <w:sz w:val="20"/>
                <w:szCs w:val="20"/>
                <w:color w:val="auto"/>
              </w:rPr>
            </w:pPr>
            <w:r>
              <w:rPr>
                <w:rFonts w:ascii="Arial" w:cs="Arial" w:eastAsia="Arial" w:hAnsi="Arial"/>
                <w:sz w:val="12"/>
                <w:szCs w:val="12"/>
                <w:color w:val="auto"/>
              </w:rPr>
              <w:t>54</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w w:val="89"/>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w w:val="89"/>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(139,017)</w:t>
            </w:r>
          </w:p>
        </w:tc>
        <w:tc>
          <w:tcPr>
            <w:tcW w:w="80" w:type="dxa"/>
            <w:vAlign w:val="bottom"/>
            <w:vMerge w:val="restart"/>
          </w:tcPr>
          <w:p>
            <w:pPr>
              <w:spacing w:after="0"/>
              <w:rPr>
                <w:sz w:val="8"/>
                <w:szCs w:val="8"/>
                <w:color w:val="auto"/>
              </w:rPr>
            </w:pP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(3,489)</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41,910</w:t>
            </w:r>
          </w:p>
        </w:tc>
        <w:tc>
          <w:tcPr>
            <w:tcW w:w="80" w:type="dxa"/>
            <w:vAlign w:val="bottom"/>
          </w:tcPr>
          <w:p>
            <w:pPr>
              <w:spacing w:after="0"/>
              <w:rPr>
                <w:sz w:val="8"/>
                <w:szCs w:val="8"/>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2"/>
                <w:szCs w:val="12"/>
                <w:u w:val="single" w:color="auto"/>
                <w:color w:val="auto"/>
                <w:w w:val="89"/>
              </w:rPr>
              <w:t>$</w:t>
            </w:r>
            <w:r>
              <w:rPr>
                <w:rFonts w:ascii="Arial" w:cs="Arial" w:eastAsia="Arial" w:hAnsi="Arial"/>
                <w:sz w:val="12"/>
                <w:szCs w:val="12"/>
                <w:color w:val="auto"/>
                <w:w w:val="89"/>
              </w:rPr>
              <w:t>(38,638)</w:t>
            </w:r>
          </w:p>
        </w:tc>
        <w:tc>
          <w:tcPr>
            <w:tcW w:w="120" w:type="dxa"/>
            <w:vAlign w:val="bottom"/>
            <w:vMerge w:val="restart"/>
          </w:tcPr>
          <w:p>
            <w:pPr>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(181,090)</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32,586</w:t>
            </w:r>
          </w:p>
        </w:tc>
        <w:tc>
          <w:tcPr>
            <w:tcW w:w="0" w:type="dxa"/>
            <w:vAlign w:val="bottom"/>
          </w:tcPr>
          <w:p>
            <w:pPr>
              <w:spacing w:after="0"/>
              <w:rPr>
                <w:sz w:val="1"/>
                <w:szCs w:val="1"/>
                <w:color w:val="auto"/>
              </w:rPr>
            </w:pPr>
          </w:p>
        </w:tc>
      </w:tr>
      <w:tr>
        <w:trPr>
          <w:trHeight w:val="131"/>
        </w:trPr>
        <w:tc>
          <w:tcPr>
            <w:tcW w:w="1120" w:type="dxa"/>
            <w:vAlign w:val="bottom"/>
          </w:tcPr>
          <w:p>
            <w:pPr>
              <w:ind w:left="20"/>
              <w:spacing w:after="0" w:line="131" w:lineRule="exact"/>
              <w:rPr>
                <w:sz w:val="20"/>
                <w:szCs w:val="20"/>
                <w:color w:val="auto"/>
              </w:rPr>
            </w:pPr>
            <w:r>
              <w:rPr>
                <w:rFonts w:ascii="Arial" w:cs="Arial" w:eastAsia="Arial" w:hAnsi="Arial"/>
                <w:sz w:val="12"/>
                <w:szCs w:val="12"/>
                <w:color w:val="auto"/>
              </w:rPr>
              <w:t>March 31, 2020</w:t>
            </w: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20" w:type="dxa"/>
            <w:vAlign w:val="bottom"/>
          </w:tcPr>
          <w:p>
            <w:pPr>
              <w:spacing w:after="0"/>
              <w:rPr>
                <w:sz w:val="20"/>
                <w:szCs w:val="20"/>
                <w:color w:val="auto"/>
              </w:rPr>
            </w:pPr>
          </w:p>
        </w:tc>
        <w:tc>
          <w:tcPr>
            <w:tcW w:w="1940" w:type="dxa"/>
            <w:vAlign w:val="bottom"/>
            <w:tcBorders>
              <w:bottom w:val="single" w:sz="8" w:color="auto"/>
            </w:tcBorders>
            <w:gridSpan w:val="7"/>
          </w:tcPr>
          <w:p>
            <w:pPr>
              <w:ind w:left="600"/>
              <w:spacing w:after="0"/>
              <w:rPr>
                <w:sz w:val="20"/>
                <w:szCs w:val="20"/>
                <w:color w:val="auto"/>
              </w:rPr>
            </w:pPr>
            <w:r>
              <w:rPr>
                <w:rFonts w:ascii="Arial" w:cs="Arial" w:eastAsia="Arial" w:hAnsi="Arial"/>
                <w:sz w:val="12"/>
                <w:szCs w:val="12"/>
                <w:b w:val="1"/>
                <w:bCs w:val="1"/>
                <w:color w:val="auto"/>
                <w:w w:val="99"/>
              </w:rPr>
              <w:t>Before Recapitalization</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spacing w:after="0"/>
              <w:rPr>
                <w:sz w:val="20"/>
                <w:szCs w:val="20"/>
                <w:color w:val="auto"/>
              </w:rPr>
            </w:pPr>
            <w:r>
              <w:rPr>
                <w:rFonts w:ascii="Arial" w:cs="Arial" w:eastAsia="Arial" w:hAnsi="Arial"/>
                <w:sz w:val="12"/>
                <w:szCs w:val="12"/>
                <w:b w:val="1"/>
                <w:bCs w:val="1"/>
                <w:color w:val="auto"/>
              </w:rPr>
              <w:t>After Recapitalization</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Accumulated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700" w:type="dxa"/>
            <w:vAlign w:val="bottom"/>
            <w:gridSpan w:val="2"/>
          </w:tcPr>
          <w:p>
            <w:pPr>
              <w:jc w:val="center"/>
              <w:ind w:right="60"/>
              <w:spacing w:after="0" w:line="105" w:lineRule="exact"/>
              <w:rPr>
                <w:sz w:val="20"/>
                <w:szCs w:val="20"/>
                <w:color w:val="auto"/>
              </w:rPr>
            </w:pPr>
            <w:r>
              <w:rPr>
                <w:rFonts w:ascii="Arial" w:cs="Arial" w:eastAsia="Arial" w:hAnsi="Arial"/>
                <w:sz w:val="12"/>
                <w:szCs w:val="12"/>
                <w:b w:val="1"/>
                <w:bCs w:val="1"/>
                <w:color w:val="auto"/>
                <w:w w:val="90"/>
              </w:rPr>
              <w:t>Outstanding</w:t>
            </w:r>
          </w:p>
        </w:tc>
        <w:tc>
          <w:tcPr>
            <w:tcW w:w="540" w:type="dxa"/>
            <w:vAlign w:val="bottom"/>
            <w:gridSpan w:val="3"/>
          </w:tcPr>
          <w:p>
            <w:pPr>
              <w:jc w:val="right"/>
              <w:ind w:right="100"/>
              <w:spacing w:after="0" w:line="105" w:lineRule="exact"/>
              <w:rPr>
                <w:sz w:val="20"/>
                <w:szCs w:val="20"/>
                <w:color w:val="auto"/>
              </w:rPr>
            </w:pPr>
            <w:r>
              <w:rPr>
                <w:rFonts w:ascii="Arial" w:cs="Arial" w:eastAsia="Arial" w:hAnsi="Arial"/>
                <w:sz w:val="12"/>
                <w:szCs w:val="12"/>
                <w:b w:val="1"/>
                <w:bCs w:val="1"/>
                <w:color w:val="auto"/>
                <w:w w:val="95"/>
              </w:rPr>
              <w:t>Class A</w:t>
            </w:r>
          </w:p>
        </w:tc>
        <w:tc>
          <w:tcPr>
            <w:tcW w:w="700" w:type="dxa"/>
            <w:vAlign w:val="bottom"/>
            <w:gridSpan w:val="2"/>
          </w:tcPr>
          <w:p>
            <w:pPr>
              <w:jc w:val="center"/>
              <w:ind w:right="60"/>
              <w:spacing w:after="0" w:line="105" w:lineRule="exact"/>
              <w:rPr>
                <w:sz w:val="20"/>
                <w:szCs w:val="20"/>
                <w:color w:val="auto"/>
              </w:rPr>
            </w:pPr>
            <w:r>
              <w:rPr>
                <w:rFonts w:ascii="Arial" w:cs="Arial" w:eastAsia="Arial" w:hAnsi="Arial"/>
                <w:sz w:val="12"/>
                <w:szCs w:val="12"/>
                <w:b w:val="1"/>
                <w:bCs w:val="1"/>
                <w:color w:val="auto"/>
                <w:w w:val="90"/>
              </w:rPr>
              <w:t>Outstanding</w:t>
            </w:r>
          </w:p>
        </w:tc>
        <w:tc>
          <w:tcPr>
            <w:tcW w:w="1140" w:type="dxa"/>
            <w:vAlign w:val="bottom"/>
            <w:gridSpan w:val="4"/>
          </w:tcPr>
          <w:p>
            <w:pPr>
              <w:ind w:left="60"/>
              <w:spacing w:after="0" w:line="105" w:lineRule="exact"/>
              <w:rPr>
                <w:sz w:val="20"/>
                <w:szCs w:val="20"/>
                <w:color w:val="auto"/>
              </w:rPr>
            </w:pPr>
            <w:r>
              <w:rPr>
                <w:rFonts w:ascii="Arial" w:cs="Arial" w:eastAsia="Arial" w:hAnsi="Arial"/>
                <w:sz w:val="12"/>
                <w:szCs w:val="12"/>
                <w:b w:val="1"/>
                <w:bCs w:val="1"/>
                <w:color w:val="auto"/>
                <w:w w:val="89"/>
              </w:rPr>
              <w:t>Class B Outstanding</w:t>
            </w:r>
          </w:p>
        </w:tc>
        <w:tc>
          <w:tcPr>
            <w:tcW w:w="60" w:type="dxa"/>
            <w:vAlign w:val="bottom"/>
          </w:tcPr>
          <w:p>
            <w:pPr>
              <w:spacing w:after="0"/>
              <w:rPr>
                <w:sz w:val="9"/>
                <w:szCs w:val="9"/>
                <w:color w:val="auto"/>
              </w:rPr>
            </w:pPr>
          </w:p>
        </w:tc>
        <w:tc>
          <w:tcPr>
            <w:tcW w:w="540" w:type="dxa"/>
            <w:vAlign w:val="bottom"/>
            <w:gridSpan w:val="3"/>
          </w:tcPr>
          <w:p>
            <w:pPr>
              <w:jc w:val="center"/>
              <w:ind w:right="60"/>
              <w:spacing w:after="0" w:line="105" w:lineRule="exact"/>
              <w:rPr>
                <w:sz w:val="20"/>
                <w:szCs w:val="20"/>
                <w:color w:val="auto"/>
              </w:rPr>
            </w:pPr>
            <w:r>
              <w:rPr>
                <w:rFonts w:ascii="Arial" w:cs="Arial" w:eastAsia="Arial" w:hAnsi="Arial"/>
                <w:sz w:val="12"/>
                <w:szCs w:val="12"/>
                <w:b w:val="1"/>
                <w:bCs w:val="1"/>
                <w:color w:val="auto"/>
                <w:w w:val="90"/>
              </w:rPr>
              <w:t>Class A</w:t>
            </w:r>
          </w:p>
        </w:tc>
        <w:tc>
          <w:tcPr>
            <w:tcW w:w="740" w:type="dxa"/>
            <w:vAlign w:val="bottom"/>
            <w:gridSpan w:val="2"/>
          </w:tcPr>
          <w:p>
            <w:pPr>
              <w:jc w:val="center"/>
              <w:ind w:right="60"/>
              <w:spacing w:after="0" w:line="105" w:lineRule="exact"/>
              <w:rPr>
                <w:sz w:val="20"/>
                <w:szCs w:val="20"/>
                <w:color w:val="auto"/>
              </w:rPr>
            </w:pPr>
            <w:r>
              <w:rPr>
                <w:rFonts w:ascii="Arial" w:cs="Arial" w:eastAsia="Arial" w:hAnsi="Arial"/>
                <w:sz w:val="12"/>
                <w:szCs w:val="12"/>
                <w:b w:val="1"/>
                <w:bCs w:val="1"/>
                <w:color w:val="auto"/>
                <w:w w:val="90"/>
              </w:rPr>
              <w:t>Outstanding</w:t>
            </w:r>
          </w:p>
        </w:tc>
        <w:tc>
          <w:tcPr>
            <w:tcW w:w="46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w w:val="86"/>
              </w:rPr>
              <w:t>Class B</w:t>
            </w:r>
          </w:p>
        </w:tc>
        <w:tc>
          <w:tcPr>
            <w:tcW w:w="80" w:type="dxa"/>
            <w:vAlign w:val="bottom"/>
          </w:tcPr>
          <w:p>
            <w:pPr>
              <w:spacing w:after="0"/>
              <w:rPr>
                <w:sz w:val="9"/>
                <w:szCs w:val="9"/>
                <w:color w:val="auto"/>
              </w:rPr>
            </w:pPr>
          </w:p>
        </w:tc>
        <w:tc>
          <w:tcPr>
            <w:tcW w:w="620" w:type="dxa"/>
            <w:vAlign w:val="bottom"/>
            <w:gridSpan w:val="3"/>
          </w:tcPr>
          <w:p>
            <w:pPr>
              <w:jc w:val="center"/>
              <w:ind w:right="60"/>
              <w:spacing w:after="0" w:line="10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160"/>
              <w:spacing w:after="0" w:line="105" w:lineRule="exact"/>
              <w:rPr>
                <w:sz w:val="20"/>
                <w:szCs w:val="20"/>
                <w:color w:val="auto"/>
              </w:rPr>
            </w:pPr>
            <w:r>
              <w:rPr>
                <w:rFonts w:ascii="Arial" w:cs="Arial" w:eastAsia="Arial" w:hAnsi="Arial"/>
                <w:sz w:val="12"/>
                <w:szCs w:val="12"/>
                <w:b w:val="1"/>
                <w:bCs w:val="1"/>
                <w:color w:val="auto"/>
                <w:w w:val="99"/>
              </w:rPr>
              <w:t>Other</w:t>
            </w:r>
          </w:p>
        </w:tc>
        <w:tc>
          <w:tcPr>
            <w:tcW w:w="540" w:type="dxa"/>
            <w:vAlign w:val="bottom"/>
            <w:gridSpan w:val="2"/>
          </w:tcPr>
          <w:p>
            <w:pPr>
              <w:jc w:val="center"/>
              <w:ind w:right="60"/>
              <w:spacing w:after="0" w:line="105" w:lineRule="exact"/>
              <w:rPr>
                <w:sz w:val="20"/>
                <w:szCs w:val="20"/>
                <w:color w:val="auto"/>
              </w:rPr>
            </w:pPr>
            <w:r>
              <w:rPr>
                <w:rFonts w:ascii="Arial" w:cs="Arial" w:eastAsia="Arial" w:hAnsi="Arial"/>
                <w:sz w:val="12"/>
                <w:szCs w:val="12"/>
                <w:b w:val="1"/>
                <w:bCs w:val="1"/>
                <w:color w:val="auto"/>
                <w:w w:val="94"/>
              </w:rPr>
              <w:t>Treasury</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w w:val="90"/>
              </w:rPr>
              <w:t>Total</w:t>
            </w:r>
          </w:p>
        </w:tc>
        <w:tc>
          <w:tcPr>
            <w:tcW w:w="600" w:type="dxa"/>
            <w:vAlign w:val="bottom"/>
            <w:gridSpan w:val="2"/>
          </w:tcPr>
          <w:p>
            <w:pPr>
              <w:ind w:left="20"/>
              <w:spacing w:after="0" w:line="105" w:lineRule="exact"/>
              <w:rPr>
                <w:sz w:val="20"/>
                <w:szCs w:val="20"/>
                <w:color w:val="auto"/>
              </w:rPr>
            </w:pPr>
            <w:r>
              <w:rPr>
                <w:rFonts w:ascii="Arial" w:cs="Arial" w:eastAsia="Arial" w:hAnsi="Arial"/>
                <w:sz w:val="12"/>
                <w:szCs w:val="12"/>
                <w:b w:val="1"/>
                <w:bCs w:val="1"/>
                <w:color w:val="auto"/>
                <w:w w:val="86"/>
              </w:rPr>
              <w:t>Options for</w:t>
            </w: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700" w:type="dxa"/>
            <w:vAlign w:val="bottom"/>
            <w:gridSpan w:val="2"/>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Class A</w:t>
            </w:r>
          </w:p>
        </w:tc>
        <w:tc>
          <w:tcPr>
            <w:tcW w:w="5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6"/>
              </w:rPr>
              <w:t>Common</w:t>
            </w:r>
          </w:p>
        </w:tc>
        <w:tc>
          <w:tcPr>
            <w:tcW w:w="70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86"/>
              </w:rPr>
              <w:t>Class B</w:t>
            </w: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Common</w:t>
            </w:r>
          </w:p>
        </w:tc>
        <w:tc>
          <w:tcPr>
            <w:tcW w:w="5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Class A</w:t>
            </w:r>
          </w:p>
        </w:tc>
        <w:tc>
          <w:tcPr>
            <w:tcW w:w="60" w:type="dxa"/>
            <w:vAlign w:val="bottom"/>
          </w:tcPr>
          <w:p>
            <w:pPr>
              <w:spacing w:after="0"/>
              <w:rPr>
                <w:sz w:val="11"/>
                <w:szCs w:val="11"/>
                <w:color w:val="auto"/>
              </w:rPr>
            </w:pPr>
          </w:p>
        </w:tc>
        <w:tc>
          <w:tcPr>
            <w:tcW w:w="5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Common</w:t>
            </w:r>
          </w:p>
        </w:tc>
        <w:tc>
          <w:tcPr>
            <w:tcW w:w="74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6"/>
              </w:rPr>
              <w:t>Class B</w:t>
            </w:r>
          </w:p>
        </w:tc>
        <w:tc>
          <w:tcPr>
            <w:tcW w:w="5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Common</w:t>
            </w:r>
          </w:p>
        </w:tc>
        <w:tc>
          <w:tcPr>
            <w:tcW w:w="80" w:type="dxa"/>
            <w:vAlign w:val="bottom"/>
          </w:tcPr>
          <w:p>
            <w:pPr>
              <w:spacing w:after="0"/>
              <w:rPr>
                <w:sz w:val="11"/>
                <w:szCs w:val="11"/>
                <w:color w:val="auto"/>
              </w:rPr>
            </w:pPr>
          </w:p>
        </w:tc>
        <w:tc>
          <w:tcPr>
            <w:tcW w:w="54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4"/>
              </w:rPr>
              <w:t>Paid-in</w:t>
            </w:r>
          </w:p>
        </w:tc>
        <w:tc>
          <w:tcPr>
            <w:tcW w:w="80" w:type="dxa"/>
            <w:vAlign w:val="bottom"/>
          </w:tcPr>
          <w:p>
            <w:pPr>
              <w:spacing w:after="0"/>
              <w:rPr>
                <w:sz w:val="11"/>
                <w:szCs w:val="11"/>
                <w:color w:val="auto"/>
              </w:rPr>
            </w:pPr>
          </w:p>
        </w:tc>
        <w:tc>
          <w:tcPr>
            <w:tcW w:w="68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90"/>
              </w:rPr>
              <w:t>Retained</w:t>
            </w:r>
          </w:p>
        </w:tc>
        <w:tc>
          <w:tcPr>
            <w:tcW w:w="9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Comprehensive</w:t>
            </w:r>
          </w:p>
        </w:tc>
        <w:tc>
          <w:tcPr>
            <w:tcW w:w="540" w:type="dxa"/>
            <w:vAlign w:val="bottom"/>
            <w:gridSpan w:val="2"/>
          </w:tcPr>
          <w:p>
            <w:pPr>
              <w:jc w:val="center"/>
              <w:ind w:right="60"/>
              <w:spacing w:after="0" w:line="130" w:lineRule="exact"/>
              <w:rPr>
                <w:sz w:val="20"/>
                <w:szCs w:val="20"/>
                <w:color w:val="auto"/>
              </w:rPr>
            </w:pPr>
            <w:r>
              <w:rPr>
                <w:rFonts w:ascii="Arial" w:cs="Arial" w:eastAsia="Arial" w:hAnsi="Arial"/>
                <w:sz w:val="12"/>
                <w:szCs w:val="12"/>
                <w:b w:val="1"/>
                <w:bCs w:val="1"/>
                <w:color w:val="auto"/>
                <w:w w:val="89"/>
              </w:rPr>
              <w:t>Shares</w:t>
            </w: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Treasury</w:t>
            </w: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6"/>
              </w:rPr>
              <w:t>Stockholders'</w:t>
            </w: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0"/>
              </w:rPr>
              <w:t>Redeemabl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Shares</w:t>
            </w:r>
          </w:p>
        </w:tc>
        <w:tc>
          <w:tcPr>
            <w:tcW w:w="100" w:type="dxa"/>
            <w:vAlign w:val="bottom"/>
          </w:tcPr>
          <w:p>
            <w:pPr>
              <w:spacing w:after="0"/>
              <w:rPr>
                <w:sz w:val="12"/>
                <w:szCs w:val="12"/>
                <w:color w:val="auto"/>
              </w:rPr>
            </w:pPr>
          </w:p>
        </w:tc>
        <w:tc>
          <w:tcPr>
            <w:tcW w:w="44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w:t>
            </w: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b w:val="1"/>
                <w:bCs w:val="1"/>
                <w:color w:val="auto"/>
                <w:w w:val="91"/>
              </w:rPr>
              <w:t>Stock</w:t>
            </w:r>
          </w:p>
        </w:tc>
        <w:tc>
          <w:tcPr>
            <w:tcW w:w="5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Stock</w:t>
            </w: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4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Stock</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78"/>
              </w:rPr>
              <w:t>Loss</w:t>
            </w:r>
          </w:p>
        </w:tc>
        <w:tc>
          <w:tcPr>
            <w:tcW w:w="5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4"/>
              </w:rPr>
              <w:t>Issued</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Stock</w:t>
            </w:r>
          </w:p>
        </w:tc>
        <w:tc>
          <w:tcPr>
            <w:tcW w:w="12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2"/>
                <w:szCs w:val="12"/>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b w:val="1"/>
                <w:bCs w:val="1"/>
                <w:color w:val="auto"/>
                <w:w w:val="89"/>
              </w:rPr>
              <w:t>Shares</w:t>
            </w:r>
          </w:p>
        </w:tc>
        <w:tc>
          <w:tcPr>
            <w:tcW w:w="0" w:type="dxa"/>
            <w:vAlign w:val="bottom"/>
          </w:tcPr>
          <w:p>
            <w:pPr>
              <w:spacing w:after="0"/>
              <w:rPr>
                <w:sz w:val="1"/>
                <w:szCs w:val="1"/>
                <w:color w:val="auto"/>
              </w:rPr>
            </w:pPr>
          </w:p>
        </w:tc>
      </w:tr>
      <w:tr>
        <w:trPr>
          <w:trHeight w:val="96"/>
        </w:trPr>
        <w:tc>
          <w:tcPr>
            <w:tcW w:w="1120" w:type="dxa"/>
            <w:vAlign w:val="bottom"/>
            <w:tcBorders>
              <w:top w:val="single" w:sz="8" w:color="CCEEFF"/>
            </w:tcBorders>
            <w:shd w:val="clear" w:color="auto" w:fill="CCEEFF"/>
          </w:tcPr>
          <w:p>
            <w:pPr>
              <w:ind w:left="20"/>
              <w:spacing w:after="0" w:line="96" w:lineRule="exact"/>
              <w:rPr>
                <w:sz w:val="20"/>
                <w:szCs w:val="20"/>
                <w:color w:val="auto"/>
              </w:rPr>
            </w:pPr>
            <w:r>
              <w:rPr>
                <w:rFonts w:ascii="Arial" w:cs="Arial" w:eastAsia="Arial" w:hAnsi="Arial"/>
                <w:sz w:val="11"/>
                <w:szCs w:val="11"/>
                <w:color w:val="auto"/>
              </w:rPr>
              <w:t>Balance, January</w:t>
            </w: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1, 2021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26,327</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$ 206,541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(3,127)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225,486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120" w:type="dxa"/>
            <w:vAlign w:val="bottom"/>
          </w:tcPr>
          <w:p>
            <w:pPr>
              <w:ind w:left="120"/>
              <w:spacing w:after="0" w:line="116" w:lineRule="exact"/>
              <w:rPr>
                <w:sz w:val="20"/>
                <w:szCs w:val="20"/>
                <w:color w:val="auto"/>
              </w:rPr>
            </w:pPr>
            <w:r>
              <w:rPr>
                <w:rFonts w:ascii="Arial" w:cs="Arial" w:eastAsia="Arial" w:hAnsi="Arial"/>
                <w:sz w:val="12"/>
                <w:szCs w:val="12"/>
                <w:color w:val="auto"/>
              </w:rPr>
              <w:t>ASC 842</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transition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20"/>
              <w:spacing w:after="0"/>
              <w:rPr>
                <w:sz w:val="20"/>
                <w:szCs w:val="20"/>
                <w:color w:val="auto"/>
              </w:rPr>
            </w:pPr>
            <w:r>
              <w:rPr>
                <w:rFonts w:ascii="Arial" w:cs="Arial" w:eastAsia="Arial" w:hAnsi="Arial"/>
                <w:sz w:val="12"/>
                <w:szCs w:val="12"/>
                <w:color w:val="auto"/>
              </w:rPr>
              <w:t>adjustment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120" w:type="dxa"/>
            <w:vAlign w:val="bottom"/>
            <w:shd w:val="clear" w:color="auto" w:fill="CCEEFF"/>
          </w:tcPr>
          <w:p>
            <w:pPr>
              <w:ind w:left="120"/>
              <w:spacing w:after="0" w:line="116" w:lineRule="exact"/>
              <w:rPr>
                <w:sz w:val="20"/>
                <w:szCs w:val="20"/>
                <w:color w:val="auto"/>
              </w:rPr>
            </w:pPr>
            <w:r>
              <w:rPr>
                <w:rFonts w:ascii="Arial" w:cs="Arial" w:eastAsia="Arial" w:hAnsi="Arial"/>
                <w:sz w:val="12"/>
                <w:szCs w:val="12"/>
                <w:color w:val="auto"/>
              </w:rPr>
              <w:t>Exercise of</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ind w:left="120"/>
              <w:spacing w:after="0" w:line="130" w:lineRule="exact"/>
              <w:rPr>
                <w:sz w:val="20"/>
                <w:szCs w:val="20"/>
                <w:color w:val="auto"/>
              </w:rPr>
            </w:pPr>
            <w:r>
              <w:rPr>
                <w:rFonts w:ascii="Arial" w:cs="Arial" w:eastAsia="Arial" w:hAnsi="Arial"/>
                <w:sz w:val="12"/>
                <w:szCs w:val="12"/>
                <w:color w:val="auto"/>
              </w:rPr>
              <w:t>stock options,</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(6,998)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(6,997)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120" w:type="dxa"/>
            <w:vAlign w:val="bottom"/>
          </w:tcPr>
          <w:p>
            <w:pPr>
              <w:ind w:left="120"/>
              <w:spacing w:after="0" w:line="116" w:lineRule="exact"/>
              <w:rPr>
                <w:sz w:val="20"/>
                <w:szCs w:val="20"/>
                <w:color w:val="auto"/>
              </w:rPr>
            </w:pPr>
            <w:r>
              <w:rPr>
                <w:rFonts w:ascii="Arial" w:cs="Arial" w:eastAsia="Arial" w:hAnsi="Arial"/>
                <w:sz w:val="12"/>
                <w:szCs w:val="12"/>
                <w:color w:val="auto"/>
              </w:rPr>
              <w:t>Shares issued</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upon vesting of</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Restricted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20"/>
              <w:spacing w:after="0"/>
              <w:rPr>
                <w:sz w:val="20"/>
                <w:szCs w:val="20"/>
                <w:color w:val="auto"/>
              </w:rPr>
            </w:pPr>
            <w:r>
              <w:rPr>
                <w:rFonts w:ascii="Arial" w:cs="Arial" w:eastAsia="Arial" w:hAnsi="Arial"/>
                <w:sz w:val="12"/>
                <w:szCs w:val="12"/>
                <w:color w:val="auto"/>
              </w:rPr>
              <w:t>Stock Units</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120" w:type="dxa"/>
            <w:vAlign w:val="bottom"/>
            <w:shd w:val="clear" w:color="auto" w:fill="CCEEFF"/>
          </w:tcPr>
          <w:p>
            <w:pPr>
              <w:ind w:left="120"/>
              <w:spacing w:after="0" w:line="116" w:lineRule="exact"/>
              <w:rPr>
                <w:sz w:val="20"/>
                <w:szCs w:val="20"/>
                <w:color w:val="auto"/>
              </w:rPr>
            </w:pPr>
            <w:r>
              <w:rPr>
                <w:rFonts w:ascii="Arial" w:cs="Arial" w:eastAsia="Arial" w:hAnsi="Arial"/>
                <w:sz w:val="12"/>
                <w:szCs w:val="12"/>
                <w:color w:val="auto"/>
              </w:rPr>
              <w:t>Stock-based</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ind w:left="120"/>
              <w:spacing w:after="0" w:line="130" w:lineRule="exact"/>
              <w:rPr>
                <w:sz w:val="20"/>
                <w:szCs w:val="20"/>
                <w:color w:val="auto"/>
              </w:rPr>
            </w:pPr>
            <w:r>
              <w:rPr>
                <w:rFonts w:ascii="Arial" w:cs="Arial" w:eastAsia="Arial" w:hAnsi="Arial"/>
                <w:sz w:val="12"/>
                <w:szCs w:val="12"/>
                <w:color w:val="auto"/>
              </w:rPr>
              <w:t>compensation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120" w:type="dxa"/>
            <w:vAlign w:val="bottom"/>
          </w:tcPr>
          <w:p>
            <w:pPr>
              <w:ind w:left="120"/>
              <w:spacing w:after="0" w:line="116" w:lineRule="exact"/>
              <w:rPr>
                <w:sz w:val="20"/>
                <w:szCs w:val="20"/>
                <w:color w:val="auto"/>
              </w:rPr>
            </w:pPr>
            <w:r>
              <w:rPr>
                <w:rFonts w:ascii="Arial" w:cs="Arial" w:eastAsia="Arial" w:hAnsi="Arial"/>
                <w:sz w:val="12"/>
                <w:szCs w:val="12"/>
                <w:color w:val="auto"/>
              </w:rPr>
              <w:t>Foreign</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currency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translation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adjustments and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120"/>
              <w:spacing w:after="0" w:line="130" w:lineRule="exact"/>
              <w:rPr>
                <w:sz w:val="20"/>
                <w:szCs w:val="20"/>
                <w:color w:val="auto"/>
              </w:rPr>
            </w:pPr>
            <w:r>
              <w:rPr>
                <w:rFonts w:ascii="Arial" w:cs="Arial" w:eastAsia="Arial" w:hAnsi="Arial"/>
                <w:sz w:val="12"/>
                <w:szCs w:val="12"/>
                <w:color w:val="auto"/>
              </w:rPr>
              <w:t>revaluations,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tcPr>
          <w:p>
            <w:pPr>
              <w:ind w:left="120"/>
              <w:spacing w:after="0"/>
              <w:rPr>
                <w:sz w:val="20"/>
                <w:szCs w:val="20"/>
                <w:color w:val="auto"/>
              </w:rPr>
            </w:pPr>
            <w:r>
              <w:rPr>
                <w:rFonts w:ascii="Arial" w:cs="Arial" w:eastAsia="Arial" w:hAnsi="Arial"/>
                <w:sz w:val="12"/>
                <w:szCs w:val="12"/>
                <w:color w:val="auto"/>
              </w:rPr>
              <w:t>net of tax</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(977)</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(977)</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ind w:left="120"/>
              <w:spacing w:after="0" w:line="130" w:lineRule="exact"/>
              <w:rPr>
                <w:sz w:val="20"/>
                <w:szCs w:val="20"/>
                <w:color w:val="auto"/>
              </w:rPr>
            </w:pPr>
            <w:r>
              <w:rPr>
                <w:rFonts w:ascii="Arial" w:cs="Arial" w:eastAsia="Arial" w:hAnsi="Arial"/>
                <w:sz w:val="12"/>
                <w:szCs w:val="12"/>
                <w:color w:val="auto"/>
              </w:rPr>
              <w:t>Net income</w:t>
            </w: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2,288</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2,288</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6"/>
        </w:trPr>
        <w:tc>
          <w:tcPr>
            <w:tcW w:w="1120" w:type="dxa"/>
            <w:vAlign w:val="bottom"/>
          </w:tcPr>
          <w:p>
            <w:pPr>
              <w:ind w:left="20"/>
              <w:spacing w:after="0" w:line="96" w:lineRule="exact"/>
              <w:rPr>
                <w:sz w:val="20"/>
                <w:szCs w:val="20"/>
                <w:color w:val="auto"/>
              </w:rPr>
            </w:pPr>
            <w:r>
              <w:rPr>
                <w:rFonts w:ascii="Arial" w:cs="Arial" w:eastAsia="Arial" w:hAnsi="Arial"/>
                <w:sz w:val="11"/>
                <w:szCs w:val="11"/>
                <w:color w:val="auto"/>
              </w:rPr>
              <w:t>Balance,</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w w:val="89"/>
              </w:rPr>
              <w:t>$</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26,972</w:t>
            </w:r>
          </w:p>
        </w:tc>
        <w:tc>
          <w:tcPr>
            <w:tcW w:w="20" w:type="dxa"/>
            <w:vAlign w:val="bottom"/>
          </w:tcPr>
          <w:p>
            <w:pPr>
              <w:spacing w:after="0"/>
              <w:rPr>
                <w:sz w:val="8"/>
                <w:szCs w:val="8"/>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2"/>
                <w:szCs w:val="12"/>
                <w:color w:val="auto"/>
                <w:w w:val="89"/>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120,117</w:t>
            </w:r>
          </w:p>
        </w:tc>
        <w:tc>
          <w:tcPr>
            <w:tcW w:w="8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w w:val="89"/>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w w:val="89"/>
              </w:rPr>
              <w:t>$ 205,811</w:t>
            </w:r>
          </w:p>
        </w:tc>
        <w:tc>
          <w:tcPr>
            <w:tcW w:w="8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24,722</w:t>
            </w:r>
          </w:p>
        </w:tc>
        <w:tc>
          <w:tcPr>
            <w:tcW w:w="80" w:type="dxa"/>
            <w:vAlign w:val="bottom"/>
          </w:tcPr>
          <w:p>
            <w:pPr>
              <w:spacing w:after="0"/>
              <w:rPr>
                <w:sz w:val="8"/>
                <w:szCs w:val="8"/>
                <w:color w:val="auto"/>
              </w:rPr>
            </w:pP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(4,104)</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20"/>
                <w:szCs w:val="20"/>
                <w:color w:val="auto"/>
              </w:rPr>
            </w:pPr>
            <w:r>
              <w:rPr>
                <w:rFonts w:ascii="Arial" w:cs="Arial" w:eastAsia="Arial" w:hAnsi="Arial"/>
                <w:sz w:val="12"/>
                <w:szCs w:val="12"/>
                <w:color w:val="auto"/>
                <w:w w:val="89"/>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226,576</w:t>
            </w:r>
          </w:p>
        </w:tc>
        <w:tc>
          <w:tcPr>
            <w:tcW w:w="8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1120" w:type="dxa"/>
            <w:vAlign w:val="bottom"/>
          </w:tcPr>
          <w:p>
            <w:pPr>
              <w:ind w:left="20"/>
              <w:spacing w:after="0" w:line="131" w:lineRule="exact"/>
              <w:rPr>
                <w:sz w:val="20"/>
                <w:szCs w:val="20"/>
                <w:color w:val="auto"/>
              </w:rPr>
            </w:pPr>
            <w:r>
              <w:rPr>
                <w:rFonts w:ascii="Arial" w:cs="Arial" w:eastAsia="Arial" w:hAnsi="Arial"/>
                <w:sz w:val="12"/>
                <w:szCs w:val="12"/>
                <w:color w:val="auto"/>
              </w:rPr>
              <w:t>March 31, 2021</w:t>
            </w:r>
          </w:p>
        </w:tc>
        <w:tc>
          <w:tcPr>
            <w:tcW w:w="70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344805</wp:posOffset>
            </wp:positionV>
            <wp:extent cx="6495415"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5415" cy="24765"/>
                    </a:xfrm>
                    <a:prstGeom prst="rect">
                      <a:avLst/>
                    </a:prstGeom>
                    <a:noFill/>
                  </pic:spPr>
                </pic:pic>
              </a:graphicData>
            </a:graphic>
          </wp:anchor>
        </w:drawing>
      </w:r>
    </w:p>
    <w:p>
      <w:pPr>
        <w:sectPr>
          <w:pgSz w:w="11900" w:h="16838" w:orient="portrait"/>
          <w:cols w:equalWidth="0" w:num="1">
            <w:col w:w="10840"/>
          </w:cols>
          <w:pgMar w:left="820" w:top="503" w:right="239" w:bottom="1440" w:gutter="0" w:footer="0" w:header="0"/>
        </w:sectPr>
      </w:pPr>
    </w:p>
    <w:bookmarkStart w:id="7" w:name="page8"/>
    <w:bookmarkEnd w:id="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Vertex, Inc. and Subsidiaries</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For the three months ended March 31, 2021 and 2020</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8890</wp:posOffset>
            </wp:positionV>
            <wp:extent cx="5655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138"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Three Months Ended</w:t>
      </w:r>
    </w:p>
    <w:p>
      <w:pPr>
        <w:ind w:left="750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11"/>
              <w:spacing w:after="0" w:line="136"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31"/>
              <w:spacing w:after="0" w:line="136" w:lineRule="exact"/>
              <w:rPr>
                <w:sz w:val="20"/>
                <w:szCs w:val="20"/>
                <w:color w:val="auto"/>
              </w:rPr>
            </w:pPr>
            <w:r>
              <w:rPr>
                <w:rFonts w:ascii="Arial" w:cs="Arial" w:eastAsia="Arial" w:hAnsi="Arial"/>
                <w:sz w:val="14"/>
                <w:szCs w:val="14"/>
                <w:b w:val="1"/>
                <w:bCs w:val="1"/>
                <w:color w:val="auto"/>
              </w:rPr>
              <w:t>2020</w:t>
            </w:r>
          </w:p>
        </w:tc>
      </w:tr>
      <w:tr>
        <w:trPr>
          <w:trHeight w:val="123"/>
        </w:trPr>
        <w:tc>
          <w:tcPr>
            <w:tcW w:w="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jc w:val="right"/>
              <w:ind w:right="60"/>
              <w:spacing w:after="0" w:line="123" w:lineRule="exact"/>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0"/>
                <w:szCs w:val="10"/>
                <w:color w:val="auto"/>
              </w:rPr>
            </w:pP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2,288</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(29,064)</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8,816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7,436</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subscription cancellations and non-renewals, net of deferred allowance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4"/>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6,543</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34,920</w:t>
            </w:r>
          </w:p>
        </w:tc>
      </w:tr>
      <w:tr>
        <w:trPr>
          <w:trHeight w:val="194"/>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Deferred income tax (benefit) provision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operating lease costs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13,810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9,453</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(13,437)</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w:t>
            </w:r>
          </w:p>
        </w:tc>
      </w:tr>
      <w:tr>
        <w:trPr>
          <w:trHeight w:val="194"/>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Deferred commissions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634</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w:t>
            </w:r>
          </w:p>
        </w:tc>
      </w:tr>
      <w:tr>
        <w:trPr>
          <w:trHeight w:val="194"/>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(3,048)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(1,042)</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and deferred compensation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(14,966)</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(19,706)</w:t>
            </w:r>
          </w:p>
        </w:tc>
      </w:tr>
      <w:tr>
        <w:trPr>
          <w:trHeight w:val="194"/>
        </w:trPr>
        <w:tc>
          <w:tcPr>
            <w:tcW w:w="20" w:type="dxa"/>
            <w:vAlign w:val="bottom"/>
          </w:tcPr>
          <w:p>
            <w:pPr>
              <w:spacing w:after="0"/>
              <w:rPr>
                <w:sz w:val="16"/>
                <w:szCs w:val="16"/>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(5,046)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(4,307)</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6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174"/>
        </w:trPr>
        <w:tc>
          <w:tcPr>
            <w:tcW w:w="20" w:type="dxa"/>
            <w:vAlign w:val="bottom"/>
          </w:tcPr>
          <w:p>
            <w:pPr>
              <w:spacing w:after="0"/>
              <w:rPr>
                <w:sz w:val="15"/>
                <w:szCs w:val="15"/>
                <w:color w:val="auto"/>
              </w:rPr>
            </w:pPr>
          </w:p>
        </w:tc>
        <w:tc>
          <w:tcPr>
            <w:tcW w:w="654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Net cash used in operating activities</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1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(6,417)</w:t>
            </w:r>
          </w:p>
        </w:tc>
      </w:tr>
      <w:tr>
        <w:trPr>
          <w:trHeight w:val="174"/>
        </w:trPr>
        <w:tc>
          <w:tcPr>
            <w:tcW w:w="20" w:type="dxa"/>
            <w:vAlign w:val="bottom"/>
          </w:tcPr>
          <w:p>
            <w:pPr>
              <w:spacing w:after="0"/>
              <w:rPr>
                <w:sz w:val="15"/>
                <w:szCs w:val="15"/>
                <w:color w:val="auto"/>
              </w:rPr>
            </w:pPr>
          </w:p>
        </w:tc>
        <w:tc>
          <w:tcPr>
            <w:tcW w:w="6540" w:type="dxa"/>
            <w:vAlign w:val="bottom"/>
          </w:tcPr>
          <w:p>
            <w:pPr>
              <w:spacing w:after="0" w:line="175" w:lineRule="exact"/>
              <w:rPr>
                <w:sz w:val="20"/>
                <w:szCs w:val="20"/>
                <w:color w:val="auto"/>
              </w:rPr>
            </w:pPr>
            <w:r>
              <w:rPr>
                <w:rFonts w:ascii="Arial" w:cs="Arial" w:eastAsia="Arial" w:hAnsi="Arial"/>
                <w:sz w:val="16"/>
                <w:szCs w:val="16"/>
                <w:color w:val="auto"/>
              </w:rPr>
              <w:t>Cash flows from investing activities: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 of business, net of cash acquired</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(12,318)</w:t>
            </w:r>
          </w:p>
        </w:tc>
      </w:tr>
      <w:tr>
        <w:trPr>
          <w:trHeight w:val="194"/>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Property and equipment additions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(6,195)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(5,632)</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Capitalized software additions</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w:t>
            </w:r>
          </w:p>
        </w:tc>
        <w:tc>
          <w:tcPr>
            <w:tcW w:w="1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w:t>
            </w:r>
          </w:p>
        </w:tc>
      </w:tr>
      <w:tr>
        <w:trPr>
          <w:trHeight w:val="174"/>
        </w:trPr>
        <w:tc>
          <w:tcPr>
            <w:tcW w:w="20" w:type="dxa"/>
            <w:vAlign w:val="bottom"/>
          </w:tcPr>
          <w:p>
            <w:pPr>
              <w:spacing w:after="0"/>
              <w:rPr>
                <w:sz w:val="15"/>
                <w:szCs w:val="15"/>
                <w:color w:val="auto"/>
              </w:rPr>
            </w:pPr>
          </w:p>
        </w:tc>
        <w:tc>
          <w:tcPr>
            <w:tcW w:w="6540" w:type="dxa"/>
            <w:vAlign w:val="bottom"/>
            <w:tcBorders>
              <w:bottom w:val="single" w:sz="8" w:color="CCEEFF"/>
            </w:tcBorders>
          </w:tcPr>
          <w:p>
            <w:pPr>
              <w:ind w:left="200"/>
              <w:spacing w:after="0" w:line="175" w:lineRule="exact"/>
              <w:rPr>
                <w:sz w:val="20"/>
                <w:szCs w:val="20"/>
                <w:color w:val="auto"/>
              </w:rPr>
            </w:pPr>
            <w:r>
              <w:rPr>
                <w:rFonts w:ascii="Arial" w:cs="Arial" w:eastAsia="Arial" w:hAnsi="Arial"/>
                <w:sz w:val="16"/>
                <w:szCs w:val="16"/>
                <w:color w:val="auto"/>
              </w:rPr>
              <w:t>Net cash used in investing activities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(14,516)</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(21,656)</w:t>
            </w:r>
          </w:p>
        </w:tc>
      </w:tr>
      <w:tr>
        <w:trPr>
          <w:trHeight w:val="174"/>
        </w:trPr>
        <w:tc>
          <w:tcPr>
            <w:tcW w:w="20" w:type="dxa"/>
            <w:vAlign w:val="bottom"/>
          </w:tcPr>
          <w:p>
            <w:pPr>
              <w:spacing w:after="0"/>
              <w:rPr>
                <w:sz w:val="15"/>
                <w:szCs w:val="15"/>
                <w:color w:val="auto"/>
              </w:rPr>
            </w:pPr>
          </w:p>
        </w:tc>
        <w:tc>
          <w:tcPr>
            <w:tcW w:w="65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Cash flows from financing activities:</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Net increase in customer funds obligations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line of credit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r>
      <w:tr>
        <w:trPr>
          <w:trHeight w:val="194"/>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Principal payments on line of credit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long-term debt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r>
      <w:tr>
        <w:trPr>
          <w:trHeight w:val="194"/>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Principal payments on long-term debt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(51,041)</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for deferred financing costs, net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w:t>
            </w:r>
          </w:p>
        </w:tc>
      </w:tr>
      <w:tr>
        <w:trPr>
          <w:trHeight w:val="194"/>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Payments for taxes related to net share settlement of stock-based awards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(7,178)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exercise of stock options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Distributions to stockholders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(17,193)</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on financing lease liabilities</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1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20" w:type="dxa"/>
            <w:vAlign w:val="bottom"/>
          </w:tcPr>
          <w:p>
            <w:pPr>
              <w:spacing w:after="0"/>
              <w:rPr>
                <w:sz w:val="15"/>
                <w:szCs w:val="15"/>
                <w:color w:val="auto"/>
              </w:rPr>
            </w:pPr>
          </w:p>
        </w:tc>
        <w:tc>
          <w:tcPr>
            <w:tcW w:w="6540" w:type="dxa"/>
            <w:vAlign w:val="bottom"/>
            <w:tcBorders>
              <w:bottom w:val="single" w:sz="8" w:color="CCEEFF"/>
            </w:tcBorders>
          </w:tcPr>
          <w:p>
            <w:pPr>
              <w:ind w:left="100"/>
              <w:spacing w:after="0" w:line="175" w:lineRule="exact"/>
              <w:rPr>
                <w:sz w:val="20"/>
                <w:szCs w:val="20"/>
                <w:color w:val="auto"/>
              </w:rPr>
            </w:pPr>
            <w:r>
              <w:rPr>
                <w:rFonts w:ascii="Arial" w:cs="Arial" w:eastAsia="Arial" w:hAnsi="Arial"/>
                <w:sz w:val="16"/>
                <w:szCs w:val="16"/>
                <w:color w:val="auto"/>
              </w:rPr>
              <w:t>Net cash (used in) provided by financing activities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(8,140)</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103,654</w:t>
            </w:r>
          </w:p>
        </w:tc>
      </w:tr>
      <w:tr>
        <w:trPr>
          <w:trHeight w:val="174"/>
        </w:trPr>
        <w:tc>
          <w:tcPr>
            <w:tcW w:w="20" w:type="dxa"/>
            <w:vAlign w:val="bottom"/>
          </w:tcPr>
          <w:p>
            <w:pPr>
              <w:spacing w:after="0"/>
              <w:rPr>
                <w:sz w:val="15"/>
                <w:szCs w:val="15"/>
                <w:color w:val="auto"/>
              </w:rPr>
            </w:pPr>
          </w:p>
        </w:tc>
        <w:tc>
          <w:tcPr>
            <w:tcW w:w="65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Effect of exchange rate changes on cash, cash equivalents and restricted cash</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74"/>
        </w:trPr>
        <w:tc>
          <w:tcPr>
            <w:tcW w:w="20" w:type="dxa"/>
            <w:vAlign w:val="bottom"/>
          </w:tcPr>
          <w:p>
            <w:pPr>
              <w:spacing w:after="0"/>
              <w:rPr>
                <w:sz w:val="15"/>
                <w:szCs w:val="15"/>
                <w:color w:val="auto"/>
              </w:rPr>
            </w:pPr>
          </w:p>
        </w:tc>
        <w:tc>
          <w:tcPr>
            <w:tcW w:w="6540" w:type="dxa"/>
            <w:vAlign w:val="bottom"/>
          </w:tcPr>
          <w:p>
            <w:pPr>
              <w:ind w:left="100"/>
              <w:spacing w:after="0" w:line="175" w:lineRule="exact"/>
              <w:rPr>
                <w:sz w:val="20"/>
                <w:szCs w:val="20"/>
                <w:color w:val="auto"/>
              </w:rPr>
            </w:pPr>
            <w:r>
              <w:rPr>
                <w:rFonts w:ascii="Arial" w:cs="Arial" w:eastAsia="Arial" w:hAnsi="Arial"/>
                <w:sz w:val="16"/>
                <w:szCs w:val="16"/>
                <w:color w:val="auto"/>
              </w:rPr>
              <w:t>Net (decrease) increase in cash, cash equivalents and restricted cash</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(25,847)</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75,332</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312,273</w:t>
            </w:r>
          </w:p>
        </w:tc>
        <w:tc>
          <w:tcPr>
            <w:tcW w:w="1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83,495</w:t>
            </w:r>
          </w:p>
        </w:tc>
      </w:tr>
      <w:tr>
        <w:trPr>
          <w:trHeight w:val="202"/>
        </w:trPr>
        <w:tc>
          <w:tcPr>
            <w:tcW w:w="20" w:type="dxa"/>
            <w:vAlign w:val="bottom"/>
          </w:tcPr>
          <w:p>
            <w:pPr>
              <w:spacing w:after="0"/>
              <w:rPr>
                <w:sz w:val="17"/>
                <w:szCs w:val="17"/>
                <w:color w:val="auto"/>
              </w:rPr>
            </w:pPr>
          </w:p>
        </w:tc>
        <w:tc>
          <w:tcPr>
            <w:tcW w:w="6540" w:type="dxa"/>
            <w:vAlign w:val="bottom"/>
          </w:tcPr>
          <w:p>
            <w:pPr>
              <w:ind w:left="100"/>
              <w:spacing w:after="0" w:line="161" w:lineRule="exact"/>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286,426</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158,827</w:t>
            </w:r>
          </w:p>
        </w:tc>
      </w:tr>
      <w:tr>
        <w:trPr>
          <w:trHeight w:val="137"/>
        </w:trPr>
        <w:tc>
          <w:tcPr>
            <w:tcW w:w="20" w:type="dxa"/>
            <w:vAlign w:val="bottom"/>
          </w:tcPr>
          <w:p>
            <w:pPr>
              <w:spacing w:after="0"/>
              <w:rPr>
                <w:sz w:val="11"/>
                <w:szCs w:val="11"/>
                <w:color w:val="auto"/>
              </w:rPr>
            </w:pPr>
          </w:p>
        </w:tc>
        <w:tc>
          <w:tcPr>
            <w:tcW w:w="654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Reconciliation of cash, cash equivalents and restricted cash to the Consolidated Balance Sheets, end of</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204"/>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period: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277,681</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40,416</w:t>
            </w:r>
          </w:p>
        </w:tc>
      </w:tr>
      <w:tr>
        <w:trPr>
          <w:trHeight w:val="194"/>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cash—funds held for stockholder distributions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110,000</w:t>
            </w:r>
          </w:p>
        </w:tc>
      </w:tr>
      <w:tr>
        <w:trPr>
          <w:trHeight w:val="194"/>
        </w:trPr>
        <w:tc>
          <w:tcPr>
            <w:tcW w:w="20" w:type="dxa"/>
            <w:vAlign w:val="bottom"/>
          </w:tcPr>
          <w:p>
            <w:pPr>
              <w:spacing w:after="0"/>
              <w:rPr>
                <w:sz w:val="16"/>
                <w:szCs w:val="16"/>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Restricted cash—funds held for customers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8,745</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8,411</w:t>
            </w:r>
          </w:p>
        </w:tc>
      </w:tr>
      <w:tr>
        <w:trPr>
          <w:trHeight w:val="162"/>
        </w:trPr>
        <w:tc>
          <w:tcPr>
            <w:tcW w:w="20" w:type="dxa"/>
            <w:vAlign w:val="bottom"/>
          </w:tcPr>
          <w:p>
            <w:pPr>
              <w:spacing w:after="0"/>
              <w:rPr>
                <w:sz w:val="14"/>
                <w:szCs w:val="14"/>
                <w:color w:val="auto"/>
              </w:rPr>
            </w:pPr>
          </w:p>
        </w:tc>
        <w:tc>
          <w:tcPr>
            <w:tcW w:w="65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Total cash, cash equivalents and restricted cash, end of period</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286,426</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158,827</w:t>
            </w: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351790</wp:posOffset>
            </wp:positionV>
            <wp:extent cx="565594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8" w:name="page9"/>
    <w:bookmarkEnd w:id="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7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Vertex, Inc. and Subsidiaries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56559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194" w:lineRule="exact"/>
        <w:rPr>
          <w:sz w:val="20"/>
          <w:szCs w:val="20"/>
          <w:color w:val="auto"/>
        </w:rPr>
      </w:pPr>
    </w:p>
    <w:p>
      <w:pPr>
        <w:ind w:left="360" w:right="4159" w:hanging="313"/>
        <w:spacing w:after="0" w:line="513" w:lineRule="auto"/>
        <w:tabs>
          <w:tab w:leader="none" w:pos="35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Nature of Business</w:t>
      </w:r>
    </w:p>
    <w:p>
      <w:pPr>
        <w:jc w:val="both"/>
        <w:ind w:left="40" w:right="59" w:firstLine="311"/>
        <w:spacing w:after="0" w:line="260" w:lineRule="auto"/>
        <w:rPr>
          <w:sz w:val="20"/>
          <w:szCs w:val="20"/>
          <w:color w:val="auto"/>
        </w:rPr>
      </w:pPr>
      <w:r>
        <w:rPr>
          <w:rFonts w:ascii="Arial" w:cs="Arial" w:eastAsia="Arial" w:hAnsi="Arial"/>
          <w:sz w:val="17"/>
          <w:szCs w:val="17"/>
          <w:color w:val="auto"/>
        </w:rPr>
        <w:t>Vertex, Inc. (“Vertex”) and its direct and indirect wholly owned subsidiaries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Basis of Consolidation</w:t>
      </w:r>
    </w:p>
    <w:p>
      <w:pPr>
        <w:spacing w:after="0" w:line="225"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72" w:lineRule="exact"/>
        <w:rPr>
          <w:sz w:val="20"/>
          <w:szCs w:val="20"/>
          <w:color w:val="auto"/>
        </w:rPr>
      </w:pPr>
    </w:p>
    <w:p>
      <w:pPr>
        <w:ind w:left="40" w:right="159" w:firstLine="311"/>
        <w:spacing w:after="0" w:line="262" w:lineRule="auto"/>
        <w:rPr>
          <w:sz w:val="20"/>
          <w:szCs w:val="20"/>
          <w:color w:val="auto"/>
        </w:rPr>
      </w:pPr>
      <w:r>
        <w:rPr>
          <w:rFonts w:ascii="Arial" w:cs="Arial" w:eastAsia="Arial" w:hAnsi="Arial"/>
          <w:sz w:val="17"/>
          <w:szCs w:val="17"/>
          <w:color w:val="auto"/>
        </w:rPr>
        <w:t>On January 7, 2020, the Company acquired a 60% controlling interest in Systax Sistemas Fiscais LTDA (“Systax”), a provider of Brazilian transaction tax content and software. Systax is considered a Variable Interest Entity (“VIE”) and its accounts have been included in the condensed consolidated financial statements from the acquisition date. Systax was determined to be a VIE as Vertex is the primary beneficiary of the equity interests in Systax and participates significantly in the variability in the fair value of Systax’s net assets.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225" w:lineRule="exact"/>
        <w:rPr>
          <w:sz w:val="20"/>
          <w:szCs w:val="20"/>
          <w:color w:val="auto"/>
        </w:rPr>
      </w:pPr>
    </w:p>
    <w:p>
      <w:pPr>
        <w:jc w:val="both"/>
        <w:ind w:left="40" w:right="59" w:firstLine="311"/>
        <w:spacing w:after="0" w:line="273" w:lineRule="auto"/>
        <w:rPr>
          <w:sz w:val="20"/>
          <w:szCs w:val="20"/>
          <w:color w:val="auto"/>
        </w:rPr>
      </w:pPr>
      <w:r>
        <w:rPr>
          <w:rFonts w:ascii="Arial" w:cs="Arial" w:eastAsia="Arial" w:hAnsi="Arial"/>
          <w:sz w:val="16"/>
          <w:szCs w:val="16"/>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accounting principles generally accepted in the U.S. (“GAAP”) have been condensed or omitted. Accordingly, these interim condensed consolidated financial statements should be read in conjunction with the audited consolidated financial statements and the related notes for the year ended December 31, 2020, included in the Company’s Annual Report on Form 10-K for the year ended December 31, 2020 (the “2020 Annual Report”) filed with the SEC on March 15, 2021. The interim condensed consolidated balance sheet as of December 31, 2020 has been derived from audited financial statements included in the 2020 Annual Report on Form 10-K for the year ended December 31, 2020. The accompanying interim condensed consolidated balance sheet as of March 31, 2021, and the interim condensed consolidated statements of comprehensive income (loss), changes in equity (deficit) and cash flows for the three months ended March 31, 2021 and 2020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months ended March 31, 2021 are not necessarily indicative of the results expected for the full year ending December 31, 2021.</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Segments</w:t>
      </w:r>
    </w:p>
    <w:p>
      <w:pPr>
        <w:spacing w:after="0" w:line="225" w:lineRule="exact"/>
        <w:rPr>
          <w:sz w:val="20"/>
          <w:szCs w:val="20"/>
          <w:color w:val="auto"/>
        </w:rPr>
      </w:pPr>
    </w:p>
    <w:p>
      <w:pPr>
        <w:ind w:left="40" w:right="579" w:firstLine="311"/>
        <w:spacing w:after="0" w:line="317" w:lineRule="auto"/>
        <w:rPr>
          <w:sz w:val="20"/>
          <w:szCs w:val="20"/>
          <w:color w:val="auto"/>
        </w:rPr>
      </w:pPr>
      <w:r>
        <w:rPr>
          <w:rFonts w:ascii="Arial" w:cs="Arial" w:eastAsia="Arial" w:hAnsi="Arial"/>
          <w:sz w:val="16"/>
          <w:szCs w:val="16"/>
          <w:color w:val="auto"/>
        </w:rPr>
        <w:t>The Company operates its business as one operating segment. For the three months ended March 31, 2021 and 2020, approximately 5% and 3%, respectively, of the Company’s revenues were generated outside the 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Fair Value Measurement</w:t>
      </w:r>
    </w:p>
    <w:p>
      <w:pPr>
        <w:spacing w:after="0" w:line="225" w:lineRule="exact"/>
        <w:rPr>
          <w:sz w:val="20"/>
          <w:szCs w:val="20"/>
          <w:color w:val="auto"/>
        </w:rPr>
      </w:pPr>
    </w:p>
    <w:p>
      <w:pPr>
        <w:ind w:left="40" w:right="59" w:firstLine="311"/>
        <w:spacing w:after="0" w:line="284"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a measurement date. A three-level fair value hierarchy (the “Fair Value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9" w:name="page10"/>
    <w:bookmarkEnd w:id="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Inputs are unadjusted quoted prices in active markets for identical assets or liabilities.</w:t>
      </w:r>
    </w:p>
    <w:p>
      <w:pPr>
        <w:spacing w:after="0" w:line="219" w:lineRule="exact"/>
        <w:rPr>
          <w:sz w:val="20"/>
          <w:szCs w:val="20"/>
          <w:color w:val="auto"/>
        </w:rPr>
      </w:pPr>
    </w:p>
    <w:p>
      <w:pPr>
        <w:jc w:val="both"/>
        <w:ind w:left="980" w:right="59" w:hanging="621"/>
        <w:spacing w:after="0" w:line="269"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are quoted prices for similar assets and liabilities in active markets or quoted prices for identical or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in markets that are not active and model-derived valuations in which all significant inputs and significant value drivers are observable in active markets.</w:t>
      </w:r>
    </w:p>
    <w:p>
      <w:pPr>
        <w:spacing w:after="0" w:line="172" w:lineRule="exact"/>
        <w:rPr>
          <w:sz w:val="20"/>
          <w:szCs w:val="20"/>
          <w:color w:val="auto"/>
        </w:rPr>
      </w:pPr>
    </w:p>
    <w:p>
      <w:pPr>
        <w:jc w:val="both"/>
        <w:ind w:left="980" w:right="59" w:hanging="621"/>
        <w:spacing w:after="0" w:line="317"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 Inputs are unobservable inputs based on the Company’s assumptions and valuation techniques used to measure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at fair value. The inputs require significant management judgment or estimation.</w:t>
      </w:r>
    </w:p>
    <w:p>
      <w:pPr>
        <w:spacing w:after="0" w:line="136"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Use of Estimates</w:t>
      </w:r>
    </w:p>
    <w:p>
      <w:pPr>
        <w:spacing w:after="0" w:line="225" w:lineRule="exact"/>
        <w:rPr>
          <w:sz w:val="20"/>
          <w:szCs w:val="20"/>
          <w:color w:val="auto"/>
        </w:rPr>
      </w:pPr>
    </w:p>
    <w:p>
      <w:pPr>
        <w:jc w:val="both"/>
        <w:ind w:left="40" w:right="59" w:firstLine="311"/>
        <w:spacing w:after="0" w:line="274" w:lineRule="auto"/>
        <w:rPr>
          <w:sz w:val="20"/>
          <w:szCs w:val="20"/>
          <w:color w:val="auto"/>
        </w:rPr>
      </w:pPr>
      <w:r>
        <w:rPr>
          <w:rFonts w:ascii="Arial" w:cs="Arial" w:eastAsia="Arial" w:hAnsi="Arial"/>
          <w:sz w:val="16"/>
          <w:szCs w:val="16"/>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the reserve for self-insurance, (iv) assumptions related to achievement of technological feasibility for software developed for sale, (v) product life cycles, (vi) estimated useful lives and potential impairment of long-lived assets, intangible assets and goodwill, (vii) determination of the fair value of tangible and intangible assets acquired, liabilities assumed and consideration transferred in an acquisition, (viii) amortization period of material rights and deferred commissions (ix) valuation of the Company’s stock used to measure stock-based compensation awards, (x) Black-Scholes-Merton option pricing model (“Black-Scholes model”) input assumptions used to determine the fair value of stock-based compensation awards, and (x) the potential outcome of future tax consequences of events that have been recognized in the condensed consolidated financial statements or tax returns. Actual results may differ from these estimates.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Software Development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Internal-Use Software</w:t>
      </w:r>
    </w:p>
    <w:p>
      <w:pPr>
        <w:spacing w:after="0" w:line="219" w:lineRule="exact"/>
        <w:rPr>
          <w:sz w:val="20"/>
          <w:szCs w:val="20"/>
          <w:color w:val="auto"/>
        </w:rPr>
      </w:pPr>
    </w:p>
    <w:p>
      <w:pPr>
        <w:jc w:val="both"/>
        <w:ind w:left="40" w:right="59" w:firstLine="311"/>
        <w:spacing w:after="0" w:line="299" w:lineRule="auto"/>
        <w:rPr>
          <w:sz w:val="20"/>
          <w:szCs w:val="20"/>
          <w:color w:val="auto"/>
        </w:rPr>
      </w:pPr>
      <w:r>
        <w:rPr>
          <w:rFonts w:ascii="Arial" w:cs="Arial" w:eastAsia="Arial" w:hAnsi="Arial"/>
          <w:sz w:val="15"/>
          <w:szCs w:val="15"/>
          <w:color w:val="auto"/>
        </w:rPr>
        <w:t xml:space="preserve">The Company follows Accounting Standard Codification (“ASC”) 350-40, </w:t>
      </w:r>
      <w:r>
        <w:rPr>
          <w:rFonts w:ascii="Arial" w:cs="Arial" w:eastAsia="Arial" w:hAnsi="Arial"/>
          <w:sz w:val="15"/>
          <w:szCs w:val="15"/>
          <w:i w:val="1"/>
          <w:iCs w:val="1"/>
          <w:color w:val="auto"/>
        </w:rPr>
        <w:t>Goodwill and Other, Internal-Use Software,</w:t>
      </w:r>
      <w:r>
        <w:rPr>
          <w:rFonts w:ascii="Arial" w:cs="Arial" w:eastAsia="Arial" w:hAnsi="Arial"/>
          <w:sz w:val="15"/>
          <w:szCs w:val="15"/>
          <w:color w:val="auto"/>
        </w:rPr>
        <w:t xml:space="preserve"> to account for development costs incurred for the costs of computer software developed or obtained for internal use. ASC 350-40 requires such costs to be capitalized once certain criteria are met. Internal-use software is included in internal-use software developed in property and equipment in the condensed consolidated balance sheets once available for its intended use and is depreciated over periods between 3 to 5 years. Depreciation expense for internal-use software utilized for cloud-based solutions and for software for internal systems and tools is included in cost of revenues, software subscriptions and depreciation and amortization expense, respectively, in the condensed consolidated statements of comprehensive income (loss).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Software Developed for Sale</w:t>
      </w:r>
    </w:p>
    <w:p>
      <w:pPr>
        <w:spacing w:after="0" w:line="219" w:lineRule="exact"/>
        <w:rPr>
          <w:sz w:val="20"/>
          <w:szCs w:val="20"/>
          <w:color w:val="auto"/>
        </w:rPr>
      </w:pPr>
    </w:p>
    <w:p>
      <w:pPr>
        <w:jc w:val="both"/>
        <w:ind w:left="40" w:right="59" w:firstLine="311"/>
        <w:spacing w:after="0" w:line="277"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Amortization of capitalized software development costs begins when the product is available for general release. Amortization is provided on a product-by-product basis using the straight-line method over periods between 3 to 5 years and is included in cost of revenues, software subscriptions in the condensed consolidated statements of comprehensive income (loss). 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0" w:name="page11"/>
    <w:bookmarkEnd w:id="1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Business Combinations</w:t>
      </w:r>
    </w:p>
    <w:p>
      <w:pPr>
        <w:spacing w:after="0" w:line="225" w:lineRule="exact"/>
        <w:rPr>
          <w:sz w:val="20"/>
          <w:szCs w:val="20"/>
          <w:color w:val="auto"/>
        </w:rPr>
      </w:pPr>
    </w:p>
    <w:p>
      <w:pPr>
        <w:jc w:val="both"/>
        <w:ind w:left="40" w:right="59" w:firstLine="311"/>
        <w:spacing w:after="0" w:line="292" w:lineRule="auto"/>
        <w:rPr>
          <w:sz w:val="20"/>
          <w:szCs w:val="20"/>
          <w:color w:val="auto"/>
        </w:rPr>
      </w:pPr>
      <w:r>
        <w:rPr>
          <w:rFonts w:ascii="Arial" w:cs="Arial" w:eastAsia="Arial" w:hAnsi="Arial"/>
          <w:sz w:val="15"/>
          <w:szCs w:val="15"/>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income (loss) in the period in which they arise. In addition, if outside of the Measurement Period, any subsequent adjustments to the acquisition date fair values are reflected in the consolidated statements of comprehensive income (loss) in the period in which they arise.</w:t>
      </w:r>
    </w:p>
    <w:p>
      <w:pPr>
        <w:spacing w:after="0" w:line="3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Goodwill</w:t>
      </w:r>
    </w:p>
    <w:p>
      <w:pPr>
        <w:spacing w:after="0" w:line="225"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jc w:val="both"/>
        <w:ind w:left="40" w:right="59" w:firstLine="311"/>
        <w:spacing w:after="0" w:line="259" w:lineRule="auto"/>
        <w:rPr>
          <w:sz w:val="20"/>
          <w:szCs w:val="20"/>
          <w:color w:val="auto"/>
        </w:rPr>
      </w:pPr>
      <w:r>
        <w:rPr>
          <w:rFonts w:ascii="Arial" w:cs="Arial" w:eastAsia="Arial" w:hAnsi="Arial"/>
          <w:sz w:val="17"/>
          <w:szCs w:val="17"/>
          <w:color w:val="auto"/>
        </w:rPr>
        <w:t>The Company’s Registration Statement on Form S-1 with the SEC was declared effective on July 28, 2020, resulting in the Class A shares being registered and available for trading on the NASDAQ exchange (the “Offering”). On the effective date of the Offering, the Company adopted the 2020 Incentive Award Plan (the “2020 Plan”) and the 2020 Employee Stock Purchase Plan (the “ESPP”), which provides for the award of stock appreciation rights (“SARs”), stock options (“options”), restricted stock awards (“RSAs”), restricted stock units (“RSUs”), and participation in the ESPP (collectively, the "awards"), which are subject to guidance set forth in ASC 718, Compensation—Stock Compensation, ("ASC 718") for the award of equity-based instruments.</w:t>
      </w:r>
    </w:p>
    <w:p>
      <w:pPr>
        <w:spacing w:after="0" w:line="183"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The Company applies the provisions of ASC 718, Compensation—Stock Compensation, for the award of equity-based instruments. The provisions of ASC 718 require a company to measure the fair value of stock-based compensation as of the grant date of the award. Stock-based compensation expense reflects the cost of employee services received in exchange for the awards.</w:t>
      </w:r>
    </w:p>
    <w:p>
      <w:pPr>
        <w:spacing w:after="0" w:line="177"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SARs are accounted for as liabilities under ASC 718 and, as such, the Company recognizes stock-based compensation expense by remeasuring the value of the SARs at the end of each reporting period and accruing the portion of the requisite service rendered at that date. Prior to July 2, 2020, the date management determined the Company was considered to have become a public entity, the Company measured SARs at their intrinsic value. After such date, management remeasured outstanding SARs using the fair value-based method under ASC 718.</w:t>
      </w:r>
    </w:p>
    <w:p>
      <w:pPr>
        <w:spacing w:after="0" w:line="178"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Stock-based compensation expense for stock options issued under the 2020 Plan after the Offering is measured based on the grant date fair value of the award and is estimated using the Black-Scholes model. Compensation cost is recognized on a straight-line basis over the requisite service or performance period associated with the award.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1" w:name="page12"/>
    <w:bookmarkEnd w:id="1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Stock-based compensation expense for RSAs and RSUs is based on the fair value of the Company’s underlying common stock on the date of grant. Compensation cost is recognized on a straight-line basis over the requisite service or performance period associated with the award.</w:t>
      </w:r>
    </w:p>
    <w:p>
      <w:pPr>
        <w:spacing w:after="0" w:line="172" w:lineRule="exact"/>
        <w:rPr>
          <w:sz w:val="20"/>
          <w:szCs w:val="20"/>
          <w:color w:val="auto"/>
        </w:rPr>
      </w:pPr>
    </w:p>
    <w:p>
      <w:pPr>
        <w:jc w:val="both"/>
        <w:ind w:left="40" w:right="59" w:firstLine="311"/>
        <w:spacing w:after="0" w:line="277" w:lineRule="auto"/>
        <w:rPr>
          <w:sz w:val="20"/>
          <w:szCs w:val="20"/>
          <w:color w:val="auto"/>
        </w:rPr>
      </w:pPr>
      <w:r>
        <w:rPr>
          <w:rFonts w:ascii="Arial" w:cs="Arial" w:eastAsia="Arial" w:hAnsi="Arial"/>
          <w:sz w:val="16"/>
          <w:szCs w:val="16"/>
          <w:color w:val="auto"/>
        </w:rPr>
        <w:t>The ESPP permits participants to purchase Class A common stock through payroll deductions, up to a specified percentage of their eligible compensation or a lump sum contribution amount for the initial offering period. The plan is a compensatory plan as it allows participants to purchase stock at a 15% discount from the lower of the fair value of the Class A common on the first or last day of the ESPP offering period (the “ESPP discount”).The ESPP is accounted for as an equity 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has elected to recognize award forfeitures as they occur.</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Revenue Recognition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Revenue from contracts with customers</w:t>
      </w:r>
    </w:p>
    <w:p>
      <w:pPr>
        <w:spacing w:after="0" w:line="219" w:lineRule="exact"/>
        <w:rPr>
          <w:sz w:val="20"/>
          <w:szCs w:val="20"/>
          <w:color w:val="auto"/>
        </w:rPr>
      </w:pPr>
    </w:p>
    <w:p>
      <w:pPr>
        <w:jc w:val="both"/>
        <w:ind w:left="40" w:right="59" w:firstLine="311"/>
        <w:spacing w:after="0" w:line="279"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Nature of goods and services</w:t>
      </w:r>
    </w:p>
    <w:p>
      <w:pPr>
        <w:spacing w:after="0" w:line="219" w:lineRule="exact"/>
        <w:rPr>
          <w:sz w:val="20"/>
          <w:szCs w:val="20"/>
          <w:color w:val="auto"/>
        </w:rPr>
      </w:pPr>
    </w:p>
    <w:p>
      <w:pPr>
        <w:jc w:val="both"/>
        <w:ind w:left="40" w:right="59" w:firstLine="311"/>
        <w:spacing w:after="0" w:line="274" w:lineRule="auto"/>
        <w:rPr>
          <w:sz w:val="20"/>
          <w:szCs w:val="20"/>
          <w:color w:val="auto"/>
        </w:rPr>
      </w:pPr>
      <w:r>
        <w:rPr>
          <w:rFonts w:ascii="Arial" w:cs="Arial" w:eastAsia="Arial" w:hAnsi="Arial"/>
          <w:sz w:val="16"/>
          <w:szCs w:val="16"/>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(collectively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The Company’s on-premise software subscription prices in the initial subscription year are higher than standard renewal prices. The excess initial year price over the renewal price (“new sale premium”) is a material right that provides customers with the right to this reduced renewal price. The Company recognizes revenue associated with this material right over the estimated period of benefit to the customer, which is generally three years.</w:t>
      </w:r>
    </w:p>
    <w:p>
      <w:pPr>
        <w:spacing w:after="0" w:line="176"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 ratably over the related subscription period. Revenue recognition begins on the later of the beginning of the subscription period or the date the customer is provided access to the cloud-based solutions.</w:t>
      </w:r>
    </w:p>
    <w:p>
      <w:pPr>
        <w:spacing w:after="0" w:line="178"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Revenue from deliverable-based services is recognized as services are delivered. Revenue from fixed fee services is recognized as services are performed using the percentage of completion input method.</w:t>
      </w:r>
    </w:p>
    <w:p>
      <w:pPr>
        <w:spacing w:after="0" w:line="160"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The Company has elected the "right to invoice" practical expedient for revenue related to services that are billed on an hourly basis, which enables revenue to be recognized as the services are performed.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2" w:name="page13"/>
    <w:bookmarkEnd w:id="1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Significant Judgments</w:t>
      </w:r>
    </w:p>
    <w:p>
      <w:pPr>
        <w:spacing w:after="0" w:line="219"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Payment terms</w:t>
      </w:r>
    </w:p>
    <w:p>
      <w:pPr>
        <w:spacing w:after="0" w:line="219"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Payment terms and conditions vary by contract, although the Company’s terms generally include a requirement of payment within 30-days.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Cost of Revenues</w:t>
      </w:r>
    </w:p>
    <w:p>
      <w:pPr>
        <w:spacing w:after="0" w:line="219"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Cost of revenues, software subscriptions includes the direct cost to develop, host and distribute software products, the direct cost to provide customer support, and amortization of costs capitalized for software developed for sale and for internal-use software utilized for cloud-based subscriptions. Cost of revenues, services includes the direct costs of implementation, training, transaction tax returns outsourcing and other tax-related services.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Reimbursable Costs</w:t>
      </w:r>
    </w:p>
    <w:p>
      <w:pPr>
        <w:spacing w:after="0" w:line="219"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Reimbursable costs passed through and invoiced to customers of the Company are recorded as services revenues with the associated expenses recorded as cost of revenues, services in the condensed consolidated statements of comprehensive income (loss).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Income Taxes</w:t>
      </w:r>
    </w:p>
    <w:p>
      <w:pPr>
        <w:spacing w:after="0" w:line="225" w:lineRule="exact"/>
        <w:rPr>
          <w:sz w:val="20"/>
          <w:szCs w:val="20"/>
          <w:color w:val="auto"/>
        </w:rPr>
      </w:pPr>
    </w:p>
    <w:p>
      <w:pPr>
        <w:jc w:val="both"/>
        <w:ind w:left="40" w:right="59" w:firstLine="311"/>
        <w:spacing w:after="0" w:line="275" w:lineRule="auto"/>
        <w:rPr>
          <w:sz w:val="20"/>
          <w:szCs w:val="20"/>
          <w:color w:val="auto"/>
        </w:rPr>
      </w:pPr>
      <w:r>
        <w:rPr>
          <w:rFonts w:ascii="Arial" w:cs="Arial" w:eastAsia="Arial" w:hAnsi="Arial"/>
          <w:sz w:val="16"/>
          <w:szCs w:val="16"/>
          <w:color w:val="auto"/>
        </w:rPr>
        <w:t>On July 27, 2020, the Company’s S-Corporation election (the “S Election”) was terminated by the Company’s stockholders in connection with the Offering. As a result, Vertex became taxable at the corporate level as a C-Corporation for U.S federal and state income tax purposes. In connection with the S Election termination, the Company entered into an agreement with the S-Corporation stockholders pursuant to which the Company has indemnified them for unpaid income tax liabilities and may be required to make future payments in material amounts to them attributable to incremental income taxes resulting from an adjustment to S-Corporation related taxable income (the “Tax Sharing Agreement”). In addition, the Tax Sharing Agreement indemnifies the S-Corporation stockholders for any interest, penalties, losses, costs or expenses arising out of any claim under the agreement. Correspondingly, the S-Corporation stockholders have indemnified the Company with respect to unpaid tax liabilities (including interest and penalties) attributable to a decrease in S-Corporation stockholders’ taxable income and a corresponding increase in our taxable income as a C-Corporation for any period.</w:t>
      </w:r>
    </w:p>
    <w:p>
      <w:pPr>
        <w:spacing w:after="0" w:line="174" w:lineRule="exact"/>
        <w:rPr>
          <w:sz w:val="20"/>
          <w:szCs w:val="20"/>
          <w:color w:val="auto"/>
        </w:rPr>
      </w:pPr>
    </w:p>
    <w:p>
      <w:pPr>
        <w:jc w:val="both"/>
        <w:ind w:left="40" w:right="59" w:firstLine="311"/>
        <w:spacing w:after="0" w:line="278" w:lineRule="auto"/>
        <w:rPr>
          <w:sz w:val="20"/>
          <w:szCs w:val="20"/>
          <w:color w:val="auto"/>
        </w:rPr>
      </w:pPr>
      <w:r>
        <w:rPr>
          <w:rFonts w:ascii="Arial" w:cs="Arial" w:eastAsia="Arial" w:hAnsi="Arial"/>
          <w:sz w:val="16"/>
          <w:szCs w:val="16"/>
          <w:color w:val="auto"/>
        </w:rPr>
        <w:t>Prior to July 27, 2020, as Vertex was taxed as an S-Corporation for U.S. federal and certain states income tax purposes, net income or loss was allocated to and included on the income tax returns of the S-Corporation stockholders. Historically, the Company distributed amounts to the S-Corporation stockholders to satisfy their tax liabilities resulting from allocated net income or loss. Vertex was taxed at the corporate level in those states where the S-Corporation status was not recognized or where the state imposed a tax on an S-Corporation. Accordingly, the income tax provision or benefit was based on taxable income allocated to these states. In certain foreign jurisdictions, Vertex subsidiaries were taxed at the corporate level, and the income tax provision or benefit was based on taxable income sourced to these foreign jurisdictions.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3" w:name="page14"/>
    <w:bookmarkEnd w:id="1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Supplemental Cash Flow Disclosures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Supplemental cash flow disclosures are as follows for the respective periods:</w:t>
      </w:r>
    </w:p>
    <w:p>
      <w:pPr>
        <w:spacing w:after="0" w:line="22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For the three months ended</w:t>
      </w:r>
    </w:p>
    <w:p>
      <w:pPr>
        <w:jc w:val="center"/>
        <w:ind w:left="650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36"/>
        </w:trPr>
        <w:tc>
          <w:tcPr>
            <w:tcW w:w="652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17"/>
              <w:spacing w:after="0" w:line="136"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16"/>
              <w:spacing w:after="0" w:line="136"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3"/>
        </w:trPr>
        <w:tc>
          <w:tcPr>
            <w:tcW w:w="6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3"/>
          </w:tcPr>
          <w:p>
            <w:pPr>
              <w:jc w:val="right"/>
              <w:spacing w:after="0" w:line="123"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7"/>
                <w:szCs w:val="17"/>
                <w:color w:val="auto"/>
              </w:rPr>
              <w:t>Cash paid for income taxes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132</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Operating cash flows from operating leases</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1,320</w:t>
            </w: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4"/>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7"/>
                <w:szCs w:val="17"/>
                <w:color w:val="auto"/>
              </w:rPr>
              <w:t>Operating cash flows from finance leases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65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Non-cash investing and financing activities: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5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Purchase commitment and contingent consideration liabilities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14,344</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shd w:val="clear" w:color="auto" w:fill="CCEEFF"/>
          </w:tcPr>
          <w:p>
            <w:pPr>
              <w:ind w:left="100"/>
              <w:spacing w:after="0" w:line="186" w:lineRule="exact"/>
              <w:rPr>
                <w:sz w:val="20"/>
                <w:szCs w:val="20"/>
                <w:color w:val="auto"/>
              </w:rPr>
            </w:pPr>
            <w:r>
              <w:rPr>
                <w:rFonts w:ascii="Arial" w:cs="Arial" w:eastAsia="Arial" w:hAnsi="Arial"/>
                <w:sz w:val="17"/>
                <w:szCs w:val="17"/>
                <w:color w:val="auto"/>
              </w:rPr>
              <w:t>Remeasurement of options for redeemable shares</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4"/>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15,242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100"/>
              <w:spacing w:after="0"/>
              <w:rPr>
                <w:sz w:val="20"/>
                <w:szCs w:val="20"/>
                <w:color w:val="auto"/>
              </w:rPr>
            </w:pPr>
            <w:r>
              <w:rPr>
                <w:rFonts w:ascii="Arial" w:cs="Arial" w:eastAsia="Arial" w:hAnsi="Arial"/>
                <w:sz w:val="17"/>
                <w:szCs w:val="17"/>
                <w:color w:val="auto"/>
              </w:rPr>
              <w:t>Leased assets obtained in exchange for new finance lease liabilities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173</w:t>
            </w:r>
          </w:p>
        </w:tc>
        <w:tc>
          <w:tcPr>
            <w:tcW w:w="2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25" w:lineRule="exact"/>
        <w:rPr>
          <w:sz w:val="20"/>
          <w:szCs w:val="20"/>
          <w:color w:val="auto"/>
        </w:rPr>
      </w:pPr>
    </w:p>
    <w:p>
      <w:pPr>
        <w:jc w:val="both"/>
        <w:ind w:left="40" w:right="59" w:firstLine="311"/>
        <w:spacing w:after="0" w:line="305" w:lineRule="auto"/>
        <w:rPr>
          <w:sz w:val="20"/>
          <w:szCs w:val="20"/>
          <w:color w:val="auto"/>
        </w:rPr>
      </w:pPr>
      <w:r>
        <w:rPr>
          <w:rFonts w:ascii="Arial" w:cs="Arial" w:eastAsia="Arial" w:hAnsi="Arial"/>
          <w:sz w:val="15"/>
          <w:szCs w:val="15"/>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Leases</w:t>
      </w:r>
    </w:p>
    <w:p>
      <w:pPr>
        <w:spacing w:after="0" w:line="219"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This standard amends several of aspects of lease accounting, including requiring lessees to recognize operating leases with a initial term greater than one year on their balance sheet as a right-of-use asset, and a corresponding lease liability, measured at the present value of the future minimum lease payments. The standard is effective for public entities for fiscal years and interim periods beginning after December 15, 2018. The standard is effective for all other entities for fiscal years beginning after December 15, 2021, and interim periods within fiscal years beginning after December 15, 2022, with early adoption permitted.</w:t>
      </w:r>
    </w:p>
    <w:p>
      <w:pPr>
        <w:spacing w:after="0" w:line="181" w:lineRule="exact"/>
        <w:rPr>
          <w:sz w:val="20"/>
          <w:szCs w:val="20"/>
          <w:color w:val="auto"/>
        </w:rPr>
      </w:pPr>
    </w:p>
    <w:p>
      <w:pPr>
        <w:jc w:val="both"/>
        <w:ind w:left="40" w:right="59" w:firstLine="311"/>
        <w:spacing w:after="0" w:line="305" w:lineRule="auto"/>
        <w:rPr>
          <w:sz w:val="20"/>
          <w:szCs w:val="20"/>
          <w:color w:val="auto"/>
        </w:rPr>
      </w:pPr>
      <w:r>
        <w:rPr>
          <w:rFonts w:ascii="Arial" w:cs="Arial" w:eastAsia="Arial" w:hAnsi="Arial"/>
          <w:sz w:val="15"/>
          <w:szCs w:val="15"/>
          <w:color w:val="auto"/>
        </w:rPr>
        <w:t>The Company adopted ASU No. 2016-02 on January 1, 2021 using the modified retrospective transition method, which did not require the Company to adjust comparative periods. The Company’s lease assets and lease liabilities are recognized on the lease commencement date in an amount that represents the present value of future lease payments. The Company’s incremental borrowing rate, which is based on information available at the adoption date for existing leases and the commencement date for leases commencing after the adoption date, is used to determine the present value of lease payments.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elected the "package of three" practical expedients permitted under the transition guidance, which allows</w:t>
      </w:r>
    </w:p>
    <w:p>
      <w:pPr>
        <w:spacing w:after="0" w:line="36" w:lineRule="exact"/>
        <w:rPr>
          <w:sz w:val="20"/>
          <w:szCs w:val="20"/>
          <w:color w:val="auto"/>
        </w:rPr>
      </w:pPr>
    </w:p>
    <w:p>
      <w:pPr>
        <w:ind w:left="40" w:right="59" w:firstLine="7"/>
        <w:spacing w:after="0" w:line="301" w:lineRule="auto"/>
        <w:tabs>
          <w:tab w:leader="none" w:pos="261"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carry forward of the historical lease classification conclusions, (ii) management’s assessment on whether a contract is or contains a lease, and (iii) the initial direct costs for any leases that exist prior to adoption of the new standard.</w:t>
      </w:r>
    </w:p>
    <w:p>
      <w:pPr>
        <w:spacing w:after="0" w:line="148" w:lineRule="exact"/>
        <w:rPr>
          <w:sz w:val="20"/>
          <w:szCs w:val="20"/>
          <w:color w:val="auto"/>
        </w:rPr>
      </w:pPr>
    </w:p>
    <w:p>
      <w:pPr>
        <w:jc w:val="both"/>
        <w:ind w:left="40" w:right="59" w:firstLine="311"/>
        <w:spacing w:after="0" w:line="279" w:lineRule="auto"/>
        <w:rPr>
          <w:sz w:val="20"/>
          <w:szCs w:val="20"/>
          <w:color w:val="auto"/>
        </w:rPr>
      </w:pPr>
      <w:r>
        <w:rPr>
          <w:rFonts w:ascii="Arial" w:cs="Arial" w:eastAsia="Arial" w:hAnsi="Arial"/>
          <w:sz w:val="16"/>
          <w:szCs w:val="16"/>
          <w:color w:val="auto"/>
        </w:rPr>
        <w:t>As a result of the adoption of ASC 842 on January 1, 2021, the Company recorded both operating lease right-of-use assets of $24,004 and operating lease liabilities of $32,562. An adjustment to retained earnings of $508, net of the deferred tax impact, was also recorded. The adoption of ASC 842 had an immaterial impact on the condensed consolidated statements of comprehensive income and cash flows for the three months ended March 31, 2021. The adoption of this standard also resulted in a change in the naming convention for leases classified historically as capital leases. These leases are now referred to as finance leases within property and equipment, with corresponding short-term and long-term debt</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4" w:name="page15"/>
    <w:bookmarkEnd w:id="1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7"/>
          <w:szCs w:val="17"/>
          <w:color w:val="auto"/>
        </w:rPr>
        <w:t>liabilities being presented as “Current portion of finance lease liabilities” and “Finance lease liabilities, net of current portion”, respectively. See Note 7 for further information.</w:t>
      </w:r>
    </w:p>
    <w:p>
      <w:pPr>
        <w:spacing w:after="0" w:line="160" w:lineRule="exact"/>
        <w:rPr>
          <w:sz w:val="20"/>
          <w:szCs w:val="20"/>
          <w:color w:val="auto"/>
        </w:rPr>
      </w:pPr>
    </w:p>
    <w:p>
      <w:pPr>
        <w:jc w:val="both"/>
        <w:ind w:left="40" w:right="59" w:firstLine="311"/>
        <w:spacing w:after="0" w:line="310" w:lineRule="auto"/>
        <w:rPr>
          <w:sz w:val="20"/>
          <w:szCs w:val="20"/>
          <w:color w:val="auto"/>
        </w:rPr>
      </w:pPr>
      <w:r>
        <w:rPr>
          <w:rFonts w:ascii="Arial" w:cs="Arial" w:eastAsia="Arial" w:hAnsi="Arial"/>
          <w:sz w:val="15"/>
          <w:szCs w:val="15"/>
          <w:color w:val="auto"/>
        </w:rPr>
        <w:t>The Company does not recognize leases with an initial term less than one year (“short-term leases”) on its condensed consolidated balance sheets, and recognizes such lease payments in the condensed consolidated statements of comprehensive income (loss) on a straight-line basis over the lease term. Leases with an option to extend the related lease term or terminate early are reflected in the lease term when it is reasonably certain that the Company will exercise such options.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Credit Losses</w:t>
      </w:r>
    </w:p>
    <w:p>
      <w:pPr>
        <w:spacing w:after="0" w:line="219" w:lineRule="exact"/>
        <w:rPr>
          <w:sz w:val="20"/>
          <w:szCs w:val="20"/>
          <w:color w:val="auto"/>
        </w:rPr>
      </w:pPr>
    </w:p>
    <w:p>
      <w:pPr>
        <w:jc w:val="both"/>
        <w:ind w:left="40" w:right="59" w:firstLine="311"/>
        <w:spacing w:after="0" w:line="258"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on Financial Instruments</w:t>
      </w:r>
      <w:r>
        <w:rPr>
          <w:rFonts w:ascii="Arial" w:cs="Arial" w:eastAsia="Arial" w:hAnsi="Arial"/>
          <w:sz w:val="17"/>
          <w:szCs w:val="17"/>
          <w:color w:val="auto"/>
        </w:rPr>
        <w:t>, (“ASU 2016-13”) which replaces the existing incurred loss impairment model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 model and requires financial assets, including trade receivables, to be measured at amortized cost to be presented at the net amount expected to be collected. ASU 2016-13 is effective for annual periods, and interim periods within those years, beginning after December 15, 2019, for business entities that are public and meet the definition of an SEC filer (excluding smaller reporting companies), and after December 15, 2022 for all other entities. The Company adopted this standard effective January 1, 2021 and this guidance did not have a material impact on the Company’s condensed consolidated financial statements.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Income Taxes</w:t>
      </w:r>
    </w:p>
    <w:p>
      <w:pPr>
        <w:spacing w:after="0" w:line="219"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 xml:space="preserve">In December 2019, the FASB issued ASU Update No. 2019-12, </w:t>
      </w:r>
      <w:r>
        <w:rPr>
          <w:rFonts w:ascii="Arial" w:cs="Arial" w:eastAsia="Arial" w:hAnsi="Arial"/>
          <w:sz w:val="17"/>
          <w:szCs w:val="17"/>
          <w:i w:val="1"/>
          <w:iCs w:val="1"/>
          <w:color w:val="auto"/>
        </w:rPr>
        <w:t>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(“ASU 2019-12”) which simplifies the accounting for income taxes. The guidance in ASU 2019-12 is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for annual reporting periods, including interim periods within those annual periods, beginning after December 15, 2020, for business entities that are public, and after December 15, 2021, including interim periods within those annual periods, for all other entities, with early adoption permitted.</w:t>
      </w:r>
    </w:p>
    <w:p>
      <w:pPr>
        <w:spacing w:after="0" w:line="178" w:lineRule="exact"/>
        <w:rPr>
          <w:sz w:val="20"/>
          <w:szCs w:val="20"/>
          <w:color w:val="auto"/>
        </w:rPr>
      </w:pPr>
    </w:p>
    <w:p>
      <w:pPr>
        <w:jc w:val="both"/>
        <w:ind w:left="40" w:right="59" w:firstLine="311"/>
        <w:spacing w:after="0" w:line="354" w:lineRule="auto"/>
        <w:rPr>
          <w:sz w:val="20"/>
          <w:szCs w:val="20"/>
          <w:color w:val="auto"/>
        </w:rPr>
      </w:pPr>
      <w:r>
        <w:rPr>
          <w:rFonts w:ascii="Arial" w:cs="Arial" w:eastAsia="Arial" w:hAnsi="Arial"/>
          <w:sz w:val="15"/>
          <w:szCs w:val="15"/>
          <w:color w:val="auto"/>
        </w:rPr>
        <w:t>The Company adopted this standard on January 1, 2021. There was no impact to the condensed consolidated financial statements from the implementation of this standard on the determination of income taxes for the quarter ended March 31, 2021.</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and Uncertainties</w:t>
      </w:r>
    </w:p>
    <w:p>
      <w:pPr>
        <w:spacing w:after="0" w:line="225" w:lineRule="exact"/>
        <w:rPr>
          <w:sz w:val="20"/>
          <w:szCs w:val="20"/>
          <w:color w:val="auto"/>
        </w:rPr>
      </w:pPr>
    </w:p>
    <w:p>
      <w:pPr>
        <w:jc w:val="both"/>
        <w:ind w:left="40" w:right="59" w:firstLine="311"/>
        <w:spacing w:after="0" w:line="258" w:lineRule="auto"/>
        <w:rPr>
          <w:sz w:val="20"/>
          <w:szCs w:val="20"/>
          <w:color w:val="auto"/>
        </w:rPr>
      </w:pPr>
      <w:r>
        <w:rPr>
          <w:rFonts w:ascii="Arial" w:cs="Arial" w:eastAsia="Arial" w:hAnsi="Arial"/>
          <w:sz w:val="17"/>
          <w:szCs w:val="17"/>
          <w:color w:val="auto"/>
        </w:rPr>
        <w:t>In December 2019, a novel strain of coronavirus (“COVID-19”) appeared. In March 2020, the World Health Organization declared the outbreak of COVID-19 to be a pandemic. The COVID-19 pandemic is continuing to have widespread, rapidly evolving and unpredictable impacts on global society, economies, financial markets and business practices. To protect the health and well-being of Company employees and customers, substantial modifications were made to employee travel policies, our offices were closed, and remained closed through March 31, 2021, with employees directed to work from home. In addition, conferences and other marketing events were cancelled or shifted to virtual-only, and the Company continued to participate virtually through March 31, 2021. The COVID-19 pandemic has impacted and may continue to impact Company operations, including employees, customers and partners, and there is substantial uncertainty in the nature and degree of its continued effects over time.</w:t>
      </w:r>
    </w:p>
    <w:p>
      <w:pPr>
        <w:spacing w:after="0" w:line="183" w:lineRule="exact"/>
        <w:rPr>
          <w:sz w:val="20"/>
          <w:szCs w:val="20"/>
          <w:color w:val="auto"/>
        </w:rPr>
      </w:pPr>
    </w:p>
    <w:p>
      <w:pPr>
        <w:jc w:val="both"/>
        <w:ind w:left="40" w:right="59" w:firstLine="311"/>
        <w:spacing w:after="0" w:line="276" w:lineRule="auto"/>
        <w:rPr>
          <w:sz w:val="20"/>
          <w:szCs w:val="20"/>
          <w:color w:val="auto"/>
        </w:rPr>
      </w:pPr>
      <w:r>
        <w:rPr>
          <w:rFonts w:ascii="Arial" w:cs="Arial" w:eastAsia="Arial" w:hAnsi="Arial"/>
          <w:sz w:val="16"/>
          <w:szCs w:val="16"/>
          <w:color w:val="auto"/>
        </w:rPr>
        <w:t>The Company did not experience any significant reductions in sales, revenues or collections through March 31, 2021 as a result of COVID-19. The uncertainty caused by the COVID-19 pandemic could, however, impact Company billings to new customers for the remainder of 2021, and may also negatively impact Company efforts to expand revenues from existing customers as they continue to evaluate certain long-term projects and budget constraints. In addition to the potential impact on sales, the Company may see delays in collections during 2021 as customers adjust their operating protocols to accommodate implementation of new criteria to protect the health and well-being of their employees and customers. However, these delays are not expected to materially impact the business, and thus the Company has not recorded additional credit losses associated with the allowance for doubtful accounts in connection with any delays. The Company believes it has ample liquidity and capital resources to continue to meet its operating needs, and to service debt and other financial obligations.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5" w:name="page16"/>
    <w:bookmarkEnd w:id="1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firstLine="311"/>
        <w:spacing w:after="0" w:line="258" w:lineRule="auto"/>
        <w:rPr>
          <w:sz w:val="20"/>
          <w:szCs w:val="20"/>
          <w:color w:val="auto"/>
        </w:rPr>
      </w:pPr>
      <w:r>
        <w:rPr>
          <w:rFonts w:ascii="Arial" w:cs="Arial" w:eastAsia="Arial" w:hAnsi="Arial"/>
          <w:sz w:val="17"/>
          <w:szCs w:val="17"/>
          <w:color w:val="auto"/>
        </w:rPr>
        <w:t>The extent to which the COVID-19 pandemic impacts the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long-lived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Reclassifications</w:t>
      </w:r>
    </w:p>
    <w:p>
      <w:pPr>
        <w:spacing w:after="0" w:line="219" w:lineRule="exact"/>
        <w:rPr>
          <w:sz w:val="20"/>
          <w:szCs w:val="20"/>
          <w:color w:val="auto"/>
        </w:rPr>
      </w:pPr>
    </w:p>
    <w:p>
      <w:pPr>
        <w:jc w:val="both"/>
        <w:ind w:left="40" w:right="79" w:firstLine="311"/>
        <w:spacing w:after="0" w:line="354" w:lineRule="auto"/>
        <w:rPr>
          <w:sz w:val="20"/>
          <w:szCs w:val="20"/>
          <w:color w:val="auto"/>
        </w:rPr>
      </w:pPr>
      <w:r>
        <w:rPr>
          <w:rFonts w:ascii="Arial" w:cs="Arial" w:eastAsia="Arial" w:hAnsi="Arial"/>
          <w:sz w:val="15"/>
          <w:szCs w:val="15"/>
          <w:color w:val="auto"/>
        </w:rPr>
        <w:t>Certain amounts in the prior period financial statements have been reclassified to conform to the presentation of the current period financial statements. These reclassifications had no effect on previously reported comprehensive income or loss.</w:t>
      </w:r>
    </w:p>
    <w:p>
      <w:pPr>
        <w:spacing w:after="0" w:line="107" w:lineRule="exact"/>
        <w:rPr>
          <w:sz w:val="20"/>
          <w:szCs w:val="20"/>
          <w:color w:val="auto"/>
        </w:rPr>
      </w:pPr>
    </w:p>
    <w:p>
      <w:pPr>
        <w:ind w:left="340" w:hanging="293"/>
        <w:spacing w:after="0"/>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225" w:lineRule="exact"/>
        <w:rPr>
          <w:rFonts w:ascii="Arial" w:cs="Arial" w:eastAsia="Arial" w:hAnsi="Arial"/>
          <w:sz w:val="17"/>
          <w:szCs w:val="17"/>
          <w:b w:val="1"/>
          <w:bCs w:val="1"/>
          <w:color w:val="auto"/>
        </w:rPr>
      </w:pPr>
    </w:p>
    <w:p>
      <w:pPr>
        <w:ind w:left="360" w:right="2719"/>
        <w:spacing w:after="0" w:line="509" w:lineRule="auto"/>
        <w:rPr>
          <w:rFonts w:ascii="Arial" w:cs="Arial" w:eastAsia="Arial" w:hAnsi="Arial"/>
          <w:sz w:val="17"/>
          <w:szCs w:val="17"/>
          <w:b w:val="1"/>
          <w:bCs w:val="1"/>
          <w:color w:val="auto"/>
        </w:rPr>
      </w:pPr>
      <w:r>
        <w:rPr>
          <w:rFonts w:ascii="Arial" w:cs="Arial" w:eastAsia="Arial" w:hAnsi="Arial"/>
          <w:sz w:val="17"/>
          <w:szCs w:val="17"/>
          <w:color w:val="auto"/>
        </w:rPr>
        <w:t xml:space="preserve">See Note 1 for a description of the Company’s revenue recognition accounting policy. </w:t>
      </w:r>
      <w:r>
        <w:rPr>
          <w:rFonts w:ascii="Arial" w:cs="Arial" w:eastAsia="Arial" w:hAnsi="Arial"/>
          <w:sz w:val="17"/>
          <w:szCs w:val="17"/>
          <w:i w:val="1"/>
          <w:iCs w:val="1"/>
          <w:color w:val="auto"/>
        </w:rPr>
        <w:t>Disaggregation of revenue</w:t>
      </w: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The table reflects revenue by major source for the following periods: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65"/>
        </w:trPr>
        <w:tc>
          <w:tcPr>
            <w:tcW w:w="6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243"/>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36"/>
        </w:trPr>
        <w:tc>
          <w:tcPr>
            <w:tcW w:w="69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r>
      <w:tr>
        <w:trPr>
          <w:trHeight w:val="123"/>
        </w:trPr>
        <w:tc>
          <w:tcPr>
            <w:tcW w:w="6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4"/>
          </w:tcPr>
          <w:p>
            <w:pPr>
              <w:jc w:val="center"/>
              <w:ind w:left="283"/>
              <w:spacing w:after="0" w:line="123" w:lineRule="exact"/>
              <w:rPr>
                <w:sz w:val="20"/>
                <w:szCs w:val="20"/>
                <w:color w:val="auto"/>
              </w:rPr>
            </w:pPr>
            <w:r>
              <w:rPr>
                <w:rFonts w:ascii="Arial" w:cs="Arial" w:eastAsia="Arial" w:hAnsi="Arial"/>
                <w:sz w:val="14"/>
                <w:szCs w:val="14"/>
                <w:b w:val="1"/>
                <w:bCs w:val="1"/>
                <w:color w:val="auto"/>
                <w:w w:val="91"/>
              </w:rPr>
              <w:t>(unaudited)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7"/>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Sources of revenues: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7"/>
        </w:trPr>
        <w:tc>
          <w:tcPr>
            <w:tcW w:w="6960" w:type="dxa"/>
            <w:vAlign w:val="bottom"/>
          </w:tcPr>
          <w:p>
            <w:pPr>
              <w:spacing w:after="0"/>
              <w:rPr>
                <w:sz w:val="20"/>
                <w:szCs w:val="20"/>
                <w:color w:val="auto"/>
              </w:rPr>
            </w:pPr>
            <w:r>
              <w:rPr>
                <w:rFonts w:ascii="Arial" w:cs="Arial" w:eastAsia="Arial" w:hAnsi="Arial"/>
                <w:sz w:val="17"/>
                <w:szCs w:val="17"/>
                <w:color w:val="auto"/>
              </w:rPr>
              <w:t>Software subscriptions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80"/>
              <w:spacing w:after="0"/>
              <w:rPr>
                <w:sz w:val="20"/>
                <w:szCs w:val="20"/>
                <w:color w:val="auto"/>
              </w:rPr>
            </w:pPr>
            <w:r>
              <w:rPr>
                <w:rFonts w:ascii="Arial" w:cs="Arial" w:eastAsia="Arial" w:hAnsi="Arial"/>
                <w:sz w:val="17"/>
                <w:szCs w:val="17"/>
                <w:color w:val="auto"/>
                <w:w w:val="99"/>
              </w:rPr>
              <w:t>83,280</w:t>
            </w:r>
          </w:p>
        </w:tc>
        <w:tc>
          <w:tcPr>
            <w:tcW w:w="180" w:type="dxa"/>
            <w:vAlign w:val="bottom"/>
          </w:tcPr>
          <w:p>
            <w:pPr>
              <w:spacing w:after="0"/>
              <w:rPr>
                <w:sz w:val="18"/>
                <w:szCs w:val="18"/>
                <w:color w:val="auto"/>
              </w:rPr>
            </w:pPr>
          </w:p>
        </w:tc>
        <w:tc>
          <w:tcPr>
            <w:tcW w:w="260" w:type="dxa"/>
            <w:vAlign w:val="bottom"/>
            <w:gridSpan w:val="2"/>
          </w:tcPr>
          <w:p>
            <w:pPr>
              <w:jc w:val="right"/>
              <w:ind w:right="131"/>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0"/>
              <w:spacing w:after="0"/>
              <w:rPr>
                <w:sz w:val="20"/>
                <w:szCs w:val="20"/>
                <w:color w:val="auto"/>
              </w:rPr>
            </w:pPr>
            <w:r>
              <w:rPr>
                <w:rFonts w:ascii="Arial" w:cs="Arial" w:eastAsia="Arial" w:hAnsi="Arial"/>
                <w:sz w:val="17"/>
                <w:szCs w:val="17"/>
                <w:color w:val="auto"/>
                <w:w w:val="96"/>
              </w:rPr>
              <w:t>75,760</w:t>
            </w:r>
          </w:p>
        </w:tc>
        <w:tc>
          <w:tcPr>
            <w:tcW w:w="160" w:type="dxa"/>
            <w:vAlign w:val="bottom"/>
          </w:tcPr>
          <w:p>
            <w:pPr>
              <w:spacing w:after="0"/>
              <w:rPr>
                <w:sz w:val="18"/>
                <w:szCs w:val="18"/>
                <w:color w:val="auto"/>
              </w:rPr>
            </w:pPr>
          </w:p>
        </w:tc>
      </w:tr>
      <w:tr>
        <w:trPr>
          <w:trHeight w:val="207"/>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99"/>
              </w:rPr>
              <w:t>14,956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6"/>
              </w:rPr>
              <w:t>13,485</w:t>
            </w:r>
          </w:p>
        </w:tc>
        <w:tc>
          <w:tcPr>
            <w:tcW w:w="160" w:type="dxa"/>
            <w:vAlign w:val="bottom"/>
            <w:shd w:val="clear" w:color="auto" w:fill="CCEEFF"/>
          </w:tcPr>
          <w:p>
            <w:pPr>
              <w:spacing w:after="0"/>
              <w:rPr>
                <w:sz w:val="18"/>
                <w:szCs w:val="18"/>
                <w:color w:val="auto"/>
              </w:rPr>
            </w:pPr>
          </w:p>
        </w:tc>
      </w:tr>
      <w:tr>
        <w:trPr>
          <w:trHeight w:val="200"/>
        </w:trPr>
        <w:tc>
          <w:tcPr>
            <w:tcW w:w="6960" w:type="dxa"/>
            <w:vAlign w:val="bottom"/>
          </w:tcPr>
          <w:p>
            <w:pPr>
              <w:ind w:left="100"/>
              <w:spacing w:after="0"/>
              <w:rPr>
                <w:sz w:val="20"/>
                <w:szCs w:val="20"/>
                <w:color w:val="auto"/>
              </w:rPr>
            </w:pPr>
            <w:r>
              <w:rPr>
                <w:rFonts w:ascii="Arial" w:cs="Arial" w:eastAsia="Arial" w:hAnsi="Arial"/>
                <w:sz w:val="17"/>
                <w:szCs w:val="17"/>
                <w:color w:val="auto"/>
              </w:rPr>
              <w:t>Total revenues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w w:val="99"/>
              </w:rPr>
              <w:t>98,236</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6"/>
              </w:rPr>
              <w:t>89,245</w:t>
            </w:r>
          </w:p>
        </w:tc>
        <w:tc>
          <w:tcPr>
            <w:tcW w:w="16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Contract balances</w:t>
      </w:r>
    </w:p>
    <w:p>
      <w:pPr>
        <w:spacing w:after="0" w:line="219" w:lineRule="exact"/>
        <w:rPr>
          <w:sz w:val="20"/>
          <w:szCs w:val="20"/>
          <w:color w:val="auto"/>
        </w:rPr>
      </w:pPr>
    </w:p>
    <w:p>
      <w:pPr>
        <w:jc w:val="both"/>
        <w:ind w:left="40" w:right="59" w:firstLine="311"/>
        <w:spacing w:after="0" w:line="258" w:lineRule="auto"/>
        <w:rPr>
          <w:sz w:val="20"/>
          <w:szCs w:val="20"/>
          <w:color w:val="auto"/>
        </w:rPr>
      </w:pPr>
      <w:r>
        <w:rPr>
          <w:rFonts w:ascii="Arial" w:cs="Arial" w:eastAsia="Arial" w:hAnsi="Arial"/>
          <w:sz w:val="17"/>
          <w:szCs w:val="17"/>
          <w:color w:val="auto"/>
        </w:rPr>
        <w:t>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$8,059 and $8,592 at March 31, 2021 and December 31, 2020, respectively. The allowance represents future expected credit losses over the life of the receivables based on past experience, current information and forward-looking economic considerations.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beginning and ending balances of accounts receivable, net of allowance, are as follows: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For the three months ended</w:t>
            </w:r>
          </w:p>
        </w:tc>
        <w:tc>
          <w:tcPr>
            <w:tcW w:w="12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4"/>
                <w:szCs w:val="14"/>
                <w:b w:val="1"/>
                <w:bCs w:val="1"/>
                <w:color w:val="auto"/>
                <w:w w:val="87"/>
              </w:rPr>
              <w:t>For the year ended</w:t>
            </w:r>
          </w:p>
        </w:tc>
      </w:tr>
      <w:tr>
        <w:trPr>
          <w:trHeight w:val="165"/>
        </w:trPr>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March 31, 2021</w:t>
            </w:r>
          </w:p>
        </w:tc>
        <w:tc>
          <w:tcPr>
            <w:tcW w:w="12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4"/>
                <w:szCs w:val="14"/>
                <w:b w:val="1"/>
                <w:bCs w:val="1"/>
                <w:color w:val="auto"/>
                <w:w w:val="87"/>
              </w:rPr>
              <w:t>December 31, 2020</w:t>
            </w:r>
          </w:p>
        </w:tc>
      </w:tr>
      <w:tr>
        <w:trPr>
          <w:trHeight w:val="136"/>
        </w:trPr>
        <w:tc>
          <w:tcPr>
            <w:tcW w:w="56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81"/>
              <w:spacing w:after="0" w:line="136"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r>
      <w:tr>
        <w:trPr>
          <w:trHeight w:val="207"/>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70,367</w:t>
            </w:r>
          </w:p>
        </w:tc>
      </w:tr>
      <w:tr>
        <w:trPr>
          <w:trHeight w:val="207"/>
        </w:trPr>
        <w:tc>
          <w:tcPr>
            <w:tcW w:w="5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end of period</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77,159</w:t>
            </w:r>
          </w:p>
        </w:tc>
      </w:tr>
      <w:tr>
        <w:trPr>
          <w:trHeight w:val="200"/>
        </w:trPr>
        <w:tc>
          <w:tcPr>
            <w:tcW w:w="5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(Decrease) increase, net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6,792</w:t>
            </w: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firstLine="311"/>
        <w:spacing w:after="0" w:line="294" w:lineRule="auto"/>
        <w:rPr>
          <w:sz w:val="20"/>
          <w:szCs w:val="20"/>
          <w:color w:val="auto"/>
        </w:rPr>
      </w:pPr>
      <w:r>
        <w:rPr>
          <w:rFonts w:ascii="Arial" w:cs="Arial" w:eastAsia="Arial" w:hAnsi="Arial"/>
          <w:sz w:val="16"/>
          <w:szCs w:val="16"/>
          <w:color w:val="auto"/>
        </w:rPr>
        <w:t>A contract liability is recorded as deferred revenue on the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6" w:name="page17"/>
    <w:bookmarkEnd w:id="1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for subscription cancellations (the “deferred allowance”) of $5,515 and $6,432 at March 31, 2021 and December 31, 2020, respectively. The deferred allowance represents the portion of the allowance for subscription cancellations associated with deferred revenue.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beginning and ending balances of and changes to the allowance and the deferred allowance are as follows:</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For the three months ended March 31,</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6"/>
        </w:trPr>
        <w:tc>
          <w:tcPr>
            <w:tcW w:w="3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spacing w:after="0" w:line="136" w:lineRule="exact"/>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jc w:val="right"/>
              <w:ind w:right="60"/>
              <w:spacing w:after="0" w:line="136"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3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right"/>
              <w:ind w:right="482"/>
              <w:spacing w:after="0" w:line="136" w:lineRule="exact"/>
              <w:rPr>
                <w:sz w:val="20"/>
                <w:szCs w:val="20"/>
                <w:color w:val="auto"/>
              </w:rPr>
            </w:pPr>
            <w:r>
              <w:rPr>
                <w:rFonts w:ascii="Arial" w:cs="Arial" w:eastAsia="Arial" w:hAnsi="Arial"/>
                <w:sz w:val="14"/>
                <w:szCs w:val="14"/>
                <w:b w:val="1"/>
                <w:bCs w:val="1"/>
                <w:color w:val="auto"/>
                <w:w w:val="96"/>
              </w:rPr>
              <w:t>Balance</w:t>
            </w:r>
          </w:p>
        </w:tc>
        <w:tc>
          <w:tcPr>
            <w:tcW w:w="960" w:type="dxa"/>
            <w:vAlign w:val="bottom"/>
          </w:tcPr>
          <w:p>
            <w:pPr>
              <w:jc w:val="right"/>
              <w:ind w:right="58"/>
              <w:spacing w:after="0" w:line="136" w:lineRule="exact"/>
              <w:rPr>
                <w:sz w:val="20"/>
                <w:szCs w:val="20"/>
                <w:color w:val="auto"/>
              </w:rPr>
            </w:pPr>
            <w:r>
              <w:rPr>
                <w:rFonts w:ascii="Arial" w:cs="Arial" w:eastAsia="Arial" w:hAnsi="Arial"/>
                <w:sz w:val="14"/>
                <w:szCs w:val="14"/>
                <w:b w:val="1"/>
                <w:bCs w:val="1"/>
                <w:color w:val="auto"/>
              </w:rPr>
              <w:t>Net Change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ind w:left="80"/>
              <w:spacing w:after="0" w:line="136" w:lineRule="exact"/>
              <w:rPr>
                <w:sz w:val="20"/>
                <w:szCs w:val="20"/>
                <w:color w:val="auto"/>
              </w:rPr>
            </w:pPr>
            <w:r>
              <w:rPr>
                <w:rFonts w:ascii="Arial" w:cs="Arial" w:eastAsia="Arial" w:hAnsi="Arial"/>
                <w:sz w:val="14"/>
                <w:szCs w:val="14"/>
                <w:b w:val="1"/>
                <w:bCs w:val="1"/>
                <w:color w:val="auto"/>
              </w:rPr>
              <w:t>Balance</w:t>
            </w:r>
          </w:p>
        </w:tc>
        <w:tc>
          <w:tcPr>
            <w:tcW w:w="920" w:type="dxa"/>
            <w:vAlign w:val="bottom"/>
          </w:tcPr>
          <w:p>
            <w:pPr>
              <w:jc w:val="right"/>
              <w:ind w:right="58"/>
              <w:spacing w:after="0" w:line="136" w:lineRule="exact"/>
              <w:rPr>
                <w:sz w:val="20"/>
                <w:szCs w:val="20"/>
                <w:color w:val="auto"/>
              </w:rPr>
            </w:pPr>
            <w:r>
              <w:rPr>
                <w:rFonts w:ascii="Arial" w:cs="Arial" w:eastAsia="Arial" w:hAnsi="Arial"/>
                <w:sz w:val="14"/>
                <w:szCs w:val="14"/>
                <w:b w:val="1"/>
                <w:bCs w:val="1"/>
                <w:color w:val="auto"/>
                <w:w w:val="97"/>
              </w:rPr>
              <w:t>Net Change</w:t>
            </w:r>
          </w:p>
        </w:tc>
        <w:tc>
          <w:tcPr>
            <w:tcW w:w="20" w:type="dxa"/>
            <w:vAlign w:val="bottom"/>
          </w:tcPr>
          <w:p>
            <w:pPr>
              <w:spacing w:after="0"/>
              <w:rPr>
                <w:sz w:val="11"/>
                <w:szCs w:val="11"/>
                <w:color w:val="auto"/>
              </w:rPr>
            </w:pPr>
          </w:p>
        </w:tc>
      </w:tr>
      <w:tr>
        <w:trPr>
          <w:trHeight w:val="20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Allowance balance, January 1</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(8,592)</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3460" w:type="dxa"/>
            <w:vAlign w:val="bottom"/>
          </w:tcPr>
          <w:p>
            <w:pPr>
              <w:spacing w:after="0"/>
              <w:rPr>
                <w:sz w:val="20"/>
                <w:szCs w:val="20"/>
                <w:color w:val="auto"/>
              </w:rPr>
            </w:pPr>
            <w:r>
              <w:rPr>
                <w:rFonts w:ascii="Arial" w:cs="Arial" w:eastAsia="Arial" w:hAnsi="Arial"/>
                <w:sz w:val="17"/>
                <w:szCs w:val="17"/>
                <w:color w:val="auto"/>
              </w:rPr>
              <w:t>Allowance balance, March 31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34"/>
              <w:spacing w:after="0"/>
              <w:rPr>
                <w:sz w:val="20"/>
                <w:szCs w:val="20"/>
                <w:color w:val="auto"/>
              </w:rPr>
            </w:pPr>
            <w:r>
              <w:rPr>
                <w:rFonts w:ascii="Arial" w:cs="Arial" w:eastAsia="Arial" w:hAnsi="Arial"/>
                <w:sz w:val="17"/>
                <w:szCs w:val="17"/>
                <w:color w:val="auto"/>
              </w:rPr>
              <w:t>(8,059)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4"/>
              <w:spacing w:after="0"/>
              <w:rPr>
                <w:sz w:val="20"/>
                <w:szCs w:val="20"/>
                <w:color w:val="auto"/>
              </w:rPr>
            </w:pPr>
            <w:r>
              <w:rPr>
                <w:rFonts w:ascii="Arial" w:cs="Arial" w:eastAsia="Arial" w:hAnsi="Arial"/>
                <w:sz w:val="17"/>
                <w:szCs w:val="17"/>
                <w:color w:val="auto"/>
              </w:rPr>
              <w:t>(7,476)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34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Change in allowance</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(533)</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r>
      <w:tr>
        <w:trPr>
          <w:trHeight w:val="207"/>
        </w:trPr>
        <w:tc>
          <w:tcPr>
            <w:tcW w:w="3460" w:type="dxa"/>
            <w:vAlign w:val="bottom"/>
          </w:tcPr>
          <w:p>
            <w:pPr>
              <w:spacing w:after="0"/>
              <w:rPr>
                <w:sz w:val="20"/>
                <w:szCs w:val="20"/>
                <w:color w:val="auto"/>
              </w:rPr>
            </w:pPr>
            <w:r>
              <w:rPr>
                <w:rFonts w:ascii="Arial" w:cs="Arial" w:eastAsia="Arial" w:hAnsi="Arial"/>
                <w:sz w:val="17"/>
                <w:szCs w:val="17"/>
                <w:color w:val="auto"/>
              </w:rPr>
              <w:t>Deferred allowance balance, January 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Deferred allowance balance, March 31</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34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Change in deferred allowance</w:t>
            </w:r>
          </w:p>
        </w:tc>
        <w:tc>
          <w:tcPr>
            <w:tcW w:w="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w:t>
            </w:r>
          </w:p>
        </w:tc>
        <w:tc>
          <w:tcPr>
            <w:tcW w:w="20" w:type="dxa"/>
            <w:vAlign w:val="bottom"/>
          </w:tcPr>
          <w:p>
            <w:pPr>
              <w:spacing w:after="0"/>
              <w:rPr>
                <w:sz w:val="17"/>
                <w:szCs w:val="17"/>
                <w:color w:val="auto"/>
              </w:rPr>
            </w:pPr>
          </w:p>
        </w:tc>
      </w:tr>
      <w:tr>
        <w:trPr>
          <w:trHeight w:val="200"/>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amount charged to revenues</w:t>
            </w: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20" w:type="dxa"/>
            <w:vAlign w:val="bottom"/>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The portion of deferred revenue expected to be recognized in revenue beyond one year is included in deferred revenue, net of current portion in the condensed consolidated balance sheets.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tables provide information about the balances of and changes to deferred revenue for the following periods: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340" w:type="dxa"/>
            <w:vAlign w:val="bottom"/>
            <w:gridSpan w:val="9"/>
          </w:tcPr>
          <w:p>
            <w:pPr>
              <w:jc w:val="right"/>
              <w:spacing w:after="0"/>
              <w:rPr>
                <w:sz w:val="20"/>
                <w:szCs w:val="20"/>
                <w:color w:val="auto"/>
              </w:rPr>
            </w:pPr>
            <w:r>
              <w:rPr>
                <w:rFonts w:ascii="Arial" w:cs="Arial" w:eastAsia="Arial" w:hAnsi="Arial"/>
                <w:sz w:val="14"/>
                <w:szCs w:val="14"/>
                <w:b w:val="1"/>
                <w:bCs w:val="1"/>
                <w:color w:val="auto"/>
                <w:w w:val="93"/>
              </w:rPr>
              <w:t>As of March 31,   As of December 31,</w:t>
            </w:r>
          </w:p>
        </w:tc>
        <w:tc>
          <w:tcPr>
            <w:tcW w:w="0" w:type="dxa"/>
            <w:vAlign w:val="bottom"/>
          </w:tcPr>
          <w:p>
            <w:pPr>
              <w:spacing w:after="0"/>
              <w:rPr>
                <w:sz w:val="1"/>
                <w:szCs w:val="1"/>
                <w:color w:val="auto"/>
              </w:rPr>
            </w:pPr>
          </w:p>
        </w:tc>
      </w:tr>
      <w:tr>
        <w:trPr>
          <w:trHeight w:val="165"/>
        </w:trPr>
        <w:tc>
          <w:tcPr>
            <w:tcW w:w="6560" w:type="dxa"/>
            <w:vAlign w:val="bottom"/>
          </w:tcPr>
          <w:p>
            <w:pPr>
              <w:spacing w:after="0"/>
              <w:rPr>
                <w:sz w:val="14"/>
                <w:szCs w:val="14"/>
                <w:color w:val="auto"/>
              </w:rPr>
            </w:pPr>
          </w:p>
        </w:tc>
        <w:tc>
          <w:tcPr>
            <w:tcW w:w="98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2"/>
        </w:trPr>
        <w:tc>
          <w:tcPr>
            <w:tcW w:w="6560" w:type="dxa"/>
            <w:vAlign w:val="bottom"/>
            <w:vMerge w:val="restart"/>
          </w:tcPr>
          <w:p>
            <w:pPr>
              <w:spacing w:after="0"/>
              <w:rPr>
                <w:sz w:val="20"/>
                <w:szCs w:val="20"/>
                <w:color w:val="auto"/>
              </w:rPr>
            </w:pPr>
            <w:r>
              <w:rPr>
                <w:rFonts w:ascii="Arial" w:cs="Arial" w:eastAsia="Arial" w:hAnsi="Arial"/>
                <w:sz w:val="17"/>
                <w:szCs w:val="17"/>
                <w:color w:val="auto"/>
              </w:rPr>
              <w:t>Balances:</w:t>
            </w:r>
          </w:p>
        </w:tc>
        <w:tc>
          <w:tcPr>
            <w:tcW w:w="980" w:type="dxa"/>
            <w:vAlign w:val="bottom"/>
            <w:gridSpan w:val="3"/>
          </w:tcPr>
          <w:p>
            <w:pPr>
              <w:jc w:val="right"/>
              <w:ind w:right="37"/>
              <w:spacing w:after="0"/>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current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204,971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207,560</w:t>
            </w:r>
          </w:p>
        </w:tc>
        <w:tc>
          <w:tcPr>
            <w:tcW w:w="0" w:type="dxa"/>
            <w:vAlign w:val="bottom"/>
          </w:tcPr>
          <w:p>
            <w:pPr>
              <w:spacing w:after="0"/>
              <w:rPr>
                <w:sz w:val="1"/>
                <w:szCs w:val="1"/>
                <w:color w:val="auto"/>
              </w:rPr>
            </w:pPr>
          </w:p>
        </w:tc>
      </w:tr>
      <w:tr>
        <w:trPr>
          <w:trHeight w:val="207"/>
        </w:trPr>
        <w:tc>
          <w:tcPr>
            <w:tcW w:w="6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revenue, non-current</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13,162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14,702</w:t>
            </w:r>
          </w:p>
        </w:tc>
        <w:tc>
          <w:tcPr>
            <w:tcW w:w="0" w:type="dxa"/>
            <w:vAlign w:val="bottom"/>
          </w:tcPr>
          <w:p>
            <w:pPr>
              <w:spacing w:after="0"/>
              <w:rPr>
                <w:sz w:val="1"/>
                <w:szCs w:val="1"/>
                <w:color w:val="auto"/>
              </w:rPr>
            </w:pPr>
          </w:p>
        </w:tc>
      </w:tr>
      <w:tr>
        <w:trPr>
          <w:trHeight w:val="200"/>
        </w:trPr>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deferred revenue</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7"/>
                <w:szCs w:val="17"/>
                <w:color w:val="auto"/>
                <w:w w:val="84"/>
              </w:rPr>
              <w:t>$</w:t>
            </w: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218,133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222,262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For the three months ended</w:t>
            </w:r>
          </w:p>
        </w:tc>
        <w:tc>
          <w:tcPr>
            <w:tcW w:w="0" w:type="dxa"/>
            <w:vAlign w:val="bottom"/>
          </w:tcPr>
          <w:p>
            <w:pPr>
              <w:spacing w:after="0"/>
              <w:rPr>
                <w:sz w:val="1"/>
                <w:szCs w:val="1"/>
                <w:color w:val="auto"/>
              </w:rPr>
            </w:pPr>
          </w:p>
        </w:tc>
      </w:tr>
      <w:tr>
        <w:trPr>
          <w:trHeight w:val="165"/>
        </w:trPr>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6"/>
              <w:spacing w:after="0" w:line="136"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3"/>
        </w:trPr>
        <w:tc>
          <w:tcPr>
            <w:tcW w:w="6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5"/>
          </w:tcPr>
          <w:p>
            <w:pPr>
              <w:jc w:val="center"/>
              <w:spacing w:after="0" w:line="123" w:lineRule="exact"/>
              <w:rPr>
                <w:sz w:val="20"/>
                <w:szCs w:val="20"/>
                <w:color w:val="auto"/>
              </w:rPr>
            </w:pPr>
            <w:r>
              <w:rPr>
                <w:rFonts w:ascii="Arial" w:cs="Arial" w:eastAsia="Arial" w:hAnsi="Arial"/>
                <w:sz w:val="14"/>
                <w:szCs w:val="14"/>
                <w:b w:val="1"/>
                <w:bCs w:val="1"/>
                <w:color w:val="auto"/>
                <w:w w:val="91"/>
              </w:rPr>
              <w:t>(unaudited)</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Changes to deferred revenue: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7"/>
                <w:szCs w:val="17"/>
                <w:color w:val="auto"/>
              </w:rPr>
              <w:t>Beginning balance</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222,262</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205,791</w:t>
            </w: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94,107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84,938</w:t>
            </w: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7"/>
                <w:szCs w:val="17"/>
                <w:color w:val="auto"/>
              </w:rPr>
              <w:t>Revenues recognized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180"/>
              <w:spacing w:after="0"/>
              <w:rPr>
                <w:sz w:val="20"/>
                <w:szCs w:val="20"/>
                <w:color w:val="auto"/>
              </w:rPr>
            </w:pPr>
            <w:r>
              <w:rPr>
                <w:rFonts w:ascii="Arial" w:cs="Arial" w:eastAsia="Arial" w:hAnsi="Arial"/>
                <w:sz w:val="17"/>
                <w:szCs w:val="17"/>
                <w:color w:val="auto"/>
              </w:rPr>
              <w:t>(98,236)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(89,245)</w:t>
            </w:r>
          </w:p>
        </w:tc>
        <w:tc>
          <w:tcPr>
            <w:tcW w:w="0" w:type="dxa"/>
            <w:vAlign w:val="bottom"/>
          </w:tcPr>
          <w:p>
            <w:pPr>
              <w:spacing w:after="0"/>
              <w:rPr>
                <w:sz w:val="1"/>
                <w:szCs w:val="1"/>
                <w:color w:val="auto"/>
              </w:rPr>
            </w:pPr>
          </w:p>
        </w:tc>
      </w:tr>
      <w:tr>
        <w:trPr>
          <w:trHeight w:val="200"/>
        </w:trPr>
        <w:tc>
          <w:tcPr>
            <w:tcW w:w="6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Ending balance</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218,133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201,484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Contract costs</w:t>
      </w:r>
    </w:p>
    <w:p>
      <w:pPr>
        <w:spacing w:after="0" w:line="219" w:lineRule="exact"/>
        <w:rPr>
          <w:sz w:val="20"/>
          <w:szCs w:val="20"/>
          <w:color w:val="auto"/>
        </w:rPr>
      </w:pPr>
    </w:p>
    <w:p>
      <w:pPr>
        <w:jc w:val="both"/>
        <w:ind w:left="40" w:right="59" w:firstLine="311"/>
        <w:spacing w:after="0" w:line="279" w:lineRule="auto"/>
        <w:rPr>
          <w:sz w:val="20"/>
          <w:szCs w:val="20"/>
          <w:color w:val="auto"/>
        </w:rPr>
      </w:pPr>
      <w:r>
        <w:rPr>
          <w:rFonts w:ascii="Arial" w:cs="Arial" w:eastAsia="Arial" w:hAnsi="Arial"/>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consolidated statements of comprehensive income (loss). The Company periodically reviews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7" w:name="page18"/>
    <w:bookmarkEnd w:id="1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7"/>
          <w:szCs w:val="17"/>
          <w:color w:val="auto"/>
        </w:rPr>
        <w:t>these contract assets to determine whether events or changes in circumstances have occurred that could impact the period of benefit of these assets. There were no impairment losses recorded for the periods presented.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provides information about the changes to contract cost balances as of and for the following periods:</w:t>
      </w:r>
    </w:p>
    <w:p>
      <w:pPr>
        <w:spacing w:after="0" w:line="90"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For the three months ended</w:t>
      </w:r>
    </w:p>
    <w:p>
      <w:pPr>
        <w:jc w:val="center"/>
        <w:ind w:left="630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36"/>
        </w:trPr>
        <w:tc>
          <w:tcPr>
            <w:tcW w:w="4060" w:type="dxa"/>
            <w:vAlign w:val="bottom"/>
            <w:tcBorders>
              <w:bottom w:val="single" w:sz="8" w:color="CCEEFF"/>
            </w:tcBorders>
          </w:tcPr>
          <w:p>
            <w:pPr>
              <w:spacing w:after="0"/>
              <w:rPr>
                <w:sz w:val="11"/>
                <w:szCs w:val="11"/>
                <w:color w:val="auto"/>
              </w:rPr>
            </w:pPr>
          </w:p>
        </w:tc>
        <w:tc>
          <w:tcPr>
            <w:tcW w:w="24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9"/>
              <w:spacing w:after="0" w:line="136"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77"/>
              <w:spacing w:after="0" w:line="136"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1"/>
                <w:szCs w:val="11"/>
                <w:color w:val="auto"/>
              </w:rPr>
            </w:pPr>
          </w:p>
        </w:tc>
      </w:tr>
      <w:tr>
        <w:trPr>
          <w:trHeight w:val="187"/>
        </w:trPr>
        <w:tc>
          <w:tcPr>
            <w:tcW w:w="40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Deferred commissions:</w:t>
            </w:r>
          </w:p>
        </w:tc>
        <w:tc>
          <w:tcPr>
            <w:tcW w:w="2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7"/>
        </w:trPr>
        <w:tc>
          <w:tcPr>
            <w:tcW w:w="4060" w:type="dxa"/>
            <w:vAlign w:val="bottom"/>
          </w:tcPr>
          <w:p>
            <w:pPr>
              <w:ind w:left="100"/>
              <w:spacing w:after="0"/>
              <w:rPr>
                <w:sz w:val="20"/>
                <w:szCs w:val="20"/>
                <w:color w:val="auto"/>
              </w:rPr>
            </w:pPr>
            <w:r>
              <w:rPr>
                <w:rFonts w:ascii="Arial" w:cs="Arial" w:eastAsia="Arial" w:hAnsi="Arial"/>
                <w:sz w:val="17"/>
                <w:szCs w:val="17"/>
                <w:color w:val="auto"/>
              </w:rPr>
              <w:t>Beginning balance</w:t>
            </w:r>
          </w:p>
        </w:tc>
        <w:tc>
          <w:tcPr>
            <w:tcW w:w="270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11,743</w:t>
            </w:r>
          </w:p>
        </w:tc>
        <w:tc>
          <w:tcPr>
            <w:tcW w:w="16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11,196</w:t>
            </w:r>
          </w:p>
        </w:tc>
        <w:tc>
          <w:tcPr>
            <w:tcW w:w="200" w:type="dxa"/>
            <w:vAlign w:val="bottom"/>
          </w:tcPr>
          <w:p>
            <w:pPr>
              <w:spacing w:after="0"/>
              <w:rPr>
                <w:sz w:val="18"/>
                <w:szCs w:val="18"/>
                <w:color w:val="auto"/>
              </w:rPr>
            </w:pPr>
          </w:p>
        </w:tc>
      </w:tr>
      <w:tr>
        <w:trPr>
          <w:trHeight w:val="207"/>
        </w:trPr>
        <w:tc>
          <w:tcPr>
            <w:tcW w:w="4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Additions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200" w:type="dxa"/>
            <w:vAlign w:val="bottom"/>
            <w:shd w:val="clear" w:color="auto" w:fill="CCEEFF"/>
          </w:tcPr>
          <w:p>
            <w:pPr>
              <w:spacing w:after="0"/>
              <w:rPr>
                <w:sz w:val="18"/>
                <w:szCs w:val="18"/>
                <w:color w:val="auto"/>
              </w:rPr>
            </w:pPr>
          </w:p>
        </w:tc>
      </w:tr>
      <w:tr>
        <w:trPr>
          <w:trHeight w:val="207"/>
        </w:trPr>
        <w:tc>
          <w:tcPr>
            <w:tcW w:w="4060" w:type="dxa"/>
            <w:vAlign w:val="bottom"/>
          </w:tcPr>
          <w:p>
            <w:pPr>
              <w:ind w:left="100"/>
              <w:spacing w:after="0"/>
              <w:rPr>
                <w:sz w:val="20"/>
                <w:szCs w:val="20"/>
                <w:color w:val="auto"/>
              </w:rPr>
            </w:pPr>
            <w:r>
              <w:rPr>
                <w:rFonts w:ascii="Arial" w:cs="Arial" w:eastAsia="Arial" w:hAnsi="Arial"/>
                <w:sz w:val="17"/>
                <w:szCs w:val="17"/>
                <w:color w:val="auto"/>
              </w:rPr>
              <w:t>Amortization</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(2,108)</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(2,605)</w:t>
            </w:r>
          </w:p>
        </w:tc>
      </w:tr>
      <w:tr>
        <w:trPr>
          <w:trHeight w:val="200"/>
        </w:trPr>
        <w:tc>
          <w:tcPr>
            <w:tcW w:w="40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Ending balance</w:t>
            </w:r>
          </w:p>
        </w:tc>
        <w:tc>
          <w:tcPr>
            <w:tcW w:w="24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7"/>
          <w:szCs w:val="17"/>
          <w:b w:val="1"/>
          <w:bCs w:val="1"/>
          <w:color w:val="auto"/>
        </w:rPr>
        <w:t>3.</w:t>
        <w:tab/>
        <w:t>BUSINESS COMBINATION</w:t>
      </w:r>
    </w:p>
    <w:p>
      <w:pPr>
        <w:spacing w:after="0" w:line="225"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On January 25, 2021, the Company executed an Asset Purchase Agreement with Tellutax LLC, a Portland, Oregon-based edge computing technology startup (“Tellutax”), to acquire substantially all of Tellutax’s assets (the “Tellutax Acquisition”). Cash consideration paid for the acquisition was $6,100, funded through cash on hand, and serves to strengthen the Company’s technology roadmap and hybrid cloud strategy enabling it to better serve customers in an increasingly hyper-connected environment. The Tellutax Acquisition entitles the sellers to contingent consideration if sales targets are met during a period of time following the acquisition.</w:t>
      </w:r>
    </w:p>
    <w:p>
      <w:pPr>
        <w:spacing w:after="0" w:line="181" w:lineRule="exact"/>
        <w:rPr>
          <w:sz w:val="20"/>
          <w:szCs w:val="20"/>
          <w:color w:val="auto"/>
        </w:rPr>
      </w:pPr>
    </w:p>
    <w:p>
      <w:pPr>
        <w:jc w:val="both"/>
        <w:ind w:left="40" w:right="59" w:firstLine="311"/>
        <w:spacing w:after="0" w:line="275" w:lineRule="auto"/>
        <w:rPr>
          <w:sz w:val="20"/>
          <w:szCs w:val="20"/>
          <w:color w:val="auto"/>
        </w:rPr>
      </w:pPr>
      <w:r>
        <w:rPr>
          <w:rFonts w:ascii="Arial" w:cs="Arial" w:eastAsia="Arial" w:hAnsi="Arial"/>
          <w:sz w:val="16"/>
          <w:szCs w:val="16"/>
          <w:color w:val="auto"/>
        </w:rPr>
        <w:t>The Tellutax Acquisition was accounted for as a business combination. The total preliminary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value of expected future synergies, the existence of intangible assets not recognized under U.S. GAAP such as the value of the assembled workforce and other market factors. The Company expects that goodwill associated with the Tellutax Acquisition will be deductible for tax purposes. The preliminary values recorded, which are reflected in the table below, will be adjusted during the measurement period as more detailed analyses are performed and further information becomes available regarding the fair values of these amounts on the acquisition date. Any subsequent adjustments to these values not associated with determination of their fair values on the acquisition date will be recorded in the consolidated statements of comprehensive income (loss) in the period the change is identified.</w:t>
      </w:r>
    </w:p>
    <w:p>
      <w:pPr>
        <w:spacing w:after="0" w:line="174"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The preliminary purchase price for the Tellutax Acquisition includes cash paid at closing plus an estimated fair value of contingent consideration of $2,200 (the “Tellutax Contingent Consideration”) as of January 25, 2021. The following table presents the allocation of the preliminary purchase price recorded in the condensed consolidated balance sheet as of the acquisition date: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9"/>
              </w:rPr>
              <w:t>January 25, 2021</w:t>
            </w:r>
          </w:p>
        </w:tc>
      </w:tr>
      <w:tr>
        <w:trPr>
          <w:trHeight w:val="136"/>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181"/>
              <w:spacing w:after="0" w:line="136" w:lineRule="exact"/>
              <w:rPr>
                <w:sz w:val="20"/>
                <w:szCs w:val="20"/>
                <w:color w:val="auto"/>
              </w:rPr>
            </w:pPr>
            <w:r>
              <w:rPr>
                <w:rFonts w:ascii="Arial" w:cs="Arial" w:eastAsia="Arial" w:hAnsi="Arial"/>
                <w:sz w:val="14"/>
                <w:szCs w:val="14"/>
                <w:b w:val="1"/>
                <w:bCs w:val="1"/>
                <w:color w:val="auto"/>
              </w:rPr>
              <w:t>(unaudited)</w:t>
            </w:r>
          </w:p>
        </w:tc>
      </w:tr>
      <w:tr>
        <w:trPr>
          <w:trHeight w:val="207"/>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Capitalized Software - Developed technology</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07"/>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2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4,700</w:t>
            </w:r>
          </w:p>
        </w:tc>
      </w:tr>
      <w:tr>
        <w:trPr>
          <w:trHeight w:val="200"/>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8,300</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79" w:firstLine="311"/>
        <w:spacing w:after="0" w:line="264" w:lineRule="auto"/>
        <w:rPr>
          <w:sz w:val="20"/>
          <w:szCs w:val="20"/>
          <w:color w:val="auto"/>
        </w:rPr>
      </w:pPr>
      <w:r>
        <w:rPr>
          <w:rFonts w:ascii="Arial" w:cs="Arial" w:eastAsia="Arial" w:hAnsi="Arial"/>
          <w:sz w:val="17"/>
          <w:szCs w:val="17"/>
          <w:color w:val="auto"/>
        </w:rPr>
        <w:t>The Company has included the financial results of Tellutax in the condensed consolidated statement of comprehensive income (loss) from the date of acquisition. As the Tellutax Acquisition did not have a material impact on the Company’s reported revenue or net income for the three months ended March 31, 2021, pro forma financial information has not been presented.</w:t>
      </w:r>
    </w:p>
    <w:p>
      <w:pPr>
        <w:spacing w:after="0" w:line="177"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The fair value of developed technology was valued using the multi-period excess earnings method, which is a variation of the income approach. This method estimates an intangible asset’s value based on the present value of the incremental after-tax cash flows attributable to the intangible asset. The significant assumptions used in the developed technology valuation included forecasted results and discount rate.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8" w:name="page19"/>
    <w:bookmarkEnd w:id="1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firstLine="311"/>
        <w:spacing w:after="0" w:line="277" w:lineRule="auto"/>
        <w:rPr>
          <w:sz w:val="20"/>
          <w:szCs w:val="20"/>
          <w:color w:val="auto"/>
        </w:rPr>
      </w:pPr>
      <w:r>
        <w:rPr>
          <w:rFonts w:ascii="Arial" w:cs="Arial" w:eastAsia="Arial" w:hAnsi="Arial"/>
          <w:sz w:val="16"/>
          <w:szCs w:val="16"/>
          <w:color w:val="auto"/>
        </w:rPr>
        <w:t>The fair value of Tellutax Contingent Consideration is estimated using a Monte-Carlo simulation to compute the expected cash flows from earn-out payments specified in the purchase agreement.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Tellutax Contingent Consideration is based on three potential earn-out payments determined by periodic revenue achievements over a thirty-month period. Earn-out payments had no maximum limit, but if certain targets are not met, there would be no earn-out payment for the applicable measurement period. The estimated fair value of the Tellutax Contingent Consideration recorded as of the acquisition date was $2,200.</w:t>
      </w:r>
    </w:p>
    <w:p>
      <w:pPr>
        <w:spacing w:after="0" w:line="162" w:lineRule="exact"/>
        <w:rPr>
          <w:sz w:val="20"/>
          <w:szCs w:val="20"/>
          <w:color w:val="auto"/>
        </w:rPr>
      </w:pPr>
    </w:p>
    <w:p>
      <w:pPr>
        <w:ind w:left="440" w:hanging="393"/>
        <w:spacing w:after="0"/>
        <w:tabs>
          <w:tab w:leader="none" w:pos="4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AND FAIR VALUE MEASUREMENTS</w:t>
      </w:r>
    </w:p>
    <w:p>
      <w:pPr>
        <w:spacing w:after="0" w:line="225" w:lineRule="exact"/>
        <w:rPr>
          <w:sz w:val="20"/>
          <w:szCs w:val="20"/>
          <w:color w:val="auto"/>
        </w:rPr>
      </w:pPr>
    </w:p>
    <w:p>
      <w:pPr>
        <w:jc w:val="both"/>
        <w:ind w:left="40" w:right="59" w:firstLine="311"/>
        <w:spacing w:after="0" w:line="321" w:lineRule="auto"/>
        <w:rPr>
          <w:sz w:val="20"/>
          <w:szCs w:val="20"/>
          <w:color w:val="auto"/>
        </w:rPr>
      </w:pPr>
      <w:r>
        <w:rPr>
          <w:rFonts w:ascii="Arial" w:cs="Arial" w:eastAsia="Arial" w:hAnsi="Arial"/>
          <w:sz w:val="15"/>
          <w:szCs w:val="15"/>
          <w:color w:val="auto"/>
        </w:rPr>
        <w:t>The Company has investments in money market accounts, which are included in cash and cash equivalents on the consolidated balance sheets. Fair value inputs for these investments are considered Level 1 measurements within the Fair Value Hierarchy since money market account fair values are known and observable through daily published floating net asset values.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Assets and Liabilities Measured at Fair Value on a Recurring Basis</w:t>
      </w:r>
    </w:p>
    <w:p>
      <w:pPr>
        <w:spacing w:after="0" w:line="225" w:lineRule="exact"/>
        <w:rPr>
          <w:sz w:val="20"/>
          <w:szCs w:val="20"/>
          <w:color w:val="auto"/>
        </w:rPr>
      </w:pPr>
    </w:p>
    <w:p>
      <w:pPr>
        <w:jc w:val="both"/>
        <w:ind w:left="40" w:right="59" w:firstLine="311"/>
        <w:spacing w:after="0" w:line="321" w:lineRule="auto"/>
        <w:rPr>
          <w:sz w:val="20"/>
          <w:szCs w:val="20"/>
          <w:color w:val="auto"/>
        </w:rPr>
      </w:pPr>
      <w:r>
        <w:rPr>
          <w:rFonts w:ascii="Arial" w:cs="Arial" w:eastAsia="Arial" w:hAnsi="Arial"/>
          <w:sz w:val="15"/>
          <w:szCs w:val="15"/>
          <w:color w:val="auto"/>
        </w:rPr>
        <w:t>The Company has investments in money market accounts, which are included in cash and cash equivalents on the consolidated balance sheets. Fair value inputs for these investments are considered Level 1 measurements within the Fair Value Hierarchy since money market account fair values are known and observable through daily published floating net asset values.</w:t>
      </w:r>
    </w:p>
    <w:p>
      <w:pPr>
        <w:spacing w:after="0" w:line="138"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The following table summarizes the Company’s fair value hierarchy for its financial assets and liabilities measured at fair value on a recurring basis: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88"/>
              </w:rPr>
              <w:t>Fair Value Measurements Using</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Prices in active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center"/>
              <w:ind w:right="68"/>
              <w:spacing w:after="0" w:line="113" w:lineRule="exact"/>
              <w:rPr>
                <w:sz w:val="20"/>
                <w:szCs w:val="20"/>
                <w:color w:val="auto"/>
              </w:rPr>
            </w:pPr>
            <w:r>
              <w:rPr>
                <w:rFonts w:ascii="Arial" w:cs="Arial" w:eastAsia="Arial" w:hAnsi="Arial"/>
                <w:sz w:val="13"/>
                <w:szCs w:val="13"/>
                <w:b w:val="1"/>
                <w:bCs w:val="1"/>
                <w:color w:val="auto"/>
                <w:w w:val="96"/>
              </w:rPr>
              <w:t>Significant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w w:val="85"/>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3" w:lineRule="exact"/>
              <w:rPr>
                <w:sz w:val="20"/>
                <w:szCs w:val="20"/>
                <w:color w:val="auto"/>
              </w:rPr>
            </w:pPr>
            <w:r>
              <w:rPr>
                <w:rFonts w:ascii="Arial" w:cs="Arial" w:eastAsia="Arial" w:hAnsi="Arial"/>
                <w:sz w:val="14"/>
                <w:szCs w:val="14"/>
                <w:b w:val="1"/>
                <w:bCs w:val="1"/>
                <w:color w:val="auto"/>
                <w:w w:val="89"/>
              </w:rPr>
              <w:t>markets 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w w:val="86"/>
              </w:rPr>
              <w:t>observable</w:t>
            </w:r>
          </w:p>
        </w:tc>
        <w:tc>
          <w:tcPr>
            <w:tcW w:w="18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43"/>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March 31, 2021</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0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4"/>
              </w:rPr>
              <w:t>identical assets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65"/>
        </w:trPr>
        <w:tc>
          <w:tcPr>
            <w:tcW w:w="352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5"/>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1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225,215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225,215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Tellutax Contingent Consideration*</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2,200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28"/>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2,200</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88"/>
              </w:rPr>
              <w:t>Fair Value Measurements Using</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Prices in active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center"/>
              <w:ind w:right="68"/>
              <w:spacing w:after="0" w:line="113" w:lineRule="exact"/>
              <w:rPr>
                <w:sz w:val="20"/>
                <w:szCs w:val="20"/>
                <w:color w:val="auto"/>
              </w:rPr>
            </w:pPr>
            <w:r>
              <w:rPr>
                <w:rFonts w:ascii="Arial" w:cs="Arial" w:eastAsia="Arial" w:hAnsi="Arial"/>
                <w:sz w:val="13"/>
                <w:szCs w:val="13"/>
                <w:b w:val="1"/>
                <w:bCs w:val="1"/>
                <w:color w:val="auto"/>
                <w:w w:val="96"/>
              </w:rPr>
              <w:t>Significant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w w:val="85"/>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3" w:lineRule="exact"/>
              <w:rPr>
                <w:sz w:val="20"/>
                <w:szCs w:val="20"/>
                <w:color w:val="auto"/>
              </w:rPr>
            </w:pPr>
            <w:r>
              <w:rPr>
                <w:rFonts w:ascii="Arial" w:cs="Arial" w:eastAsia="Arial" w:hAnsi="Arial"/>
                <w:sz w:val="14"/>
                <w:szCs w:val="14"/>
                <w:b w:val="1"/>
                <w:bCs w:val="1"/>
                <w:color w:val="auto"/>
                <w:w w:val="89"/>
              </w:rPr>
              <w:t>markets 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w w:val="86"/>
              </w:rPr>
              <w:t>observable</w:t>
            </w:r>
          </w:p>
        </w:tc>
        <w:tc>
          <w:tcPr>
            <w:tcW w:w="18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43"/>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0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4"/>
              </w:rPr>
              <w:t>identical assets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65"/>
        </w:trPr>
        <w:tc>
          <w:tcPr>
            <w:tcW w:w="352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5"/>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1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265,270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265,270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0" w:right="79" w:hanging="313"/>
        <w:spacing w:after="0" w:line="284"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discussed in Note 3, this amount reflects the Tellutax Contingent Consideration for potential payments based on achievement of future revenue targets.</w:t>
      </w:r>
    </w:p>
    <w:p>
      <w:pPr>
        <w:spacing w:after="0" w:line="153"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b w:val="1"/>
          <w:bCs w:val="1"/>
          <w:color w:val="auto"/>
        </w:rPr>
        <w:t>Assets and Liabilities for Which Fair Value is Only Disclosed</w:t>
      </w:r>
    </w:p>
    <w:p>
      <w:pPr>
        <w:spacing w:after="0" w:line="225" w:lineRule="exact"/>
        <w:rPr>
          <w:sz w:val="20"/>
          <w:szCs w:val="20"/>
          <w:color w:val="auto"/>
        </w:rPr>
      </w:pPr>
    </w:p>
    <w:p>
      <w:pPr>
        <w:ind w:left="40" w:right="59" w:firstLine="311"/>
        <w:spacing w:after="0" w:line="284" w:lineRule="auto"/>
        <w:rPr>
          <w:sz w:val="20"/>
          <w:szCs w:val="20"/>
          <w:color w:val="auto"/>
        </w:rPr>
      </w:pPr>
      <w:r>
        <w:rPr>
          <w:rFonts w:ascii="Arial" w:cs="Arial" w:eastAsia="Arial" w:hAnsi="Arial"/>
          <w:sz w:val="17"/>
          <w:szCs w:val="17"/>
          <w:color w:val="auto"/>
        </w:rPr>
        <w:t>The residual carrying amount of cash and cash equivalents and the carrying amount of funds held for customers were the same as their respective fair values and are considered Level 1 measurements.</w:t>
      </w:r>
    </w:p>
    <w:p>
      <w:pPr>
        <w:spacing w:after="0" w:line="160" w:lineRule="exact"/>
        <w:rPr>
          <w:sz w:val="20"/>
          <w:szCs w:val="20"/>
          <w:color w:val="auto"/>
        </w:rPr>
      </w:pPr>
    </w:p>
    <w:p>
      <w:pPr>
        <w:ind w:left="40" w:right="59" w:firstLine="311"/>
        <w:spacing w:after="0" w:line="284" w:lineRule="auto"/>
        <w:rPr>
          <w:sz w:val="20"/>
          <w:szCs w:val="20"/>
          <w:color w:val="auto"/>
        </w:rPr>
      </w:pPr>
      <w:r>
        <w:rPr>
          <w:rFonts w:ascii="Arial" w:cs="Arial" w:eastAsia="Arial" w:hAnsi="Arial"/>
          <w:sz w:val="17"/>
          <w:szCs w:val="17"/>
          <w:color w:val="auto"/>
        </w:rPr>
        <w:t>The carrying amounts for accounts receivable, accounts payable, and accrued expenses approximate their relative fair values due to their short-term nature and are considered Level 2 measurements.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19" w:name="page20"/>
    <w:bookmarkEnd w:id="1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Non-recurring Fair Value Measurements</w:t>
      </w:r>
    </w:p>
    <w:p>
      <w:pPr>
        <w:spacing w:after="0" w:line="225" w:lineRule="exact"/>
        <w:rPr>
          <w:sz w:val="20"/>
          <w:szCs w:val="20"/>
          <w:color w:val="auto"/>
        </w:rPr>
      </w:pPr>
    </w:p>
    <w:p>
      <w:pPr>
        <w:jc w:val="both"/>
        <w:ind w:left="40" w:right="59" w:firstLine="311"/>
        <w:spacing w:after="0" w:line="317" w:lineRule="auto"/>
        <w:rPr>
          <w:sz w:val="20"/>
          <w:szCs w:val="20"/>
          <w:color w:val="auto"/>
        </w:rPr>
      </w:pPr>
      <w:r>
        <w:rPr>
          <w:rFonts w:ascii="Arial" w:cs="Arial" w:eastAsia="Arial" w:hAnsi="Arial"/>
          <w:sz w:val="16"/>
          <w:szCs w:val="16"/>
          <w:color w:val="auto"/>
        </w:rPr>
        <w:t>The Tellutax Acquisition on January 25, 2021, was accounted for as a business combination and the total purchase price was allocated to the net assets acquired and liabilities assumed based on their estimated fair values. See Note 3.</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220" w:type="dxa"/>
            <w:vAlign w:val="bottom"/>
            <w:gridSpan w:val="2"/>
          </w:tcPr>
          <w:p>
            <w:pPr>
              <w:spacing w:after="0"/>
              <w:rPr>
                <w:sz w:val="20"/>
                <w:szCs w:val="20"/>
                <w:color w:val="auto"/>
              </w:rPr>
            </w:pPr>
            <w:r>
              <w:rPr>
                <w:rFonts w:ascii="Arial" w:cs="Arial" w:eastAsia="Arial" w:hAnsi="Arial"/>
                <w:sz w:val="17"/>
                <w:szCs w:val="17"/>
                <w:b w:val="1"/>
                <w:bCs w:val="1"/>
                <w:color w:val="auto"/>
              </w:rPr>
              <w:t>5.</w:t>
            </w:r>
          </w:p>
        </w:tc>
        <w:tc>
          <w:tcPr>
            <w:tcW w:w="5440" w:type="dxa"/>
            <w:vAlign w:val="bottom"/>
          </w:tcPr>
          <w:p>
            <w:pPr>
              <w:ind w:left="180"/>
              <w:spacing w:after="0"/>
              <w:rPr>
                <w:sz w:val="20"/>
                <w:szCs w:val="20"/>
                <w:color w:val="auto"/>
              </w:rPr>
            </w:pPr>
            <w:r>
              <w:rPr>
                <w:rFonts w:ascii="Arial" w:cs="Arial" w:eastAsia="Arial" w:hAnsi="Arial"/>
                <w:sz w:val="17"/>
                <w:szCs w:val="17"/>
                <w:b w:val="1"/>
                <w:bCs w:val="1"/>
                <w:color w:val="auto"/>
              </w:rPr>
              <w:t>PROPERTY AND EQUIPMENT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7"/>
                <w:szCs w:val="17"/>
                <w:color w:val="auto"/>
              </w:rPr>
              <w:t>The major components of property and equipment are as follows: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As of March 31,</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136"/>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6"/>
              <w:spacing w:after="0" w:line="136"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7"/>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20,901</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20,907</w:t>
            </w:r>
          </w:p>
        </w:tc>
      </w:tr>
      <w:tr>
        <w:trPr>
          <w:trHeight w:val="207"/>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40,219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41,410</w:t>
            </w:r>
          </w:p>
        </w:tc>
      </w:tr>
      <w:tr>
        <w:trPr>
          <w:trHeight w:val="207"/>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software purchased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11,620</w:t>
            </w:r>
          </w:p>
        </w:tc>
      </w:tr>
      <w:tr>
        <w:trPr>
          <w:trHeight w:val="207"/>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7"/>
                <w:szCs w:val="17"/>
                <w:color w:val="auto"/>
              </w:rPr>
              <w:t>Internal-use software developed: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5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Cloud-based customer solutions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65,423</w:t>
            </w:r>
          </w:p>
        </w:tc>
      </w:tr>
      <w:tr>
        <w:trPr>
          <w:trHeight w:val="207"/>
        </w:trPr>
        <w:tc>
          <w:tcPr>
            <w:tcW w:w="20" w:type="dxa"/>
            <w:vAlign w:val="bottom"/>
          </w:tcPr>
          <w:p>
            <w:pPr>
              <w:spacing w:after="0"/>
              <w:rPr>
                <w:sz w:val="18"/>
                <w:szCs w:val="18"/>
                <w:color w:val="auto"/>
              </w:rPr>
            </w:pPr>
          </w:p>
        </w:tc>
        <w:tc>
          <w:tcPr>
            <w:tcW w:w="5640" w:type="dxa"/>
            <w:vAlign w:val="bottom"/>
            <w:gridSpan w:val="2"/>
          </w:tcPr>
          <w:p>
            <w:pPr>
              <w:ind w:left="100"/>
              <w:spacing w:after="0"/>
              <w:rPr>
                <w:sz w:val="20"/>
                <w:szCs w:val="20"/>
                <w:color w:val="auto"/>
              </w:rPr>
            </w:pPr>
            <w:r>
              <w:rPr>
                <w:rFonts w:ascii="Arial" w:cs="Arial" w:eastAsia="Arial" w:hAnsi="Arial"/>
                <w:sz w:val="17"/>
                <w:szCs w:val="17"/>
                <w:color w:val="auto"/>
              </w:rPr>
              <w:t>Internal systems and tools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28,886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25,349</w:t>
            </w:r>
          </w:p>
        </w:tc>
      </w:tr>
      <w:tr>
        <w:trPr>
          <w:trHeight w:val="207"/>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7,674</w:t>
            </w:r>
          </w:p>
        </w:tc>
      </w:tr>
      <w:tr>
        <w:trPr>
          <w:trHeight w:val="207"/>
        </w:trPr>
        <w:tc>
          <w:tcPr>
            <w:tcW w:w="20" w:type="dxa"/>
            <w:vAlign w:val="bottom"/>
          </w:tcPr>
          <w:p>
            <w:pPr>
              <w:spacing w:after="0"/>
              <w:rPr>
                <w:sz w:val="18"/>
                <w:szCs w:val="18"/>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In-process internal-use software</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3,304</w:t>
            </w:r>
          </w:p>
        </w:tc>
      </w:tr>
      <w:tr>
        <w:trPr>
          <w:trHeight w:val="200"/>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175,687</w:t>
            </w:r>
          </w:p>
        </w:tc>
      </w:tr>
      <w:tr>
        <w:trPr>
          <w:trHeight w:val="207"/>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7"/>
                <w:szCs w:val="17"/>
                <w:color w:val="auto"/>
              </w:rPr>
              <w:t>Less accumulated depreciation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(123,212)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(119,130)</w:t>
            </w:r>
          </w:p>
        </w:tc>
      </w:tr>
      <w:tr>
        <w:trPr>
          <w:trHeight w:val="200"/>
        </w:trPr>
        <w:tc>
          <w:tcPr>
            <w:tcW w:w="20" w:type="dxa"/>
            <w:vAlign w:val="bottom"/>
          </w:tcPr>
          <w:p>
            <w:pPr>
              <w:spacing w:after="0"/>
              <w:rPr>
                <w:sz w:val="17"/>
                <w:szCs w:val="17"/>
                <w:color w:val="auto"/>
              </w:rPr>
            </w:pPr>
          </w:p>
        </w:tc>
        <w:tc>
          <w:tcPr>
            <w:tcW w:w="56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Property and equipment, net</w:t>
            </w: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57,408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56,557</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firstLine="311"/>
        <w:spacing w:after="0" w:line="286" w:lineRule="auto"/>
        <w:rPr>
          <w:sz w:val="20"/>
          <w:szCs w:val="20"/>
          <w:color w:val="auto"/>
        </w:rPr>
      </w:pPr>
      <w:r>
        <w:rPr>
          <w:rFonts w:ascii="Arial" w:cs="Arial" w:eastAsia="Arial" w:hAnsi="Arial"/>
          <w:sz w:val="16"/>
          <w:szCs w:val="16"/>
          <w:color w:val="auto"/>
        </w:rPr>
        <w:t>Depreciation expense for property and equipment, excluding all internal-use software developed and finance leases, was $1,906 and $2,175 for the three months ended March 31, 2021 and 2020 (unaudited), respectively. Depreciation for property and equipment, excluding internal-use software developed for cloud-based customer solutions, is reflected in depreciation and amortization in the condensed consolidated statements of comprehensive income (loss).</w:t>
      </w:r>
    </w:p>
    <w:p>
      <w:pPr>
        <w:spacing w:after="0" w:line="160" w:lineRule="exact"/>
        <w:rPr>
          <w:sz w:val="20"/>
          <w:szCs w:val="20"/>
          <w:color w:val="auto"/>
        </w:rPr>
      </w:pPr>
    </w:p>
    <w:p>
      <w:pPr>
        <w:jc w:val="both"/>
        <w:ind w:left="40" w:right="59" w:firstLine="311"/>
        <w:spacing w:after="0" w:line="279" w:lineRule="auto"/>
        <w:rPr>
          <w:sz w:val="20"/>
          <w:szCs w:val="20"/>
          <w:color w:val="auto"/>
        </w:rPr>
      </w:pPr>
      <w:r>
        <w:rPr>
          <w:rFonts w:ascii="Arial" w:cs="Arial" w:eastAsia="Arial" w:hAnsi="Arial"/>
          <w:sz w:val="16"/>
          <w:szCs w:val="16"/>
          <w:color w:val="auto"/>
        </w:rPr>
        <w:t>Finance lease amortization was $224 for the three months ended March 31, 2021 and depreciation expense for assets held under capital leases was $168 for the three months ended March 31, 2020, and are included in depreciation and amortization expense in the condensed consolidated statements of comprehensive income (loss). Assets under finance leases was $1,533, net of accumulated depreciation of $224, at March 31, 2021 are included in property and equipment in the condensed consolidated balance sheets. Assets under capital leases of $1,360, net of accumulated depreciation of $1,369, at March 31, 2020 (unaudited) are included in property and equipment in the condensed consolidated balance sheets.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major components of internal-use software are as follows: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As of March 31,</w:t>
            </w:r>
          </w:p>
        </w:tc>
        <w:tc>
          <w:tcPr>
            <w:tcW w:w="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As of December 31,</w:t>
            </w:r>
          </w:p>
        </w:tc>
      </w:tr>
      <w:tr>
        <w:trPr>
          <w:trHeight w:val="165"/>
        </w:trPr>
        <w:tc>
          <w:tcPr>
            <w:tcW w:w="6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r>
      <w:tr>
        <w:trPr>
          <w:trHeight w:val="136"/>
        </w:trPr>
        <w:tc>
          <w:tcPr>
            <w:tcW w:w="6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9"/>
              <w:spacing w:after="0" w:line="136" w:lineRule="exact"/>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07"/>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Internal-use software developed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94,309</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90,772</w:t>
            </w:r>
          </w:p>
        </w:tc>
      </w:tr>
      <w:tr>
        <w:trPr>
          <w:trHeight w:val="207"/>
        </w:trPr>
        <w:tc>
          <w:tcPr>
            <w:tcW w:w="648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(68,463)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(65,090)</w:t>
            </w:r>
          </w:p>
        </w:tc>
      </w:tr>
      <w:tr>
        <w:trPr>
          <w:trHeight w:val="200"/>
        </w:trPr>
        <w:tc>
          <w:tcPr>
            <w:tcW w:w="6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25,846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25,682</w:t>
            </w:r>
          </w:p>
        </w:tc>
      </w:tr>
      <w:tr>
        <w:trPr>
          <w:trHeight w:val="207"/>
        </w:trPr>
        <w:tc>
          <w:tcPr>
            <w:tcW w:w="6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In-process internal-use software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3,304</w:t>
            </w:r>
          </w:p>
        </w:tc>
      </w:tr>
      <w:tr>
        <w:trPr>
          <w:trHeight w:val="200"/>
        </w:trPr>
        <w:tc>
          <w:tcPr>
            <w:tcW w:w="6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Internal-use software developed,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31,682</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28,986</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Amounts capitalized for internal-use software and included in property and equipment additions on the condensed consolidated statements of cash flows are as follows:</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As of March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82"/>
              <w:spacing w:after="0"/>
              <w:rPr>
                <w:sz w:val="20"/>
                <w:szCs w:val="20"/>
                <w:color w:val="auto"/>
              </w:rPr>
            </w:pPr>
            <w:r>
              <w:rPr>
                <w:rFonts w:ascii="Arial" w:cs="Arial" w:eastAsia="Arial" w:hAnsi="Arial"/>
                <w:sz w:val="14"/>
                <w:szCs w:val="14"/>
                <w:b w:val="1"/>
                <w:bCs w:val="1"/>
                <w:color w:val="auto"/>
                <w:w w:val="90"/>
              </w:rPr>
              <w:t>As of March 31,</w:t>
            </w: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42"/>
              <w:spacing w:after="0" w:line="136" w:lineRule="exact"/>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2"/>
              <w:spacing w:after="0" w:line="136" w:lineRule="exact"/>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Cloud-based customer solutions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3,834</w:t>
            </w:r>
          </w:p>
        </w:tc>
        <w:tc>
          <w:tcPr>
            <w:tcW w:w="0" w:type="dxa"/>
            <w:vAlign w:val="bottom"/>
          </w:tcPr>
          <w:p>
            <w:pPr>
              <w:spacing w:after="0"/>
              <w:rPr>
                <w:sz w:val="1"/>
                <w:szCs w:val="1"/>
                <w:color w:val="auto"/>
              </w:rPr>
            </w:pPr>
          </w:p>
        </w:tc>
      </w:tr>
      <w:tr>
        <w:trPr>
          <w:trHeight w:val="207"/>
        </w:trPr>
        <w:tc>
          <w:tcPr>
            <w:tcW w:w="32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Internal systems and tools</w:t>
            </w:r>
          </w:p>
        </w:tc>
        <w:tc>
          <w:tcPr>
            <w:tcW w:w="2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0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6,069</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920" w:type="dxa"/>
            <w:vAlign w:val="bottom"/>
            <w:vMerge w:val="restart"/>
          </w:tcPr>
          <w:p>
            <w:pPr>
              <w:jc w:val="right"/>
              <w:ind w:right="1514"/>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32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3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46" w:right="1440" w:bottom="1440" w:gutter="0" w:footer="0" w:header="0"/>
        </w:sectPr>
      </w:pPr>
    </w:p>
    <w:bookmarkStart w:id="20" w:name="page21"/>
    <w:bookmarkEnd w:id="2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In-process internal-use software developed is not depreciated until it is available for its intended use. Depreciation expense for internal-use software developed for cloud-based customer solutions for the three months ended March 31, 2021 and 2020 (unaudited) was $2,676 and $2,011, respectively, and is included in cost of revenues, software subscriptions in the condensed consolidated statements of comprehensive income (loss).</w:t>
      </w:r>
    </w:p>
    <w:p>
      <w:pPr>
        <w:spacing w:after="0" w:line="177"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Depreciation expense for internal-use software developed for internal systems and tools for the three months ended March 31, 2021 and 2020 (unaudited) was $697 and $526, respectively, and is included in depreciation and amortization in the condensed consolidated statements of comprehensive income (loss).</w:t>
      </w:r>
    </w:p>
    <w:p>
      <w:pPr>
        <w:spacing w:after="0" w:line="166"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7"/>
          <w:szCs w:val="17"/>
          <w:b w:val="1"/>
          <w:bCs w:val="1"/>
          <w:color w:val="auto"/>
        </w:rPr>
        <w:t>6.</w:t>
        <w:tab/>
        <w:t>CAPITALIZED SOFTWARE</w:t>
      </w:r>
    </w:p>
    <w:p>
      <w:pPr>
        <w:spacing w:after="0" w:line="225" w:lineRule="exact"/>
        <w:rPr>
          <w:sz w:val="20"/>
          <w:szCs w:val="20"/>
          <w:color w:val="auto"/>
        </w:rPr>
      </w:pPr>
    </w:p>
    <w:p>
      <w:pPr>
        <w:jc w:val="both"/>
        <w:ind w:left="40" w:right="79" w:firstLine="311"/>
        <w:spacing w:after="0" w:line="284" w:lineRule="auto"/>
        <w:rPr>
          <w:sz w:val="20"/>
          <w:szCs w:val="20"/>
          <w:color w:val="auto"/>
        </w:rPr>
      </w:pPr>
      <w:r>
        <w:rPr>
          <w:rFonts w:ascii="Arial" w:cs="Arial" w:eastAsia="Arial" w:hAnsi="Arial"/>
          <w:sz w:val="17"/>
          <w:szCs w:val="17"/>
          <w:color w:val="auto"/>
        </w:rPr>
        <w:t>Capitalized software includes acquired software and direct labor and related expenses for software developed for sale for new products and enhancements to existing products.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major components of capitalized software are as follows: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As of March 31,</w:t>
            </w:r>
          </w:p>
        </w:tc>
        <w:tc>
          <w:tcPr>
            <w:tcW w:w="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r>
      <w:tr>
        <w:trPr>
          <w:trHeight w:val="165"/>
        </w:trPr>
        <w:tc>
          <w:tcPr>
            <w:tcW w:w="4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136"/>
        </w:trPr>
        <w:tc>
          <w:tcPr>
            <w:tcW w:w="43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9"/>
              <w:spacing w:after="0" w:line="136"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7"/>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Capitalized software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64,515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63,071</w:t>
            </w:r>
          </w:p>
        </w:tc>
      </w:tr>
      <w:tr>
        <w:trPr>
          <w:trHeight w:val="207"/>
        </w:trPr>
        <w:tc>
          <w:tcPr>
            <w:tcW w:w="430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(35,385)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(32,217)</w:t>
            </w:r>
          </w:p>
        </w:tc>
      </w:tr>
      <w:tr>
        <w:trPr>
          <w:trHeight w:val="200"/>
        </w:trPr>
        <w:tc>
          <w:tcPr>
            <w:tcW w:w="43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29,130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30,854</w:t>
            </w:r>
          </w:p>
        </w:tc>
      </w:tr>
      <w:tr>
        <w:trPr>
          <w:trHeight w:val="207"/>
        </w:trPr>
        <w:tc>
          <w:tcPr>
            <w:tcW w:w="4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In-process capitalized software</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w:t>
            </w:r>
          </w:p>
        </w:tc>
      </w:tr>
      <w:tr>
        <w:trPr>
          <w:trHeight w:val="200"/>
        </w:trPr>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Capitalized software, net</w:t>
            </w:r>
          </w:p>
        </w:tc>
        <w:tc>
          <w:tcPr>
            <w:tcW w:w="2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34,642</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31,989</w:t>
            </w:r>
          </w:p>
        </w:tc>
      </w:tr>
      <w:tr>
        <w:trPr>
          <w:trHeight w:val="20"/>
        </w:trPr>
        <w:tc>
          <w:tcPr>
            <w:tcW w:w="4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firstLine="311"/>
        <w:spacing w:after="0" w:line="310" w:lineRule="auto"/>
        <w:rPr>
          <w:sz w:val="20"/>
          <w:szCs w:val="20"/>
          <w:color w:val="auto"/>
        </w:rPr>
      </w:pPr>
      <w:r>
        <w:rPr>
          <w:rFonts w:ascii="Arial" w:cs="Arial" w:eastAsia="Arial" w:hAnsi="Arial"/>
          <w:sz w:val="15"/>
          <w:szCs w:val="15"/>
          <w:color w:val="auto"/>
        </w:rPr>
        <w:t>Software development costs capitalized for the three months ended March 31, 2021 and 2020 (unaudited) were $2,221 and $3,706, respectively. During the three months ended March 31, 2021, a preliminary value of $3,600 for developed technology the Company acquired in the Tellutax business combination was recorded and is reflected in in-process capitalized software as the Company undertakes necessary enhancements to integrate it with the Company’s existing software architecture.</w:t>
      </w:r>
    </w:p>
    <w:p>
      <w:pPr>
        <w:spacing w:after="0" w:line="146"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Capitalized software amortization expense for the three months ended March 31, 2021 and 2020 was $3,168 and $2,556, respectively, and is included in cost of revenues, software subscriptions in the condensed consolidated statements of comprehensive income (loss).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7.  LEASES</w:t>
      </w:r>
    </w:p>
    <w:p>
      <w:pPr>
        <w:spacing w:after="0" w:line="225"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The Company leases office space, IT equipment and office equipment. Leases with an initial term of 12 months or less are not recorded on the condensed consolidated balance sheets and lease expense is recognized over the term of these leases on a straight-line basis. The Company’s leases have remaining terms of up to 9 years.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21" w:name="page22"/>
    <w:bookmarkEnd w:id="2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Company’s lease assets and liabilities and their balance sheet location as follows: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Balance Sheet Location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As of March 31,</w:t>
            </w:r>
          </w:p>
        </w:tc>
        <w:tc>
          <w:tcPr>
            <w:tcW w:w="0" w:type="dxa"/>
            <w:vAlign w:val="bottom"/>
          </w:tcPr>
          <w:p>
            <w:pPr>
              <w:spacing w:after="0"/>
              <w:rPr>
                <w:sz w:val="1"/>
                <w:szCs w:val="1"/>
                <w:color w:val="auto"/>
              </w:rPr>
            </w:pPr>
          </w:p>
        </w:tc>
      </w:tr>
      <w:tr>
        <w:trPr>
          <w:trHeight w:val="193"/>
        </w:trPr>
        <w:tc>
          <w:tcPr>
            <w:tcW w:w="3540" w:type="dxa"/>
            <w:vAlign w:val="bottom"/>
            <w:gridSpan w:val="2"/>
            <w:vMerge w:val="restart"/>
          </w:tcPr>
          <w:p>
            <w:pPr>
              <w:spacing w:after="0"/>
              <w:rPr>
                <w:sz w:val="20"/>
                <w:szCs w:val="20"/>
                <w:color w:val="auto"/>
              </w:rPr>
            </w:pPr>
            <w:r>
              <w:rPr>
                <w:rFonts w:ascii="Arial" w:cs="Arial" w:eastAsia="Arial" w:hAnsi="Arial"/>
                <w:sz w:val="17"/>
                <w:szCs w:val="17"/>
                <w:color w:val="auto"/>
              </w:rPr>
              <w:t>Lease assets:</w:t>
            </w:r>
          </w:p>
        </w:tc>
        <w:tc>
          <w:tcPr>
            <w:tcW w:w="3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0"/>
        </w:trPr>
        <w:tc>
          <w:tcPr>
            <w:tcW w:w="3540" w:type="dxa"/>
            <w:vAlign w:val="bottom"/>
            <w:gridSpan w:val="2"/>
            <w:vMerge w:val="continue"/>
          </w:tcPr>
          <w:p>
            <w:pPr>
              <w:spacing w:after="0"/>
              <w:rPr>
                <w:sz w:val="17"/>
                <w:szCs w:val="17"/>
                <w:color w:val="auto"/>
              </w:rPr>
            </w:pPr>
          </w:p>
        </w:tc>
        <w:tc>
          <w:tcPr>
            <w:tcW w:w="3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lease right-of-use assets</w:t>
            </w:r>
          </w:p>
        </w:tc>
        <w:tc>
          <w:tcPr>
            <w:tcW w:w="386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Operating lease right-of-use assets</w:t>
            </w:r>
          </w:p>
        </w:tc>
        <w:tc>
          <w:tcPr>
            <w:tcW w:w="180" w:type="dxa"/>
            <w:vAlign w:val="bottom"/>
            <w:gridSpan w:val="2"/>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Finance lease assets</w:t>
            </w:r>
          </w:p>
        </w:tc>
        <w:tc>
          <w:tcPr>
            <w:tcW w:w="386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7"/>
                <w:szCs w:val="17"/>
                <w:color w:val="auto"/>
                <w:w w:val="91"/>
              </w:rPr>
              <w:t>Property and equipment, net (Note 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lease assets</w:t>
            </w:r>
          </w:p>
        </w:tc>
        <w:tc>
          <w:tcPr>
            <w:tcW w:w="3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7"/>
                <w:szCs w:val="17"/>
                <w:color w:val="auto"/>
              </w:rPr>
              <w:t>Current:</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Operating lease liabilities</w:t>
            </w:r>
          </w:p>
        </w:tc>
        <w:tc>
          <w:tcPr>
            <w:tcW w:w="386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4"/>
              </w:rPr>
              <w:t>Current portion of operating lease liabilities</w:t>
            </w:r>
          </w:p>
        </w:tc>
        <w:tc>
          <w:tcPr>
            <w:tcW w:w="180" w:type="dxa"/>
            <w:vAlign w:val="bottom"/>
            <w:gridSpan w:val="2"/>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Finance lease liabilities</w:t>
            </w:r>
          </w:p>
        </w:tc>
        <w:tc>
          <w:tcPr>
            <w:tcW w:w="386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4"/>
              </w:rPr>
              <w:t>Current portion of finance lease liabilities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Total current lease liabilities</w:t>
            </w:r>
          </w:p>
        </w:tc>
        <w:tc>
          <w:tcPr>
            <w:tcW w:w="3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7"/>
                <w:szCs w:val="17"/>
                <w:color w:val="auto"/>
              </w:rPr>
              <w:t>Non-current:</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Operating lease liabilities</w:t>
            </w:r>
          </w:p>
        </w:tc>
        <w:tc>
          <w:tcPr>
            <w:tcW w:w="386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3"/>
              </w:rPr>
              <w:t>Operating lease liabilities, net of current portion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26,671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Finance lease liabilities</w:t>
            </w:r>
          </w:p>
        </w:tc>
        <w:tc>
          <w:tcPr>
            <w:tcW w:w="386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7"/>
                <w:szCs w:val="17"/>
                <w:color w:val="auto"/>
                <w:w w:val="93"/>
              </w:rPr>
              <w:t>Finance lease liabilities, net of current portion</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Total non-current lease liabilities</w:t>
            </w:r>
          </w:p>
        </w:tc>
        <w:tc>
          <w:tcPr>
            <w:tcW w:w="3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27,005</w:t>
            </w:r>
          </w:p>
        </w:tc>
        <w:tc>
          <w:tcPr>
            <w:tcW w:w="0" w:type="dxa"/>
            <w:vAlign w:val="bottom"/>
          </w:tcPr>
          <w:p>
            <w:pPr>
              <w:spacing w:after="0"/>
              <w:rPr>
                <w:sz w:val="1"/>
                <w:szCs w:val="1"/>
                <w:color w:val="auto"/>
              </w:rPr>
            </w:pPr>
          </w:p>
        </w:tc>
      </w:tr>
      <w:tr>
        <w:trPr>
          <w:trHeight w:val="200"/>
        </w:trPr>
        <w:tc>
          <w:tcPr>
            <w:tcW w:w="3540" w:type="dxa"/>
            <w:vAlign w:val="bottom"/>
            <w:gridSpan w:val="2"/>
          </w:tcPr>
          <w:p>
            <w:pPr>
              <w:spacing w:after="0"/>
              <w:rPr>
                <w:sz w:val="20"/>
                <w:szCs w:val="20"/>
                <w:color w:val="auto"/>
              </w:rPr>
            </w:pPr>
            <w:r>
              <w:rPr>
                <w:rFonts w:ascii="Arial" w:cs="Arial" w:eastAsia="Arial" w:hAnsi="Arial"/>
                <w:sz w:val="17"/>
                <w:szCs w:val="17"/>
                <w:color w:val="auto"/>
              </w:rPr>
              <w:t>Total lease liabilities</w:t>
            </w: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major components of lease cost is as follows:</w:t>
      </w:r>
    </w:p>
    <w:p>
      <w:pPr>
        <w:sectPr>
          <w:pgSz w:w="11900" w:h="16838" w:orient="portrait"/>
          <w:cols w:equalWidth="0" w:num="1">
            <w:col w:w="9019"/>
          </w:cols>
          <w:pgMar w:left="14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-115570</wp:posOffset>
            </wp:positionV>
            <wp:extent cx="5655945" cy="131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5945" cy="131445"/>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-115570</wp:posOffset>
            </wp:positionV>
            <wp:extent cx="5655945" cy="131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5945" cy="13144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Amortization of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5655945" cy="131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5945" cy="1314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Interest on lease liabilities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lease cost</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weighted-average term and discount rate for leases is as follows: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-115570</wp:posOffset>
            </wp:positionV>
            <wp:extent cx="5655945" cy="131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5945" cy="131445"/>
                    </a:xfrm>
                    <a:prstGeom prst="rect">
                      <a:avLst/>
                    </a:prstGeom>
                    <a:noFill/>
                  </pic:spPr>
                </pic:pic>
              </a:graphicData>
            </a:graphic>
          </wp:anchor>
        </w:drawing>
      </w:r>
    </w:p>
    <w:p>
      <w:pPr>
        <w:spacing w:after="0" w:line="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5655945" cy="131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5945" cy="1314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Finance leases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-115570</wp:posOffset>
            </wp:positionV>
            <wp:extent cx="5655945" cy="131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5945" cy="131445"/>
                    </a:xfrm>
                    <a:prstGeom prst="rect">
                      <a:avLst/>
                    </a:prstGeom>
                    <a:noFill/>
                  </pic:spPr>
                </pic:pic>
              </a:graphicData>
            </a:graphic>
          </wp:anchor>
        </w:drawing>
      </w:r>
    </w:p>
    <w:p>
      <w:pPr>
        <w:spacing w:after="0" w:line="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5655945" cy="131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5945" cy="1314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Finance leases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For the three months ended</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169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spacing w:after="0"/>
        <w:tabs>
          <w:tab w:leader="none" w:pos="1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1,169</w:t>
      </w:r>
    </w:p>
    <w:p>
      <w:pPr>
        <w:spacing w:after="0" w:line="200" w:lineRule="exact"/>
        <w:rPr>
          <w:sz w:val="20"/>
          <w:szCs w:val="20"/>
          <w:color w:val="auto"/>
        </w:rPr>
      </w:pPr>
    </w:p>
    <w:p>
      <w:pPr>
        <w:spacing w:after="0" w:line="236" w:lineRule="exact"/>
        <w:rPr>
          <w:sz w:val="20"/>
          <w:szCs w:val="20"/>
          <w:color w:val="auto"/>
        </w:rPr>
      </w:pPr>
    </w:p>
    <w:p>
      <w:pPr>
        <w:jc w:val="right"/>
        <w:ind w:right="119"/>
        <w:spacing w:after="0"/>
        <w:rPr>
          <w:sz w:val="20"/>
          <w:szCs w:val="20"/>
          <w:color w:val="auto"/>
        </w:rPr>
      </w:pPr>
      <w:r>
        <w:rPr>
          <w:rFonts w:ascii="Arial" w:cs="Arial" w:eastAsia="Arial" w:hAnsi="Arial"/>
          <w:sz w:val="17"/>
          <w:szCs w:val="17"/>
          <w:color w:val="auto"/>
        </w:rPr>
        <w:t>224</w:t>
      </w:r>
    </w:p>
    <w:p>
      <w:pPr>
        <w:spacing w:after="0" w:line="25" w:lineRule="exact"/>
        <w:rPr>
          <w:sz w:val="20"/>
          <w:szCs w:val="20"/>
          <w:color w:val="auto"/>
        </w:rPr>
      </w:pPr>
    </w:p>
    <w:p>
      <w:pPr>
        <w:jc w:val="right"/>
        <w:ind w:right="1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1690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1169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69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1169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March 31,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2540</wp:posOffset>
            </wp:positionV>
            <wp:extent cx="7575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7.2</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1.8</w:t>
      </w:r>
    </w:p>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2.2 %</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2.4 %</w:t>
      </w:r>
    </w:p>
    <w:p>
      <w:pPr>
        <w:spacing w:after="0" w:line="200" w:lineRule="exact"/>
        <w:rPr>
          <w:sz w:val="20"/>
          <w:szCs w:val="20"/>
          <w:color w:val="auto"/>
        </w:rPr>
      </w:pPr>
    </w:p>
    <w:p>
      <w:pPr>
        <w:sectPr>
          <w:pgSz w:w="11900" w:h="16838" w:orient="portrait"/>
          <w:cols w:equalWidth="0" w:num="2">
            <w:col w:w="6400" w:space="720"/>
            <w:col w:w="1899"/>
          </w:cols>
          <w:pgMar w:left="1440" w:top="646" w:right="1440"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359410</wp:posOffset>
            </wp:positionV>
            <wp:extent cx="565594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type w:val="continuous"/>
        </w:sectPr>
      </w:pPr>
    </w:p>
    <w:bookmarkStart w:id="22" w:name="page23"/>
    <w:bookmarkEnd w:id="2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Lease liability maturities for the next five years and thereafter are as follows as of March 31, 2021: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7"/>
              </w:rPr>
              <w:t>Finance Leases</w:t>
            </w:r>
          </w:p>
        </w:tc>
        <w:tc>
          <w:tcPr>
            <w:tcW w:w="20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3"/>
          </w:tcPr>
          <w:p>
            <w:pPr>
              <w:jc w:val="right"/>
              <w:ind w:right="64"/>
              <w:spacing w:after="0"/>
              <w:rPr>
                <w:sz w:val="20"/>
                <w:szCs w:val="20"/>
                <w:color w:val="auto"/>
              </w:rPr>
            </w:pPr>
            <w:r>
              <w:rPr>
                <w:rFonts w:ascii="Arial" w:cs="Arial" w:eastAsia="Arial" w:hAnsi="Arial"/>
                <w:sz w:val="14"/>
                <w:szCs w:val="14"/>
                <w:b w:val="1"/>
                <w:bCs w:val="1"/>
                <w:color w:val="auto"/>
              </w:rPr>
              <w:t>(unaudited)</w:t>
            </w: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 (nine months remaining)</w:t>
            </w:r>
          </w:p>
        </w:tc>
        <w:tc>
          <w:tcPr>
            <w:tcW w:w="1040" w:type="dxa"/>
            <w:vAlign w:val="bottom"/>
            <w:gridSpan w:val="2"/>
            <w:shd w:val="clear" w:color="auto" w:fill="CCEEFF"/>
          </w:tcPr>
          <w:p>
            <w:pPr>
              <w:jc w:val="right"/>
              <w:ind w:right="12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4,177</w:t>
            </w:r>
          </w:p>
        </w:tc>
        <w:tc>
          <w:tcPr>
            <w:tcW w:w="540" w:type="dxa"/>
            <w:vAlign w:val="bottom"/>
            <w:gridSpan w:val="2"/>
            <w:shd w:val="clear" w:color="auto" w:fill="CCEEFF"/>
          </w:tcPr>
          <w:p>
            <w:pPr>
              <w:jc w:val="right"/>
              <w:ind w:right="224"/>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2022</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4,529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289</w:t>
            </w:r>
          </w:p>
        </w:tc>
        <w:tc>
          <w:tcPr>
            <w:tcW w:w="2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2024</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4,464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12,531</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lease payments</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34,543</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2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Imputed interest</w:t>
            </w:r>
          </w:p>
        </w:tc>
        <w:tc>
          <w:tcPr>
            <w:tcW w:w="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(3,207)</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00" w:type="dxa"/>
            <w:vAlign w:val="bottom"/>
            <w:tcBorders>
              <w:bottom w:val="single" w:sz="8" w:color="CCEEFF"/>
            </w:tcBorders>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31,336</w:t>
            </w: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Lease liability maturities for the next five years and thereafter under the previous lease accounting standard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As of December 31, 2020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37"/>
              <w:spacing w:after="0"/>
              <w:rPr>
                <w:sz w:val="20"/>
                <w:szCs w:val="20"/>
                <w:color w:val="auto"/>
              </w:rPr>
            </w:pPr>
            <w:r>
              <w:rPr>
                <w:rFonts w:ascii="Arial" w:cs="Arial" w:eastAsia="Arial" w:hAnsi="Arial"/>
                <w:sz w:val="14"/>
                <w:szCs w:val="14"/>
                <w:b w:val="1"/>
                <w:bCs w:val="1"/>
                <w:color w:val="auto"/>
                <w:w w:val="95"/>
              </w:rPr>
              <w:t>Operating Leases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5,442</w:t>
            </w:r>
          </w:p>
        </w:tc>
        <w:tc>
          <w:tcPr>
            <w:tcW w:w="380" w:type="dxa"/>
            <w:vAlign w:val="bottom"/>
            <w:tcBorders>
              <w:top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2022</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4,518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2024</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4,464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Thereafter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12,531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Lease Payments</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7"/>
                <w:szCs w:val="17"/>
                <w:color w:val="auto"/>
              </w:rPr>
              <w:t>Less amount representing interest</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36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Present value of minimum lease payments</w:t>
            </w: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60" w:type="dxa"/>
            <w:vAlign w:val="bottom"/>
            <w:gridSpan w:val="2"/>
          </w:tcPr>
          <w:p>
            <w:pPr>
              <w:spacing w:after="0"/>
              <w:rPr>
                <w:sz w:val="20"/>
                <w:szCs w:val="20"/>
                <w:color w:val="auto"/>
              </w:rPr>
            </w:pPr>
            <w:r>
              <w:rPr>
                <w:rFonts w:ascii="Arial" w:cs="Arial" w:eastAsia="Arial" w:hAnsi="Arial"/>
                <w:sz w:val="17"/>
                <w:szCs w:val="17"/>
                <w:color w:val="auto"/>
              </w:rPr>
              <w:t>Less current portion</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(882)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Capital lease obligations, net of current portion</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360" w:right="4759" w:hanging="313"/>
        <w:spacing w:after="0" w:line="595" w:lineRule="auto"/>
        <w:tabs>
          <w:tab w:leader="none" w:pos="35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Goodwill and other intangible assets were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March 31,</w:t>
            </w:r>
          </w:p>
        </w:tc>
        <w:tc>
          <w:tcPr>
            <w:tcW w:w="1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19,529</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intangible assets, net</w:t>
            </w:r>
          </w:p>
        </w:tc>
        <w:tc>
          <w:tcPr>
            <w:tcW w:w="3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80" w:type="dxa"/>
            <w:vAlign w:val="bottom"/>
            <w:tcBorders>
              <w:bottom w:val="single" w:sz="8" w:color="CCEEFF"/>
            </w:tcBorders>
            <w:shd w:val="clear" w:color="auto" w:fill="CCEEFF"/>
          </w:tcPr>
          <w:p>
            <w:pPr>
              <w:spacing w:after="0"/>
              <w:rPr>
                <w:sz w:val="17"/>
                <w:szCs w:val="17"/>
                <w:color w:val="auto"/>
              </w:rPr>
            </w:pPr>
          </w:p>
        </w:tc>
        <w:tc>
          <w:tcPr>
            <w:tcW w:w="3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21,553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40" w:type="dxa"/>
            <w:vAlign w:val="bottom"/>
            <w:vMerge w:val="restart"/>
          </w:tcPr>
          <w:p>
            <w:pPr>
              <w:jc w:val="right"/>
              <w:ind w:right="1854"/>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46" w:right="1440" w:bottom="1440" w:gutter="0" w:footer="0" w:header="0"/>
        </w:sectPr>
      </w:pPr>
    </w:p>
    <w:bookmarkStart w:id="23" w:name="page24"/>
    <w:bookmarkEnd w:id="2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the carrying amount of goodwill for the three months ended March 31, 2021 are as follows: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1, 2021</w:t>
            </w:r>
          </w:p>
        </w:tc>
        <w:tc>
          <w:tcPr>
            <w:tcW w:w="340" w:type="dxa"/>
            <w:vAlign w:val="bottom"/>
            <w:gridSpan w:val="2"/>
            <w:shd w:val="clear" w:color="auto" w:fill="CCEEFF"/>
          </w:tcPr>
          <w:p>
            <w:pPr>
              <w:jc w:val="right"/>
              <w:ind w:right="21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16,329</w:t>
            </w:r>
          </w:p>
        </w:tc>
      </w:tr>
      <w:tr>
        <w:trPr>
          <w:trHeight w:val="207"/>
        </w:trPr>
        <w:tc>
          <w:tcPr>
            <w:tcW w:w="7780" w:type="dxa"/>
            <w:vAlign w:val="bottom"/>
          </w:tcPr>
          <w:p>
            <w:pPr>
              <w:spacing w:after="0"/>
              <w:rPr>
                <w:sz w:val="20"/>
                <w:szCs w:val="20"/>
                <w:color w:val="auto"/>
              </w:rPr>
            </w:pPr>
            <w:r>
              <w:rPr>
                <w:rFonts w:ascii="Arial" w:cs="Arial" w:eastAsia="Arial" w:hAnsi="Arial"/>
                <w:sz w:val="17"/>
                <w:szCs w:val="17"/>
                <w:color w:val="auto"/>
              </w:rPr>
              <w:t>Acquisition of Tellutax (Note 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4,700</w:t>
            </w:r>
          </w:p>
        </w:tc>
      </w:tr>
      <w:tr>
        <w:trPr>
          <w:trHeight w:val="20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00"/>
        </w:trPr>
        <w:tc>
          <w:tcPr>
            <w:tcW w:w="7780" w:type="dxa"/>
            <w:vAlign w:val="bottom"/>
          </w:tcPr>
          <w:p>
            <w:pPr>
              <w:spacing w:after="0"/>
              <w:rPr>
                <w:sz w:val="20"/>
                <w:szCs w:val="20"/>
                <w:color w:val="auto"/>
              </w:rPr>
            </w:pPr>
            <w:r>
              <w:rPr>
                <w:rFonts w:ascii="Arial" w:cs="Arial" w:eastAsia="Arial" w:hAnsi="Arial"/>
                <w:sz w:val="17"/>
                <w:szCs w:val="17"/>
                <w:color w:val="auto"/>
              </w:rPr>
              <w:t>Balance, March 31, 2021, gross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19,529</w:t>
            </w:r>
          </w:p>
        </w:tc>
      </w:tr>
      <w:tr>
        <w:trPr>
          <w:trHeight w:val="20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Accumulated impairment losses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7780" w:type="dxa"/>
            <w:vAlign w:val="bottom"/>
          </w:tcPr>
          <w:p>
            <w:pPr>
              <w:spacing w:after="0"/>
              <w:rPr>
                <w:sz w:val="20"/>
                <w:szCs w:val="20"/>
                <w:color w:val="auto"/>
              </w:rPr>
            </w:pPr>
            <w:r>
              <w:rPr>
                <w:rFonts w:ascii="Arial" w:cs="Arial" w:eastAsia="Arial" w:hAnsi="Arial"/>
                <w:sz w:val="17"/>
                <w:szCs w:val="17"/>
                <w:color w:val="auto"/>
              </w:rPr>
              <w:t>Balance, March 31, 2021, net</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19,529</w:t>
            </w: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left="40" w:right="59" w:firstLine="311"/>
        <w:spacing w:after="0" w:line="294" w:lineRule="auto"/>
        <w:rPr>
          <w:sz w:val="20"/>
          <w:szCs w:val="20"/>
          <w:color w:val="auto"/>
        </w:rPr>
      </w:pPr>
      <w:r>
        <w:rPr>
          <w:rFonts w:ascii="Arial" w:cs="Arial" w:eastAsia="Arial" w:hAnsi="Arial"/>
          <w:sz w:val="16"/>
          <w:szCs w:val="16"/>
          <w:color w:val="auto"/>
        </w:rPr>
        <w:t>The Company has recognized various amortizable other intangible assets in connection with acquisitions, including related to customer relationships, technology, and tradenames. The following tables provide additional information for other intangible assets, which are individually not material to the condensed consolidated financial statements: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21"/>
              <w:spacing w:after="0"/>
              <w:rPr>
                <w:sz w:val="20"/>
                <w:szCs w:val="20"/>
                <w:color w:val="auto"/>
              </w:rPr>
            </w:pPr>
            <w:r>
              <w:rPr>
                <w:rFonts w:ascii="Arial" w:cs="Arial" w:eastAsia="Arial" w:hAnsi="Arial"/>
                <w:sz w:val="14"/>
                <w:szCs w:val="14"/>
                <w:b w:val="1"/>
                <w:bCs w:val="1"/>
                <w:color w:val="auto"/>
                <w:w w:val="90"/>
              </w:rPr>
              <w:t>As of March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right"/>
              <w:ind w:right="20"/>
              <w:spacing w:after="0"/>
              <w:rPr>
                <w:sz w:val="20"/>
                <w:szCs w:val="20"/>
                <w:color w:val="auto"/>
              </w:rPr>
            </w:pPr>
            <w:r>
              <w:rPr>
                <w:rFonts w:ascii="Arial" w:cs="Arial" w:eastAsia="Arial" w:hAnsi="Arial"/>
                <w:sz w:val="14"/>
                <w:szCs w:val="14"/>
                <w:b w:val="1"/>
                <w:bCs w:val="1"/>
                <w:color w:val="auto"/>
                <w:w w:val="87"/>
              </w:rPr>
              <w:t>As of December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(unaudited)</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Other intangible assets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Weighted average amortization period (years)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Gross value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2,566</w:t>
            </w:r>
          </w:p>
        </w:tc>
        <w:tc>
          <w:tcPr>
            <w:tcW w:w="40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amortization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0"/>
        </w:trPr>
        <w:tc>
          <w:tcPr>
            <w:tcW w:w="3800" w:type="dxa"/>
            <w:vAlign w:val="bottom"/>
            <w:gridSpan w:val="3"/>
          </w:tcPr>
          <w:p>
            <w:pPr>
              <w:spacing w:after="0"/>
              <w:rPr>
                <w:sz w:val="20"/>
                <w:szCs w:val="20"/>
                <w:color w:val="auto"/>
              </w:rPr>
            </w:pPr>
            <w:r>
              <w:rPr>
                <w:rFonts w:ascii="Arial" w:cs="Arial" w:eastAsia="Arial" w:hAnsi="Arial"/>
                <w:sz w:val="17"/>
                <w:szCs w:val="17"/>
                <w:color w:val="auto"/>
              </w:rPr>
              <w:t>Carrying value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1"/>
          </w:tcPr>
          <w:p>
            <w:pPr>
              <w:jc w:val="right"/>
              <w:ind w:right="880"/>
              <w:spacing w:after="0"/>
              <w:rPr>
                <w:sz w:val="20"/>
                <w:szCs w:val="20"/>
                <w:color w:val="auto"/>
              </w:rPr>
            </w:pPr>
            <w:r>
              <w:rPr>
                <w:rFonts w:ascii="Arial" w:cs="Arial" w:eastAsia="Arial" w:hAnsi="Arial"/>
                <w:sz w:val="14"/>
                <w:szCs w:val="14"/>
                <w:b w:val="1"/>
                <w:bCs w:val="1"/>
                <w:color w:val="auto"/>
              </w:rPr>
              <w:t>For the three months ended March 31, 2021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jc w:val="center"/>
              <w:ind w:right="69"/>
              <w:spacing w:after="0" w:line="113" w:lineRule="exact"/>
              <w:rPr>
                <w:sz w:val="20"/>
                <w:szCs w:val="20"/>
                <w:color w:val="auto"/>
              </w:rPr>
            </w:pPr>
            <w:r>
              <w:rPr>
                <w:rFonts w:ascii="Arial" w:cs="Arial" w:eastAsia="Arial" w:hAnsi="Arial"/>
                <w:sz w:val="13"/>
                <w:szCs w:val="13"/>
                <w:b w:val="1"/>
                <w:bCs w:val="1"/>
                <w:color w:val="auto"/>
                <w:w w:val="91"/>
              </w:rPr>
              <w:t>Cost of Revenues,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Selling and</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69"/>
              <w:spacing w:after="0" w:line="143" w:lineRule="exact"/>
              <w:rPr>
                <w:sz w:val="20"/>
                <w:szCs w:val="20"/>
                <w:color w:val="auto"/>
              </w:rPr>
            </w:pPr>
            <w:r>
              <w:rPr>
                <w:rFonts w:ascii="Arial" w:cs="Arial" w:eastAsia="Arial" w:hAnsi="Arial"/>
                <w:sz w:val="14"/>
                <w:szCs w:val="14"/>
                <w:b w:val="1"/>
                <w:bCs w:val="1"/>
                <w:color w:val="auto"/>
                <w:w w:val="87"/>
              </w:rPr>
              <w:t>Software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5"/>
              </w:rPr>
              <w:t>Subscriptions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Marketing Expense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13"/>
        <w:spacing w:after="0"/>
        <w:tabs>
          <w:tab w:leader="none" w:pos="3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19"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Credit Agreement</w:t>
      </w:r>
    </w:p>
    <w:p>
      <w:pPr>
        <w:spacing w:after="0" w:line="225"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On March 31, 2020, the Company entered into a credit agreement with a bank, which was subsequently amended on April 3, 2020 to permit another bank to be a party to the agreement, consisting of a $175,000 term loan (the “Term Loan”) and a $100,000 committed line of credit (the “Line of Credit”) (collectively, the “Credit Agreement”).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portion of the Offering proceeds was used to repay the $175,000 Term Loan in full on July 31, 2020.</w:t>
      </w:r>
    </w:p>
    <w:p>
      <w:pPr>
        <w:spacing w:after="0" w:line="219"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The Line of Credit matures in March 2025 and had no outstanding borrowings at March 31, 2021 or December 31, 2020. The Company has the option to select an applicable interest rate at either the bank base rate plus an applicable margin (the “Base Rate Option”) or the LIBOR plus an applicable margin (the “LIBOR Option”). The applicable margins are determined by certain financial covenant performance as defined in the Credit Agreement. At March 31, 2021, the Base Rate Option and LIBOR Option applicable to Line of Credit borrowings were 3.25% and 2.00%, respectively.</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Credit Agreement is collateralized by certain assets of the Company and contains financial and operating covenants.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Company was in compliance with these covenants at March 31, 2021.</w:t>
      </w:r>
    </w:p>
    <w:p>
      <w:pPr>
        <w:spacing w:after="0" w:line="201" w:lineRule="exact"/>
        <w:rPr>
          <w:sz w:val="20"/>
          <w:szCs w:val="20"/>
          <w:color w:val="auto"/>
        </w:rPr>
      </w:pPr>
    </w:p>
    <w:p>
      <w:pPr>
        <w:ind w:left="360" w:right="5459" w:hanging="313"/>
        <w:spacing w:after="0" w:line="581" w:lineRule="auto"/>
        <w:tabs>
          <w:tab w:leader="none" w:pos="3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Recapitalization and Initial Public Offering</w:t>
      </w:r>
    </w:p>
    <w:p>
      <w:pPr>
        <w:spacing w:after="0" w:line="1" w:lineRule="exact"/>
        <w:rPr>
          <w:sz w:val="20"/>
          <w:szCs w:val="20"/>
          <w:color w:val="auto"/>
        </w:rPr>
      </w:pPr>
    </w:p>
    <w:p>
      <w:pPr>
        <w:ind w:left="40" w:right="79" w:firstLine="311"/>
        <w:spacing w:after="0" w:line="317" w:lineRule="auto"/>
        <w:rPr>
          <w:sz w:val="20"/>
          <w:szCs w:val="20"/>
          <w:color w:val="auto"/>
        </w:rPr>
      </w:pPr>
      <w:r>
        <w:rPr>
          <w:rFonts w:ascii="Arial" w:cs="Arial" w:eastAsia="Arial" w:hAnsi="Arial"/>
          <w:sz w:val="16"/>
          <w:szCs w:val="16"/>
          <w:color w:val="auto"/>
        </w:rPr>
        <w:t>On July 28, 2020, the Company filed its amended and restated certificate of incorporation with the Delaware Secretary of State to: (i) effect a three-for-one forward stock split (the “Stock Split”); (ii) establish a new capital structure for the</w:t>
      </w:r>
    </w:p>
    <w:p>
      <w:pPr>
        <w:sectPr>
          <w:pgSz w:w="11900" w:h="16838" w:orient="portrait"/>
          <w:cols w:equalWidth="0" w:num="1">
            <w:col w:w="9019"/>
          </w:cols>
          <w:pgMar w:left="1440" w:top="646" w:right="1440"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359410</wp:posOffset>
            </wp:positionV>
            <wp:extent cx="5655945"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type w:val="continuous"/>
        </w:sectPr>
      </w:pPr>
    </w:p>
    <w:bookmarkStart w:id="24" w:name="page25"/>
    <w:bookmarkEnd w:id="2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spacing w:after="0" w:line="299" w:lineRule="auto"/>
        <w:rPr>
          <w:sz w:val="20"/>
          <w:szCs w:val="20"/>
          <w:color w:val="auto"/>
        </w:rPr>
      </w:pPr>
      <w:r>
        <w:rPr>
          <w:rFonts w:ascii="Arial" w:cs="Arial" w:eastAsia="Arial" w:hAnsi="Arial"/>
          <w:sz w:val="15"/>
          <w:szCs w:val="15"/>
          <w:color w:val="auto"/>
        </w:rPr>
        <w:t>Company (the “New Capital Structure”); and (iii) effect a share exchange (the “Share Exchange”) (collectively, the “Recapitalization”). The Stock Split resulted in each one share owned by a stockholder being exchanged for three shares of common stock, and the number of shares of the Company’s common stock issued and outstanding was increased proportionately based on the Stock Split. After the Stock Split, the Share Exchange occurred, resulting in stockholders of record exchanging their existing Class A and Class B common stock (“former Class A” and “former Class B”, respectively) for newly created shares of Class A and Class B common stock (“Class A” and “Class B”, respectively) issued in connection with the New Capital Structure. The effect of the Stock Split is recognized retrospectively in the condensed consolidated financial statements.</w:t>
      </w:r>
    </w:p>
    <w:p>
      <w:pPr>
        <w:spacing w:after="0" w:line="155" w:lineRule="exact"/>
        <w:rPr>
          <w:sz w:val="20"/>
          <w:szCs w:val="20"/>
          <w:color w:val="auto"/>
        </w:rPr>
      </w:pPr>
    </w:p>
    <w:p>
      <w:pPr>
        <w:jc w:val="both"/>
        <w:ind w:left="40" w:right="59" w:firstLine="311"/>
        <w:spacing w:after="0" w:line="354" w:lineRule="auto"/>
        <w:rPr>
          <w:sz w:val="20"/>
          <w:szCs w:val="20"/>
          <w:color w:val="auto"/>
        </w:rPr>
      </w:pPr>
      <w:r>
        <w:rPr>
          <w:rFonts w:ascii="Arial" w:cs="Arial" w:eastAsia="Arial" w:hAnsi="Arial"/>
          <w:sz w:val="15"/>
          <w:szCs w:val="15"/>
          <w:color w:val="auto"/>
        </w:rPr>
        <w:t>In connection with the New Capital Structure, Treasury Stock was retired and amounts associated with the Treasury Stock were reclassified to additional paid in capital. Thus, at March 31, 2021 and December 31, 2020, there was no Treasury Stock.</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Common Stock</w:t>
      </w:r>
    </w:p>
    <w:p>
      <w:pPr>
        <w:spacing w:after="0" w:line="225"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During March 31, 2021, the Company issued an aggregate 640 shares of Class A related to the exercise of stock options, net of 356 shares returned to the Company in lieu of payment of the exercise price and taxes due on these exercises. During March 31, 2021, the Company also issued 5 shares Class A in connection with the vesting of RSUs, net of 1 share returned to the Company in lieu of payment of taxes due on the vesting of these RSUs.</w:t>
      </w:r>
    </w:p>
    <w:p>
      <w:pPr>
        <w:spacing w:after="0" w:line="177" w:lineRule="exact"/>
        <w:rPr>
          <w:sz w:val="20"/>
          <w:szCs w:val="20"/>
          <w:color w:val="auto"/>
        </w:rPr>
      </w:pPr>
    </w:p>
    <w:p>
      <w:pPr>
        <w:jc w:val="both"/>
        <w:ind w:left="40" w:right="59" w:firstLine="354"/>
        <w:spacing w:after="0" w:line="282" w:lineRule="auto"/>
        <w:rPr>
          <w:sz w:val="20"/>
          <w:szCs w:val="20"/>
          <w:color w:val="auto"/>
        </w:rPr>
      </w:pPr>
      <w:r>
        <w:rPr>
          <w:rFonts w:ascii="Arial" w:cs="Arial" w:eastAsia="Arial" w:hAnsi="Arial"/>
          <w:sz w:val="16"/>
          <w:szCs w:val="16"/>
          <w:color w:val="auto"/>
        </w:rPr>
        <w:t>At March 31, 2020, the Company had 147 shares of former Class A common stock and 120,270 shares of former Class B common stock outstanding. At March 31, 2020, members of a family (the “Family”) owned all outstanding shares of both former classes of common stock. There were no dividend or liquidation preference differences between the former Class A and former Class B shares. There were common stock equivalents outstanding at March 31, 2020 held by non-Family members that entitled such holders to receive an equivalent number of former Class B shares upon exercise.</w:t>
      </w:r>
    </w:p>
    <w:p>
      <w:pPr>
        <w:spacing w:after="0" w:line="164" w:lineRule="exact"/>
        <w:rPr>
          <w:sz w:val="20"/>
          <w:szCs w:val="20"/>
          <w:color w:val="auto"/>
        </w:rPr>
      </w:pPr>
    </w:p>
    <w:p>
      <w:pPr>
        <w:jc w:val="both"/>
        <w:ind w:left="40" w:right="59" w:firstLine="311"/>
        <w:spacing w:after="0" w:line="258" w:lineRule="auto"/>
        <w:rPr>
          <w:sz w:val="20"/>
          <w:szCs w:val="20"/>
          <w:color w:val="auto"/>
        </w:rPr>
      </w:pPr>
      <w:r>
        <w:rPr>
          <w:rFonts w:ascii="Arial" w:cs="Arial" w:eastAsia="Arial" w:hAnsi="Arial"/>
          <w:sz w:val="17"/>
          <w:szCs w:val="17"/>
          <w:color w:val="auto"/>
        </w:rPr>
        <w:t>In connection with establishing the New Capital Structure in July 2020, the shareholders authorized 450,000 shares of common stock, par value $0.001 per share, and 30,000 shares of preferred stock, par value $0.001 per share. In connection with the New Capital Structure, common stock is divided into two classes, Class A with one vote per share, and Class B with ten votes per share. The rights of the holders of Class A and Class B are identical, except with respect to voting and conversion rights. Upon transfer of Class B shares to a non-Family member, such shares will automatically convert to an equivalent number of Class A shares with the respective voting rights attributable to such new shares. Authorized Class A and Class B shares are 300,000 and 150,000 shares, respectively. There are no dividend or liquidation preference differences between Class A and Class B.</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Distributions</w:t>
      </w:r>
    </w:p>
    <w:p>
      <w:pPr>
        <w:spacing w:after="0" w:line="225" w:lineRule="exact"/>
        <w:rPr>
          <w:sz w:val="20"/>
          <w:szCs w:val="20"/>
          <w:color w:val="auto"/>
        </w:rPr>
      </w:pPr>
    </w:p>
    <w:p>
      <w:pPr>
        <w:jc w:val="both"/>
        <w:ind w:left="40" w:right="79" w:firstLine="311"/>
        <w:spacing w:after="0" w:line="284" w:lineRule="auto"/>
        <w:rPr>
          <w:sz w:val="20"/>
          <w:szCs w:val="20"/>
          <w:color w:val="auto"/>
        </w:rPr>
      </w:pPr>
      <w:r>
        <w:rPr>
          <w:rFonts w:ascii="Arial" w:cs="Arial" w:eastAsia="Arial" w:hAnsi="Arial"/>
          <w:sz w:val="17"/>
          <w:szCs w:val="17"/>
          <w:color w:val="auto"/>
        </w:rPr>
        <w:t>The Board declared and paid aggregate distributions pro rata to stockholders of the former Class A and Class B common stock of $4,010 ($0.03 per share) during the three months ended March 31, 2020.</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Tax Sharing Agreement Payments</w:t>
      </w:r>
    </w:p>
    <w:p>
      <w:pPr>
        <w:spacing w:after="0" w:line="225" w:lineRule="exact"/>
        <w:rPr>
          <w:sz w:val="20"/>
          <w:szCs w:val="20"/>
          <w:color w:val="auto"/>
        </w:rPr>
      </w:pPr>
    </w:p>
    <w:p>
      <w:pPr>
        <w:jc w:val="both"/>
        <w:ind w:left="40" w:right="59" w:firstLine="311"/>
        <w:spacing w:after="0" w:line="296" w:lineRule="auto"/>
        <w:rPr>
          <w:sz w:val="20"/>
          <w:szCs w:val="20"/>
          <w:color w:val="auto"/>
        </w:rPr>
      </w:pPr>
      <w:r>
        <w:rPr>
          <w:rFonts w:ascii="Arial" w:cs="Arial" w:eastAsia="Arial" w:hAnsi="Arial"/>
          <w:sz w:val="15"/>
          <w:szCs w:val="15"/>
          <w:color w:val="auto"/>
        </w:rPr>
        <w:t>In connection with termination of the Company’s S-Corporation status effective July 27, 2020, the Company entered into a Tax Sharing Agreement with the former S-Corporation shareholders. See Note 1. During the three months ended March 31, 2021, the Company did not distribute to or receive any amounts from the former S-Corporation shareholders under the Tax Sharing Agreement. The Company has an estimated liability of $2,700 at March 31, 2021 and December 31, 2020 in connection with obligations under the Tax Sharing Agreement for estimated amounts to be distributed to the former S-Corporation shareholders for income taxes related to the allocation of taxable income to the S-Corporation short tax period ended July 26, 2020. This number is subject to change based upon the finalization of the associated tax returns for the 2020 S-Corporation short tax period. The Company is required to settle this liability on or before July 30, 2021 under the Tax Sharing Agreement. All obligations of the Company under the Tax Sharing Agreement are satisfied by adjustments of additional paid in capital.</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25" w:name="page26"/>
    <w:bookmarkEnd w:id="2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7"/>
          <w:szCs w:val="17"/>
          <w:b w:val="1"/>
          <w:bCs w:val="1"/>
          <w:color w:val="auto"/>
        </w:rPr>
        <w:t>11.</w:t>
        <w:tab/>
        <w:t>EARNINGS PER SHARE</w:t>
      </w:r>
    </w:p>
    <w:p>
      <w:pPr>
        <w:spacing w:after="0" w:line="225" w:lineRule="exact"/>
        <w:rPr>
          <w:sz w:val="20"/>
          <w:szCs w:val="20"/>
          <w:color w:val="auto"/>
        </w:rPr>
      </w:pPr>
    </w:p>
    <w:p>
      <w:pPr>
        <w:jc w:val="both"/>
        <w:ind w:left="40" w:right="59" w:firstLine="311"/>
        <w:spacing w:after="0" w:line="257" w:lineRule="auto"/>
        <w:rPr>
          <w:sz w:val="20"/>
          <w:szCs w:val="20"/>
          <w:color w:val="auto"/>
        </w:rPr>
      </w:pPr>
      <w:r>
        <w:rPr>
          <w:rFonts w:ascii="Arial" w:cs="Arial" w:eastAsia="Arial" w:hAnsi="Arial"/>
          <w:sz w:val="17"/>
          <w:szCs w:val="17"/>
          <w:color w:val="auto"/>
        </w:rPr>
        <w:t>The table below illustrates the calculation of basic and diluted net income (loss) per common share for the Class A common and Class B common for the periods reflected below. The weighted average shares outstanding have been retrospectively restated to reflect the Share Exchange for all periods prior to the Offering, resulting in the Class A shares representing non-Family-owned shares and Class B representing Family-owned shares for all periods presented. See Note 10 for further information on the Share Exchange.</w:t>
      </w:r>
    </w:p>
    <w:tbl>
      <w:tblPr>
        <w:tblLayout w:type="fixed"/>
        <w:tblInd w:w="60" w:type="dxa"/>
        <w:tblCellMar>
          <w:top w:w="0" w:type="dxa"/>
          <w:left w:w="0" w:type="dxa"/>
          <w:bottom w:w="0" w:type="dxa"/>
          <w:right w:w="0" w:type="dxa"/>
        </w:tblCellMar>
      </w:tblPr>
      <w:tr>
        <w:trPr>
          <w:trHeight w:val="159"/>
        </w:trPr>
        <w:tc>
          <w:tcPr>
            <w:tcW w:w="57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Class A common stock:</w:t>
            </w:r>
          </w:p>
        </w:tc>
        <w:tc>
          <w:tcPr>
            <w:tcW w:w="520" w:type="dxa"/>
            <w:vAlign w:val="bottom"/>
          </w:tcPr>
          <w:p>
            <w:pPr>
              <w:spacing w:after="0"/>
              <w:rPr>
                <w:sz w:val="13"/>
                <w:szCs w:val="13"/>
                <w:color w:val="auto"/>
              </w:rPr>
            </w:pPr>
          </w:p>
        </w:tc>
        <w:tc>
          <w:tcPr>
            <w:tcW w:w="2660" w:type="dxa"/>
            <w:vAlign w:val="bottom"/>
            <w:gridSpan w:val="6"/>
          </w:tcPr>
          <w:p>
            <w:pPr>
              <w:jc w:val="right"/>
              <w:ind w:right="220"/>
              <w:spacing w:after="0" w:line="159" w:lineRule="exact"/>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187"/>
        </w:trPr>
        <w:tc>
          <w:tcPr>
            <w:tcW w:w="57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3"/>
          </w:tcPr>
          <w:p>
            <w:pPr>
              <w:jc w:val="right"/>
              <w:ind w:right="24"/>
              <w:spacing w:after="0" w:line="123"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Numerator, basic:</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gridSpan w:val="2"/>
          </w:tcPr>
          <w:p>
            <w:pPr>
              <w:ind w:left="100"/>
              <w:spacing w:after="0"/>
              <w:rPr>
                <w:sz w:val="20"/>
                <w:szCs w:val="20"/>
                <w:color w:val="auto"/>
              </w:rPr>
            </w:pPr>
            <w:r>
              <w:rPr>
                <w:rFonts w:ascii="Arial" w:cs="Arial" w:eastAsia="Arial" w:hAnsi="Arial"/>
                <w:sz w:val="17"/>
                <w:szCs w:val="17"/>
                <w:color w:val="auto"/>
              </w:rPr>
              <w:t>Net income (loss) attributable to all stockholders</w:t>
            </w:r>
          </w:p>
        </w:tc>
        <w:tc>
          <w:tcPr>
            <w:tcW w:w="780" w:type="dxa"/>
            <w:vAlign w:val="bottom"/>
            <w:gridSpan w:val="2"/>
          </w:tcPr>
          <w:p>
            <w:pPr>
              <w:jc w:val="right"/>
              <w:ind w:right="10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2,288</w:t>
            </w:r>
          </w:p>
        </w:tc>
        <w:tc>
          <w:tcPr>
            <w:tcW w:w="2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(29,064)</w:t>
            </w: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Class A common stock as a percentage of total shares outstanding, basic</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18.05 %</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40"/>
        </w:trPr>
        <w:tc>
          <w:tcPr>
            <w:tcW w:w="5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Net income attributable to Class A stockholders, basic</w:t>
            </w:r>
          </w:p>
        </w:tc>
        <w:tc>
          <w:tcPr>
            <w:tcW w:w="5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413</w:t>
            </w:r>
          </w:p>
        </w:tc>
        <w:tc>
          <w:tcPr>
            <w:tcW w:w="2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22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20" w:type="dxa"/>
            <w:vAlign w:val="bottom"/>
            <w:gridSpan w:val="2"/>
          </w:tcPr>
          <w:p>
            <w:pPr>
              <w:spacing w:after="0"/>
              <w:rPr>
                <w:sz w:val="20"/>
                <w:szCs w:val="20"/>
                <w:color w:val="auto"/>
              </w:rPr>
            </w:pPr>
            <w:r>
              <w:rPr>
                <w:rFonts w:ascii="Arial" w:cs="Arial" w:eastAsia="Arial" w:hAnsi="Arial"/>
                <w:sz w:val="17"/>
                <w:szCs w:val="17"/>
                <w:color w:val="auto"/>
              </w:rPr>
              <w:t>Numerator, diluted: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Net income (loss) attributable to all stockholders</w:t>
            </w:r>
          </w:p>
        </w:tc>
        <w:tc>
          <w:tcPr>
            <w:tcW w:w="780" w:type="dxa"/>
            <w:vAlign w:val="bottom"/>
            <w:gridSpan w:val="2"/>
            <w:shd w:val="clear" w:color="auto" w:fill="CCEEFF"/>
          </w:tcPr>
          <w:p>
            <w:pPr>
              <w:jc w:val="right"/>
              <w:ind w:right="10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(29,064)</w:t>
            </w:r>
          </w:p>
        </w:tc>
        <w:tc>
          <w:tcPr>
            <w:tcW w:w="0" w:type="dxa"/>
            <w:vAlign w:val="bottom"/>
          </w:tcPr>
          <w:p>
            <w:pPr>
              <w:spacing w:after="0"/>
              <w:rPr>
                <w:sz w:val="1"/>
                <w:szCs w:val="1"/>
                <w:color w:val="auto"/>
              </w:rPr>
            </w:pPr>
          </w:p>
        </w:tc>
      </w:tr>
      <w:tr>
        <w:trPr>
          <w:trHeight w:val="207"/>
        </w:trPr>
        <w:tc>
          <w:tcPr>
            <w:tcW w:w="5720" w:type="dxa"/>
            <w:vAlign w:val="bottom"/>
            <w:gridSpan w:val="2"/>
          </w:tcPr>
          <w:p>
            <w:pPr>
              <w:ind w:left="100"/>
              <w:spacing w:after="0"/>
              <w:rPr>
                <w:sz w:val="20"/>
                <w:szCs w:val="20"/>
                <w:color w:val="auto"/>
              </w:rPr>
            </w:pPr>
            <w:r>
              <w:rPr>
                <w:rFonts w:ascii="Arial" w:cs="Arial" w:eastAsia="Arial" w:hAnsi="Arial"/>
                <w:sz w:val="17"/>
                <w:szCs w:val="17"/>
                <w:color w:val="auto"/>
                <w:w w:val="99"/>
              </w:rPr>
              <w:t>Class A common stock as a percentage of total shares outstanding, diluted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24.06 %</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0"/>
        </w:trPr>
        <w:tc>
          <w:tcPr>
            <w:tcW w:w="57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Net income attributable to Class A stockholders, diluted</w:t>
            </w: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Denominator, basic and diluted:</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gridSpan w:val="2"/>
          </w:tcPr>
          <w:p>
            <w:pPr>
              <w:ind w:left="100"/>
              <w:spacing w:after="0"/>
              <w:rPr>
                <w:sz w:val="20"/>
                <w:szCs w:val="20"/>
                <w:color w:val="auto"/>
              </w:rPr>
            </w:pPr>
            <w:r>
              <w:rPr>
                <w:rFonts w:ascii="Arial" w:cs="Arial" w:eastAsia="Arial" w:hAnsi="Arial"/>
                <w:sz w:val="17"/>
                <w:szCs w:val="17"/>
                <w:color w:val="auto"/>
              </w:rPr>
              <w:t>Weighted average Class A common stock, basic</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26,458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Dilutive effect of common stock equivalents*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5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Weighted average Class A common stock, diluted</w:t>
            </w:r>
          </w:p>
        </w:tc>
        <w:tc>
          <w:tcPr>
            <w:tcW w:w="5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38,003</w:t>
            </w:r>
          </w:p>
        </w:tc>
        <w:tc>
          <w:tcPr>
            <w:tcW w:w="2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22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20" w:type="dxa"/>
            <w:vAlign w:val="bottom"/>
            <w:gridSpan w:val="2"/>
          </w:tcPr>
          <w:p>
            <w:pPr>
              <w:spacing w:after="0"/>
              <w:rPr>
                <w:sz w:val="20"/>
                <w:szCs w:val="20"/>
                <w:color w:val="auto"/>
              </w:rPr>
            </w:pPr>
            <w:r>
              <w:rPr>
                <w:rFonts w:ascii="Arial" w:cs="Arial" w:eastAsia="Arial" w:hAnsi="Arial"/>
                <w:sz w:val="17"/>
                <w:szCs w:val="17"/>
                <w:color w:val="auto"/>
              </w:rPr>
              <w:t>Net income per Class A share, basic</w:t>
            </w:r>
          </w:p>
        </w:tc>
        <w:tc>
          <w:tcPr>
            <w:tcW w:w="780" w:type="dxa"/>
            <w:vAlign w:val="bottom"/>
            <w:gridSpan w:val="2"/>
          </w:tcPr>
          <w:p>
            <w:pPr>
              <w:jc w:val="right"/>
              <w:ind w:right="10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0.02</w:t>
            </w:r>
          </w:p>
        </w:tc>
        <w:tc>
          <w:tcPr>
            <w:tcW w:w="240" w:type="dxa"/>
            <w:vAlign w:val="bottom"/>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20" w:type="dxa"/>
            <w:vAlign w:val="bottom"/>
            <w:gridSpan w:val="2"/>
          </w:tcPr>
          <w:p>
            <w:pPr>
              <w:spacing w:after="0"/>
              <w:rPr>
                <w:sz w:val="20"/>
                <w:szCs w:val="20"/>
                <w:color w:val="auto"/>
              </w:rPr>
            </w:pPr>
            <w:r>
              <w:rPr>
                <w:rFonts w:ascii="Arial" w:cs="Arial" w:eastAsia="Arial" w:hAnsi="Arial"/>
                <w:sz w:val="17"/>
                <w:szCs w:val="17"/>
                <w:color w:val="auto"/>
              </w:rPr>
              <w:t>Net income per Class A share, diluted</w:t>
            </w:r>
          </w:p>
        </w:tc>
        <w:tc>
          <w:tcPr>
            <w:tcW w:w="780" w:type="dxa"/>
            <w:vAlign w:val="bottom"/>
            <w:gridSpan w:val="2"/>
          </w:tcPr>
          <w:p>
            <w:pPr>
              <w:jc w:val="right"/>
              <w:ind w:right="10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0.01</w:t>
            </w:r>
          </w:p>
        </w:tc>
        <w:tc>
          <w:tcPr>
            <w:tcW w:w="2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22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360" w:right="59" w:hanging="313"/>
        <w:spacing w:after="0" w:line="294" w:lineRule="auto"/>
        <w:tabs>
          <w:tab w:leader="none" w:pos="3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weighted-average outstanding shares of common stock equivalents were excluded from the computation of diluted net income (loss) per share attributable to Class A stockholders because the impact of including them would have been anti-dilutive: 84 and 3,734 for the three months ended March 31, 2021 and 2020, respectively.</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720" w:type="dxa"/>
            <w:vAlign w:val="bottom"/>
            <w:vMerge w:val="restart"/>
          </w:tcPr>
          <w:p>
            <w:pPr>
              <w:spacing w:after="0"/>
              <w:rPr>
                <w:sz w:val="20"/>
                <w:szCs w:val="20"/>
                <w:color w:val="auto"/>
              </w:rPr>
            </w:pPr>
            <w:r>
              <w:rPr>
                <w:rFonts w:ascii="Arial" w:cs="Arial" w:eastAsia="Arial" w:hAnsi="Arial"/>
                <w:sz w:val="17"/>
                <w:szCs w:val="17"/>
                <w:b w:val="1"/>
                <w:bCs w:val="1"/>
                <w:color w:val="auto"/>
              </w:rPr>
              <w:t>Class B common stock:</w:t>
            </w:r>
          </w:p>
        </w:tc>
        <w:tc>
          <w:tcPr>
            <w:tcW w:w="520" w:type="dxa"/>
            <w:vAlign w:val="bottom"/>
          </w:tcPr>
          <w:p>
            <w:pPr>
              <w:spacing w:after="0"/>
              <w:rPr>
                <w:sz w:val="14"/>
                <w:szCs w:val="14"/>
                <w:color w:val="auto"/>
              </w:rPr>
            </w:pPr>
          </w:p>
        </w:tc>
        <w:tc>
          <w:tcPr>
            <w:tcW w:w="26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187"/>
        </w:trPr>
        <w:tc>
          <w:tcPr>
            <w:tcW w:w="57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5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3"/>
          </w:tcPr>
          <w:p>
            <w:pPr>
              <w:jc w:val="right"/>
              <w:ind w:right="24"/>
              <w:spacing w:after="0" w:line="123"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Numerator, basic:</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tcPr>
          <w:p>
            <w:pPr>
              <w:ind w:left="100"/>
              <w:spacing w:after="0"/>
              <w:rPr>
                <w:sz w:val="20"/>
                <w:szCs w:val="20"/>
                <w:color w:val="auto"/>
              </w:rPr>
            </w:pPr>
            <w:r>
              <w:rPr>
                <w:rFonts w:ascii="Arial" w:cs="Arial" w:eastAsia="Arial" w:hAnsi="Arial"/>
                <w:sz w:val="17"/>
                <w:szCs w:val="17"/>
                <w:color w:val="auto"/>
              </w:rPr>
              <w:t>Net income (loss) attributable to all stockholders</w:t>
            </w:r>
          </w:p>
        </w:tc>
        <w:tc>
          <w:tcPr>
            <w:tcW w:w="780" w:type="dxa"/>
            <w:vAlign w:val="bottom"/>
            <w:gridSpan w:val="2"/>
          </w:tcPr>
          <w:p>
            <w:pPr>
              <w:jc w:val="right"/>
              <w:ind w:right="10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2,288</w:t>
            </w:r>
          </w:p>
        </w:tc>
        <w:tc>
          <w:tcPr>
            <w:tcW w:w="2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(29,064)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Class B common stock as a percentage of total shares outstanding, basic</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81.95 %</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100.00 %</w:t>
            </w:r>
          </w:p>
        </w:tc>
        <w:tc>
          <w:tcPr>
            <w:tcW w:w="0" w:type="dxa"/>
            <w:vAlign w:val="bottom"/>
          </w:tcPr>
          <w:p>
            <w:pPr>
              <w:spacing w:after="0"/>
              <w:rPr>
                <w:sz w:val="1"/>
                <w:szCs w:val="1"/>
                <w:color w:val="auto"/>
              </w:rPr>
            </w:pPr>
          </w:p>
        </w:tc>
      </w:tr>
      <w:tr>
        <w:trPr>
          <w:trHeight w:val="240"/>
        </w:trPr>
        <w:tc>
          <w:tcPr>
            <w:tcW w:w="57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Net income (loss) attributable to Class B stockholders, basic</w:t>
            </w:r>
          </w:p>
        </w:tc>
        <w:tc>
          <w:tcPr>
            <w:tcW w:w="5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1,875</w:t>
            </w:r>
          </w:p>
        </w:tc>
        <w:tc>
          <w:tcPr>
            <w:tcW w:w="2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(29,064)</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7"/>
                <w:szCs w:val="17"/>
                <w:color w:val="auto"/>
              </w:rPr>
              <w:t>Numerator, diluted: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income (loss) attributable to all stockholders</w:t>
            </w:r>
          </w:p>
        </w:tc>
        <w:tc>
          <w:tcPr>
            <w:tcW w:w="780" w:type="dxa"/>
            <w:vAlign w:val="bottom"/>
            <w:gridSpan w:val="2"/>
            <w:shd w:val="clear" w:color="auto" w:fill="CCEEFF"/>
          </w:tcPr>
          <w:p>
            <w:pPr>
              <w:jc w:val="right"/>
              <w:ind w:right="10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(29,064)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tcPr>
          <w:p>
            <w:pPr>
              <w:ind w:left="100"/>
              <w:spacing w:after="0"/>
              <w:rPr>
                <w:sz w:val="20"/>
                <w:szCs w:val="20"/>
                <w:color w:val="auto"/>
              </w:rPr>
            </w:pPr>
            <w:r>
              <w:rPr>
                <w:rFonts w:ascii="Arial" w:cs="Arial" w:eastAsia="Arial" w:hAnsi="Arial"/>
                <w:sz w:val="17"/>
                <w:szCs w:val="17"/>
                <w:color w:val="auto"/>
                <w:w w:val="99"/>
              </w:rPr>
              <w:t>Class B common stock as a percentage of total shares outstanding, diluted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75.94 %</w:t>
            </w:r>
          </w:p>
        </w:tc>
        <w:tc>
          <w:tcPr>
            <w:tcW w:w="3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7"/>
                <w:szCs w:val="17"/>
                <w:color w:val="auto"/>
              </w:rPr>
              <w:t>100.00 %</w:t>
            </w:r>
          </w:p>
        </w:tc>
        <w:tc>
          <w:tcPr>
            <w:tcW w:w="0" w:type="dxa"/>
            <w:vAlign w:val="bottom"/>
          </w:tcPr>
          <w:p>
            <w:pPr>
              <w:spacing w:after="0"/>
              <w:rPr>
                <w:sz w:val="1"/>
                <w:szCs w:val="1"/>
                <w:color w:val="auto"/>
              </w:rPr>
            </w:pPr>
          </w:p>
        </w:tc>
      </w:tr>
      <w:tr>
        <w:trPr>
          <w:trHeight w:val="200"/>
        </w:trPr>
        <w:tc>
          <w:tcPr>
            <w:tcW w:w="57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Net income (loss) attributable to Class B stockholders, diluted</w:t>
            </w: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(29,064)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Denominator, basic and diluted:</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tcPr>
          <w:p>
            <w:pPr>
              <w:ind w:left="100"/>
              <w:spacing w:after="0"/>
              <w:rPr>
                <w:sz w:val="20"/>
                <w:szCs w:val="20"/>
                <w:color w:val="auto"/>
              </w:rPr>
            </w:pPr>
            <w:r>
              <w:rPr>
                <w:rFonts w:ascii="Arial" w:cs="Arial" w:eastAsia="Arial" w:hAnsi="Arial"/>
                <w:sz w:val="17"/>
                <w:szCs w:val="17"/>
                <w:color w:val="auto"/>
              </w:rPr>
              <w:t>Weighted average Class B common stock, basic</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120,117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120,417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Dilutive effect of common stock equivalents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57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Weighted average Class B common stock, diluted</w:t>
            </w:r>
          </w:p>
        </w:tc>
        <w:tc>
          <w:tcPr>
            <w:tcW w:w="5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120,117</w:t>
            </w:r>
          </w:p>
        </w:tc>
        <w:tc>
          <w:tcPr>
            <w:tcW w:w="2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120,417</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20" w:type="dxa"/>
            <w:vAlign w:val="bottom"/>
          </w:tcPr>
          <w:p>
            <w:pPr>
              <w:spacing w:after="0"/>
              <w:rPr>
                <w:sz w:val="20"/>
                <w:szCs w:val="20"/>
                <w:color w:val="auto"/>
              </w:rPr>
            </w:pPr>
            <w:r>
              <w:rPr>
                <w:rFonts w:ascii="Arial" w:cs="Arial" w:eastAsia="Arial" w:hAnsi="Arial"/>
                <w:sz w:val="17"/>
                <w:szCs w:val="17"/>
                <w:color w:val="auto"/>
              </w:rPr>
              <w:t>Net income (loss) per Class B share, basic</w:t>
            </w:r>
          </w:p>
        </w:tc>
        <w:tc>
          <w:tcPr>
            <w:tcW w:w="780" w:type="dxa"/>
            <w:vAlign w:val="bottom"/>
            <w:gridSpan w:val="2"/>
          </w:tcPr>
          <w:p>
            <w:pPr>
              <w:jc w:val="right"/>
              <w:ind w:right="10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0.02</w:t>
            </w:r>
          </w:p>
        </w:tc>
        <w:tc>
          <w:tcPr>
            <w:tcW w:w="240" w:type="dxa"/>
            <w:vAlign w:val="bottom"/>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7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7"/>
                <w:szCs w:val="17"/>
                <w:color w:val="auto"/>
              </w:rPr>
              <w:t>Net income (loss) per Class B share, diluted</w:t>
            </w:r>
          </w:p>
        </w:tc>
        <w:tc>
          <w:tcPr>
            <w:tcW w:w="780" w:type="dxa"/>
            <w:vAlign w:val="bottom"/>
            <w:gridSpan w:val="2"/>
          </w:tcPr>
          <w:p>
            <w:pPr>
              <w:jc w:val="right"/>
              <w:ind w:right="10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0.01</w:t>
            </w:r>
          </w:p>
        </w:tc>
        <w:tc>
          <w:tcPr>
            <w:tcW w:w="2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46" w:right="1440"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359410</wp:posOffset>
            </wp:positionV>
            <wp:extent cx="5655945"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type w:val="continuous"/>
        </w:sectPr>
      </w:pPr>
    </w:p>
    <w:bookmarkStart w:id="26" w:name="page27"/>
    <w:bookmarkEnd w:id="2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STOCK-BASED AWARD PLANS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the effective date of the Offering, the Company adopted the 2020 Plan and the ESPP.</w:t>
      </w:r>
    </w:p>
    <w:p>
      <w:pPr>
        <w:spacing w:after="0" w:line="219"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SARs and other cash compensation.</w:t>
      </w:r>
    </w:p>
    <w:p>
      <w:pPr>
        <w:spacing w:after="0" w:line="172"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The ESPP provides eligible employees with rights during each six-month ESPP offering period to purchase shares of the Company’s Class A common at the ESPP discount through payroll deductions, except for the initial offering period (July 28 to November 30, 2020) whereby the participants were permitted to make lump sum contributions to the ESPP for such period. Amounts withheld or received from participants are reflected in accrued salaries and benefits in the consolidated balance sheets until such shares are purchased. Amounts withheld from participants for the offering period ending May 31, 2021 aggregated $810 as of March 31, 2021.</w:t>
      </w:r>
    </w:p>
    <w:p>
      <w:pPr>
        <w:spacing w:after="0" w:line="181" w:lineRule="exact"/>
        <w:rPr>
          <w:sz w:val="20"/>
          <w:szCs w:val="20"/>
          <w:color w:val="auto"/>
        </w:rPr>
      </w:pPr>
    </w:p>
    <w:p>
      <w:pPr>
        <w:jc w:val="both"/>
        <w:ind w:left="40" w:right="59" w:firstLine="311"/>
        <w:spacing w:after="0" w:line="276" w:lineRule="auto"/>
        <w:rPr>
          <w:sz w:val="20"/>
          <w:szCs w:val="20"/>
          <w:color w:val="auto"/>
        </w:rPr>
      </w:pPr>
      <w:r>
        <w:rPr>
          <w:rFonts w:ascii="Arial" w:cs="Arial" w:eastAsia="Arial" w:hAnsi="Arial"/>
          <w:sz w:val="16"/>
          <w:szCs w:val="16"/>
          <w:color w:val="auto"/>
        </w:rPr>
        <w:t>Prior to the adoption of the 2020 Plan, the Company had a SAR plan for the purpose of providing incentives to key members of management and consultants to contribute to the growth and financial success of the Company. As a result of the Offering, SAR participants were offered the option to either redeem their SARs upon the occurrence of the Offering or amend their SARs pursuant to which, upon effectiveness of the 2020 Plan, such SARs would become options to purchase shares of Class A common stock under the 2020 Plan (the “SAR Exchange Offer”). All SAR participants eligible to receive the SAR Exchange Offer accepted and had their outstanding SARs converted to stock options with equivalent terms under the 2020 Plan at the Offering effective date (the “Converted SARs”) of July 28, 2020. This was considered a modification of these SAR awards which was recorded in the respective quarter this occured. The SAR plan was subsequently retired (“Retired SAR Plan”) and any SARs issued after such date will be granted under the 2020 Plan.</w:t>
      </w:r>
    </w:p>
    <w:p>
      <w:pPr>
        <w:spacing w:after="0" w:line="170" w:lineRule="exact"/>
        <w:rPr>
          <w:sz w:val="20"/>
          <w:szCs w:val="20"/>
          <w:color w:val="auto"/>
        </w:rPr>
      </w:pPr>
    </w:p>
    <w:p>
      <w:pPr>
        <w:jc w:val="both"/>
        <w:ind w:left="40" w:right="59" w:firstLine="311"/>
        <w:spacing w:after="0" w:line="282" w:lineRule="auto"/>
        <w:rPr>
          <w:sz w:val="20"/>
          <w:szCs w:val="20"/>
          <w:color w:val="auto"/>
        </w:rPr>
      </w:pPr>
      <w:r>
        <w:rPr>
          <w:rFonts w:ascii="Arial" w:cs="Arial" w:eastAsia="Arial" w:hAnsi="Arial"/>
          <w:sz w:val="16"/>
          <w:szCs w:val="16"/>
          <w:color w:val="auto"/>
        </w:rPr>
        <w:t>Prior to the adoption of the 2020 Plan, the Company had options outstanding to purchase shares of former Class B common stock. Upon the effectiveness of the Offering these options were amended and exchanged for options to purchase an equivalent number of Class A shares at the same exercise price and vesting, subject to many of the terms of the 2020 Plan. These options remain subject to expiration in connection with a Triggering Event under the terms of the original option agreements (the “Amended Options”). Any options issued subsequent to this exchange will be granted under the 2020 Plan.</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2020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March 31, 2021, 1,857 shares of Class A common were available for issuance under the 2020 Plan.</w:t>
      </w:r>
    </w:p>
    <w:p>
      <w:pPr>
        <w:spacing w:after="0" w:line="245" w:lineRule="exact"/>
        <w:rPr>
          <w:sz w:val="20"/>
          <w:szCs w:val="20"/>
          <w:color w:val="auto"/>
        </w:rPr>
      </w:pPr>
    </w:p>
    <w:p>
      <w:pPr>
        <w:jc w:val="both"/>
        <w:ind w:left="40" w:right="79" w:firstLine="311"/>
        <w:spacing w:after="0" w:line="284" w:lineRule="auto"/>
        <w:rPr>
          <w:sz w:val="20"/>
          <w:szCs w:val="20"/>
          <w:color w:val="auto"/>
        </w:rPr>
      </w:pPr>
      <w:r>
        <w:rPr>
          <w:rFonts w:ascii="Arial" w:cs="Arial" w:eastAsia="Arial" w:hAnsi="Arial"/>
          <w:sz w:val="17"/>
          <w:szCs w:val="17"/>
          <w:color w:val="auto"/>
        </w:rPr>
        <w:t>Awards issued under the 2020 Plan vest based on service criteria established by the Board. The Company has elected to account for forfeitures as they occur rather than estimate forfeitures at date of grant.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Retired SAR Plan</w:t>
      </w:r>
    </w:p>
    <w:p>
      <w:pPr>
        <w:spacing w:after="0" w:line="219" w:lineRule="exact"/>
        <w:rPr>
          <w:sz w:val="20"/>
          <w:szCs w:val="20"/>
          <w:color w:val="auto"/>
        </w:rPr>
      </w:pPr>
    </w:p>
    <w:p>
      <w:pPr>
        <w:jc w:val="both"/>
        <w:ind w:left="40" w:right="59" w:firstLine="311"/>
        <w:spacing w:after="0" w:line="275" w:lineRule="auto"/>
        <w:rPr>
          <w:sz w:val="20"/>
          <w:szCs w:val="20"/>
          <w:color w:val="auto"/>
        </w:rPr>
      </w:pPr>
      <w:r>
        <w:rPr>
          <w:rFonts w:ascii="Arial" w:cs="Arial" w:eastAsia="Arial" w:hAnsi="Arial"/>
          <w:sz w:val="16"/>
          <w:szCs w:val="16"/>
          <w:color w:val="auto"/>
        </w:rPr>
        <w:t>At March 31, 2020, the fair value of the common stock underlying the SAR Awards was determined by the Board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during 2020 which exceeded historical results.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27" w:name="page28"/>
    <w:bookmarkEnd w:id="2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Amended Options</w:t>
      </w:r>
    </w:p>
    <w:p>
      <w:pPr>
        <w:spacing w:after="0" w:line="219"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Prior to the amendment of the options in connection with the Offering in July 2020, the options permitted holders to put their exercised shares back to the Company, thus the options were classified as temporary equity and included in “Options for Redeemable Shares” on the condensed consolidated balance sheet at March 31, 2020. The Company recorded an increase in the value of Options for Redeemable Shares of $15,242 during the three months ended March 31, 2020, pertaining to the 3,849 in options outstanding. As all options outstanding were fully vested, no related compensation expense was recorded for the three months ended March 31, 2020.</w:t>
      </w:r>
    </w:p>
    <w:p>
      <w:pPr>
        <w:spacing w:after="0" w:line="181"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In connection with the amendment, the option holders’ ability to put the exercised Amended Option shares to the Company in order to attain liquidity was exchanged for the right by the holders to exercise these options and sell the related shares on the NASDAQ exchange. As a result of the put right no longer being applicable, the options were no longer considered temporary equity and were reclassified to stockholders equity at the time of the exchange.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Options under 2020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activity for options outstanding under the 2020 Plan:</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2020 Plan Option Activity</w:t>
            </w:r>
          </w:p>
        </w:tc>
        <w:tc>
          <w:tcPr>
            <w:tcW w:w="3760" w:type="dxa"/>
            <w:vAlign w:val="bottom"/>
            <w:vMerge w:val="restart"/>
          </w:tcPr>
          <w:p>
            <w:pPr>
              <w:spacing w:after="0"/>
              <w:rPr>
                <w:sz w:val="12"/>
                <w:szCs w:val="12"/>
                <w:color w:val="auto"/>
              </w:rPr>
            </w:pPr>
          </w:p>
        </w:tc>
        <w:tc>
          <w:tcPr>
            <w:tcW w:w="8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2"/>
                <w:szCs w:val="12"/>
                <w:color w:val="auto"/>
              </w:rPr>
            </w:pPr>
          </w:p>
        </w:tc>
        <w:tc>
          <w:tcPr>
            <w:tcW w:w="8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2"/>
              <w:spacing w:after="0" w:line="14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2"/>
        </w:trPr>
        <w:tc>
          <w:tcPr>
            <w:tcW w:w="1540" w:type="dxa"/>
            <w:vAlign w:val="bottom"/>
            <w:tcBorders>
              <w:bottom w:val="single" w:sz="8" w:color="auto"/>
            </w:tcBorders>
            <w:gridSpan w:val="2"/>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9"/>
              </w:rPr>
              <w:t>Life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2"/>
              <w:spacing w:after="0" w:line="152"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Outstanding at January 1, 2021</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11,876</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251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32.16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2.18</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23,220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2020 Plan options outstanding at March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206,866</w:t>
            </w: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7"/>
                <w:szCs w:val="17"/>
                <w:color w:val="auto"/>
              </w:rPr>
              <w:t>2020 Plan options exercisable at March 31, 2021</w:t>
            </w:r>
          </w:p>
        </w:tc>
        <w:tc>
          <w:tcPr>
            <w:tcW w:w="8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1.79</w:t>
            </w: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132,747</w:t>
            </w:r>
          </w:p>
        </w:tc>
        <w:tc>
          <w:tcPr>
            <w:tcW w:w="0" w:type="dxa"/>
            <w:vAlign w:val="bottom"/>
          </w:tcPr>
          <w:p>
            <w:pPr>
              <w:spacing w:after="0" w:line="20" w:lineRule="exact"/>
              <w:rPr>
                <w:sz w:val="1"/>
                <w:szCs w:val="1"/>
                <w:color w:val="auto"/>
              </w:rPr>
            </w:pPr>
          </w:p>
        </w:tc>
      </w:tr>
      <w:tr>
        <w:trPr>
          <w:trHeight w:val="186"/>
        </w:trPr>
        <w:tc>
          <w:tcPr>
            <w:tcW w:w="5300" w:type="dxa"/>
            <w:vAlign w:val="bottom"/>
            <w:gridSpan w:val="3"/>
            <w:vMerge w:val="continue"/>
          </w:tcPr>
          <w:p>
            <w:pPr>
              <w:spacing w:after="0"/>
              <w:rPr>
                <w:sz w:val="16"/>
                <w:szCs w:val="16"/>
                <w:color w:val="auto"/>
              </w:rPr>
            </w:pP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6,574</w:t>
            </w:r>
          </w:p>
        </w:tc>
        <w:tc>
          <w:tcPr>
            <w:tcW w:w="2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3.56</w:t>
            </w:r>
          </w:p>
        </w:tc>
        <w:tc>
          <w:tcPr>
            <w:tcW w:w="2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detail of options outstanding, vested and exercisable under the 2020 Plan as of March 31, 2021 is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0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w w:val="90"/>
              </w:rPr>
              <w:t>Options Vested and Exercisable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5"/>
              </w:rPr>
              <w:t>Weighted</w:t>
            </w:r>
          </w:p>
        </w:tc>
        <w:tc>
          <w:tcPr>
            <w:tcW w:w="14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43"/>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9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5"/>
        </w:trPr>
        <w:tc>
          <w:tcPr>
            <w:tcW w:w="486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Life (Years)</w:t>
            </w: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$0.15 to $0.71</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2,382</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2,382</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863</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863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$2.50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$2.67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$3.17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2,175</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$4.70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$32.16</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9.9</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10,975</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6,574</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2"/>
            <w:vMerge w:val="restart"/>
          </w:tcPr>
          <w:p>
            <w:pPr>
              <w:ind w:left="300"/>
              <w:spacing w:after="0"/>
              <w:rPr>
                <w:sz w:val="20"/>
                <w:szCs w:val="20"/>
                <w:color w:val="auto"/>
              </w:rPr>
            </w:pPr>
            <w:r>
              <w:rPr>
                <w:rFonts w:ascii="Arial" w:cs="Arial" w:eastAsia="Arial" w:hAnsi="Arial"/>
                <w:sz w:val="17"/>
                <w:szCs w:val="17"/>
                <w:color w:val="auto"/>
              </w:rPr>
              <w:t>*Amended Options have indefinite contractual lives</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The Board intends all options granted to be exercisable at a price per share not less than the per share fair market value of the Company’s Class A common stock underlying the options on the date of grant. Compensation expense for new option awards issued subsequent to the Offering to participants under the 2020 Plan are measured based on the grant date fair value of the awards and recognized in the condensed consolidated statements of comprehensive income (loss) over the period during which the participant is required to perform the requisite services. The vesting period is generally one to four years. The grant date fair value of options is estimated using the Black-Scholes model.</w:t>
      </w:r>
    </w:p>
    <w:p>
      <w:pPr>
        <w:spacing w:after="0" w:line="181" w:lineRule="exact"/>
        <w:rPr>
          <w:sz w:val="20"/>
          <w:szCs w:val="20"/>
          <w:color w:val="auto"/>
        </w:rPr>
      </w:pPr>
    </w:p>
    <w:p>
      <w:pPr>
        <w:jc w:val="both"/>
        <w:ind w:left="40" w:right="59" w:firstLine="311"/>
        <w:spacing w:after="0" w:line="317" w:lineRule="auto"/>
        <w:rPr>
          <w:sz w:val="20"/>
          <w:szCs w:val="20"/>
          <w:color w:val="auto"/>
        </w:rPr>
      </w:pPr>
      <w:r>
        <w:rPr>
          <w:rFonts w:ascii="Arial" w:cs="Arial" w:eastAsia="Arial" w:hAnsi="Arial"/>
          <w:sz w:val="16"/>
          <w:szCs w:val="16"/>
          <w:color w:val="auto"/>
        </w:rPr>
        <w:t>There were no options issued or outstanding under the 2020 Plan for the three months ended March 31, 2020. The Company issued 251 options under the 2020 Plan during the three months ended March 31, 2021. The assumptions used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28" w:name="page29"/>
    <w:bookmarkEnd w:id="2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7"/>
          <w:szCs w:val="17"/>
          <w:color w:val="auto"/>
        </w:rPr>
        <w:t>in the Black-Scholes model to determine the value of the options issued during the three months ended March 31, 2021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Fair market value of common stock</w:t>
            </w:r>
          </w:p>
        </w:tc>
        <w:tc>
          <w:tcPr>
            <w:tcW w:w="29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w:t>
            </w:r>
          </w:p>
        </w:tc>
        <w:tc>
          <w:tcPr>
            <w:tcW w:w="24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Volatility</w:t>
            </w:r>
          </w:p>
        </w:tc>
        <w:tc>
          <w:tcPr>
            <w:tcW w:w="29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29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4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9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20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9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jc w:val="both"/>
        <w:ind w:left="40" w:right="59" w:firstLine="311"/>
        <w:spacing w:after="0" w:line="259" w:lineRule="auto"/>
        <w:rPr>
          <w:sz w:val="20"/>
          <w:szCs w:val="20"/>
          <w:color w:val="auto"/>
        </w:rPr>
      </w:pPr>
      <w:r>
        <w:rPr>
          <w:rFonts w:ascii="Arial" w:cs="Arial" w:eastAsia="Arial" w:hAnsi="Arial"/>
          <w:sz w:val="17"/>
          <w:szCs w:val="17"/>
          <w:color w:val="auto"/>
        </w:rPr>
        <w:t>The fair market value of common stock reflects the market closing price on NASDAQ on the option grant date. As of the valuation date,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spacing w:after="0" w:line="183" w:lineRule="exact"/>
        <w:rPr>
          <w:sz w:val="20"/>
          <w:szCs w:val="20"/>
          <w:color w:val="auto"/>
        </w:rPr>
      </w:pPr>
    </w:p>
    <w:p>
      <w:pPr>
        <w:jc w:val="both"/>
        <w:ind w:left="40" w:right="59" w:firstLine="354"/>
        <w:spacing w:after="0" w:line="264" w:lineRule="auto"/>
        <w:rPr>
          <w:sz w:val="20"/>
          <w:szCs w:val="20"/>
          <w:color w:val="auto"/>
        </w:rPr>
      </w:pPr>
      <w:r>
        <w:rPr>
          <w:rFonts w:ascii="Arial" w:cs="Arial" w:eastAsia="Arial" w:hAnsi="Arial"/>
          <w:sz w:val="17"/>
          <w:szCs w:val="17"/>
          <w:color w:val="auto"/>
        </w:rPr>
        <w:t>During the three months ended March 31, 2021, the Company recognized aggregate stock-based compensation expense for options and Converted SARs that were exchanged for options under the 2020 Plan of $3,768. At March 31, 2021, $30,605 of unrecognized compensation expense associated with options and Converted SARs is expected to be recognized over a weighted average period of approximately 3.6 years.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Restricted Stock Units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RSU activity for the three months ended March 31, 2021:</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5"/>
              </w:rPr>
              <w:t>Units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 Per Share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2021</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gridSpan w:val="2"/>
          </w:tcPr>
          <w:p>
            <w:pPr>
              <w:ind w:left="100"/>
              <w:spacing w:after="0"/>
              <w:rPr>
                <w:sz w:val="20"/>
                <w:szCs w:val="20"/>
                <w:color w:val="auto"/>
              </w:rPr>
            </w:pPr>
            <w:r>
              <w:rPr>
                <w:rFonts w:ascii="Arial" w:cs="Arial" w:eastAsia="Arial" w:hAnsi="Arial"/>
                <w:sz w:val="17"/>
                <w:szCs w:val="17"/>
                <w:color w:val="auto"/>
              </w:rPr>
              <w:t>Granted</w:t>
            </w:r>
          </w:p>
        </w:tc>
        <w:tc>
          <w:tcPr>
            <w:tcW w:w="320" w:type="dxa"/>
            <w:vAlign w:val="bottom"/>
          </w:tcPr>
          <w:p>
            <w:pPr>
              <w:jc w:val="right"/>
              <w:spacing w:after="0"/>
              <w:rPr>
                <w:sz w:val="20"/>
                <w:szCs w:val="20"/>
                <w:color w:val="auto"/>
              </w:rPr>
            </w:pPr>
            <w:r>
              <w:rPr>
                <w:rFonts w:ascii="Arial" w:cs="Arial" w:eastAsia="Arial" w:hAnsi="Arial"/>
                <w:sz w:val="17"/>
                <w:szCs w:val="17"/>
                <w:color w:val="auto"/>
                <w:w w:val="91"/>
              </w:rPr>
              <w:t>281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Vested</w:t>
            </w: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Forfeited</w:t>
            </w: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March 31, 2021</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376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 w:right="59" w:firstLine="311"/>
        <w:spacing w:after="0" w:line="258" w:lineRule="auto"/>
        <w:rPr>
          <w:sz w:val="20"/>
          <w:szCs w:val="20"/>
          <w:color w:val="auto"/>
        </w:rPr>
      </w:pPr>
      <w:r>
        <w:rPr>
          <w:rFonts w:ascii="Arial" w:cs="Arial" w:eastAsia="Arial" w:hAnsi="Arial"/>
          <w:sz w:val="17"/>
          <w:szCs w:val="17"/>
          <w:color w:val="auto"/>
        </w:rPr>
        <w:t>There were no RSUs issued or outstanding for the three months ended March 31, 2020. Stock-based compensation cost for RSUs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one to four years. Vested RSUs are settled by issuing Class A shares or the equivalent value in cash at the Board’s discretion. During the three months ended March 31, 2021, the Company recognized stock-based compensation expense for RSUs of $436. At March 31, 2021, $10,775 of unrecognized compensation cost for RSUs is expected to be recognized over a weighted average period of approximately 3.8 years.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29" w:name="page30"/>
    <w:bookmarkEnd w:id="2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Arial" w:cs="Arial" w:eastAsia="Arial" w:hAnsi="Arial"/>
          <w:sz w:val="17"/>
          <w:szCs w:val="17"/>
          <w:i w:val="1"/>
          <w:iCs w:val="1"/>
          <w:u w:val="single" w:color="auto"/>
          <w:color w:val="auto"/>
        </w:rPr>
        <w:t>Restricted Stock Awards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RSA activity for the three months ended March 31, 2021:</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5"/>
              </w:rPr>
              <w:t>Units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 Per Share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2021</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670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gridSpan w:val="2"/>
          </w:tcPr>
          <w:p>
            <w:pPr>
              <w:ind w:left="100"/>
              <w:spacing w:after="0"/>
              <w:rPr>
                <w:sz w:val="20"/>
                <w:szCs w:val="20"/>
                <w:color w:val="auto"/>
              </w:rPr>
            </w:pPr>
            <w:r>
              <w:rPr>
                <w:rFonts w:ascii="Arial" w:cs="Arial" w:eastAsia="Arial" w:hAnsi="Arial"/>
                <w:sz w:val="17"/>
                <w:szCs w:val="17"/>
                <w:color w:val="auto"/>
              </w:rPr>
              <w:t>Granted</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Vested</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Forfeited</w:t>
            </w: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March 31, 2021</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0" w:right="59" w:firstLine="311"/>
        <w:spacing w:after="0" w:line="258" w:lineRule="auto"/>
        <w:rPr>
          <w:sz w:val="20"/>
          <w:szCs w:val="20"/>
          <w:color w:val="auto"/>
        </w:rPr>
      </w:pPr>
      <w:r>
        <w:rPr>
          <w:rFonts w:ascii="Arial" w:cs="Arial" w:eastAsia="Arial" w:hAnsi="Arial"/>
          <w:sz w:val="17"/>
          <w:szCs w:val="17"/>
          <w:color w:val="auto"/>
        </w:rPr>
        <w:t>There were no RSAs issued or outstanding for the three months ended March 31, 2020. Stock-based compensation cost for RSAs is measured based on the fair value of the Company’s underlying common stock on the date of grant and is recognized on a straight-line basis in the condensed consolidated statements of comprehensive income (loss) over the period during which the participants are required to perform services in exchange for the award, which is generally one to four years. Vested RSAs are settled by issuing Class A shares upon vesting. During the three months ended March 31, 2021, the Company recognized stock-based compensation expense for RSAs of $2,209, net of forfeitures related to these awards. At March 31, 2021, $6,588 of unrecognized compensation cost for RSAs is expected to be recognized over a weighted average period of approximately 2.4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Employee Stock Purchase Plan</w:t>
      </w:r>
    </w:p>
    <w:p>
      <w:pPr>
        <w:spacing w:after="0" w:line="219"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The ESPP permits participants to purchase Class A common stock through payroll deductions of up to a specified percentage of their eligible compensation. The maximum number of shares that may be purchased by a participant during any offering period is determined by the plan administrator in advance of each offering period.</w:t>
      </w:r>
    </w:p>
    <w:p>
      <w:pPr>
        <w:spacing w:after="0" w:line="172" w:lineRule="exact"/>
        <w:rPr>
          <w:sz w:val="20"/>
          <w:szCs w:val="20"/>
          <w:color w:val="auto"/>
        </w:rPr>
      </w:pPr>
    </w:p>
    <w:p>
      <w:pPr>
        <w:jc w:val="both"/>
        <w:ind w:left="40" w:right="59" w:firstLine="311"/>
        <w:spacing w:after="0" w:line="276" w:lineRule="auto"/>
        <w:rPr>
          <w:sz w:val="20"/>
          <w:szCs w:val="20"/>
          <w:color w:val="auto"/>
        </w:rPr>
      </w:pPr>
      <w:r>
        <w:rPr>
          <w:rFonts w:ascii="Arial" w:cs="Arial" w:eastAsia="Arial" w:hAnsi="Arial"/>
          <w:sz w:val="16"/>
          <w:szCs w:val="16"/>
          <w:color w:val="auto"/>
        </w:rPr>
        <w:t>On the first trading day of each offering period, each participant will automatically be granted an option to purchase shares of Class A common.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85% of the lower of the fair value of the Class A common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common. If a participant withdraws from the plan during an offering period, the participant cannot rejoin until the next offering period. Participation ends automatically upon a participant's termination of employment.</w:t>
      </w:r>
    </w:p>
    <w:p>
      <w:pPr>
        <w:spacing w:after="0" w:line="170"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A total of 1,000 shares of Class A common were initially reserved for issuance under the ESPP. The number of shares available for issuance under the ESPP will be increased annually on January 1 of each calendar year beginning in 2021 and ending in and including 2030, by an amount equal to the lesser of (i) 1% of the shares of Class A and Class B common stock outstanding on the final day of the immediately preceding calendar year and (ii) such smaller number of shares as is determined by the Board, provided that no more than 16,000 shares of Class A common stock may be issued. The ESPP is administered by a committee of the Board.</w:t>
      </w:r>
    </w:p>
    <w:p>
      <w:pPr>
        <w:spacing w:after="0" w:line="181"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During the three months ended March 31, 2021, the Company recorded stock-based compensation expense of $130 related to the ESPP. There were no shares of Class A common stock purchased under the ESPP during the three months ended March 31, 2021 as the current offering period does not end until May 31, 2021. As of March 31, 2021, there was approximately $88 of unrecognized ESPP stock-based compensation cost that is expected to be recognized on a straight-line basis over the remaining term of the current offering period.</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30" w:name="page31"/>
    <w:bookmarkEnd w:id="3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40" w:right="239" w:firstLine="311"/>
        <w:spacing w:after="0" w:line="269" w:lineRule="auto"/>
        <w:rPr>
          <w:sz w:val="20"/>
          <w:szCs w:val="20"/>
          <w:color w:val="auto"/>
        </w:rPr>
      </w:pPr>
      <w:r>
        <w:rPr>
          <w:rFonts w:ascii="Arial" w:cs="Arial" w:eastAsia="Arial" w:hAnsi="Arial"/>
          <w:sz w:val="17"/>
          <w:szCs w:val="17"/>
          <w:color w:val="auto"/>
        </w:rPr>
        <w:t>The fair value of ESPP purchase rights is comprised of the value of the 15% ESPP discount and the value associated with the Call/Put over the ESPP offering period. The value of the Call/Put for the current offering period (December 1, 2020 – May 31, 2021) was estimated using the Black-Scholes model with the following assumptions: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Current</w:t>
            </w:r>
          </w:p>
        </w:tc>
      </w:tr>
      <w:tr>
        <w:trPr>
          <w:trHeight w:val="165"/>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Offering Period</w:t>
            </w:r>
          </w:p>
        </w:tc>
      </w:tr>
      <w:tr>
        <w:trPr>
          <w:trHeight w:val="20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market value of common stock</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280" w:type="dxa"/>
            <w:vAlign w:val="bottom"/>
            <w:tcBorders>
              <w:top w:val="single" w:sz="8" w:color="CCEEFF"/>
            </w:tcBorders>
            <w:shd w:val="clear" w:color="auto" w:fill="CCEEFF"/>
          </w:tcPr>
          <w:p>
            <w:pPr>
              <w:spacing w:after="0"/>
              <w:rPr>
                <w:sz w:val="17"/>
                <w:szCs w:val="17"/>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7"/>
                <w:szCs w:val="17"/>
                <w:color w:val="auto"/>
              </w:rPr>
              <w:t>Volatility</w:t>
            </w: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35.00 %</w:t>
            </w:r>
          </w:p>
        </w:tc>
      </w:tr>
      <w:tr>
        <w:trPr>
          <w:trHeight w:val="207"/>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280" w:type="dxa"/>
            <w:vAlign w:val="bottom"/>
            <w:shd w:val="clear" w:color="auto" w:fill="CCEEFF"/>
          </w:tcPr>
          <w:p>
            <w:pPr>
              <w:spacing w:after="0"/>
              <w:rPr>
                <w:sz w:val="18"/>
                <w:szCs w:val="18"/>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 %</w:t>
            </w:r>
          </w:p>
        </w:tc>
      </w:tr>
      <w:tr>
        <w:trPr>
          <w:trHeight w:val="207"/>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0.11 %</w:t>
            </w:r>
          </w:p>
        </w:tc>
      </w:tr>
    </w:tbl>
    <w:p>
      <w:pPr>
        <w:spacing w:after="0" w:line="221"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The Company lacks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ESPP offering period, which is generally six months. The Company does not expect to pay dividends after the Offering. The risk-free interest rate was based on the rate for a U.S. Treasury zero-coupon issue with a term that closely approximates the expected term of the award at the date nearest the offering term.</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recognized total stock-based compensation cost related to incentive awards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4800" w:type="dxa"/>
            <w:vAlign w:val="bottom"/>
            <w:tcBorders>
              <w:bottom w:val="single" w:sz="8" w:color="CCEEFF"/>
            </w:tcBorders>
          </w:tcPr>
          <w:p>
            <w:pPr>
              <w:spacing w:after="0"/>
              <w:rPr>
                <w:sz w:val="11"/>
                <w:szCs w:val="11"/>
                <w:color w:val="auto"/>
              </w:rPr>
            </w:pPr>
          </w:p>
        </w:tc>
        <w:tc>
          <w:tcPr>
            <w:tcW w:w="18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18"/>
              <w:spacing w:after="0" w:line="136"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6"/>
              <w:spacing w:after="0" w:line="136" w:lineRule="exact"/>
              <w:rPr>
                <w:sz w:val="20"/>
                <w:szCs w:val="20"/>
                <w:color w:val="auto"/>
              </w:rPr>
            </w:pPr>
            <w:r>
              <w:rPr>
                <w:rFonts w:ascii="Arial" w:cs="Arial" w:eastAsia="Arial" w:hAnsi="Arial"/>
                <w:sz w:val="14"/>
                <w:szCs w:val="14"/>
                <w:b w:val="1"/>
                <w:bCs w:val="1"/>
                <w:color w:val="auto"/>
              </w:rPr>
              <w:t>2020</w:t>
            </w:r>
          </w:p>
        </w:tc>
      </w:tr>
      <w:tr>
        <w:trPr>
          <w:trHeight w:val="200"/>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SARs and Converted SARs</w:t>
            </w:r>
          </w:p>
        </w:tc>
        <w:tc>
          <w:tcPr>
            <w:tcW w:w="2120" w:type="dxa"/>
            <w:vAlign w:val="bottom"/>
            <w:gridSpan w:val="2"/>
          </w:tcPr>
          <w:p>
            <w:pPr>
              <w:jc w:val="right"/>
              <w:ind w:right="8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3,391</w:t>
            </w:r>
          </w:p>
        </w:tc>
        <w:tc>
          <w:tcPr>
            <w:tcW w:w="42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34,920</w:t>
            </w:r>
          </w:p>
        </w:tc>
      </w:tr>
      <w:tr>
        <w:trPr>
          <w:trHeight w:val="207"/>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RSUs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RSAs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ESPP</w:t>
            </w:r>
          </w:p>
        </w:tc>
        <w:tc>
          <w:tcPr>
            <w:tcW w:w="1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stock-based compensation expense</w:t>
            </w:r>
          </w:p>
        </w:tc>
        <w:tc>
          <w:tcPr>
            <w:tcW w:w="1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34,920</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The Company recognized stock-based compensation cost in the condensed consolidated statements of comprehensive income (loss)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6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880" w:type="dxa"/>
            <w:vAlign w:val="bottom"/>
            <w:vMerge w:val="restart"/>
          </w:tcPr>
          <w:p>
            <w:pPr>
              <w:spacing w:after="0"/>
              <w:rPr>
                <w:sz w:val="20"/>
                <w:szCs w:val="20"/>
                <w:color w:val="auto"/>
              </w:rPr>
            </w:pPr>
            <w:r>
              <w:rPr>
                <w:rFonts w:ascii="Arial" w:cs="Arial" w:eastAsia="Arial" w:hAnsi="Arial"/>
                <w:sz w:val="17"/>
                <w:szCs w:val="17"/>
                <w:b w:val="1"/>
                <w:bCs w:val="1"/>
                <w:color w:val="auto"/>
              </w:rPr>
              <w:t>Stock-based compensation expense:</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8"/>
              <w:spacing w:after="0" w:line="136"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6"/>
              <w:spacing w:after="0" w:line="136"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7"/>
        </w:trPr>
        <w:tc>
          <w:tcPr>
            <w:tcW w:w="6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 software subscriptions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0" w:type="dxa"/>
            <w:vAlign w:val="bottom"/>
          </w:tcPr>
          <w:p>
            <w:pPr>
              <w:spacing w:after="0"/>
              <w:rPr>
                <w:sz w:val="1"/>
                <w:szCs w:val="1"/>
                <w:color w:val="auto"/>
              </w:rPr>
            </w:pPr>
          </w:p>
        </w:tc>
      </w:tr>
      <w:tr>
        <w:trPr>
          <w:trHeight w:val="207"/>
        </w:trPr>
        <w:tc>
          <w:tcPr>
            <w:tcW w:w="6880" w:type="dxa"/>
            <w:vAlign w:val="bottom"/>
          </w:tcPr>
          <w:p>
            <w:pPr>
              <w:spacing w:after="0"/>
              <w:rPr>
                <w:sz w:val="20"/>
                <w:szCs w:val="20"/>
                <w:color w:val="auto"/>
              </w:rPr>
            </w:pPr>
            <w:r>
              <w:rPr>
                <w:rFonts w:ascii="Arial" w:cs="Arial" w:eastAsia="Arial" w:hAnsi="Arial"/>
                <w:sz w:val="17"/>
                <w:szCs w:val="17"/>
                <w:color w:val="auto"/>
              </w:rPr>
              <w:t>Cost of revenues, services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5,238</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0" w:type="dxa"/>
            <w:vAlign w:val="bottom"/>
          </w:tcPr>
          <w:p>
            <w:pPr>
              <w:spacing w:after="0"/>
              <w:rPr>
                <w:sz w:val="1"/>
                <w:szCs w:val="1"/>
                <w:color w:val="auto"/>
              </w:rPr>
            </w:pPr>
          </w:p>
        </w:tc>
      </w:tr>
      <w:tr>
        <w:trPr>
          <w:trHeight w:val="207"/>
        </w:trPr>
        <w:tc>
          <w:tcPr>
            <w:tcW w:w="6880" w:type="dxa"/>
            <w:vAlign w:val="bottom"/>
          </w:tcPr>
          <w:p>
            <w:pPr>
              <w:spacing w:after="0"/>
              <w:rPr>
                <w:sz w:val="20"/>
                <w:szCs w:val="20"/>
                <w:color w:val="auto"/>
              </w:rPr>
            </w:pPr>
            <w:r>
              <w:rPr>
                <w:rFonts w:ascii="Arial" w:cs="Arial" w:eastAsia="Arial" w:hAnsi="Arial"/>
                <w:sz w:val="17"/>
                <w:szCs w:val="17"/>
                <w:color w:val="auto"/>
              </w:rPr>
              <w:t>Selling and marketing</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1,287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6,984</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15,714</w:t>
            </w:r>
          </w:p>
        </w:tc>
        <w:tc>
          <w:tcPr>
            <w:tcW w:w="0" w:type="dxa"/>
            <w:vAlign w:val="bottom"/>
          </w:tcPr>
          <w:p>
            <w:pPr>
              <w:spacing w:after="0"/>
              <w:rPr>
                <w:sz w:val="1"/>
                <w:szCs w:val="1"/>
                <w:color w:val="auto"/>
              </w:rPr>
            </w:pPr>
          </w:p>
        </w:tc>
      </w:tr>
      <w:tr>
        <w:trPr>
          <w:trHeight w:val="200"/>
        </w:trPr>
        <w:tc>
          <w:tcPr>
            <w:tcW w:w="6880" w:type="dxa"/>
            <w:vAlign w:val="bottom"/>
          </w:tcPr>
          <w:p>
            <w:pPr>
              <w:ind w:left="100"/>
              <w:spacing w:after="0"/>
              <w:rPr>
                <w:sz w:val="20"/>
                <w:szCs w:val="20"/>
                <w:color w:val="auto"/>
              </w:rPr>
            </w:pPr>
            <w:r>
              <w:rPr>
                <w:rFonts w:ascii="Arial" w:cs="Arial" w:eastAsia="Arial" w:hAnsi="Arial"/>
                <w:sz w:val="17"/>
                <w:szCs w:val="17"/>
                <w:color w:val="auto"/>
              </w:rPr>
              <w:t>Total stock-based compensation expense</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6,543</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34,920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13.  LEGAL PROCEEDINGS</w:t>
      </w:r>
    </w:p>
    <w:p>
      <w:pPr>
        <w:spacing w:after="0" w:line="225" w:lineRule="exact"/>
        <w:rPr>
          <w:sz w:val="20"/>
          <w:szCs w:val="20"/>
          <w:color w:val="auto"/>
        </w:rPr>
      </w:pPr>
    </w:p>
    <w:p>
      <w:pPr>
        <w:jc w:val="both"/>
        <w:ind w:left="40" w:right="59" w:firstLine="311"/>
        <w:spacing w:after="0" w:line="286" w:lineRule="auto"/>
        <w:rPr>
          <w:sz w:val="20"/>
          <w:szCs w:val="20"/>
          <w:color w:val="auto"/>
        </w:rPr>
      </w:pPr>
      <w:r>
        <w:rPr>
          <w:rFonts w:ascii="Arial" w:cs="Arial" w:eastAsia="Arial" w:hAnsi="Arial"/>
          <w:sz w:val="16"/>
          <w:szCs w:val="16"/>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31" w:name="page32"/>
    <w:bookmarkEnd w:id="3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14.  SUBSEQUENT EVENTS</w:t>
      </w:r>
    </w:p>
    <w:p>
      <w:pPr>
        <w:spacing w:after="0" w:line="225"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On May 12, 2021, the Company acquired EVAT Solutions Limited and its subsidiaries, doing business as Taxamo (collectively “Taxamo”), a cloud-based pioneer in tax and payment automation for global e-commerce and marketplaces for approximately $200,000 in cash on hand. The acquisition supports and accelerates the Company’s growth strategies across ecommerce platforms and marketplaces in the enterprise and mid-market in Europe and North America, and among its existing global customers. The Company’s accounting for the Taxamo acquisition, including whether it constitutes an asset or business purchase, is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646" w:right="1440" w:bottom="1440" w:gutter="0" w:footer="0" w:header="0"/>
        </w:sectPr>
      </w:pPr>
    </w:p>
    <w:bookmarkStart w:id="32" w:name="page33"/>
    <w:bookmarkEnd w:id="3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right="599" w:hanging="621"/>
        <w:spacing w:after="0" w:line="292"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53" w:lineRule="exact"/>
        <w:rPr>
          <w:sz w:val="20"/>
          <w:szCs w:val="20"/>
          <w:color w:val="auto"/>
        </w:rPr>
      </w:pPr>
    </w:p>
    <w:p>
      <w:pPr>
        <w:jc w:val="both"/>
        <w:ind w:left="40" w:right="59" w:firstLine="311"/>
        <w:spacing w:after="0" w:line="27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225"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1,200 professionals and serves companies across the globe.</w:t>
      </w:r>
    </w:p>
    <w:p>
      <w:pPr>
        <w:spacing w:after="0" w:line="178" w:lineRule="exact"/>
        <w:rPr>
          <w:sz w:val="20"/>
          <w:szCs w:val="20"/>
          <w:color w:val="auto"/>
        </w:rPr>
      </w:pPr>
    </w:p>
    <w:p>
      <w:pPr>
        <w:jc w:val="both"/>
        <w:ind w:left="40" w:right="59" w:firstLine="311"/>
        <w:spacing w:after="0" w:line="276" w:lineRule="auto"/>
        <w:rPr>
          <w:sz w:val="20"/>
          <w:szCs w:val="20"/>
          <w:color w:val="auto"/>
        </w:rPr>
      </w:pPr>
      <w:r>
        <w:rPr>
          <w:rFonts w:ascii="Arial" w:cs="Arial" w:eastAsia="Arial" w:hAnsi="Arial"/>
          <w:sz w:val="16"/>
          <w:szCs w:val="16"/>
          <w:color w:val="auto"/>
        </w:rPr>
        <w:t>We have pioneered tax technology for over 40 years. We first began electronic delivery of tax rules in the early 1980s and we first sold transaction tax processing software in 1982. Today, our software enables tax determination, compliance and reporting, tax data management and document management with powerful pre-built integrations to core business applications used by most companies, particularly those applications that have a significant impact on global commerce. Our software is fueled by over 300 million data-driven effective tax rules and supports indirect tax compliance in more than 19,000 jurisdictions worldwide. In order to maintain the quality of our content, our team includes many global tax and regulatory experts from industry and the public sector, who deliver monthly updates to our tax content, which are then incorporated directly into our software. Our solutions can be deployed on-premise, in the cloud, or both, with implementation services available to enable optimal customer outcomes and satisfy their unique business requirements.</w:t>
      </w:r>
    </w:p>
    <w:p>
      <w:pPr>
        <w:spacing w:after="0" w:line="170"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We have accumulated industry-specific tax knowledge for over four decades and our customers leverage our in-depth content through their use of our software. This allows our customers to comply with the dynamic regulatory landscape in real time and mitigates our customers’ risk exposure. As our customers expand their global footprint and business models, we are actively supporting their expansion by continuously strengthening our content offering and allowing for additional jurisdiction-specific tax compliance.</w:t>
      </w:r>
    </w:p>
    <w:p>
      <w:pPr>
        <w:spacing w:after="0" w:line="178"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almost all of our customers annually in advance of the subscription period.</w:t>
      </w:r>
    </w:p>
    <w:p>
      <w:pPr>
        <w:spacing w:after="0" w:line="178" w:lineRule="exact"/>
        <w:rPr>
          <w:sz w:val="20"/>
          <w:szCs w:val="20"/>
          <w:color w:val="auto"/>
        </w:rPr>
      </w:pPr>
    </w:p>
    <w:p>
      <w:pPr>
        <w:jc w:val="both"/>
        <w:ind w:left="40" w:right="59" w:firstLine="311"/>
        <w:spacing w:after="0" w:line="279" w:lineRule="auto"/>
        <w:rPr>
          <w:sz w:val="20"/>
          <w:szCs w:val="20"/>
          <w:color w:val="auto"/>
        </w:rPr>
      </w:pPr>
      <w:r>
        <w:rPr>
          <w:rFonts w:ascii="Arial" w:cs="Arial" w:eastAsia="Arial" w:hAnsi="Arial"/>
          <w:sz w:val="16"/>
          <w:szCs w:val="16"/>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69" w:lineRule="exact"/>
        <w:rPr>
          <w:sz w:val="20"/>
          <w:szCs w:val="20"/>
          <w:color w:val="auto"/>
        </w:rPr>
      </w:pPr>
    </w:p>
    <w:p>
      <w:pPr>
        <w:jc w:val="both"/>
        <w:ind w:left="40" w:right="59" w:firstLine="311"/>
        <w:spacing w:after="0" w:line="282" w:lineRule="auto"/>
        <w:rPr>
          <w:sz w:val="20"/>
          <w:szCs w:val="20"/>
          <w:color w:val="auto"/>
        </w:rPr>
      </w:pPr>
      <w:r>
        <w:rPr>
          <w:rFonts w:ascii="Arial" w:cs="Arial" w:eastAsia="Arial" w:hAnsi="Arial"/>
          <w:sz w:val="16"/>
          <w:szCs w:val="16"/>
          <w:color w:val="auto"/>
        </w:rPr>
        <w:t>We employ a hybrid deployment model to align to our customers’ technology preferences for their core financial management software across on premise, cloud deployments or any combination of these models. Over time, we expect both existing and newly acquired customers to continue to shift towards cloud deployment models. Cloud-based subscription sales to new customers have grown at a significantly faster rate than on-premise software subscription sales, which is a trend that we expect to continue over time. We generated 32.3% and 25.1% of software subscription revenue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3" w:name="page34"/>
    <w:bookmarkEnd w:id="3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from cloud-based subscriptions during the three months ended March 31, 2021 and 2020, respectively. While our on-premise software subscription revenue comprises 67.7% of our 2021 software subscription revenue, it continues to decrease as a percentage of total software subscription revenue as cloud-based subscriptions accelerate.</w:t>
      </w:r>
    </w:p>
    <w:p>
      <w:pPr>
        <w:spacing w:after="0" w:line="172"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2"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spacing w:after="0" w:line="178" w:lineRule="exact"/>
        <w:rPr>
          <w:sz w:val="20"/>
          <w:szCs w:val="20"/>
          <w:color w:val="auto"/>
        </w:rPr>
      </w:pPr>
    </w:p>
    <w:p>
      <w:pPr>
        <w:jc w:val="both"/>
        <w:ind w:left="40" w:right="59" w:firstLine="311"/>
        <w:spacing w:after="0" w:line="301" w:lineRule="auto"/>
        <w:rPr>
          <w:sz w:val="20"/>
          <w:szCs w:val="20"/>
          <w:color w:val="auto"/>
        </w:rPr>
      </w:pPr>
      <w:r>
        <w:rPr>
          <w:rFonts w:ascii="Arial" w:cs="Arial" w:eastAsia="Arial" w:hAnsi="Arial"/>
          <w:sz w:val="15"/>
          <w:szCs w:val="15"/>
          <w:color w:val="auto"/>
        </w:rPr>
        <w:t>We believe that global commerce and the compliance environment provides durable and accelerating growth opportunities for our business. We generated revenue of $98.2 million and $89.2 million for the three months ended March 31, 2021 and 2020, respectively. We had net income of $2.3 million and a net loss of $29.1 million for the three months ended March 31, 2021 and 2020, respectively. Adjusted EBITDA was $18.2 million and $15.3 million for the three months ended March 31, 2021 and 2020, respectively. Adjusted EBITDA is a non-GAAP financial measure. Refer to “</w:t>
      </w:r>
      <w:r>
        <w:rPr>
          <w:rFonts w:ascii="Arial" w:cs="Arial" w:eastAsia="Arial" w:hAnsi="Arial"/>
          <w:sz w:val="15"/>
          <w:szCs w:val="15"/>
          <w:i w:val="1"/>
          <w:iCs w:val="1"/>
          <w:color w:val="auto"/>
        </w:rPr>
        <w:t>Use and Reconciliation of Non-GAAP</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Measures</w:t>
      </w:r>
      <w:r>
        <w:rPr>
          <w:rFonts w:ascii="Arial" w:cs="Arial" w:eastAsia="Arial" w:hAnsi="Arial"/>
          <w:sz w:val="15"/>
          <w:szCs w:val="15"/>
          <w:color w:val="auto"/>
        </w:rPr>
        <w:t>” for further discussion of non-GAAP financial measures and their comparison to GAAP financial measures.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Developments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Taxamo Acquisition</w:t>
      </w:r>
    </w:p>
    <w:p>
      <w:pPr>
        <w:spacing w:after="0" w:line="219" w:lineRule="exact"/>
        <w:rPr>
          <w:sz w:val="20"/>
          <w:szCs w:val="20"/>
          <w:color w:val="auto"/>
        </w:rPr>
      </w:pPr>
    </w:p>
    <w:p>
      <w:pPr>
        <w:jc w:val="both"/>
        <w:ind w:left="40" w:right="59" w:firstLine="311"/>
        <w:spacing w:after="0" w:line="286" w:lineRule="auto"/>
        <w:rPr>
          <w:sz w:val="20"/>
          <w:szCs w:val="20"/>
          <w:color w:val="auto"/>
        </w:rPr>
      </w:pPr>
      <w:r>
        <w:rPr>
          <w:rFonts w:ascii="Arial" w:cs="Arial" w:eastAsia="Arial" w:hAnsi="Arial"/>
          <w:sz w:val="16"/>
          <w:szCs w:val="16"/>
          <w:color w:val="auto"/>
        </w:rPr>
        <w:t>On May 12, 2021, we acquired EVAT Solutions Limited and its subsidiaries, doing business as Taxamo (collectively “Taxamo”), a cloud-based pioneer in tax and payment automation for global e-commerce and marketplaces for approximately $200.0 million in cash on hand. This acquisition supports and accelerates our growth strategies across ecommerce platforms and marketplaces in the enterprise and mid-market in Europe and North America, and among our existing global customers.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219" w:lineRule="exact"/>
        <w:rPr>
          <w:sz w:val="20"/>
          <w:szCs w:val="20"/>
          <w:color w:val="auto"/>
        </w:rPr>
      </w:pPr>
    </w:p>
    <w:p>
      <w:pPr>
        <w:jc w:val="both"/>
        <w:ind w:left="40" w:right="59" w:firstLine="311"/>
        <w:spacing w:after="0" w:line="274" w:lineRule="auto"/>
        <w:rPr>
          <w:sz w:val="20"/>
          <w:szCs w:val="20"/>
          <w:color w:val="auto"/>
        </w:rPr>
      </w:pPr>
      <w:r>
        <w:rPr>
          <w:rFonts w:ascii="Arial" w:cs="Arial" w:eastAsia="Arial" w:hAnsi="Arial"/>
          <w:sz w:val="16"/>
          <w:szCs w:val="16"/>
          <w:color w:val="auto"/>
        </w:rPr>
        <w:t>During 2020, the COVID-19 pandemic had minimal impact on our revenues and results of operations, as we continue to derive the significant majority of our revenues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2020, nor any material declines in revenues associated with declines in our customers’ revenues, and we currently expect our existing customer base to remain largely stable, as it did through the recession in 2008 and 2009. However, significant increases in non-renewals or concessions to renewal customers would have a material impact on our revenues and cash flows. During 2020, we did see some delays in signing deals due to prospects shifting to working remotely, and some due to economic uncertainty. We expect that the uncertainty caused by the COVID-19 pandemic could impact our billings to new customers beyond 2020 as the pandemic continues to generate economic uncertainty, and it may also negatively impact our efforts to maintain or expand revenues from our existing customers as they continue to evaluate certain long-term projects and budget constraints. However, we do not anticipate that overall demand for our software and solutions, our ability to deliver such software and solutions, or our growth strategies will be materially impacted by the COVID-19 pandemic, as companies continue to rely on us for their indirect tax solutions.</w:t>
      </w:r>
    </w:p>
    <w:p>
      <w:pPr>
        <w:spacing w:after="0" w:line="171" w:lineRule="exact"/>
        <w:rPr>
          <w:sz w:val="20"/>
          <w:szCs w:val="20"/>
          <w:color w:val="auto"/>
        </w:rPr>
      </w:pPr>
    </w:p>
    <w:p>
      <w:pPr>
        <w:jc w:val="both"/>
        <w:ind w:left="40" w:right="59" w:firstLine="311"/>
        <w:spacing w:after="0" w:line="282" w:lineRule="auto"/>
        <w:rPr>
          <w:sz w:val="20"/>
          <w:szCs w:val="20"/>
          <w:color w:val="auto"/>
        </w:rPr>
      </w:pPr>
      <w:r>
        <w:rPr>
          <w:rFonts w:ascii="Arial" w:cs="Arial" w:eastAsia="Arial" w:hAnsi="Arial"/>
          <w:sz w:val="16"/>
          <w:szCs w:val="16"/>
          <w:color w:val="auto"/>
        </w:rPr>
        <w:t>Our cash collections for the year were consistent with our expectations as some of the procedural disruptions that customers experienced as they shifted to remote work early in the year stabilized by the end of 2020. We believe that we may see delays in collections in 2021 as the pandemic continues to generate economic uncertainty. However, we do not believe that these delays will materially impact our business; we continue to expect that we will be able to collect amounts due under subscription contracts from customers experiencing issues as a result of the COVID-19 pandemic, and we have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4" w:name="page35"/>
    <w:bookmarkEnd w:id="3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not recorded additional credit losses associated with the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169" w:lineRule="exact"/>
        <w:rPr>
          <w:sz w:val="20"/>
          <w:szCs w:val="20"/>
          <w:color w:val="auto"/>
        </w:rPr>
      </w:pPr>
    </w:p>
    <w:p>
      <w:pPr>
        <w:jc w:val="both"/>
        <w:ind w:left="40" w:right="59" w:firstLine="311"/>
        <w:spacing w:after="0" w:line="277" w:lineRule="auto"/>
        <w:rPr>
          <w:sz w:val="20"/>
          <w:szCs w:val="20"/>
          <w:color w:val="auto"/>
        </w:rPr>
      </w:pPr>
      <w:r>
        <w:rPr>
          <w:rFonts w:ascii="Arial" w:cs="Arial" w:eastAsia="Arial" w:hAnsi="Arial"/>
          <w:sz w:val="16"/>
          <w:szCs w:val="16"/>
          <w:color w:val="auto"/>
        </w:rPr>
        <w:t>The extent to which the COVID-19 pandemic impacts our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useful lives and potential impairment of long-lived assets, intangible assets and goodwill.</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Key Business Metrics</w:t>
      </w:r>
    </w:p>
    <w:p>
      <w:pPr>
        <w:spacing w:after="0" w:line="187" w:lineRule="exact"/>
        <w:rPr>
          <w:sz w:val="20"/>
          <w:szCs w:val="20"/>
          <w:color w:val="auto"/>
        </w:rPr>
      </w:pPr>
    </w:p>
    <w:p>
      <w:pPr>
        <w:jc w:val="both"/>
        <w:ind w:left="40" w:right="79" w:firstLine="311"/>
        <w:spacing w:after="0" w:line="284" w:lineRule="auto"/>
        <w:rPr>
          <w:sz w:val="20"/>
          <w:szCs w:val="20"/>
          <w:color w:val="auto"/>
        </w:rPr>
      </w:pPr>
      <w:r>
        <w:rPr>
          <w:rFonts w:ascii="Arial" w:cs="Arial" w:eastAsia="Arial" w:hAnsi="Arial"/>
          <w:sz w:val="17"/>
          <w:szCs w:val="17"/>
          <w:color w:val="auto"/>
        </w:rPr>
        <w:t>We regularly review the metrics identified below to evaluate growth trends, measure our performance, formulate financial projections and make strategic decisions.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Annual Recurring Revenue.</w:t>
      </w:r>
    </w:p>
    <w:p>
      <w:pPr>
        <w:spacing w:after="0" w:line="219" w:lineRule="exact"/>
        <w:rPr>
          <w:sz w:val="20"/>
          <w:szCs w:val="20"/>
          <w:color w:val="auto"/>
        </w:rPr>
      </w:pPr>
    </w:p>
    <w:p>
      <w:pPr>
        <w:jc w:val="both"/>
        <w:ind w:left="40" w:right="59" w:firstLine="311"/>
        <w:spacing w:after="0" w:line="278" w:lineRule="auto"/>
        <w:rPr>
          <w:sz w:val="20"/>
          <w:szCs w:val="20"/>
          <w:color w:val="auto"/>
        </w:rPr>
      </w:pPr>
      <w:r>
        <w:rPr>
          <w:rFonts w:ascii="Arial" w:cs="Arial" w:eastAsia="Arial" w:hAnsi="Arial"/>
          <w:sz w:val="16"/>
          <w:szCs w:val="16"/>
          <w:color w:val="auto"/>
        </w:rPr>
        <w:t>We derive the vast majority of our revenue from recurring software subscriptions. We believe Annual Recurring Revenue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81"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Three months ended</w:t>
      </w:r>
    </w:p>
    <w:p>
      <w:pPr>
        <w:ind w:left="430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36"/>
        </w:trPr>
        <w:tc>
          <w:tcPr>
            <w:tcW w:w="2240" w:type="dxa"/>
            <w:vAlign w:val="bottom"/>
          </w:tcPr>
          <w:p>
            <w:pPr>
              <w:spacing w:after="0" w:line="136" w:lineRule="exact"/>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2"/>
              <w:spacing w:after="0" w:line="136"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2"/>
              <w:spacing w:after="0" w:line="136"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3"/>
          </w:tcPr>
          <w:p>
            <w:pPr>
              <w:jc w:val="right"/>
              <w:ind w:right="314"/>
              <w:spacing w:after="0" w:line="136" w:lineRule="exact"/>
              <w:rPr>
                <w:sz w:val="20"/>
                <w:szCs w:val="20"/>
                <w:color w:val="auto"/>
              </w:rPr>
            </w:pPr>
            <w:r>
              <w:rPr>
                <w:rFonts w:ascii="Arial" w:cs="Arial" w:eastAsia="Arial" w:hAnsi="Arial"/>
                <w:sz w:val="14"/>
                <w:szCs w:val="14"/>
                <w:b w:val="1"/>
                <w:bCs w:val="1"/>
                <w:color w:val="auto"/>
                <w:w w:val="92"/>
              </w:rPr>
              <w:t>Year-Over-Year Change</w:t>
            </w:r>
          </w:p>
        </w:tc>
      </w:tr>
      <w:tr>
        <w:trPr>
          <w:trHeight w:val="20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Annual Recurring Revenue</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320.1</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7"/>
                <w:szCs w:val="17"/>
                <w:color w:val="auto"/>
              </w:rPr>
              <w:t>35.9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208"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ARR increased by $35.9 million or 12.6% for the three months ended March 31, 2021, as compared to the same period in 2020. The increase was primarily driven by $14.7 million of growth in revenues from existing customers through their expanded use of our solutions as well as price increases and $21.2 million of on-premise and cloud-based subscriptions of our tax solutions to new customers.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Net Revenue Retention Rate.</w:t>
      </w:r>
    </w:p>
    <w:p>
      <w:pPr>
        <w:spacing w:after="0" w:line="219" w:lineRule="exact"/>
        <w:rPr>
          <w:sz w:val="20"/>
          <w:szCs w:val="20"/>
          <w:color w:val="auto"/>
        </w:rPr>
      </w:pPr>
    </w:p>
    <w:p>
      <w:pPr>
        <w:jc w:val="both"/>
        <w:ind w:left="40" w:right="59" w:firstLine="311"/>
        <w:spacing w:after="0" w:line="259" w:lineRule="auto"/>
        <w:rPr>
          <w:sz w:val="20"/>
          <w:szCs w:val="20"/>
          <w:color w:val="auto"/>
        </w:rPr>
      </w:pPr>
      <w:r>
        <w:rPr>
          <w:rFonts w:ascii="Arial" w:cs="Arial" w:eastAsia="Arial" w:hAnsi="Arial"/>
          <w:sz w:val="17"/>
          <w:szCs w:val="17"/>
          <w:color w:val="auto"/>
        </w:rPr>
        <w:t>We believe that our Net Revenue Retention Rate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or reduced usage, as well as any revenue expansion from migrations, new licenses for additional products or contractual and usage-based price changes.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5" w:name="page36"/>
    <w:bookmarkEnd w:id="3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Three months ended</w:t>
      </w:r>
    </w:p>
    <w:p>
      <w:pPr>
        <w:ind w:left="682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36"/>
        </w:trPr>
        <w:tc>
          <w:tcPr>
            <w:tcW w:w="530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42"/>
              <w:spacing w:after="0" w:line="136"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42"/>
              <w:spacing w:after="0" w:line="13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1"/>
                <w:szCs w:val="11"/>
                <w:color w:val="auto"/>
              </w:rPr>
            </w:pPr>
          </w:p>
        </w:tc>
      </w:tr>
      <w:tr>
        <w:trPr>
          <w:trHeight w:val="200"/>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Net Revenue Retention Rate</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5"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The 400 basis point decline in NRR from 109% for the three months ended March 31, 2020 to 105% for the same period in 2021 was primarily attributable to a reduction in sales growth to existing customers as compared to the prior year related to delays in signing deals due to their focus shifting to working remotely, and economic uncertainty in connection with the impact of the COVID-19 pandemic on their businesses.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19" w:lineRule="exact"/>
        <w:rPr>
          <w:sz w:val="20"/>
          <w:szCs w:val="20"/>
          <w:color w:val="auto"/>
        </w:rPr>
      </w:pPr>
    </w:p>
    <w:p>
      <w:pPr>
        <w:jc w:val="both"/>
        <w:ind w:left="40" w:right="59" w:firstLine="311"/>
        <w:spacing w:after="0" w:line="276" w:lineRule="auto"/>
        <w:rPr>
          <w:sz w:val="20"/>
          <w:szCs w:val="20"/>
          <w:color w:val="auto"/>
        </w:rPr>
      </w:pPr>
      <w:r>
        <w:rPr>
          <w:rFonts w:ascii="Arial" w:cs="Arial" w:eastAsia="Arial" w:hAnsi="Arial"/>
          <w:sz w:val="16"/>
          <w:szCs w:val="16"/>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New Credit Agreement. We define Adjusted EBITDA as net income or loss before interest, taxes, depreciation, and amortization, as adjusted to exclude charges for asset impairments, stock-based compensation expense, severance expense and transaction costs. Adjusted EBITDA margin represents Adjusted EBITDA divided by total revenues for the same period. For purposes of comparison, our net income (loss) was $2.3 million and $(29.1) million for the three months ended March 31, 2021 and 2020, respectively, while our net income margin was 2.3% and (32.6%) over the same periods, respectively.</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8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7"/>
              <w:spacing w:after="0" w:line="136"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15"/>
              <w:spacing w:after="0" w:line="136"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Net income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2,288</w:t>
            </w:r>
          </w:p>
        </w:tc>
        <w:tc>
          <w:tcPr>
            <w:tcW w:w="36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(29,064)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240" w:type="dxa"/>
            <w:vAlign w:val="bottom"/>
          </w:tcPr>
          <w:p>
            <w:pPr>
              <w:spacing w:after="0"/>
              <w:rPr>
                <w:sz w:val="18"/>
                <w:szCs w:val="18"/>
                <w:color w:val="auto"/>
              </w:rPr>
            </w:pPr>
          </w:p>
        </w:tc>
        <w:tc>
          <w:tcPr>
            <w:tcW w:w="1160" w:type="dxa"/>
            <w:vAlign w:val="bottom"/>
            <w:gridSpan w:val="2"/>
          </w:tcPr>
          <w:p>
            <w:pPr>
              <w:jc w:val="right"/>
              <w:ind w:right="274"/>
              <w:spacing w:after="0"/>
              <w:rPr>
                <w:sz w:val="20"/>
                <w:szCs w:val="20"/>
                <w:color w:val="auto"/>
              </w:rPr>
            </w:pPr>
            <w:r>
              <w:rPr>
                <w:rFonts w:ascii="Arial" w:cs="Arial" w:eastAsia="Arial" w:hAnsi="Arial"/>
                <w:sz w:val="17"/>
                <w:szCs w:val="17"/>
                <w:color w:val="auto"/>
              </w:rPr>
              <w:t>(679)</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 property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80" w:type="dxa"/>
            <w:vAlign w:val="bottom"/>
          </w:tcPr>
          <w:p>
            <w:pPr>
              <w:spacing w:after="0"/>
              <w:rPr>
                <w:sz w:val="20"/>
                <w:szCs w:val="20"/>
                <w:color w:val="auto"/>
              </w:rPr>
            </w:pPr>
            <w:r>
              <w:rPr>
                <w:rFonts w:ascii="Arial" w:cs="Arial" w:eastAsia="Arial" w:hAnsi="Arial"/>
                <w:sz w:val="17"/>
                <w:szCs w:val="17"/>
                <w:color w:val="auto"/>
                <w:w w:val="97"/>
              </w:rPr>
              <w:t>Depreciation and amortization of capitalized software and acquired intangible assets -</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80" w:type="dxa"/>
            <w:vAlign w:val="bottom"/>
          </w:tcPr>
          <w:p>
            <w:pPr>
              <w:spacing w:after="0"/>
              <w:rPr>
                <w:sz w:val="20"/>
                <w:szCs w:val="20"/>
                <w:color w:val="auto"/>
              </w:rPr>
            </w:pPr>
            <w:r>
              <w:rPr>
                <w:rFonts w:ascii="Arial" w:cs="Arial" w:eastAsia="Arial" w:hAnsi="Arial"/>
                <w:sz w:val="17"/>
                <w:szCs w:val="17"/>
                <w:color w:val="auto"/>
              </w:rPr>
              <w:t>cost of subscription revenues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5,905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acquired intangible assets - selling and marketing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6,543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Severance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Transaction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18,184</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Margin: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revenues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98,236</w:t>
            </w:r>
          </w:p>
        </w:tc>
        <w:tc>
          <w:tcPr>
            <w:tcW w:w="3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89,245</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628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Adjusted EBITDA margin</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18.5</w:t>
            </w:r>
          </w:p>
        </w:tc>
        <w:tc>
          <w:tcPr>
            <w:tcW w:w="360" w:type="dxa"/>
            <w:vAlign w:val="bottom"/>
            <w:tcBorders>
              <w:bottom w:val="single" w:sz="8" w:color="CCEEFF"/>
            </w:tcBorders>
            <w:shd w:val="clear" w:color="auto" w:fill="CCEEFF"/>
          </w:tcPr>
          <w:p>
            <w:pPr>
              <w:jc w:val="right"/>
              <w:ind w:right="114"/>
              <w:spacing w:after="0" w:line="186" w:lineRule="exact"/>
              <w:rPr>
                <w:sz w:val="20"/>
                <w:szCs w:val="20"/>
                <w:color w:val="auto"/>
              </w:rPr>
            </w:pPr>
            <w:r>
              <w:rPr>
                <w:rFonts w:ascii="Arial" w:cs="Arial" w:eastAsia="Arial" w:hAnsi="Arial"/>
                <w:sz w:val="17"/>
                <w:szCs w:val="17"/>
                <w:color w:val="auto"/>
                <w:w w:val="92"/>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17.1</w:t>
            </w:r>
          </w:p>
        </w:tc>
        <w:tc>
          <w:tcPr>
            <w:tcW w:w="160" w:type="dxa"/>
            <w:vAlign w:val="bottom"/>
            <w:tcBorders>
              <w:bottom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The increase in Adjusted EBITDA for the three months ended March 31, 2021 of $2.9 million over the comparable period in 2020 is primarily driven by an increase in net income of $31.4 million, offset by the decrease in stock-based compensation of $28.4 million. Adjusted EBITDA margin increased to 18.5% for the three months ended March 31, 2021 compared to 17.1% for the comparable period in 2020.</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Free Cash Flow and Free Cash Flow Margin.</w:t>
      </w:r>
    </w:p>
    <w:p>
      <w:pPr>
        <w:spacing w:after="0" w:line="219" w:lineRule="exact"/>
        <w:rPr>
          <w:sz w:val="20"/>
          <w:szCs w:val="20"/>
          <w:color w:val="auto"/>
        </w:rPr>
      </w:pPr>
    </w:p>
    <w:p>
      <w:pPr>
        <w:jc w:val="both"/>
        <w:ind w:left="40" w:right="59" w:firstLine="311"/>
        <w:spacing w:after="0" w:line="286" w:lineRule="auto"/>
        <w:rPr>
          <w:sz w:val="20"/>
          <w:szCs w:val="20"/>
          <w:color w:val="auto"/>
        </w:rPr>
      </w:pPr>
      <w:r>
        <w:rPr>
          <w:rFonts w:ascii="Arial" w:cs="Arial" w:eastAsia="Arial" w:hAnsi="Arial"/>
          <w:sz w:val="16"/>
          <w:szCs w:val="16"/>
          <w:color w:val="auto"/>
        </w:rPr>
        <w:t>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6" w:name="page37"/>
    <w:bookmarkEnd w:id="3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development costs. In addition, we base certain of our forward-looking estimates and budgets on free cash flow and free cash flow margin. We define free cash flow as the total of net cash provided by operating activities, adjusted for the redemption of stock appreciation rights (“SARs”) in 2020 in connection with our initial public offering (the “Offering”) reflected as a reduction of cash provided by operating activities, less purchases of property and equipment and capitalized software. We define free cash flow margin as free cash flow divided by total revenues for the same period. Our net cash used in operating activities was $(3.0) million and $(6.4) million for the three months ended March 31, 2021 and 2020, respectively, while our operating cash flow margin was (3.0%) and (7.2%) over the same periods, respectively. Net cash used in investing activities was $(14.5) million and $(21.7) million for the three months ended March 31, 2021 and 2020, respectively. Net cash (used in) provided by financing activities was $(8.1) million and $103.7 million for the three months ended March 31, 2021 and March 31, 2020, respectively.</w:t>
      </w:r>
    </w:p>
    <w:p>
      <w:pPr>
        <w:spacing w:after="0" w:line="194"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Three months ended</w:t>
      </w:r>
    </w:p>
    <w:tbl>
      <w:tblPr>
        <w:tblLayout w:type="fixed"/>
        <w:tblInd w:w="940" w:type="dxa"/>
        <w:tblCellMar>
          <w:top w:w="0" w:type="dxa"/>
          <w:left w:w="0" w:type="dxa"/>
          <w:bottom w:w="0" w:type="dxa"/>
          <w:right w:w="0" w:type="dxa"/>
        </w:tblCellMar>
      </w:tblP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8"/>
              <w:spacing w:after="0" w:line="136"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6"/>
              <w:spacing w:after="0" w:line="136"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740" w:type="dxa"/>
            <w:vAlign w:val="bottom"/>
          </w:tcPr>
          <w:p>
            <w:pPr>
              <w:spacing w:after="0"/>
              <w:rPr>
                <w:sz w:val="20"/>
                <w:szCs w:val="20"/>
                <w:color w:val="auto"/>
              </w:rPr>
            </w:pPr>
            <w:r>
              <w:rPr>
                <w:rFonts w:ascii="Arial" w:cs="Arial" w:eastAsia="Arial" w:hAnsi="Arial"/>
                <w:sz w:val="17"/>
                <w:szCs w:val="17"/>
                <w:b w:val="1"/>
                <w:bCs w:val="1"/>
                <w:color w:val="auto"/>
              </w:rPr>
              <w:t>Free Cash Flow:</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Cash used in operating activities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(2,965)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7"/>
                <w:szCs w:val="17"/>
                <w:color w:val="auto"/>
              </w:rPr>
              <w:t>Property and equipment additions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34"/>
              <w:spacing w:after="0"/>
              <w:rPr>
                <w:sz w:val="20"/>
                <w:szCs w:val="20"/>
                <w:color w:val="auto"/>
              </w:rPr>
            </w:pPr>
            <w:r>
              <w:rPr>
                <w:rFonts w:ascii="Arial" w:cs="Arial" w:eastAsia="Arial" w:hAnsi="Arial"/>
                <w:sz w:val="17"/>
                <w:szCs w:val="17"/>
                <w:color w:val="auto"/>
              </w:rPr>
              <w:t>(6,195)</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(5,632)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Capitalized software additions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(2,221)</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Free cash flow</w:t>
            </w:r>
          </w:p>
        </w:tc>
        <w:tc>
          <w:tcPr>
            <w:tcW w:w="14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(11,381)</w:t>
            </w:r>
          </w:p>
        </w:tc>
        <w:tc>
          <w:tcPr>
            <w:tcW w:w="2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(15,755)</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7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7"/>
                <w:szCs w:val="17"/>
                <w:b w:val="1"/>
                <w:bCs w:val="1"/>
                <w:color w:val="auto"/>
              </w:rPr>
              <w:t>Free Cash Flow Margin:</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89,245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Free cash flow margin</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4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(11.6)</w:t>
            </w:r>
          </w:p>
        </w:tc>
        <w:tc>
          <w:tcPr>
            <w:tcW w:w="220" w:type="dxa"/>
            <w:vAlign w:val="bottom"/>
          </w:tcPr>
          <w:p>
            <w:pPr>
              <w:jc w:val="right"/>
              <w:spacing w:after="0" w:line="186" w:lineRule="exact"/>
              <w:rPr>
                <w:sz w:val="20"/>
                <w:szCs w:val="20"/>
                <w:color w:val="auto"/>
              </w:rPr>
            </w:pPr>
            <w:r>
              <w:rPr>
                <w:rFonts w:ascii="Arial" w:cs="Arial" w:eastAsia="Arial" w:hAnsi="Arial"/>
                <w:sz w:val="17"/>
                <w:szCs w:val="17"/>
                <w:color w:val="auto"/>
                <w:w w:val="79"/>
              </w:rPr>
              <w:t>%</w:t>
            </w:r>
          </w:p>
        </w:tc>
        <w:tc>
          <w:tcPr>
            <w:tcW w:w="180" w:type="dxa"/>
            <w:vAlign w:val="bottom"/>
          </w:tcPr>
          <w:p>
            <w:pPr>
              <w:spacing w:after="0"/>
              <w:rPr>
                <w:sz w:val="16"/>
                <w:szCs w:val="16"/>
                <w:color w:val="auto"/>
              </w:rPr>
            </w:pPr>
          </w:p>
        </w:tc>
        <w:tc>
          <w:tcPr>
            <w:tcW w:w="580" w:type="dxa"/>
            <w:vAlign w:val="bottom"/>
          </w:tcPr>
          <w:p>
            <w:pPr>
              <w:jc w:val="right"/>
              <w:spacing w:after="0" w:line="186" w:lineRule="exact"/>
              <w:rPr>
                <w:sz w:val="20"/>
                <w:szCs w:val="20"/>
                <w:color w:val="auto"/>
              </w:rPr>
            </w:pPr>
            <w:r>
              <w:rPr>
                <w:rFonts w:ascii="Arial" w:cs="Arial" w:eastAsia="Arial" w:hAnsi="Arial"/>
                <w:sz w:val="17"/>
                <w:szCs w:val="17"/>
                <w:color w:val="auto"/>
              </w:rPr>
              <w:t>(17.7)</w:t>
            </w:r>
          </w:p>
        </w:tc>
        <w:tc>
          <w:tcPr>
            <w:tcW w:w="260" w:type="dxa"/>
            <w:vAlign w:val="bottom"/>
            <w:gridSpan w:val="2"/>
          </w:tcPr>
          <w:p>
            <w:pPr>
              <w:jc w:val="right"/>
              <w:ind w:right="100"/>
              <w:spacing w:after="0" w:line="186"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Free cash flow increased by $4.4 million for the three months ended March 31, 2021 as compared to the same period in 2020. This increase was primarily driven by an increase in net income of $31.4 million, offset by the decrease in stock-based compensation of $28.4 million. Historically, our cash flows in the first quarter are lower than the remaining calendar quarters as they are heavily influenced by annual employee bonus and other variable compensation payments.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generate revenue from software subscriptions and services.</w:t>
      </w:r>
    </w:p>
    <w:p>
      <w:pPr>
        <w:spacing w:after="0" w:line="219" w:lineRule="exact"/>
        <w:rPr>
          <w:sz w:val="20"/>
          <w:szCs w:val="20"/>
          <w:color w:val="auto"/>
        </w:rPr>
      </w:pPr>
    </w:p>
    <w:p>
      <w:pPr>
        <w:jc w:val="both"/>
        <w:ind w:left="40" w:right="59" w:firstLine="311"/>
        <w:spacing w:after="0" w:line="282"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Software Subscriptions</w:t>
      </w:r>
    </w:p>
    <w:p>
      <w:pPr>
        <w:spacing w:after="0" w:line="225" w:lineRule="exact"/>
        <w:rPr>
          <w:sz w:val="20"/>
          <w:szCs w:val="20"/>
          <w:color w:val="auto"/>
        </w:rPr>
      </w:pPr>
    </w:p>
    <w:p>
      <w:pPr>
        <w:jc w:val="both"/>
        <w:ind w:left="40" w:right="59" w:firstLine="311"/>
        <w:spacing w:after="0" w:line="275" w:lineRule="auto"/>
        <w:rPr>
          <w:sz w:val="20"/>
          <w:szCs w:val="20"/>
          <w:color w:val="auto"/>
        </w:rPr>
      </w:pPr>
      <w:r>
        <w:rPr>
          <w:rFonts w:ascii="Arial" w:cs="Arial" w:eastAsia="Arial" w:hAnsi="Arial"/>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Our on-premise software subscription prices in the initial subscription year are higher than standard renewal prices. The excess initial year price over the renewal price is a material right that provides customers with the right to this reduced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7" w:name="page38"/>
    <w:bookmarkEnd w:id="3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79"/>
        <w:spacing w:after="0" w:line="284" w:lineRule="auto"/>
        <w:rPr>
          <w:sz w:val="20"/>
          <w:szCs w:val="20"/>
          <w:color w:val="auto"/>
        </w:rPr>
      </w:pPr>
      <w:r>
        <w:rPr>
          <w:rFonts w:ascii="Arial" w:cs="Arial" w:eastAsia="Arial" w:hAnsi="Arial"/>
          <w:sz w:val="17"/>
          <w:szCs w:val="17"/>
          <w:color w:val="auto"/>
        </w:rPr>
        <w:t>renewal price. We recognize revenue associated with this material right over the estimated period of benefit to the customer, which is generally three years.</w:t>
      </w:r>
    </w:p>
    <w:p>
      <w:pPr>
        <w:spacing w:after="0" w:line="160"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81" w:lineRule="exact"/>
        <w:rPr>
          <w:sz w:val="20"/>
          <w:szCs w:val="20"/>
          <w:color w:val="auto"/>
        </w:rPr>
      </w:pPr>
    </w:p>
    <w:p>
      <w:pPr>
        <w:jc w:val="both"/>
        <w:ind w:left="40" w:right="59" w:firstLine="311"/>
        <w:spacing w:after="0" w:line="275" w:lineRule="auto"/>
        <w:rPr>
          <w:sz w:val="20"/>
          <w:szCs w:val="20"/>
          <w:color w:val="auto"/>
        </w:rPr>
      </w:pPr>
      <w:r>
        <w:rPr>
          <w:rFonts w:ascii="Arial" w:cs="Arial" w:eastAsia="Arial" w:hAnsi="Arial"/>
          <w:sz w:val="16"/>
          <w:szCs w:val="16"/>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Services Revenue</w:t>
      </w:r>
    </w:p>
    <w:p>
      <w:pPr>
        <w:spacing w:after="0" w:line="225" w:lineRule="exact"/>
        <w:rPr>
          <w:sz w:val="20"/>
          <w:szCs w:val="20"/>
          <w:color w:val="auto"/>
        </w:rPr>
      </w:pPr>
    </w:p>
    <w:p>
      <w:pPr>
        <w:jc w:val="both"/>
        <w:ind w:left="40" w:right="59" w:firstLine="311"/>
        <w:spacing w:after="0" w:line="259" w:lineRule="auto"/>
        <w:rPr>
          <w:sz w:val="20"/>
          <w:szCs w:val="20"/>
          <w:color w:val="auto"/>
        </w:rPr>
      </w:pPr>
      <w:r>
        <w:rPr>
          <w:rFonts w:ascii="Arial" w:cs="Arial" w:eastAsia="Arial" w:hAnsi="Arial"/>
          <w:sz w:val="17"/>
          <w:szCs w:val="17"/>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3" w:lineRule="exact"/>
        <w:rPr>
          <w:sz w:val="20"/>
          <w:szCs w:val="20"/>
          <w:color w:val="auto"/>
        </w:rPr>
      </w:pPr>
    </w:p>
    <w:p>
      <w:pPr>
        <w:jc w:val="both"/>
        <w:ind w:left="40" w:right="59" w:firstLine="311"/>
        <w:spacing w:after="0" w:line="279" w:lineRule="auto"/>
        <w:rPr>
          <w:sz w:val="20"/>
          <w:szCs w:val="20"/>
          <w:color w:val="auto"/>
        </w:rPr>
      </w:pPr>
      <w:r>
        <w:rPr>
          <w:rFonts w:ascii="Arial" w:cs="Arial" w:eastAsia="Arial" w:hAnsi="Arial"/>
          <w:sz w:val="16"/>
          <w:szCs w:val="16"/>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However, demand for services in 2020 exceeded historical levels as certain customers migrated to a newer version of the software which is not expected to be a significant driver of our services revenues growth in 2021.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Cost of Revenue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Software Subscriptions</w:t>
      </w:r>
    </w:p>
    <w:p>
      <w:pPr>
        <w:spacing w:after="0" w:line="225" w:lineRule="exact"/>
        <w:rPr>
          <w:sz w:val="20"/>
          <w:szCs w:val="20"/>
          <w:color w:val="auto"/>
        </w:rPr>
      </w:pPr>
    </w:p>
    <w:p>
      <w:pPr>
        <w:jc w:val="both"/>
        <w:ind w:left="40" w:right="59" w:firstLine="311"/>
        <w:spacing w:after="0" w:line="276" w:lineRule="auto"/>
        <w:rPr>
          <w:sz w:val="20"/>
          <w:szCs w:val="20"/>
          <w:color w:val="auto"/>
        </w:rPr>
      </w:pPr>
      <w:r>
        <w:rPr>
          <w:rFonts w:ascii="Arial" w:cs="Arial" w:eastAsia="Arial" w:hAnsi="Arial"/>
          <w:sz w:val="16"/>
          <w:szCs w:val="16"/>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 in absolute dollars.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8" w:name="page39"/>
    <w:bookmarkEnd w:id="3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Services</w:t>
      </w:r>
    </w:p>
    <w:p>
      <w:pPr>
        <w:spacing w:after="0" w:line="225"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 but may decrease as a percentage of revenues as we scale our operations.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Research and Development</w:t>
      </w:r>
    </w:p>
    <w:p>
      <w:pPr>
        <w:spacing w:after="0" w:line="225"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For the three months ended March 31, 2021 and 2020, $2.2 million and $3.7 million of software development costs were capitalized, respectively. Capitalized software development costs consist primarily of employee-related and third-party labor costs.</w:t>
      </w:r>
    </w:p>
    <w:p>
      <w:pPr>
        <w:spacing w:after="0" w:line="181" w:lineRule="exact"/>
        <w:rPr>
          <w:sz w:val="20"/>
          <w:szCs w:val="20"/>
          <w:color w:val="auto"/>
        </w:rPr>
      </w:pPr>
    </w:p>
    <w:p>
      <w:pPr>
        <w:jc w:val="both"/>
        <w:ind w:left="40" w:right="59" w:firstLine="311"/>
        <w:spacing w:after="0" w:line="275" w:lineRule="auto"/>
        <w:rPr>
          <w:sz w:val="20"/>
          <w:szCs w:val="20"/>
          <w:color w:val="auto"/>
        </w:rPr>
      </w:pPr>
      <w:r>
        <w:rPr>
          <w:rFonts w:ascii="Arial" w:cs="Arial" w:eastAsia="Arial" w:hAnsi="Arial"/>
          <w:sz w:val="16"/>
          <w:szCs w:val="16"/>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Selling and Marketing Expenses</w:t>
      </w:r>
    </w:p>
    <w:p>
      <w:pPr>
        <w:spacing w:after="0" w:line="225" w:lineRule="exact"/>
        <w:rPr>
          <w:sz w:val="20"/>
          <w:szCs w:val="20"/>
          <w:color w:val="auto"/>
        </w:rPr>
      </w:pPr>
    </w:p>
    <w:p>
      <w:pPr>
        <w:jc w:val="both"/>
        <w:ind w:left="40" w:right="59" w:firstLine="311"/>
        <w:spacing w:after="0" w:line="275" w:lineRule="auto"/>
        <w:rPr>
          <w:sz w:val="20"/>
          <w:szCs w:val="20"/>
          <w:color w:val="auto"/>
        </w:rPr>
      </w:pPr>
      <w:r>
        <w:rPr>
          <w:rFonts w:ascii="Arial" w:cs="Arial" w:eastAsia="Arial" w:hAnsi="Arial"/>
          <w:sz w:val="16"/>
          <w:szCs w:val="16"/>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In addition, travel restrictions due to COVID-19 continue to result in reductions in travel and external marketing events. These costs are expected to increase once travel and conference restrictions are lifted, although it is uncertain whether they will return to their historical levels experienced pre-COVID-19.</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General and Administrative</w:t>
      </w:r>
    </w:p>
    <w:p>
      <w:pPr>
        <w:spacing w:after="0" w:line="225" w:lineRule="exact"/>
        <w:rPr>
          <w:sz w:val="20"/>
          <w:szCs w:val="20"/>
          <w:color w:val="auto"/>
        </w:rPr>
      </w:pPr>
    </w:p>
    <w:p>
      <w:pPr>
        <w:jc w:val="both"/>
        <w:ind w:left="40" w:right="59" w:firstLine="311"/>
        <w:spacing w:after="0" w:line="294" w:lineRule="auto"/>
        <w:rPr>
          <w:sz w:val="20"/>
          <w:szCs w:val="20"/>
          <w:color w:val="auto"/>
        </w:rPr>
      </w:pPr>
      <w:r>
        <w:rPr>
          <w:rFonts w:ascii="Arial" w:cs="Arial" w:eastAsia="Arial" w:hAnsi="Arial"/>
          <w:sz w:val="16"/>
          <w:szCs w:val="16"/>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54" w:lineRule="exact"/>
        <w:rPr>
          <w:sz w:val="20"/>
          <w:szCs w:val="20"/>
          <w:color w:val="auto"/>
        </w:rPr>
      </w:pPr>
    </w:p>
    <w:p>
      <w:pPr>
        <w:jc w:val="both"/>
        <w:ind w:left="40" w:right="59" w:firstLine="311"/>
        <w:spacing w:after="0" w:line="317" w:lineRule="auto"/>
        <w:rPr>
          <w:sz w:val="20"/>
          <w:szCs w:val="20"/>
          <w:color w:val="auto"/>
        </w:rPr>
      </w:pPr>
      <w:r>
        <w:rPr>
          <w:rFonts w:ascii="Arial" w:cs="Arial" w:eastAsia="Arial" w:hAnsi="Arial"/>
          <w:sz w:val="16"/>
          <w:szCs w:val="16"/>
          <w:color w:val="auto"/>
        </w:rPr>
        <w:t>We expect our general and administrative expenses to increase in absolute dollars as we continue to expand our operations, hire additional personnel, integrate future acquisitions and incur additional costs associated with becoming a</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9" w:name="page40"/>
    <w:bookmarkEnd w:id="3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Depreciation and Amortization</w:t>
      </w:r>
    </w:p>
    <w:p>
      <w:pPr>
        <w:spacing w:after="0" w:line="225"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Interest Expense,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net reflects the amount of our interest expense that exceeds interest income over the same period.</w:t>
      </w:r>
    </w:p>
    <w:p>
      <w:pPr>
        <w:spacing w:after="0" w:line="231" w:lineRule="exact"/>
        <w:rPr>
          <w:sz w:val="20"/>
          <w:szCs w:val="20"/>
          <w:color w:val="auto"/>
        </w:rPr>
      </w:pPr>
    </w:p>
    <w:p>
      <w:pPr>
        <w:jc w:val="both"/>
        <w:ind w:left="40" w:right="59" w:firstLine="311"/>
        <w:spacing w:after="0" w:line="278" w:lineRule="auto"/>
        <w:rPr>
          <w:sz w:val="20"/>
          <w:szCs w:val="20"/>
          <w:color w:val="auto"/>
        </w:rPr>
      </w:pPr>
      <w:r>
        <w:rPr>
          <w:rFonts w:ascii="Arial" w:cs="Arial" w:eastAsia="Arial" w:hAnsi="Arial"/>
          <w:sz w:val="16"/>
          <w:szCs w:val="16"/>
          <w:color w:val="auto"/>
        </w:rPr>
        <w:t>Interest expense consists primarily of interest payments and other financing costs on our bank credit facility.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will be recorded as interest expense.</w:t>
      </w:r>
    </w:p>
    <w:p>
      <w:pPr>
        <w:spacing w:after="0" w:line="168"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Interest income reflects earnings on investments of our cash on hand and on funds held for customers related to our managed outsourcing services. Interest income will vary as a result of fluctuations in the future level of funds available for investment and the rate of return available in the market on such funds.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Provision for Income Taxes</w:t>
      </w:r>
    </w:p>
    <w:p>
      <w:pPr>
        <w:spacing w:after="0" w:line="225" w:lineRule="exact"/>
        <w:rPr>
          <w:sz w:val="20"/>
          <w:szCs w:val="20"/>
          <w:color w:val="auto"/>
        </w:rPr>
      </w:pPr>
    </w:p>
    <w:p>
      <w:pPr>
        <w:jc w:val="both"/>
        <w:ind w:left="40" w:right="59" w:firstLine="311"/>
        <w:spacing w:after="0" w:line="279" w:lineRule="auto"/>
        <w:rPr>
          <w:sz w:val="20"/>
          <w:szCs w:val="20"/>
          <w:color w:val="auto"/>
        </w:rPr>
      </w:pPr>
      <w:r>
        <w:rPr>
          <w:rFonts w:ascii="Arial" w:cs="Arial" w:eastAsia="Arial" w:hAnsi="Arial"/>
          <w:sz w:val="16"/>
          <w:szCs w:val="16"/>
          <w:color w:val="auto"/>
        </w:rPr>
        <w:t>Prior to July 27, 2020, Vertex was taxed as an S-corporation for U.S. federal and certain state income tax purposes. As a result, net income or loss prior to this date has been allocated to and included on the income tax returns of the S-Corporation stockholders. Vertex was taxed at the corporate level in certain states where the S-Corporation status was not recognized or where the state imposed a tax on S-Corporations. Accordingly, the income tax provision or benefit for such periods was based on taxable income allocated to those states. In certain foreign jurisdictions, our subsidiaries were taxed at the corporate level, and the income tax provision or benefit is based on taxable income sourced to these foreign jurisdictions.</w:t>
      </w:r>
    </w:p>
    <w:p>
      <w:pPr>
        <w:spacing w:after="0" w:line="169"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Effective as of July 27, 2020, Vertex converted to a C-Corporation, which resulted in our net income being taxed at the corporate level. As such, our provision for income taxes has increased since we are now subject to U.S. federal and state corporate income taxes.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Results of Operations</w:t>
      </w:r>
    </w:p>
    <w:p>
      <w:pPr>
        <w:spacing w:after="0" w:line="225"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our condensed consolidated financial statements and the notes thereto included elsewhere in this Quarterly Report on Form 10-Q, our consolidated financial statements and the notes with our Annual Report on Form 10-K filed with the SEC on March 15, 2021, and our Prospectus filed with the SEC on July 30, 2020. The period-to-period comparison of financial results is not necessarily indicative of financial results to be achieved in future periods.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0" w:name="page41"/>
    <w:bookmarkEnd w:id="4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consolidated statements of comprehensive income (loss) for the periods indicated.</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7"/>
            <w:vMerge w:val="restart"/>
          </w:tcPr>
          <w:p>
            <w:pPr>
              <w:jc w:val="right"/>
              <w:ind w:right="320"/>
              <w:spacing w:after="0"/>
              <w:rPr>
                <w:sz w:val="20"/>
                <w:szCs w:val="20"/>
                <w:color w:val="auto"/>
              </w:rPr>
            </w:pPr>
            <w:r>
              <w:rPr>
                <w:rFonts w:ascii="Arial" w:cs="Arial" w:eastAsia="Arial" w:hAnsi="Arial"/>
                <w:sz w:val="14"/>
                <w:szCs w:val="14"/>
                <w:b w:val="1"/>
                <w:bCs w:val="1"/>
                <w:color w:val="auto"/>
                <w:w w:val="90"/>
              </w:rPr>
              <w:t>Period-Over-Period Change</w:t>
            </w: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323"/>
              <w:spacing w:after="0" w:line="136"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100"/>
              <w:spacing w:after="0" w:line="136"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80" w:type="dxa"/>
            <w:vAlign w:val="bottom"/>
          </w:tcPr>
          <w:p>
            <w:pPr>
              <w:ind w:left="100"/>
              <w:spacing w:after="0"/>
              <w:rPr>
                <w:sz w:val="20"/>
                <w:szCs w:val="20"/>
                <w:color w:val="auto"/>
              </w:rPr>
            </w:pPr>
            <w:r>
              <w:rPr>
                <w:rFonts w:ascii="Arial" w:cs="Arial" w:eastAsia="Arial" w:hAnsi="Arial"/>
                <w:sz w:val="16"/>
                <w:szCs w:val="16"/>
                <w:color w:val="auto"/>
              </w:rPr>
              <w:t>Software subscriptions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83,280</w:t>
            </w:r>
          </w:p>
        </w:tc>
        <w:tc>
          <w:tcPr>
            <w:tcW w:w="2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75,760</w:t>
            </w:r>
          </w:p>
        </w:tc>
        <w:tc>
          <w:tcPr>
            <w:tcW w:w="2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32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w w:val="94"/>
              </w:rPr>
              <w:t>7,520</w:t>
            </w:r>
          </w:p>
        </w:tc>
        <w:tc>
          <w:tcPr>
            <w:tcW w:w="3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194"/>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Services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14,956</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13,485</w:t>
            </w: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4"/>
              </w:rPr>
              <w:t>1,471</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98,236</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89,245</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4"/>
              </w:rPr>
              <w:t>8,991</w:t>
            </w:r>
          </w:p>
        </w:tc>
        <w:tc>
          <w:tcPr>
            <w:tcW w:w="3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gridSpan w:val="2"/>
          </w:tcPr>
          <w:p>
            <w:pPr>
              <w:jc w:val="right"/>
              <w:ind w:right="80"/>
              <w:spacing w:after="0" w:line="181" w:lineRule="exact"/>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80" w:type="dxa"/>
            <w:vAlign w:val="bottom"/>
          </w:tcPr>
          <w:p>
            <w:pPr>
              <w:ind w:left="100"/>
              <w:spacing w:after="0" w:line="194" w:lineRule="exact"/>
              <w:rPr>
                <w:sz w:val="20"/>
                <w:szCs w:val="20"/>
                <w:color w:val="auto"/>
              </w:rPr>
            </w:pPr>
            <w:r>
              <w:rPr>
                <w:rFonts w:ascii="Arial" w:cs="Arial" w:eastAsia="Arial" w:hAnsi="Arial"/>
                <w:sz w:val="15"/>
                <w:szCs w:val="15"/>
                <w:color w:val="auto"/>
              </w:rPr>
              <w:t>Software subscriptions</w:t>
            </w:r>
            <w:r>
              <w:rPr>
                <w:rFonts w:ascii="Arial" w:cs="Arial" w:eastAsia="Arial" w:hAnsi="Arial"/>
                <w:sz w:val="22"/>
                <w:szCs w:val="22"/>
                <w:color w:val="auto"/>
                <w:vertAlign w:val="superscript"/>
              </w:rPr>
              <w:t>(1)</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25,590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24,684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906</w:t>
            </w:r>
          </w:p>
        </w:tc>
        <w:tc>
          <w:tcPr>
            <w:tcW w:w="3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194"/>
        </w:trPr>
        <w:tc>
          <w:tcPr>
            <w:tcW w:w="4280" w:type="dxa"/>
            <w:vAlign w:val="bottom"/>
            <w:shd w:val="clear" w:color="auto" w:fill="CCEEFF"/>
          </w:tcPr>
          <w:p>
            <w:pPr>
              <w:ind w:left="100"/>
              <w:spacing w:after="0" w:line="194" w:lineRule="exact"/>
              <w:rPr>
                <w:sz w:val="20"/>
                <w:szCs w:val="20"/>
                <w:color w:val="auto"/>
              </w:rPr>
            </w:pPr>
            <w:r>
              <w:rPr>
                <w:rFonts w:ascii="Arial" w:cs="Arial" w:eastAsia="Arial" w:hAnsi="Arial"/>
                <w:sz w:val="15"/>
                <w:szCs w:val="15"/>
                <w:color w:val="auto"/>
              </w:rPr>
              <w:t>Services</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14,778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w w:val="86"/>
              </w:rPr>
              <w:t>(3,435)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cost of revenues</w:t>
            </w: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36,933</w:t>
            </w:r>
          </w:p>
        </w:tc>
        <w:tc>
          <w:tcPr>
            <w:tcW w:w="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39,462</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86"/>
              </w:rPr>
              <w:t>(2,529)</w:t>
            </w:r>
          </w:p>
        </w:tc>
        <w:tc>
          <w:tcPr>
            <w:tcW w:w="3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gridSpan w:val="2"/>
          </w:tcPr>
          <w:p>
            <w:pPr>
              <w:jc w:val="right"/>
              <w:ind w:right="80"/>
              <w:spacing w:after="0" w:line="181"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61,303</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49,783</w:t>
            </w: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11,520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23.1 %</w:t>
            </w:r>
          </w:p>
        </w:tc>
        <w:tc>
          <w:tcPr>
            <w:tcW w:w="0" w:type="dxa"/>
            <w:vAlign w:val="bottom"/>
          </w:tcPr>
          <w:p>
            <w:pPr>
              <w:spacing w:after="0"/>
              <w:rPr>
                <w:sz w:val="1"/>
                <w:szCs w:val="1"/>
                <w:color w:val="auto"/>
              </w:rPr>
            </w:pPr>
          </w:p>
        </w:tc>
      </w:tr>
      <w:tr>
        <w:trPr>
          <w:trHeight w:val="185"/>
        </w:trPr>
        <w:tc>
          <w:tcPr>
            <w:tcW w:w="4280" w:type="dxa"/>
            <w:vAlign w:val="bottom"/>
          </w:tcPr>
          <w:p>
            <w:pPr>
              <w:spacing w:after="0" w:line="181" w:lineRule="exact"/>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ind w:left="100"/>
              <w:spacing w:after="0" w:line="198" w:lineRule="exact"/>
              <w:rPr>
                <w:sz w:val="20"/>
                <w:szCs w:val="20"/>
                <w:color w:val="auto"/>
              </w:rPr>
            </w:pPr>
            <w:r>
              <w:rPr>
                <w:rFonts w:ascii="Arial" w:cs="Arial" w:eastAsia="Arial" w:hAnsi="Arial"/>
                <w:sz w:val="15"/>
                <w:szCs w:val="15"/>
                <w:color w:val="auto"/>
              </w:rPr>
              <w:t>Research and development</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w w:val="86"/>
              </w:rPr>
              <w:t>(1,620)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4"/>
        </w:trPr>
        <w:tc>
          <w:tcPr>
            <w:tcW w:w="4280" w:type="dxa"/>
            <w:vAlign w:val="bottom"/>
          </w:tcPr>
          <w:p>
            <w:pPr>
              <w:ind w:left="100"/>
              <w:spacing w:after="0" w:line="194" w:lineRule="exact"/>
              <w:rPr>
                <w:sz w:val="20"/>
                <w:szCs w:val="20"/>
                <w:color w:val="auto"/>
              </w:rPr>
            </w:pPr>
            <w:r>
              <w:rPr>
                <w:rFonts w:ascii="Arial" w:cs="Arial" w:eastAsia="Arial" w:hAnsi="Arial"/>
                <w:sz w:val="15"/>
                <w:szCs w:val="15"/>
                <w:color w:val="auto"/>
              </w:rPr>
              <w:t>Selling and marketing</w:t>
            </w:r>
            <w:r>
              <w:rPr>
                <w:rFonts w:ascii="Arial" w:cs="Arial" w:eastAsia="Arial" w:hAnsi="Arial"/>
                <w:sz w:val="22"/>
                <w:szCs w:val="22"/>
                <w:color w:val="auto"/>
                <w:vertAlign w:val="superscript"/>
              </w:rPr>
              <w:t>(1)</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20,150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24,333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4"/>
          </w:tcPr>
          <w:p>
            <w:pPr>
              <w:jc w:val="right"/>
              <w:ind w:right="360"/>
              <w:spacing w:after="0"/>
              <w:rPr>
                <w:sz w:val="20"/>
                <w:szCs w:val="20"/>
                <w:color w:val="auto"/>
              </w:rPr>
            </w:pPr>
            <w:r>
              <w:rPr>
                <w:rFonts w:ascii="Arial" w:cs="Arial" w:eastAsia="Arial" w:hAnsi="Arial"/>
                <w:sz w:val="16"/>
                <w:szCs w:val="16"/>
                <w:color w:val="auto"/>
                <w:w w:val="86"/>
              </w:rPr>
              <w:t>(4,183)</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94"/>
        </w:trPr>
        <w:tc>
          <w:tcPr>
            <w:tcW w:w="4280" w:type="dxa"/>
            <w:vAlign w:val="bottom"/>
            <w:shd w:val="clear" w:color="auto" w:fill="CCEEFF"/>
          </w:tcPr>
          <w:p>
            <w:pPr>
              <w:ind w:left="100"/>
              <w:spacing w:after="0" w:line="194" w:lineRule="exact"/>
              <w:rPr>
                <w:sz w:val="20"/>
                <w:szCs w:val="20"/>
                <w:color w:val="auto"/>
              </w:rPr>
            </w:pPr>
            <w:r>
              <w:rPr>
                <w:rFonts w:ascii="Arial" w:cs="Arial" w:eastAsia="Arial" w:hAnsi="Arial"/>
                <w:sz w:val="15"/>
                <w:szCs w:val="15"/>
                <w:color w:val="auto"/>
              </w:rPr>
              <w:t>General and administrative</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37,636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(12,784)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194"/>
        </w:trPr>
        <w:tc>
          <w:tcPr>
            <w:tcW w:w="428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2,869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4"/>
          </w:tcPr>
          <w:p>
            <w:pPr>
              <w:jc w:val="right"/>
              <w:ind w:right="360"/>
              <w:spacing w:after="0"/>
              <w:rPr>
                <w:sz w:val="20"/>
                <w:szCs w:val="20"/>
                <w:color w:val="auto"/>
              </w:rPr>
            </w:pPr>
            <w:r>
              <w:rPr>
                <w:rFonts w:ascii="Arial" w:cs="Arial" w:eastAsia="Arial" w:hAnsi="Arial"/>
                <w:sz w:val="16"/>
                <w:szCs w:val="16"/>
                <w:color w:val="auto"/>
              </w:rPr>
              <w:t>(42)</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4"/>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operating (income) expense, net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(129)</w:t>
            </w: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rPr>
              <w:t>(240)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59,159</w:t>
            </w:r>
          </w:p>
        </w:tc>
        <w:tc>
          <w:tcPr>
            <w:tcW w:w="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78,028</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(18,869)</w:t>
            </w:r>
          </w:p>
        </w:tc>
        <w:tc>
          <w:tcPr>
            <w:tcW w:w="3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gridSpan w:val="2"/>
          </w:tcPr>
          <w:p>
            <w:pPr>
              <w:jc w:val="right"/>
              <w:ind w:right="80"/>
              <w:spacing w:after="0" w:line="181" w:lineRule="exact"/>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Income (loss) from operations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(28,245)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30,389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107.6 %</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569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4"/>
          </w:tcPr>
          <w:p>
            <w:pPr>
              <w:jc w:val="right"/>
              <w:ind w:right="360"/>
              <w:spacing w:after="0"/>
              <w:rPr>
                <w:sz w:val="20"/>
                <w:szCs w:val="20"/>
                <w:color w:val="auto"/>
              </w:rPr>
            </w:pPr>
            <w:r>
              <w:rPr>
                <w:rFonts w:ascii="Arial" w:cs="Arial" w:eastAsia="Arial" w:hAnsi="Arial"/>
                <w:sz w:val="16"/>
                <w:szCs w:val="16"/>
                <w:color w:val="auto"/>
              </w:rPr>
              <w:t>(34)</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7"/>
        </w:trPr>
        <w:tc>
          <w:tcPr>
            <w:tcW w:w="4280" w:type="dxa"/>
            <w:vAlign w:val="bottom"/>
            <w:tcBorders>
              <w:top w:val="single" w:sz="8" w:color="CCEEFF"/>
            </w:tcBorders>
            <w:shd w:val="clear" w:color="auto" w:fill="CCEEFF"/>
          </w:tcPr>
          <w:p>
            <w:pPr>
              <w:ind w:left="240"/>
              <w:spacing w:after="0" w:line="181" w:lineRule="exact"/>
              <w:rPr>
                <w:sz w:val="20"/>
                <w:szCs w:val="20"/>
                <w:color w:val="auto"/>
              </w:rPr>
            </w:pPr>
            <w:r>
              <w:rPr>
                <w:rFonts w:ascii="Arial" w:cs="Arial" w:eastAsia="Arial" w:hAnsi="Arial"/>
                <w:sz w:val="16"/>
                <w:szCs w:val="16"/>
                <w:color w:val="auto"/>
              </w:rPr>
              <w:t>Income (loss) before income taxes</w:t>
            </w: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(28,814)</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30,423</w:t>
            </w: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105.6 %</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(679)</w:t>
            </w:r>
          </w:p>
        </w:tc>
        <w:tc>
          <w:tcPr>
            <w:tcW w:w="2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4"/>
          </w:tcPr>
          <w:p>
            <w:pPr>
              <w:jc w:val="right"/>
              <w:ind w:right="360"/>
              <w:spacing w:after="0"/>
              <w:rPr>
                <w:sz w:val="20"/>
                <w:szCs w:val="20"/>
                <w:color w:val="auto"/>
              </w:rPr>
            </w:pPr>
            <w:r>
              <w:rPr>
                <w:rFonts w:ascii="Arial" w:cs="Arial" w:eastAsia="Arial" w:hAnsi="Arial"/>
                <w:sz w:val="16"/>
                <w:szCs w:val="16"/>
                <w:color w:val="auto"/>
              </w:rPr>
              <w:t>(929)</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187"/>
        </w:trPr>
        <w:tc>
          <w:tcPr>
            <w:tcW w:w="428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(29,064)</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31,352</w:t>
            </w: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107.9 %</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6"/>
                <w:szCs w:val="16"/>
                <w:color w:val="auto"/>
                <w:w w:val="92"/>
              </w:rPr>
              <w:t>Other comprehensive loss from foreign currency translations and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rPr>
                <w:sz w:val="20"/>
                <w:szCs w:val="20"/>
                <w:color w:val="auto"/>
              </w:rPr>
            </w:pPr>
            <w:r>
              <w:rPr>
                <w:rFonts w:ascii="Arial" w:cs="Arial" w:eastAsia="Arial" w:hAnsi="Arial"/>
                <w:sz w:val="16"/>
                <w:szCs w:val="16"/>
                <w:color w:val="auto"/>
              </w:rPr>
              <w:t>revaluations, net of tax</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2,998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4"/>
          </w:tcPr>
          <w:p>
            <w:pPr>
              <w:jc w:val="right"/>
              <w:ind w:right="360"/>
              <w:spacing w:after="0"/>
              <w:rPr>
                <w:sz w:val="20"/>
                <w:szCs w:val="20"/>
                <w:color w:val="auto"/>
              </w:rPr>
            </w:pPr>
            <w:r>
              <w:rPr>
                <w:rFonts w:ascii="Arial" w:cs="Arial" w:eastAsia="Arial" w:hAnsi="Arial"/>
                <w:sz w:val="16"/>
                <w:szCs w:val="16"/>
                <w:color w:val="auto"/>
                <w:w w:val="86"/>
              </w:rPr>
              <w:t>(2,021)</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190"/>
        </w:trPr>
        <w:tc>
          <w:tcPr>
            <w:tcW w:w="42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comprehensive income (loss)</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(32,062)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33,373</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104.1 %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40" w:type="dxa"/>
            <w:vAlign w:val="bottom"/>
            <w:gridSpan w:val="3"/>
          </w:tcPr>
          <w:p>
            <w:pPr>
              <w:ind w:left="360"/>
              <w:spacing w:after="0" w:line="178" w:lineRule="exact"/>
              <w:rPr>
                <w:sz w:val="20"/>
                <w:szCs w:val="20"/>
                <w:color w:val="auto"/>
              </w:rPr>
            </w:pPr>
            <w:r>
              <w:rPr>
                <w:rFonts w:ascii="Arial" w:cs="Arial" w:eastAsia="Arial" w:hAnsi="Arial"/>
                <w:sz w:val="16"/>
                <w:szCs w:val="16"/>
                <w:color w:val="auto"/>
                <w:w w:val="87"/>
              </w:rPr>
              <w:t>(1)  Includes stock-based compensation expenses as follows in the table below.</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Arial" w:cs="Arial" w:eastAsia="Arial" w:hAnsi="Arial"/>
                <w:sz w:val="14"/>
                <w:szCs w:val="14"/>
                <w:b w:val="1"/>
                <w:bCs w:val="1"/>
                <w:color w:val="auto"/>
                <w:w w:val="88"/>
              </w:rPr>
              <w:t>Three months ended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2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gridSpan w:val="2"/>
          </w:tcPr>
          <w:p>
            <w:pPr>
              <w:jc w:val="right"/>
              <w:ind w:right="60"/>
              <w:spacing w:after="0" w:line="136"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1"/>
              <w:spacing w:after="0" w:line="136"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line="175" w:lineRule="exact"/>
              <w:rPr>
                <w:sz w:val="20"/>
                <w:szCs w:val="20"/>
                <w:color w:val="auto"/>
              </w:rPr>
            </w:pPr>
            <w:r>
              <w:rPr>
                <w:rFonts w:ascii="Arial" w:cs="Arial" w:eastAsia="Arial" w:hAnsi="Arial"/>
                <w:sz w:val="16"/>
                <w:szCs w:val="16"/>
                <w:b w:val="1"/>
                <w:bCs w:val="1"/>
                <w:color w:val="auto"/>
              </w:rPr>
              <w:t>Stock-based compensation expense: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 software subscriptions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3,492</w:t>
            </w:r>
          </w:p>
        </w:tc>
        <w:tc>
          <w:tcPr>
            <w:tcW w:w="0" w:type="dxa"/>
            <w:vAlign w:val="bottom"/>
          </w:tcPr>
          <w:p>
            <w:pPr>
              <w:spacing w:after="0"/>
              <w:rPr>
                <w:sz w:val="1"/>
                <w:szCs w:val="1"/>
                <w:color w:val="auto"/>
              </w:rPr>
            </w:pPr>
          </w:p>
        </w:tc>
      </w:tr>
      <w:tr>
        <w:trPr>
          <w:trHeight w:val="207"/>
        </w:trPr>
        <w:tc>
          <w:tcPr>
            <w:tcW w:w="4280" w:type="dxa"/>
            <w:vAlign w:val="bottom"/>
          </w:tcPr>
          <w:p>
            <w:pPr>
              <w:spacing w:after="0"/>
              <w:rPr>
                <w:sz w:val="20"/>
                <w:szCs w:val="20"/>
                <w:color w:val="auto"/>
              </w:rPr>
            </w:pPr>
            <w:r>
              <w:rPr>
                <w:rFonts w:ascii="Arial" w:cs="Arial" w:eastAsia="Arial" w:hAnsi="Arial"/>
                <w:sz w:val="17"/>
                <w:szCs w:val="17"/>
                <w:color w:val="auto"/>
              </w:rPr>
              <w:t>Cost of revenues, services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594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5,238</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3,492</w:t>
            </w:r>
          </w:p>
        </w:tc>
        <w:tc>
          <w:tcPr>
            <w:tcW w:w="0" w:type="dxa"/>
            <w:vAlign w:val="bottom"/>
          </w:tcPr>
          <w:p>
            <w:pPr>
              <w:spacing w:after="0"/>
              <w:rPr>
                <w:sz w:val="1"/>
                <w:szCs w:val="1"/>
                <w:color w:val="auto"/>
              </w:rPr>
            </w:pPr>
          </w:p>
        </w:tc>
      </w:tr>
      <w:tr>
        <w:trPr>
          <w:trHeight w:val="207"/>
        </w:trPr>
        <w:tc>
          <w:tcPr>
            <w:tcW w:w="4280" w:type="dxa"/>
            <w:vAlign w:val="bottom"/>
          </w:tcPr>
          <w:p>
            <w:pPr>
              <w:spacing w:after="0"/>
              <w:rPr>
                <w:sz w:val="20"/>
                <w:szCs w:val="20"/>
                <w:color w:val="auto"/>
              </w:rPr>
            </w:pPr>
            <w:r>
              <w:rPr>
                <w:rFonts w:ascii="Arial" w:cs="Arial" w:eastAsia="Arial" w:hAnsi="Arial"/>
                <w:sz w:val="17"/>
                <w:szCs w:val="17"/>
                <w:color w:val="auto"/>
              </w:rPr>
              <w:t>Selling and marketing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w w:val="93"/>
              </w:rPr>
              <w:t>1,287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6,984</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3,541</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15,714</w:t>
            </w:r>
          </w:p>
        </w:tc>
        <w:tc>
          <w:tcPr>
            <w:tcW w:w="0" w:type="dxa"/>
            <w:vAlign w:val="bottom"/>
          </w:tcPr>
          <w:p>
            <w:pPr>
              <w:spacing w:after="0"/>
              <w:rPr>
                <w:sz w:val="1"/>
                <w:szCs w:val="1"/>
                <w:color w:val="auto"/>
              </w:rPr>
            </w:pPr>
          </w:p>
        </w:tc>
      </w:tr>
      <w:tr>
        <w:trPr>
          <w:trHeight w:val="200"/>
        </w:trPr>
        <w:tc>
          <w:tcPr>
            <w:tcW w:w="4280" w:type="dxa"/>
            <w:vAlign w:val="bottom"/>
          </w:tcPr>
          <w:p>
            <w:pPr>
              <w:ind w:left="100"/>
              <w:spacing w:after="0"/>
              <w:rPr>
                <w:sz w:val="20"/>
                <w:szCs w:val="20"/>
                <w:color w:val="auto"/>
              </w:rPr>
            </w:pPr>
            <w:r>
              <w:rPr>
                <w:rFonts w:ascii="Arial" w:cs="Arial" w:eastAsia="Arial" w:hAnsi="Arial"/>
                <w:sz w:val="17"/>
                <w:szCs w:val="17"/>
                <w:color w:val="auto"/>
              </w:rPr>
              <w:t>Total stock-based compensation expense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6,543</w:t>
            </w:r>
          </w:p>
        </w:tc>
        <w:tc>
          <w:tcPr>
            <w:tcW w:w="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34,920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1" w:name="page42"/>
    <w:bookmarkEnd w:id="4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our results of operations as a percentage of our total revenue for the periods presented.</w:t>
      </w:r>
    </w:p>
    <w:p>
      <w:pPr>
        <w:spacing w:after="0" w:line="244"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Three months ended</w:t>
      </w:r>
    </w:p>
    <w:p>
      <w:pPr>
        <w:jc w:val="center"/>
        <w:ind w:left="626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36"/>
        </w:trPr>
        <w:tc>
          <w:tcPr>
            <w:tcW w:w="540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4"/>
          </w:tcPr>
          <w:p>
            <w:pPr>
              <w:jc w:val="right"/>
              <w:ind w:right="1"/>
              <w:spacing w:after="0" w:line="136"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14"/>
              <w:spacing w:after="0" w:line="13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100"/>
              <w:spacing w:after="0"/>
              <w:rPr>
                <w:sz w:val="20"/>
                <w:szCs w:val="20"/>
                <w:color w:val="auto"/>
              </w:rPr>
            </w:pPr>
            <w:r>
              <w:rPr>
                <w:rFonts w:ascii="Arial" w:cs="Arial" w:eastAsia="Arial" w:hAnsi="Arial"/>
                <w:sz w:val="17"/>
                <w:szCs w:val="17"/>
                <w:color w:val="auto"/>
              </w:rPr>
              <w:t>Software subscriptions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5"/>
          </w:tcPr>
          <w:p>
            <w:pPr>
              <w:jc w:val="right"/>
              <w:ind w:right="14"/>
              <w:spacing w:after="0"/>
              <w:rPr>
                <w:sz w:val="20"/>
                <w:szCs w:val="20"/>
                <w:color w:val="auto"/>
              </w:rPr>
            </w:pPr>
            <w:r>
              <w:rPr>
                <w:rFonts w:ascii="Arial" w:cs="Arial" w:eastAsia="Arial" w:hAnsi="Arial"/>
                <w:sz w:val="17"/>
                <w:szCs w:val="17"/>
                <w:color w:val="auto"/>
              </w:rPr>
              <w:t>84.8 %</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84.9 %</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
              <w:spacing w:after="0"/>
              <w:rPr>
                <w:sz w:val="20"/>
                <w:szCs w:val="20"/>
                <w:color w:val="auto"/>
              </w:rPr>
            </w:pPr>
            <w:r>
              <w:rPr>
                <w:rFonts w:ascii="Arial" w:cs="Arial" w:eastAsia="Arial" w:hAnsi="Arial"/>
                <w:sz w:val="17"/>
                <w:szCs w:val="17"/>
                <w:color w:val="auto"/>
              </w:rPr>
              <w:t>15.2 %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15.1 %</w:t>
            </w:r>
          </w:p>
        </w:tc>
        <w:tc>
          <w:tcPr>
            <w:tcW w:w="0" w:type="dxa"/>
            <w:vAlign w:val="bottom"/>
          </w:tcPr>
          <w:p>
            <w:pPr>
              <w:spacing w:after="0"/>
              <w:rPr>
                <w:sz w:val="1"/>
                <w:szCs w:val="1"/>
                <w:color w:val="auto"/>
              </w:rPr>
            </w:pPr>
          </w:p>
        </w:tc>
      </w:tr>
      <w:tr>
        <w:trPr>
          <w:trHeight w:val="200"/>
        </w:trPr>
        <w:tc>
          <w:tcPr>
            <w:tcW w:w="5400" w:type="dxa"/>
            <w:vAlign w:val="bottom"/>
          </w:tcPr>
          <w:p>
            <w:pPr>
              <w:ind w:left="100"/>
              <w:spacing w:after="0"/>
              <w:rPr>
                <w:sz w:val="20"/>
                <w:szCs w:val="20"/>
                <w:color w:val="auto"/>
              </w:rPr>
            </w:pPr>
            <w:r>
              <w:rPr>
                <w:rFonts w:ascii="Arial" w:cs="Arial" w:eastAsia="Arial" w:hAnsi="Arial"/>
                <w:sz w:val="17"/>
                <w:szCs w:val="17"/>
                <w:color w:val="auto"/>
              </w:rPr>
              <w:t>Total revenues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100"/>
              <w:spacing w:after="0"/>
              <w:rPr>
                <w:sz w:val="20"/>
                <w:szCs w:val="20"/>
                <w:color w:val="auto"/>
              </w:rPr>
            </w:pPr>
            <w:r>
              <w:rPr>
                <w:rFonts w:ascii="Arial" w:cs="Arial" w:eastAsia="Arial" w:hAnsi="Arial"/>
                <w:sz w:val="17"/>
                <w:szCs w:val="17"/>
                <w:color w:val="auto"/>
              </w:rPr>
              <w:t>Software subscriptions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5"/>
          </w:tcPr>
          <w:p>
            <w:pPr>
              <w:jc w:val="right"/>
              <w:ind w:right="14"/>
              <w:spacing w:after="0"/>
              <w:rPr>
                <w:sz w:val="20"/>
                <w:szCs w:val="20"/>
                <w:color w:val="auto"/>
              </w:rPr>
            </w:pPr>
            <w:r>
              <w:rPr>
                <w:rFonts w:ascii="Arial" w:cs="Arial" w:eastAsia="Arial" w:hAnsi="Arial"/>
                <w:sz w:val="17"/>
                <w:szCs w:val="17"/>
                <w:color w:val="auto"/>
              </w:rPr>
              <w:t>26.0 %</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27.7 %</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
              <w:spacing w:after="0"/>
              <w:rPr>
                <w:sz w:val="20"/>
                <w:szCs w:val="20"/>
                <w:color w:val="auto"/>
              </w:rPr>
            </w:pPr>
            <w:r>
              <w:rPr>
                <w:rFonts w:ascii="Arial" w:cs="Arial" w:eastAsia="Arial" w:hAnsi="Arial"/>
                <w:sz w:val="17"/>
                <w:szCs w:val="17"/>
                <w:color w:val="auto"/>
              </w:rPr>
              <w:t>11.5 %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16.6 %</w:t>
            </w:r>
          </w:p>
        </w:tc>
        <w:tc>
          <w:tcPr>
            <w:tcW w:w="0" w:type="dxa"/>
            <w:vAlign w:val="bottom"/>
          </w:tcPr>
          <w:p>
            <w:pPr>
              <w:spacing w:after="0"/>
              <w:rPr>
                <w:sz w:val="1"/>
                <w:szCs w:val="1"/>
                <w:color w:val="auto"/>
              </w:rPr>
            </w:pPr>
          </w:p>
        </w:tc>
      </w:tr>
      <w:tr>
        <w:trPr>
          <w:trHeight w:val="200"/>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cost of revenues</w:t>
            </w:r>
          </w:p>
        </w:tc>
        <w:tc>
          <w:tcPr>
            <w:tcW w:w="6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37.5</w:t>
            </w:r>
          </w:p>
        </w:tc>
        <w:tc>
          <w:tcPr>
            <w:tcW w:w="240" w:type="dxa"/>
            <w:vAlign w:val="bottom"/>
            <w:tcBorders>
              <w:bottom w:val="single" w:sz="8" w:color="CCEEFF"/>
            </w:tcBorders>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7"/>
                <w:szCs w:val="17"/>
                <w:color w:val="auto"/>
              </w:rPr>
              <w:t>Operating expenses: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Research and development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
              <w:spacing w:after="0"/>
              <w:rPr>
                <w:sz w:val="20"/>
                <w:szCs w:val="20"/>
                <w:color w:val="auto"/>
              </w:rPr>
            </w:pPr>
            <w:r>
              <w:rPr>
                <w:rFonts w:ascii="Arial" w:cs="Arial" w:eastAsia="Arial" w:hAnsi="Arial"/>
                <w:sz w:val="17"/>
                <w:szCs w:val="17"/>
                <w:color w:val="auto"/>
              </w:rPr>
              <w:t>11.7 %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14.7 %</w:t>
            </w:r>
          </w:p>
        </w:tc>
        <w:tc>
          <w:tcPr>
            <w:tcW w:w="0" w:type="dxa"/>
            <w:vAlign w:val="bottom"/>
          </w:tcPr>
          <w:p>
            <w:pPr>
              <w:spacing w:after="0"/>
              <w:rPr>
                <w:sz w:val="1"/>
                <w:szCs w:val="1"/>
                <w:color w:val="auto"/>
              </w:rPr>
            </w:pPr>
          </w:p>
        </w:tc>
      </w:tr>
      <w:tr>
        <w:trPr>
          <w:trHeight w:val="207"/>
        </w:trPr>
        <w:tc>
          <w:tcPr>
            <w:tcW w:w="5400" w:type="dxa"/>
            <w:vAlign w:val="bottom"/>
          </w:tcPr>
          <w:p>
            <w:pPr>
              <w:ind w:left="100"/>
              <w:spacing w:after="0"/>
              <w:rPr>
                <w:sz w:val="20"/>
                <w:szCs w:val="20"/>
                <w:color w:val="auto"/>
              </w:rPr>
            </w:pPr>
            <w:r>
              <w:rPr>
                <w:rFonts w:ascii="Arial" w:cs="Arial" w:eastAsia="Arial" w:hAnsi="Arial"/>
                <w:sz w:val="17"/>
                <w:szCs w:val="17"/>
                <w:color w:val="auto"/>
              </w:rPr>
              <w:t>Selling and marketing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5"/>
          </w:tcPr>
          <w:p>
            <w:pPr>
              <w:jc w:val="right"/>
              <w:ind w:right="14"/>
              <w:spacing w:after="0"/>
              <w:rPr>
                <w:sz w:val="20"/>
                <w:szCs w:val="20"/>
                <w:color w:val="auto"/>
              </w:rPr>
            </w:pPr>
            <w:r>
              <w:rPr>
                <w:rFonts w:ascii="Arial" w:cs="Arial" w:eastAsia="Arial" w:hAnsi="Arial"/>
                <w:sz w:val="17"/>
                <w:szCs w:val="17"/>
                <w:color w:val="auto"/>
              </w:rPr>
              <w:t>20.5 %</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27.3 %</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
              <w:spacing w:after="0"/>
              <w:rPr>
                <w:sz w:val="20"/>
                <w:szCs w:val="20"/>
                <w:color w:val="auto"/>
              </w:rPr>
            </w:pPr>
            <w:r>
              <w:rPr>
                <w:rFonts w:ascii="Arial" w:cs="Arial" w:eastAsia="Arial" w:hAnsi="Arial"/>
                <w:sz w:val="17"/>
                <w:szCs w:val="17"/>
                <w:color w:val="auto"/>
              </w:rPr>
              <w:t>25.3 %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42.2 %</w:t>
            </w:r>
          </w:p>
        </w:tc>
        <w:tc>
          <w:tcPr>
            <w:tcW w:w="0" w:type="dxa"/>
            <w:vAlign w:val="bottom"/>
          </w:tcPr>
          <w:p>
            <w:pPr>
              <w:spacing w:after="0"/>
              <w:rPr>
                <w:sz w:val="1"/>
                <w:szCs w:val="1"/>
                <w:color w:val="auto"/>
              </w:rPr>
            </w:pPr>
          </w:p>
        </w:tc>
      </w:tr>
      <w:tr>
        <w:trPr>
          <w:trHeight w:val="207"/>
        </w:trPr>
        <w:tc>
          <w:tcPr>
            <w:tcW w:w="540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4"/>
              <w:spacing w:after="0"/>
              <w:rPr>
                <w:sz w:val="20"/>
                <w:szCs w:val="20"/>
                <w:color w:val="auto"/>
              </w:rPr>
            </w:pPr>
            <w:r>
              <w:rPr>
                <w:rFonts w:ascii="Arial" w:cs="Arial" w:eastAsia="Arial" w:hAnsi="Arial"/>
                <w:sz w:val="17"/>
                <w:szCs w:val="17"/>
                <w:color w:val="auto"/>
                <w:w w:val="96"/>
              </w:rPr>
              <w:t>2.9 %</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operating (income) expense, net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00"/>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operating expenses</w:t>
            </w:r>
          </w:p>
        </w:tc>
        <w:tc>
          <w:tcPr>
            <w:tcW w:w="6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60.3</w:t>
            </w:r>
          </w:p>
        </w:tc>
        <w:tc>
          <w:tcPr>
            <w:tcW w:w="240" w:type="dxa"/>
            <w:vAlign w:val="bottom"/>
            <w:tcBorders>
              <w:bottom w:val="single" w:sz="8" w:color="CCEEFF"/>
            </w:tcBorders>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87.5</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(loss) from operations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00"/>
        </w:trPr>
        <w:tc>
          <w:tcPr>
            <w:tcW w:w="54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expense, net</w:t>
            </w:r>
          </w:p>
        </w:tc>
        <w:tc>
          <w:tcPr>
            <w:tcW w:w="6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0.5</w:t>
            </w:r>
          </w:p>
        </w:tc>
        <w:tc>
          <w:tcPr>
            <w:tcW w:w="240" w:type="dxa"/>
            <w:vAlign w:val="bottom"/>
            <w:tcBorders>
              <w:bottom w:val="single" w:sz="8" w:color="CCEEFF"/>
            </w:tcBorders>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(loss) before income taxes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5"/>
          </w:tcPr>
          <w:p>
            <w:pPr>
              <w:jc w:val="right"/>
              <w:ind w:right="14"/>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0.3 %</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Net income (loss)</w:t>
            </w: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2.4</w:t>
            </w:r>
          </w:p>
        </w:tc>
        <w:tc>
          <w:tcPr>
            <w:tcW w:w="2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Other comprehensive loss from foreign currency translations, net of tax</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4"/>
              <w:spacing w:after="0"/>
              <w:rPr>
                <w:sz w:val="20"/>
                <w:szCs w:val="20"/>
                <w:color w:val="auto"/>
              </w:rPr>
            </w:pPr>
            <w:r>
              <w:rPr>
                <w:rFonts w:ascii="Arial" w:cs="Arial" w:eastAsia="Arial" w:hAnsi="Arial"/>
                <w:sz w:val="17"/>
                <w:szCs w:val="17"/>
                <w:color w:val="auto"/>
                <w:w w:val="96"/>
              </w:rPr>
              <w:t>1.0 %</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00"/>
        </w:trPr>
        <w:tc>
          <w:tcPr>
            <w:tcW w:w="54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comprehensive income (loss)</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w:t>
            </w:r>
          </w:p>
        </w:tc>
        <w:tc>
          <w:tcPr>
            <w:tcW w:w="240" w:type="dxa"/>
            <w:vAlign w:val="bottom"/>
            <w:tcBorders>
              <w:top w:val="single" w:sz="8" w:color="CCEEFF"/>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6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860" w:type="dxa"/>
            <w:vAlign w:val="bottom"/>
            <w:gridSpan w:val="11"/>
          </w:tcPr>
          <w:p>
            <w:pPr>
              <w:ind w:left="1160"/>
              <w:spacing w:after="0"/>
              <w:rPr>
                <w:sz w:val="20"/>
                <w:szCs w:val="20"/>
                <w:color w:val="auto"/>
              </w:rPr>
            </w:pPr>
            <w:r>
              <w:rPr>
                <w:rFonts w:ascii="Arial" w:cs="Arial" w:eastAsia="Arial" w:hAnsi="Arial"/>
                <w:sz w:val="17"/>
                <w:szCs w:val="17"/>
                <w:b w:val="1"/>
                <w:bCs w:val="1"/>
                <w:color w:val="auto"/>
                <w:w w:val="95"/>
              </w:rPr>
              <w:t>Three Months Ended March 31, 2021 Compared to Three Months Ended March 31, 2020</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400" w:type="dxa"/>
            <w:vAlign w:val="bottom"/>
          </w:tcPr>
          <w:p>
            <w:pPr>
              <w:ind w:left="300"/>
              <w:spacing w:after="0"/>
              <w:rPr>
                <w:sz w:val="20"/>
                <w:szCs w:val="20"/>
                <w:color w:val="auto"/>
              </w:rPr>
            </w:pPr>
            <w:r>
              <w:rPr>
                <w:rFonts w:ascii="Arial" w:cs="Arial" w:eastAsia="Arial" w:hAnsi="Arial"/>
                <w:sz w:val="17"/>
                <w:szCs w:val="17"/>
                <w:b w:val="1"/>
                <w:bCs w:val="1"/>
                <w:color w:val="auto"/>
              </w:rPr>
              <w:t>Revenue</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0" w:type="dxa"/>
            <w:vAlign w:val="bottom"/>
          </w:tcPr>
          <w:p>
            <w:pPr>
              <w:spacing w:after="0"/>
              <w:rPr>
                <w:sz w:val="24"/>
                <w:szCs w:val="24"/>
                <w:color w:val="auto"/>
              </w:rPr>
            </w:pPr>
          </w:p>
        </w:tc>
        <w:tc>
          <w:tcPr>
            <w:tcW w:w="152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7"/>
              </w:rPr>
              <w:t>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vMerge w:val="restart"/>
          </w:tcPr>
          <w:p>
            <w:pPr>
              <w:jc w:val="right"/>
              <w:ind w:right="144"/>
              <w:spacing w:after="0"/>
              <w:rPr>
                <w:sz w:val="20"/>
                <w:szCs w:val="20"/>
                <w:color w:val="auto"/>
              </w:rPr>
            </w:pPr>
            <w:r>
              <w:rPr>
                <w:rFonts w:ascii="Arial" w:cs="Arial" w:eastAsia="Arial" w:hAnsi="Arial"/>
                <w:sz w:val="14"/>
                <w:szCs w:val="14"/>
                <w:b w:val="1"/>
                <w:bCs w:val="1"/>
                <w:color w:val="auto"/>
                <w:w w:val="88"/>
              </w:rPr>
              <w:t>Period-over-Period change</w:t>
            </w:r>
          </w:p>
        </w:tc>
        <w:tc>
          <w:tcPr>
            <w:tcW w:w="0" w:type="dxa"/>
            <w:vAlign w:val="bottom"/>
          </w:tcPr>
          <w:p>
            <w:pPr>
              <w:spacing w:after="0"/>
              <w:rPr>
                <w:sz w:val="1"/>
                <w:szCs w:val="1"/>
                <w:color w:val="auto"/>
              </w:rPr>
            </w:pPr>
          </w:p>
        </w:tc>
      </w:tr>
      <w:tr>
        <w:trPr>
          <w:trHeight w:val="136"/>
        </w:trPr>
        <w:tc>
          <w:tcPr>
            <w:tcW w:w="5400" w:type="dxa"/>
            <w:vAlign w:val="bottom"/>
            <w:vMerge w:val="continue"/>
          </w:tcPr>
          <w:p>
            <w:pPr>
              <w:spacing w:after="0"/>
              <w:rPr>
                <w:sz w:val="11"/>
                <w:szCs w:val="11"/>
                <w:color w:val="auto"/>
              </w:rPr>
            </w:pPr>
          </w:p>
        </w:tc>
        <w:tc>
          <w:tcPr>
            <w:tcW w:w="680" w:type="dxa"/>
            <w:vAlign w:val="bottom"/>
          </w:tcPr>
          <w:p>
            <w:pPr>
              <w:jc w:val="right"/>
              <w:ind w:right="122"/>
              <w:spacing w:after="0" w:line="136" w:lineRule="exact"/>
              <w:rPr>
                <w:sz w:val="20"/>
                <w:szCs w:val="20"/>
                <w:color w:val="auto"/>
              </w:rPr>
            </w:pPr>
            <w:r>
              <w:rPr>
                <w:rFonts w:ascii="Arial" w:cs="Arial" w:eastAsia="Arial" w:hAnsi="Arial"/>
                <w:sz w:val="14"/>
                <w:szCs w:val="14"/>
                <w:b w:val="1"/>
                <w:bCs w:val="1"/>
                <w:color w:val="auto"/>
              </w:rPr>
              <w:t>2021</w:t>
            </w:r>
          </w:p>
        </w:tc>
        <w:tc>
          <w:tcPr>
            <w:tcW w:w="840" w:type="dxa"/>
            <w:vAlign w:val="bottom"/>
            <w:gridSpan w:val="3"/>
          </w:tcPr>
          <w:p>
            <w:pPr>
              <w:jc w:val="right"/>
              <w:ind w:right="151"/>
              <w:spacing w:after="0" w:line="136"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4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Revenues:</w:t>
            </w: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Software subscriptions</w:t>
            </w:r>
          </w:p>
        </w:tc>
        <w:tc>
          <w:tcPr>
            <w:tcW w:w="680" w:type="dxa"/>
            <w:vAlign w:val="bottom"/>
          </w:tcPr>
          <w:p>
            <w:pPr>
              <w:jc w:val="right"/>
              <w:spacing w:after="0"/>
              <w:rPr>
                <w:sz w:val="20"/>
                <w:szCs w:val="20"/>
                <w:color w:val="auto"/>
              </w:rPr>
            </w:pPr>
            <w:r>
              <w:rPr>
                <w:rFonts w:ascii="Arial" w:cs="Arial" w:eastAsia="Arial" w:hAnsi="Arial"/>
                <w:sz w:val="17"/>
                <w:szCs w:val="17"/>
                <w:color w:val="auto"/>
                <w:w w:val="93"/>
              </w:rPr>
              <w:t>$ 83,280</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$ 75,760</w:t>
            </w: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7,520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9.9 %</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Services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14,956</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13,485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7"/>
                <w:szCs w:val="17"/>
                <w:color w:val="auto"/>
              </w:rPr>
              <w:t>Total revenues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$ 98,236</w:t>
            </w:r>
          </w:p>
        </w:tc>
        <w:tc>
          <w:tcPr>
            <w:tcW w:w="140" w:type="dxa"/>
            <w:vAlign w:val="bottom"/>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3"/>
              </w:rPr>
              <w:t>$ 89,245</w:t>
            </w:r>
          </w:p>
        </w:tc>
        <w:tc>
          <w:tcPr>
            <w:tcW w:w="160" w:type="dxa"/>
            <w:vAlign w:val="bottom"/>
            <w:gridSpan w:val="2"/>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8,991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Revenue increased $9.0 million, or 10.1%, to $98.2 million for the three months ended March 31, 2021 compared to $89.2 million for the three months ended March 31, 2020. The increase in software subscriptions revenue of $7.5 million, or 9.9%, was primarily driven by and increase of $7.3 million in revenues derived from our existing customers and a year over year increase of $0.2 million in revenues derived from new customers. Software subscriptions revenue derived from new customers averaged 7.5% of total software subscriptions revenue in both periods.</w:t>
      </w:r>
    </w:p>
    <w:p>
      <w:pPr>
        <w:spacing w:after="0" w:line="178" w:lineRule="exact"/>
        <w:rPr>
          <w:sz w:val="20"/>
          <w:szCs w:val="20"/>
          <w:color w:val="auto"/>
        </w:rPr>
      </w:pPr>
    </w:p>
    <w:p>
      <w:pPr>
        <w:jc w:val="both"/>
        <w:ind w:left="40" w:right="59" w:firstLine="311"/>
        <w:spacing w:after="0" w:line="282" w:lineRule="auto"/>
        <w:rPr>
          <w:sz w:val="20"/>
          <w:szCs w:val="20"/>
          <w:color w:val="auto"/>
        </w:rPr>
      </w:pPr>
      <w:r>
        <w:rPr>
          <w:rFonts w:ascii="Arial" w:cs="Arial" w:eastAsia="Arial" w:hAnsi="Arial"/>
          <w:sz w:val="16"/>
          <w:szCs w:val="16"/>
          <w:color w:val="auto"/>
        </w:rPr>
        <w:t>The $1.5 million increase in services revenue is primarily driven by an increase of $1.0 million in software subscription related services associated with the growth in subscription revenues, which includes new customers implementing our solutions and existing customers upgrading to newer versions of our solutions. In addition, our managed services offering experienced a $0.5 million increase in recurring services revenue over the prior year due to returns processing volume increases related to regulatory changes as customers expanded their tax filings into more jurisdictions.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2" w:name="page43"/>
    <w:bookmarkEnd w:id="4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Cost of Software Subscriptions Revenue</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Three months ended</w:t>
      </w:r>
    </w:p>
    <w:p>
      <w:pPr>
        <w:ind w:left="536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36"/>
        </w:trPr>
        <w:tc>
          <w:tcPr>
            <w:tcW w:w="3640" w:type="dxa"/>
            <w:vAlign w:val="bottom"/>
          </w:tcPr>
          <w:p>
            <w:pPr>
              <w:spacing w:after="0" w:line="136" w:lineRule="exact"/>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22"/>
              <w:spacing w:after="0" w:line="136"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2"/>
              <w:spacing w:after="0" w:line="136"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3"/>
          </w:tcPr>
          <w:p>
            <w:pPr>
              <w:jc w:val="right"/>
              <w:ind w:right="254"/>
              <w:spacing w:after="0" w:line="136" w:lineRule="exact"/>
              <w:rPr>
                <w:sz w:val="20"/>
                <w:szCs w:val="20"/>
                <w:color w:val="auto"/>
              </w:rPr>
            </w:pPr>
            <w:r>
              <w:rPr>
                <w:rFonts w:ascii="Arial" w:cs="Arial" w:eastAsia="Arial" w:hAnsi="Arial"/>
                <w:sz w:val="14"/>
                <w:szCs w:val="14"/>
                <w:b w:val="1"/>
                <w:bCs w:val="1"/>
                <w:color w:val="auto"/>
                <w:w w:val="89"/>
              </w:rPr>
              <w:t>Period-over-Period change</w:t>
            </w:r>
          </w:p>
        </w:tc>
      </w:tr>
      <w:tr>
        <w:trPr>
          <w:trHeight w:val="20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software subscription revenues</w:t>
            </w:r>
          </w:p>
        </w:tc>
        <w:tc>
          <w:tcPr>
            <w:tcW w:w="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25,590</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24,684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7"/>
                <w:szCs w:val="17"/>
                <w:color w:val="auto"/>
              </w:rPr>
              <w:t>906</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208" w:lineRule="exact"/>
        <w:rPr>
          <w:sz w:val="20"/>
          <w:szCs w:val="20"/>
          <w:color w:val="auto"/>
        </w:rPr>
      </w:pPr>
    </w:p>
    <w:p>
      <w:pPr>
        <w:jc w:val="both"/>
        <w:ind w:left="40" w:right="59" w:firstLine="311"/>
        <w:spacing w:after="0" w:line="298" w:lineRule="auto"/>
        <w:rPr>
          <w:sz w:val="20"/>
          <w:szCs w:val="20"/>
          <w:color w:val="auto"/>
        </w:rPr>
      </w:pPr>
      <w:r>
        <w:rPr>
          <w:rFonts w:ascii="Arial" w:cs="Arial" w:eastAsia="Arial" w:hAnsi="Arial"/>
          <w:sz w:val="15"/>
          <w:szCs w:val="15"/>
          <w:color w:val="auto"/>
        </w:rPr>
        <w:t>Cost of software subscriptions revenue increased $0.9 million, or 3.7%, to $25.6 million for the three months ended March 31, 2021 compared to $24.7 million for the three months ended March 31, 2020. This is primarily driven by a $3.8 million increase in costs of personnel supporting year-over-year growth of sales and customers and ongoing infrastructure investments to support expansion of customer transaction volumes for our cloud-based subscription customers. This increase is partially offset by a $2.9 million decrease in stock-based compensation for the three months ended March 31, 2021 over the same period in 2020. As a percentage of total revenue, the cost of software subscriptions revenue decreased to 26.0% for the three months ended March 31, 2021 compared to 27.7% for the same period in 2020. After excluding stock-based compensation expense, as a percentage of total revenue, cost of software subscriptions revenue increased to 25.5% in 2021 compared to 23.7% in 2020.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Cost of Services Revenue</w:t>
      </w: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Three months ended</w:t>
      </w:r>
    </w:p>
    <w:p>
      <w:pPr>
        <w:ind w:left="536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36"/>
        </w:trPr>
        <w:tc>
          <w:tcPr>
            <w:tcW w:w="322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b w:val="1"/>
                <w:bCs w:val="1"/>
                <w:color w:val="auto"/>
              </w:rPr>
              <w:t>(Dollars in thousands)</w:t>
            </w:r>
          </w:p>
        </w:tc>
        <w:tc>
          <w:tcPr>
            <w:tcW w:w="13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42"/>
              <w:spacing w:after="0" w:line="136"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42"/>
              <w:spacing w:after="0" w:line="136"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ind w:left="40"/>
              <w:spacing w:after="0" w:line="136" w:lineRule="exact"/>
              <w:rPr>
                <w:sz w:val="20"/>
                <w:szCs w:val="20"/>
                <w:color w:val="auto"/>
              </w:rPr>
            </w:pPr>
            <w:r>
              <w:rPr>
                <w:rFonts w:ascii="Arial" w:cs="Arial" w:eastAsia="Arial" w:hAnsi="Arial"/>
                <w:sz w:val="14"/>
                <w:szCs w:val="14"/>
                <w:b w:val="1"/>
                <w:bCs w:val="1"/>
                <w:color w:val="auto"/>
                <w:w w:val="97"/>
              </w:rPr>
              <w:t>Period-over-Period change</w:t>
            </w:r>
          </w:p>
        </w:tc>
        <w:tc>
          <w:tcPr>
            <w:tcW w:w="160" w:type="dxa"/>
            <w:vAlign w:val="bottom"/>
            <w:tcBorders>
              <w:bottom w:val="single" w:sz="8" w:color="CCEEFF"/>
            </w:tcBorders>
          </w:tcPr>
          <w:p>
            <w:pPr>
              <w:spacing w:after="0"/>
              <w:rPr>
                <w:sz w:val="11"/>
                <w:szCs w:val="11"/>
                <w:color w:val="auto"/>
              </w:rPr>
            </w:pPr>
          </w:p>
        </w:tc>
      </w:tr>
      <w:tr>
        <w:trPr>
          <w:trHeight w:val="200"/>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 revenuess</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(3,435)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(23.2)%</w:t>
            </w:r>
          </w:p>
        </w:tc>
      </w:tr>
    </w:tbl>
    <w:p>
      <w:pPr>
        <w:spacing w:after="0" w:line="208" w:lineRule="exact"/>
        <w:rPr>
          <w:sz w:val="20"/>
          <w:szCs w:val="20"/>
          <w:color w:val="auto"/>
        </w:rPr>
      </w:pPr>
    </w:p>
    <w:p>
      <w:pPr>
        <w:jc w:val="both"/>
        <w:ind w:left="40" w:right="59" w:firstLine="311"/>
        <w:spacing w:after="0" w:line="277" w:lineRule="auto"/>
        <w:rPr>
          <w:sz w:val="20"/>
          <w:szCs w:val="20"/>
          <w:color w:val="auto"/>
        </w:rPr>
      </w:pPr>
      <w:r>
        <w:rPr>
          <w:rFonts w:ascii="Arial" w:cs="Arial" w:eastAsia="Arial" w:hAnsi="Arial"/>
          <w:sz w:val="16"/>
          <w:szCs w:val="16"/>
          <w:color w:val="auto"/>
        </w:rPr>
        <w:t>Cost of services revenue decreased $3.4 million, or 23.2%, to $11.3 million for the three months ended March 31, 2021 compared to $14.8 million for the three months ended March 31, 2020. This decline is primarily driven by a stock-based compensation decrease of $4.6 million for the three months ended March 31, 2021 over the same period in 2020. After adjusting for the decline in stock-based compensation expense, cost of services revenue is increasing $1.2 million primarily driven by an increase in costs of personnel supporting the service delivery areas to support revenue growth in software subscription related services and our managed services offering. As a percentage of total revenue, cost of services revenue decreased to 11.5% in 2021 compared to 16.6% for the same period in 2020. After excluding stock-based compensation expense, as a percentage of total revenue, cost of services revenue increased to 10.9% in 2021 compared to 10.7% in 2020.</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Research and Development</w:t>
      </w: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Three months ended</w:t>
      </w:r>
    </w:p>
    <w:p>
      <w:pPr>
        <w:ind w:left="544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36"/>
        </w:trPr>
        <w:tc>
          <w:tcPr>
            <w:tcW w:w="470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22"/>
              <w:spacing w:after="0" w:line="136"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22"/>
              <w:spacing w:after="0" w:line="13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ind w:left="40"/>
              <w:spacing w:after="0" w:line="136" w:lineRule="exact"/>
              <w:rPr>
                <w:sz w:val="20"/>
                <w:szCs w:val="20"/>
                <w:color w:val="auto"/>
              </w:rPr>
            </w:pPr>
            <w:r>
              <w:rPr>
                <w:rFonts w:ascii="Arial" w:cs="Arial" w:eastAsia="Arial" w:hAnsi="Arial"/>
                <w:sz w:val="14"/>
                <w:szCs w:val="14"/>
                <w:b w:val="1"/>
                <w:bCs w:val="1"/>
                <w:color w:val="auto"/>
                <w:w w:val="94"/>
              </w:rPr>
              <w:t>Period-over-Period change</w:t>
            </w:r>
          </w:p>
        </w:tc>
        <w:tc>
          <w:tcPr>
            <w:tcW w:w="160" w:type="dxa"/>
            <w:vAlign w:val="bottom"/>
            <w:tcBorders>
              <w:bottom w:val="single" w:sz="8" w:color="CCEEFF"/>
            </w:tcBorders>
          </w:tcPr>
          <w:p>
            <w:pPr>
              <w:spacing w:after="0"/>
              <w:rPr>
                <w:sz w:val="11"/>
                <w:szCs w:val="11"/>
                <w:color w:val="auto"/>
              </w:rPr>
            </w:pPr>
          </w:p>
        </w:tc>
      </w:tr>
      <w:tr>
        <w:trPr>
          <w:trHeight w:val="200"/>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(1,620)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(12.4)%</w:t>
            </w:r>
          </w:p>
        </w:tc>
      </w:tr>
    </w:tbl>
    <w:p>
      <w:pPr>
        <w:spacing w:after="0" w:line="208" w:lineRule="exact"/>
        <w:rPr>
          <w:sz w:val="20"/>
          <w:szCs w:val="20"/>
          <w:color w:val="auto"/>
        </w:rPr>
      </w:pPr>
    </w:p>
    <w:p>
      <w:pPr>
        <w:jc w:val="both"/>
        <w:ind w:left="40" w:right="59" w:firstLine="311"/>
        <w:spacing w:after="0" w:line="296" w:lineRule="auto"/>
        <w:rPr>
          <w:sz w:val="20"/>
          <w:szCs w:val="20"/>
          <w:color w:val="auto"/>
        </w:rPr>
      </w:pPr>
      <w:r>
        <w:rPr>
          <w:rFonts w:ascii="Arial" w:cs="Arial" w:eastAsia="Arial" w:hAnsi="Arial"/>
          <w:sz w:val="15"/>
          <w:szCs w:val="15"/>
          <w:color w:val="auto"/>
        </w:rPr>
        <w:t>Research and development expenses decreased $1.6 million, or 12.4%, to $11.5 million for the three months ended March 31, 2021 compared to $13.1 million for the three months ended March 31, 2020. However, this decline is primarily driven by a stock-based compensation decrease of $2.9 million for the three months ended March 31, 2021 over the same period in 2020. After adjusting for the decline in stock-based compensation expense, research and development expenses are increasing $1.3 million primarily driven by an increase in costs associated with increased development activity associated with nascent technologies and new solutions to address end-to-end data analysis and compliance needs of our customers. As a percentage of total revenue, research and development expenses decreased to 11.7% for the three months ended March 31, 2021 compared to 14.7% for the three months ended March 31, 2020. After excluding stock-based compensation expense, as a percentage of total revenue, research and development expenses increased to 11.1% in 2021 compared to 10.7% in 2020.</w:t>
      </w:r>
    </w:p>
    <w:p>
      <w:pPr>
        <w:spacing w:after="0" w:line="160"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Research and development expense excludes those costs that have been capitalized for solutions that have met our capitalization policy.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3" w:name="page44"/>
    <w:bookmarkEnd w:id="4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Selling and Marketing</w:t>
      </w:r>
    </w:p>
    <w:p>
      <w:pPr>
        <w:spacing w:after="0" w:line="239"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Three months ended</w:t>
      </w:r>
    </w:p>
    <w:p>
      <w:pPr>
        <w:ind w:left="516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36"/>
        </w:trPr>
        <w:tc>
          <w:tcPr>
            <w:tcW w:w="434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2"/>
              <w:spacing w:after="0" w:line="136"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62"/>
              <w:spacing w:after="0" w:line="136"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2"/>
          </w:tcPr>
          <w:p>
            <w:pPr>
              <w:ind w:left="80"/>
              <w:spacing w:after="0" w:line="136" w:lineRule="exact"/>
              <w:rPr>
                <w:sz w:val="20"/>
                <w:szCs w:val="20"/>
                <w:color w:val="auto"/>
              </w:rPr>
            </w:pPr>
            <w:r>
              <w:rPr>
                <w:rFonts w:ascii="Arial" w:cs="Arial" w:eastAsia="Arial" w:hAnsi="Arial"/>
                <w:sz w:val="14"/>
                <w:szCs w:val="14"/>
                <w:b w:val="1"/>
                <w:bCs w:val="1"/>
                <w:color w:val="auto"/>
                <w:w w:val="99"/>
              </w:rPr>
              <w:t>Period-over-Period change</w:t>
            </w:r>
          </w:p>
        </w:tc>
        <w:tc>
          <w:tcPr>
            <w:tcW w:w="180" w:type="dxa"/>
            <w:vAlign w:val="bottom"/>
            <w:tcBorders>
              <w:bottom w:val="single" w:sz="8" w:color="CCEEFF"/>
            </w:tcBorders>
          </w:tcPr>
          <w:p>
            <w:pPr>
              <w:spacing w:after="0"/>
              <w:rPr>
                <w:sz w:val="11"/>
                <w:szCs w:val="11"/>
                <w:color w:val="auto"/>
              </w:rPr>
            </w:pPr>
          </w:p>
        </w:tc>
      </w:tr>
      <w:tr>
        <w:trPr>
          <w:trHeight w:val="200"/>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24,333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(4,183)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(17.2)%</w:t>
            </w:r>
          </w:p>
        </w:tc>
      </w:tr>
    </w:tbl>
    <w:p>
      <w:pPr>
        <w:spacing w:after="0" w:line="208" w:lineRule="exact"/>
        <w:rPr>
          <w:sz w:val="20"/>
          <w:szCs w:val="20"/>
          <w:color w:val="auto"/>
        </w:rPr>
      </w:pPr>
    </w:p>
    <w:p>
      <w:pPr>
        <w:jc w:val="both"/>
        <w:ind w:left="40" w:right="59" w:firstLine="311"/>
        <w:spacing w:after="0" w:line="276" w:lineRule="auto"/>
        <w:rPr>
          <w:sz w:val="20"/>
          <w:szCs w:val="20"/>
          <w:color w:val="auto"/>
        </w:rPr>
      </w:pPr>
      <w:r>
        <w:rPr>
          <w:rFonts w:ascii="Arial" w:cs="Arial" w:eastAsia="Arial" w:hAnsi="Arial"/>
          <w:sz w:val="16"/>
          <w:szCs w:val="16"/>
          <w:color w:val="auto"/>
        </w:rPr>
        <w:t>Selling and marketing expenses decreased $4.2 million, or 17.2%, to $20.2 million for the three months ended March 31, 2021 compared to $24.3 million for the same period in 2020. However, this decline is primarily driven by a stock-based compensation decrease of $5.7 million for the three months ended March 31, 2021 over the same period in 2020. After adjusting for the decline in stock-based compensation expense, selling and marketing expenses are increasing $1.5 million primarily driven by an increase in payroll and related expenses associated with the growth in year-over-year subscription sales and services revenue and expansion of our partner and channel management programs. As a percentage of total revenue, selling and marketing expenses decreased to 20.5% for the three months ended March 31, 2021 compared to 27.3% for the same period in 2020. After excluding stock-based compensation expense, as a percentage of total revenue, selling and marketing expenses decreased to 19.2% in 2021 compared to 19.4% in 2020.</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General and Administrative</w:t>
      </w:r>
    </w:p>
    <w:p>
      <w:pPr>
        <w:spacing w:after="0" w:line="239"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Three months ended</w:t>
      </w:r>
    </w:p>
    <w:p>
      <w:pPr>
        <w:ind w:left="538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36"/>
        </w:trPr>
        <w:tc>
          <w:tcPr>
            <w:tcW w:w="464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42"/>
              <w:spacing w:after="0" w:line="136"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42"/>
              <w:spacing w:after="0" w:line="13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ind w:left="40"/>
              <w:spacing w:after="0" w:line="136" w:lineRule="exact"/>
              <w:rPr>
                <w:sz w:val="20"/>
                <w:szCs w:val="20"/>
                <w:color w:val="auto"/>
              </w:rPr>
            </w:pPr>
            <w:r>
              <w:rPr>
                <w:rFonts w:ascii="Arial" w:cs="Arial" w:eastAsia="Arial" w:hAnsi="Arial"/>
                <w:sz w:val="14"/>
                <w:szCs w:val="14"/>
                <w:b w:val="1"/>
                <w:bCs w:val="1"/>
                <w:color w:val="auto"/>
                <w:w w:val="96"/>
              </w:rPr>
              <w:t>Period-over-Period change</w:t>
            </w:r>
          </w:p>
        </w:tc>
        <w:tc>
          <w:tcPr>
            <w:tcW w:w="160" w:type="dxa"/>
            <w:vAlign w:val="bottom"/>
            <w:tcBorders>
              <w:bottom w:val="single" w:sz="8" w:color="CCEEFF"/>
            </w:tcBorders>
          </w:tcPr>
          <w:p>
            <w:pPr>
              <w:spacing w:after="0"/>
              <w:rPr>
                <w:sz w:val="11"/>
                <w:szCs w:val="11"/>
                <w:color w:val="auto"/>
              </w:rPr>
            </w:pPr>
          </w:p>
        </w:tc>
      </w:tr>
      <w:tr>
        <w:trPr>
          <w:trHeight w:val="20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37,636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rPr>
              <w:t>(12,784)</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(34.0)%</w:t>
            </w:r>
          </w:p>
        </w:tc>
      </w:tr>
    </w:tbl>
    <w:p>
      <w:pPr>
        <w:spacing w:after="0" w:line="208" w:lineRule="exact"/>
        <w:rPr>
          <w:sz w:val="20"/>
          <w:szCs w:val="20"/>
          <w:color w:val="auto"/>
        </w:rPr>
      </w:pPr>
    </w:p>
    <w:p>
      <w:pPr>
        <w:jc w:val="both"/>
        <w:ind w:left="40" w:right="59" w:firstLine="311"/>
        <w:spacing w:after="0" w:line="296" w:lineRule="auto"/>
        <w:rPr>
          <w:sz w:val="20"/>
          <w:szCs w:val="20"/>
          <w:color w:val="auto"/>
        </w:rPr>
      </w:pPr>
      <w:r>
        <w:rPr>
          <w:rFonts w:ascii="Arial" w:cs="Arial" w:eastAsia="Arial" w:hAnsi="Arial"/>
          <w:sz w:val="15"/>
          <w:szCs w:val="15"/>
          <w:color w:val="auto"/>
        </w:rPr>
        <w:t>General and administrative expenses decreased $12.8 million, or 34.0%, to $24.9 million for the three months ended March 31, 2021 compared to $37.6 million for the same period in 2020. However, this decline is primarily driven by a stock-based compensation decrease of $12.2 million for the three months ended March 31, 2021 over the same period in 2020. After adjusting for the decline in stock-based compensation expense, general and administrative expenses are decreasing an additional $0.6 million primarily driven by a decrease in travel costs due to COVID-19 travel restrictions and an increase in capitalized costs associated with internal optimization efforts, partially offset by increased costs associated with public company status. As a percentage of total revenue, general and administrative expenses decreased to 25.3% for the three months ended March 31, 2021 compared to 42.2% for the same period in 2020. After excluding stock-based compensation expense, as a percentage of total revenue, general and administrative expenses decreased to 21.7% in 2021 compared to 24.6% in 2020.</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Provision for Taxes</w:t>
      </w: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Three months ended</w:t>
      </w:r>
    </w:p>
    <w:p>
      <w:pPr>
        <w:ind w:left="5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-6985</wp:posOffset>
            </wp:positionV>
            <wp:extent cx="133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4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Period-over-Period change</w:t>
            </w:r>
          </w:p>
        </w:tc>
        <w:tc>
          <w:tcPr>
            <w:tcW w:w="200" w:type="dxa"/>
            <w:vAlign w:val="bottom"/>
            <w:tcBorders>
              <w:bottom w:val="single" w:sz="8" w:color="CCEEFF"/>
            </w:tcBorders>
          </w:tcPr>
          <w:p>
            <w:pPr>
              <w:spacing w:after="0"/>
              <w:rPr>
                <w:sz w:val="14"/>
                <w:szCs w:val="14"/>
                <w:color w:val="auto"/>
              </w:rPr>
            </w:pPr>
          </w:p>
        </w:tc>
      </w:tr>
      <w:tr>
        <w:trPr>
          <w:trHeight w:val="20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(929)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(371.6)%</w:t>
            </w:r>
          </w:p>
        </w:tc>
      </w:tr>
    </w:tbl>
    <w:p>
      <w:pPr>
        <w:spacing w:after="0" w:line="208" w:lineRule="exact"/>
        <w:rPr>
          <w:sz w:val="20"/>
          <w:szCs w:val="20"/>
          <w:color w:val="auto"/>
        </w:rPr>
      </w:pPr>
    </w:p>
    <w:p>
      <w:pPr>
        <w:jc w:val="both"/>
        <w:ind w:left="40" w:right="59" w:firstLine="311"/>
        <w:spacing w:after="0" w:line="279" w:lineRule="auto"/>
        <w:rPr>
          <w:sz w:val="20"/>
          <w:szCs w:val="20"/>
          <w:color w:val="auto"/>
        </w:rPr>
      </w:pPr>
      <w:r>
        <w:rPr>
          <w:rFonts w:ascii="Arial" w:cs="Arial" w:eastAsia="Arial" w:hAnsi="Arial"/>
          <w:sz w:val="16"/>
          <w:szCs w:val="16"/>
          <w:color w:val="auto"/>
        </w:rPr>
        <w:t>Income tax expense decreased $0.9 million, or 371.6%, to $(0.7) million of income tax benefit for the three months ended March 31, 2021 compared to $0.3 million of income tax expense for the same period in 2020. The decrease was primarily due to a pretax loss resulting from an increase in stock-based compensation in 2020 compared to the benefit for U.S. federal and state income taxes in 2021 now that we are taxed as a C-Corporation. The income tax benefit in the three months ended March 31, 2021 is primarily driven by exercises of stock options partially offset by the unfavorable impact of limitations on deductions of certain employees’ compensation under Internal Revenue Code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4" w:name="page45"/>
    <w:bookmarkEnd w:id="4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Liquidity and Capital Resources</w:t>
      </w:r>
    </w:p>
    <w:p>
      <w:pPr>
        <w:spacing w:after="0" w:line="225" w:lineRule="exact"/>
        <w:rPr>
          <w:sz w:val="20"/>
          <w:szCs w:val="20"/>
          <w:color w:val="auto"/>
        </w:rPr>
      </w:pPr>
    </w:p>
    <w:p>
      <w:pPr>
        <w:jc w:val="both"/>
        <w:ind w:left="40" w:right="59" w:firstLine="311"/>
        <w:spacing w:after="0" w:line="259" w:lineRule="auto"/>
        <w:rPr>
          <w:sz w:val="20"/>
          <w:szCs w:val="20"/>
          <w:color w:val="auto"/>
        </w:rPr>
      </w:pPr>
      <w:r>
        <w:rPr>
          <w:rFonts w:ascii="Arial" w:cs="Arial" w:eastAsia="Arial" w:hAnsi="Arial"/>
          <w:sz w:val="17"/>
          <w:szCs w:val="17"/>
          <w:color w:val="auto"/>
        </w:rPr>
        <w:t>As of March 31, 2021, we had cash and cash equivalents of $277.7 million and retained earnings of $24.7 million. Our primary sources of capital to date have been from sales of our solutions, and proceeds from bank lending facilities. In addition, on July 31, 2020, we received $423.0 million in proceeds from the Offering, net of underwriting fees and commissions, from the sale of 23,812,216 shares of Class A common stock and used a portion of the proceeds to pay off the $175.0 million term loan under the bank credit agreement. As a result, we have no outstanding bank debt after such redemption and at March 31, 2021. The net proceeds remaining after payment of Offering costs will be used for working capital and other corporate purposes as described in the Prospectus.</w:t>
      </w:r>
    </w:p>
    <w:p>
      <w:pPr>
        <w:spacing w:after="0" w:line="183" w:lineRule="exact"/>
        <w:rPr>
          <w:sz w:val="20"/>
          <w:szCs w:val="20"/>
          <w:color w:val="auto"/>
        </w:rPr>
      </w:pPr>
    </w:p>
    <w:p>
      <w:pPr>
        <w:jc w:val="both"/>
        <w:ind w:left="40" w:right="79" w:firstLine="311"/>
        <w:spacing w:after="0" w:line="284" w:lineRule="auto"/>
        <w:rPr>
          <w:sz w:val="20"/>
          <w:szCs w:val="20"/>
          <w:color w:val="auto"/>
        </w:rPr>
      </w:pPr>
      <w:r>
        <w:rPr>
          <w:rFonts w:ascii="Arial" w:cs="Arial" w:eastAsia="Arial" w:hAnsi="Arial"/>
          <w:sz w:val="17"/>
          <w:szCs w:val="17"/>
          <w:color w:val="auto"/>
        </w:rPr>
        <w:t>On May 12, 2021, we used approximately $200.0 million of our cash and cash equivalents to acquire Taxamo, a cloud-based pioneer in tax and payment automation for global e-commerce and marketplaces.</w:t>
      </w:r>
    </w:p>
    <w:p>
      <w:pPr>
        <w:spacing w:after="0" w:line="160" w:lineRule="exact"/>
        <w:rPr>
          <w:sz w:val="20"/>
          <w:szCs w:val="20"/>
          <w:color w:val="auto"/>
        </w:rPr>
      </w:pPr>
    </w:p>
    <w:p>
      <w:pPr>
        <w:jc w:val="both"/>
        <w:ind w:left="40" w:right="59" w:firstLine="311"/>
        <w:spacing w:after="0" w:line="301" w:lineRule="auto"/>
        <w:rPr>
          <w:sz w:val="20"/>
          <w:szCs w:val="20"/>
          <w:color w:val="auto"/>
        </w:rPr>
      </w:pPr>
      <w:r>
        <w:rPr>
          <w:rFonts w:ascii="Arial" w:cs="Arial" w:eastAsia="Arial" w:hAnsi="Arial"/>
          <w:sz w:val="15"/>
          <w:szCs w:val="15"/>
          <w:color w:val="auto"/>
        </w:rPr>
        <w:t>We believe that our existing cash resources and our bank line of credit will be sufficient to meet our capital requirements and fund our operations for at least the next 12 months.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a summary of our cash flows for the periods indicated: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48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0"/>
              <w:spacing w:after="0" w:line="136"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6"/>
              <w:spacing w:after="0" w:line="136"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ind w:left="20"/>
              <w:spacing w:after="0" w:line="136" w:lineRule="exact"/>
              <w:rPr>
                <w:sz w:val="20"/>
                <w:szCs w:val="20"/>
                <w:color w:val="auto"/>
              </w:rPr>
            </w:pPr>
            <w:r>
              <w:rPr>
                <w:rFonts w:ascii="Arial" w:cs="Arial" w:eastAsia="Arial" w:hAnsi="Arial"/>
                <w:sz w:val="14"/>
                <w:szCs w:val="14"/>
                <w:b w:val="1"/>
                <w:bCs w:val="1"/>
                <w:color w:val="auto"/>
                <w:w w:val="96"/>
              </w:rPr>
              <w:t>Period-Over-Period Change</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3,452</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07"/>
        </w:trPr>
        <w:tc>
          <w:tcPr>
            <w:tcW w:w="44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(14,516)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(21,656)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7,140</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103,654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(111,794)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(107.9)%</w:t>
            </w:r>
          </w:p>
        </w:tc>
        <w:tc>
          <w:tcPr>
            <w:tcW w:w="0" w:type="dxa"/>
            <w:vAlign w:val="bottom"/>
          </w:tcPr>
          <w:p>
            <w:pPr>
              <w:spacing w:after="0"/>
              <w:rPr>
                <w:sz w:val="1"/>
                <w:szCs w:val="1"/>
                <w:color w:val="auto"/>
              </w:rPr>
            </w:pPr>
          </w:p>
        </w:tc>
      </w:tr>
      <w:tr>
        <w:trPr>
          <w:trHeight w:val="207"/>
        </w:trPr>
        <w:tc>
          <w:tcPr>
            <w:tcW w:w="4480" w:type="dxa"/>
            <w:vAlign w:val="bottom"/>
          </w:tcPr>
          <w:p>
            <w:pPr>
              <w:spacing w:after="0"/>
              <w:rPr>
                <w:sz w:val="20"/>
                <w:szCs w:val="20"/>
                <w:color w:val="auto"/>
              </w:rPr>
            </w:pPr>
            <w:r>
              <w:rPr>
                <w:rFonts w:ascii="Arial" w:cs="Arial" w:eastAsia="Arial" w:hAnsi="Arial"/>
                <w:sz w:val="17"/>
                <w:szCs w:val="17"/>
                <w:color w:val="auto"/>
              </w:rPr>
              <w:t>Effect of foreign exchange rate changes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92"/>
              </w:rPr>
              <w:t>Net (decrease) increase in cash, cash equivalents and restricted</w:t>
            </w: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80" w:type="dxa"/>
            <w:vAlign w:val="bottom"/>
            <w:vMerge w:val="continue"/>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(25,847)</w:t>
            </w:r>
          </w:p>
        </w:tc>
        <w:tc>
          <w:tcPr>
            <w:tcW w:w="340" w:type="dxa"/>
            <w:vAlign w:val="bottom"/>
            <w:gridSpan w:val="2"/>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75,332</w:t>
            </w:r>
          </w:p>
        </w:tc>
        <w:tc>
          <w:tcPr>
            <w:tcW w:w="10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(101,179)</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3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0" w:right="99" w:firstLine="311"/>
        <w:spacing w:after="0" w:line="260"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$3.0 million for the three months ended March 31,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$6.4 million for the same period in 2020, a decrease of $3.5 million. The decrease in the use of cash from operating activities was driven primarily by an increase in net income of $31.4 million offset by a decrease in stock-based compensation of $28.4 million. Historically, our cash flows from operating activities are lower in the first quarter than the remaining calendar quarters as they are heavily influenced by annual employee bonus and other variable compensation payments made in the first quarter of each year.</w:t>
      </w:r>
    </w:p>
    <w:p>
      <w:pPr>
        <w:spacing w:after="0" w:line="181" w:lineRule="exact"/>
        <w:rPr>
          <w:sz w:val="20"/>
          <w:szCs w:val="20"/>
          <w:color w:val="auto"/>
        </w:rPr>
      </w:pPr>
    </w:p>
    <w:p>
      <w:pPr>
        <w:jc w:val="both"/>
        <w:ind w:left="40" w:right="59" w:firstLine="311"/>
        <w:spacing w:after="0" w:line="27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Cash used in investing activities was $14.5 million for the three months ended March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$21.7 million for the same period in 2020, an decrease of $7.1 million. This decrease was primarily due to a decrease in cash paid for acquisitions of $6.2 million period over period. We acquired a controlling interest in Systax, a Brazilian transaction tax software and content subscription provider, for cash of $12.3 million during the three months ended March 31, 2020, partially offset by the acquisition of Tellutax, an Oregon-based computing edge technology company, for cash paid of $6.1 million during the three months ended March 31, 2021. For additional information on the Tellutax acquisition, see “Note 3 to the Interim Condensed Consolidated Financial Statements (unaudited) —Acquisition.”</w:t>
      </w:r>
    </w:p>
    <w:p>
      <w:pPr>
        <w:spacing w:after="0" w:line="168" w:lineRule="exact"/>
        <w:rPr>
          <w:sz w:val="20"/>
          <w:szCs w:val="20"/>
          <w:color w:val="auto"/>
        </w:rPr>
      </w:pPr>
    </w:p>
    <w:p>
      <w:pPr>
        <w:jc w:val="both"/>
        <w:ind w:left="40" w:right="59" w:firstLine="311"/>
        <w:spacing w:after="0" w:line="286"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(used in) provided by financing activities was $(8.1) million for the three months ended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2021 compared to $103.7 million for the same period in 2020, a decrease of $111.8 million. The three months ended March 31, 2020 included net borrowings under the bank credit agreement of $121.1 million, offset by distributions to stockholders of $17.2 million. None of this activity recurred in the comparable period in 2021. The three months ended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5" w:name="page46"/>
    <w:bookmarkEnd w:id="4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7"/>
          <w:szCs w:val="17"/>
          <w:color w:val="auto"/>
        </w:rPr>
        <w:t>March 31, 2021 included $7.2 million in payments for taxes in connection with the exercise of stock options whereby the award holders returned shares to us to satisfy their tax obligations.</w:t>
      </w:r>
    </w:p>
    <w:p>
      <w:pPr>
        <w:spacing w:after="0" w:line="160" w:lineRule="exact"/>
        <w:rPr>
          <w:sz w:val="20"/>
          <w:szCs w:val="20"/>
          <w:color w:val="auto"/>
        </w:rPr>
      </w:pPr>
    </w:p>
    <w:p>
      <w:pPr>
        <w:jc w:val="both"/>
        <w:ind w:left="40" w:right="59" w:firstLine="311"/>
        <w:spacing w:after="0" w:line="321" w:lineRule="auto"/>
        <w:rPr>
          <w:sz w:val="20"/>
          <w:szCs w:val="20"/>
          <w:color w:val="auto"/>
        </w:rPr>
      </w:pPr>
      <w:r>
        <w:rPr>
          <w:rFonts w:ascii="Arial" w:cs="Arial" w:eastAsia="Arial" w:hAnsi="Arial"/>
          <w:sz w:val="15"/>
          <w:szCs w:val="15"/>
          <w:b w:val="1"/>
          <w:bCs w:val="1"/>
          <w:i w:val="1"/>
          <w:iCs w:val="1"/>
          <w:color w:val="auto"/>
        </w:rPr>
        <w:t>Debt</w:t>
      </w:r>
      <w:r>
        <w:rPr>
          <w:rFonts w:ascii="Arial" w:cs="Arial" w:eastAsia="Arial" w:hAnsi="Arial"/>
          <w:sz w:val="15"/>
          <w:szCs w:val="15"/>
          <w:color w:val="auto"/>
        </w:rPr>
        <w:t>. As of March 31, 2021, we had a $100 million line of credit with no outstanding borrowings. Interest on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borrowings accrue at a Base Rate plus an applicable margin (3.25% as of March 31, 2021) or the London Interbank Offered Rate (“LIBOR”) plus an applicable margin (2.00% as of March 31, 2021). We have no outstanding bank debt at March 31, 2021.</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Funds Held for Customers and Customer Funds Obligations</w:t>
      </w:r>
    </w:p>
    <w:p>
      <w:pPr>
        <w:spacing w:after="0" w:line="225" w:lineRule="exact"/>
        <w:rPr>
          <w:sz w:val="20"/>
          <w:szCs w:val="20"/>
          <w:color w:val="auto"/>
        </w:rPr>
      </w:pPr>
    </w:p>
    <w:p>
      <w:pPr>
        <w:jc w:val="both"/>
        <w:ind w:left="40" w:right="59" w:firstLine="311"/>
        <w:spacing w:after="0" w:line="286" w:lineRule="auto"/>
        <w:rPr>
          <w:sz w:val="20"/>
          <w:szCs w:val="20"/>
          <w:color w:val="auto"/>
        </w:rPr>
      </w:pPr>
      <w:r>
        <w:rPr>
          <w:rFonts w:ascii="Arial" w:cs="Arial" w:eastAsia="Arial" w:hAnsi="Arial"/>
          <w:sz w:val="16"/>
          <w:szCs w:val="16"/>
          <w:color w:val="auto"/>
        </w:rPr>
        <w:t>We maintain trust accounts with financial institutions, which allows our customers to outsource their tax remittance functions to us. We have legal ownership over the accounts utilized for this purpose. Funds held for customers represents cash and cash equivalents that, based upon our intent, are restricted solely for satisfying the obligations to remit funds relating to our tax remittance services. Funds held for customers are not commingled with our operating funds.</w:t>
      </w:r>
    </w:p>
    <w:p>
      <w:pPr>
        <w:spacing w:after="0" w:line="160"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Off-Balance Sheet Arrangements</w:t>
      </w:r>
    </w:p>
    <w:p>
      <w:pPr>
        <w:spacing w:after="0" w:line="225" w:lineRule="exact"/>
        <w:rPr>
          <w:sz w:val="20"/>
          <w:szCs w:val="20"/>
          <w:color w:val="auto"/>
        </w:rPr>
      </w:pPr>
    </w:p>
    <w:p>
      <w:pPr>
        <w:jc w:val="both"/>
        <w:ind w:left="40" w:right="79" w:firstLine="311"/>
        <w:spacing w:after="0" w:line="269" w:lineRule="auto"/>
        <w:rPr>
          <w:sz w:val="20"/>
          <w:szCs w:val="20"/>
          <w:color w:val="auto"/>
        </w:rPr>
      </w:pPr>
      <w:r>
        <w:rPr>
          <w:rFonts w:ascii="Arial" w:cs="Arial" w:eastAsia="Arial" w:hAnsi="Arial"/>
          <w:sz w:val="17"/>
          <w:szCs w:val="17"/>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5"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Other than the redemption of our outstanding debt through use of a portion of the Offering proceeds, there have been no material updates or changes to our contractual obligations and commitments compared to contractual obligations and commitments described in our Annual Report on Form 10-K for the year ended December 31,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and Reconciliation of Non-GAAP Financial Measures</w:t>
      </w:r>
    </w:p>
    <w:p>
      <w:pPr>
        <w:spacing w:after="0" w:line="225"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In addition to our results determined in accordance with GAAP, we have calculated non-GAAP cost of revenues, non-GAAP gross profit, non-GAAP gross margin, non-GAAP research and development expense, non-GAAP selling and marketing expense, non-GAAP general and administrative expense, non-GAAP operating income, non-GAAP net income, Adjusted EBITDA, Adjusted EBITDA margin, free cash flow and free cash flow margin, which are each non-GAAP financial measures. We have provided tabular reconciliations of each of these non-GAAP financial measures to its most directly comparable GAAP financial measure.</w:t>
      </w:r>
    </w:p>
    <w:p>
      <w:pPr>
        <w:spacing w:after="0" w:line="181" w:lineRule="exact"/>
        <w:rPr>
          <w:sz w:val="20"/>
          <w:szCs w:val="20"/>
          <w:color w:val="auto"/>
        </w:rPr>
      </w:pPr>
    </w:p>
    <w:p>
      <w:pPr>
        <w:jc w:val="both"/>
        <w:ind w:left="40" w:right="59" w:firstLine="311"/>
        <w:spacing w:after="0" w:line="275" w:lineRule="auto"/>
        <w:rPr>
          <w:sz w:val="20"/>
          <w:szCs w:val="20"/>
          <w:color w:val="auto"/>
        </w:rPr>
      </w:pPr>
      <w:r>
        <w:rPr>
          <w:rFonts w:ascii="Arial" w:cs="Arial" w:eastAsia="Arial" w:hAnsi="Arial"/>
          <w:sz w:val="16"/>
          <w:szCs w:val="16"/>
          <w:color w:val="auto"/>
        </w:rPr>
        <w:t>We use these non-GAAP financial measures to understand and compare operating results across accounting periods, for internal budgeting and forecasting purposes, and to evaluate financial performance and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consolidated financial statements included in this Quarterly Report on Form 10-Q.</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6" w:name="page47"/>
    <w:bookmarkEnd w:id="4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calculate these non-GAAP financial measures as follows:</w:t>
      </w:r>
    </w:p>
    <w:p>
      <w:pPr>
        <w:spacing w:after="0" w:line="219" w:lineRule="exact"/>
        <w:rPr>
          <w:sz w:val="20"/>
          <w:szCs w:val="20"/>
          <w:color w:val="auto"/>
        </w:rPr>
      </w:pPr>
    </w:p>
    <w:p>
      <w:pPr>
        <w:jc w:val="both"/>
        <w:ind w:left="1000" w:right="59" w:hanging="305"/>
        <w:spacing w:after="0" w:line="294"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Non-GAAP cost of revenues, software subscriptions is determined by adding back to GAAP cost of revenues, software subscriptions, the stock-based compensation expense, and depreciation and amortization of capitalized software costs and acquired intangible assets included in cost of revenues for the respective periods.</w:t>
      </w:r>
    </w:p>
    <w:p>
      <w:pPr>
        <w:spacing w:after="0" w:line="153" w:lineRule="exact"/>
        <w:rPr>
          <w:rFonts w:ascii="Arial" w:cs="Arial" w:eastAsia="Arial" w:hAnsi="Arial"/>
          <w:sz w:val="16"/>
          <w:szCs w:val="16"/>
          <w:color w:val="auto"/>
        </w:rPr>
      </w:pPr>
    </w:p>
    <w:p>
      <w:pPr>
        <w:ind w:left="1000" w:right="79" w:hanging="305"/>
        <w:spacing w:after="0" w:line="284"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Non-GAAP cost of revenues, services is determined by adding back to GAAP cost of revenues, services, the stock-based compensation expense included in cost of revenues for the respective periods.</w:t>
      </w:r>
    </w:p>
    <w:p>
      <w:pPr>
        <w:spacing w:after="0" w:line="159" w:lineRule="exact"/>
        <w:rPr>
          <w:rFonts w:ascii="Arial" w:cs="Arial" w:eastAsia="Arial" w:hAnsi="Arial"/>
          <w:sz w:val="17"/>
          <w:szCs w:val="17"/>
          <w:color w:val="auto"/>
        </w:rPr>
      </w:pPr>
    </w:p>
    <w:p>
      <w:pPr>
        <w:jc w:val="both"/>
        <w:ind w:left="1000" w:right="59" w:hanging="305"/>
        <w:spacing w:after="0" w:line="269"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Non-GAAP gross profit is determined by adding back to GAAP gross profit the stock-based compensation expense, and depreciation and amortization of capitalized software costs and acquired intangible assets included in cost of revenues for the respective periods.</w:t>
      </w:r>
    </w:p>
    <w:p>
      <w:pPr>
        <w:spacing w:after="0" w:line="172" w:lineRule="exact"/>
        <w:rPr>
          <w:rFonts w:ascii="Arial" w:cs="Arial" w:eastAsia="Arial" w:hAnsi="Arial"/>
          <w:sz w:val="17"/>
          <w:szCs w:val="17"/>
          <w:color w:val="auto"/>
        </w:rPr>
      </w:pPr>
    </w:p>
    <w:p>
      <w:pPr>
        <w:jc w:val="both"/>
        <w:ind w:left="1000" w:right="59" w:hanging="305"/>
        <w:spacing w:after="0" w:line="269"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Non-GAAP gross margin is determined by adding back to GAAP gross margin the impact of stock-based compensation expense, and depreciation and amortization of capitalized software costs and acquired intangible assets included in cost of revenues as a percentage of revenues for the respective periods.</w:t>
      </w:r>
    </w:p>
    <w:p>
      <w:pPr>
        <w:spacing w:after="0" w:line="172" w:lineRule="exact"/>
        <w:rPr>
          <w:rFonts w:ascii="Arial" w:cs="Arial" w:eastAsia="Arial" w:hAnsi="Arial"/>
          <w:sz w:val="17"/>
          <w:szCs w:val="17"/>
          <w:color w:val="auto"/>
        </w:rPr>
      </w:pPr>
    </w:p>
    <w:p>
      <w:pPr>
        <w:jc w:val="both"/>
        <w:ind w:left="1000" w:right="59" w:hanging="305"/>
        <w:spacing w:after="0" w:line="264"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Non-GAAP research and development expense and non-GAAP general and administrative expenses are determined by adding back to GAAP research and development expense and GAAP general and administrative expense the stock-based compensation expense and severance expense included in the applicable expense categories for the respective periods.</w:t>
      </w:r>
    </w:p>
    <w:p>
      <w:pPr>
        <w:spacing w:after="0" w:line="177" w:lineRule="exact"/>
        <w:rPr>
          <w:rFonts w:ascii="Arial" w:cs="Arial" w:eastAsia="Arial" w:hAnsi="Arial"/>
          <w:sz w:val="17"/>
          <w:szCs w:val="17"/>
          <w:color w:val="auto"/>
        </w:rPr>
      </w:pPr>
    </w:p>
    <w:p>
      <w:pPr>
        <w:jc w:val="both"/>
        <w:ind w:left="1000" w:right="79" w:hanging="305"/>
        <w:spacing w:after="0" w:line="269"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72" w:lineRule="exact"/>
        <w:rPr>
          <w:rFonts w:ascii="Arial" w:cs="Arial" w:eastAsia="Arial" w:hAnsi="Arial"/>
          <w:sz w:val="17"/>
          <w:szCs w:val="17"/>
          <w:color w:val="auto"/>
        </w:rPr>
      </w:pPr>
    </w:p>
    <w:p>
      <w:pPr>
        <w:jc w:val="both"/>
        <w:ind w:left="1000" w:right="59" w:hanging="305"/>
        <w:spacing w:after="0" w:line="294"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Non-GAAP operating income is determined by adding back to GAAP operating income or loss the stock-based compensation expense, depreciation and amortization of capitalized software costs and acquired intangible assets, and severance expense included in GAAP operating income or loss for the respective periods.</w:t>
      </w:r>
    </w:p>
    <w:p>
      <w:pPr>
        <w:spacing w:after="0" w:line="153" w:lineRule="exact"/>
        <w:rPr>
          <w:rFonts w:ascii="Arial" w:cs="Arial" w:eastAsia="Arial" w:hAnsi="Arial"/>
          <w:sz w:val="16"/>
          <w:szCs w:val="16"/>
          <w:color w:val="auto"/>
        </w:rPr>
      </w:pPr>
    </w:p>
    <w:p>
      <w:pPr>
        <w:jc w:val="both"/>
        <w:ind w:left="1000" w:right="59" w:hanging="305"/>
        <w:spacing w:after="0" w:line="299" w:lineRule="auto"/>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Non-GAAP net income is determined by adding back to GAAP income or loss before income taxes the stock-based compensation expense, depreciation and amortization of capitalized software costs and acquired intangible assets – cost of subscription revenues, amortization of acquired intangible assets – selling and marketing expense, and severance expense included in GAAP income or loss before income taxes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 and 2.0% for the 2021 and 2020 periods, respectively.</w:t>
      </w:r>
    </w:p>
    <w:p>
      <w:pPr>
        <w:spacing w:after="0" w:line="155" w:lineRule="exact"/>
        <w:rPr>
          <w:rFonts w:ascii="Arial" w:cs="Arial" w:eastAsia="Arial" w:hAnsi="Arial"/>
          <w:sz w:val="15"/>
          <w:szCs w:val="15"/>
          <w:color w:val="auto"/>
        </w:rPr>
      </w:pPr>
    </w:p>
    <w:p>
      <w:pPr>
        <w:jc w:val="both"/>
        <w:ind w:left="1000" w:right="59" w:hanging="305"/>
        <w:spacing w:after="0" w:line="305" w:lineRule="auto"/>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EBITDA is determined by adding back to GAAP net income or loss the net interest income or expense, income taxes, depreciation and amortization of property and equipment, depreciation and amortization of capitalized software costs and acquired intangible assets – cost of subscription revenues, amortization of acquired intangible assets – selling and marketing expense, asset impairments, stock-based compensation expense, severance expense and transaction costs included in GAAP net income or loss for the respective periods.</w:t>
      </w:r>
    </w:p>
    <w:p>
      <w:pPr>
        <w:spacing w:after="0" w:line="148" w:lineRule="exact"/>
        <w:rPr>
          <w:rFonts w:ascii="Arial" w:cs="Arial" w:eastAsia="Arial" w:hAnsi="Arial"/>
          <w:sz w:val="15"/>
          <w:szCs w:val="15"/>
          <w:color w:val="auto"/>
        </w:rPr>
      </w:pPr>
    </w:p>
    <w:p>
      <w:pPr>
        <w:ind w:left="1000" w:right="59" w:hanging="305"/>
        <w:spacing w:after="0" w:line="284"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margin is determined by dividing Adjusted EBITDA by total revenues for the respective periods.</w:t>
      </w:r>
    </w:p>
    <w:p>
      <w:pPr>
        <w:spacing w:after="0" w:line="159" w:lineRule="exact"/>
        <w:rPr>
          <w:rFonts w:ascii="Arial" w:cs="Arial" w:eastAsia="Arial" w:hAnsi="Arial"/>
          <w:sz w:val="17"/>
          <w:szCs w:val="17"/>
          <w:color w:val="auto"/>
        </w:rPr>
      </w:pPr>
    </w:p>
    <w:p>
      <w:pPr>
        <w:ind w:left="1000" w:right="79" w:hanging="305"/>
        <w:spacing w:after="0" w:line="284"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Free cash flow is determined by net cash provided by (used in) operating activities and reducing it for purchases of property and equipment and capitalized software additions for the respective periods.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7" w:name="page48"/>
    <w:bookmarkEnd w:id="4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0" w:hanging="305"/>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Free cash flow margin is determined by dividing free cash flow by total revenues for the respective periods.</w:t>
      </w:r>
    </w:p>
    <w:p>
      <w:pPr>
        <w:spacing w:after="0" w:line="231" w:lineRule="exact"/>
        <w:rPr>
          <w:sz w:val="20"/>
          <w:szCs w:val="20"/>
          <w:color w:val="auto"/>
        </w:rPr>
      </w:pPr>
    </w:p>
    <w:p>
      <w:pPr>
        <w:jc w:val="both"/>
        <w:ind w:left="40" w:right="79" w:firstLine="311"/>
        <w:spacing w:after="0" w:line="317" w:lineRule="auto"/>
        <w:rPr>
          <w:sz w:val="20"/>
          <w:szCs w:val="20"/>
          <w:color w:val="auto"/>
        </w:rPr>
      </w:pPr>
      <w:r>
        <w:rPr>
          <w:rFonts w:ascii="Arial" w:cs="Arial" w:eastAsia="Arial" w:hAnsi="Arial"/>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344" w:lineRule="exact"/>
        <w:rPr>
          <w:sz w:val="20"/>
          <w:szCs w:val="20"/>
          <w:color w:val="auto"/>
        </w:rPr>
      </w:pPr>
    </w:p>
    <w:p>
      <w:pPr>
        <w:jc w:val="both"/>
        <w:ind w:left="40" w:right="59" w:firstLine="311"/>
        <w:spacing w:after="0" w:line="286" w:lineRule="auto"/>
        <w:rPr>
          <w:sz w:val="20"/>
          <w:szCs w:val="20"/>
          <w:color w:val="auto"/>
        </w:rPr>
      </w:pPr>
      <w:r>
        <w:rPr>
          <w:rFonts w:ascii="Arial" w:cs="Arial" w:eastAsia="Arial" w:hAnsi="Arial"/>
          <w:sz w:val="16"/>
          <w:szCs w:val="16"/>
          <w:color w:val="auto"/>
        </w:rPr>
        <w:t xml:space="preserve">The following schedules reflect our non-GAAP financial measures and reconcile our non-GAAP financial measures to the related GAAP financial measures. Refer to </w:t>
      </w:r>
      <w:r>
        <w:rPr>
          <w:rFonts w:ascii="Arial" w:cs="Arial" w:eastAsia="Arial" w:hAnsi="Arial"/>
          <w:sz w:val="16"/>
          <w:szCs w:val="16"/>
          <w:i w:val="1"/>
          <w:iCs w:val="1"/>
          <w:color w:val="auto"/>
        </w:rPr>
        <w:t>“Item 2. 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 Key Business Metrics” </w:t>
      </w:r>
      <w:r>
        <w:rPr>
          <w:rFonts w:ascii="Arial" w:cs="Arial" w:eastAsia="Arial" w:hAnsi="Arial"/>
          <w:sz w:val="16"/>
          <w:szCs w:val="16"/>
          <w:color w:val="auto"/>
        </w:rPr>
        <w:t>for further discussion and reconciliation of Adjusted EBITDA, Adjusted EBITDA</w:t>
      </w:r>
      <w:r>
        <w:rPr>
          <w:rFonts w:ascii="Arial" w:cs="Arial" w:eastAsia="Arial" w:hAnsi="Arial"/>
          <w:sz w:val="16"/>
          <w:szCs w:val="16"/>
          <w:i w:val="1"/>
          <w:iCs w:val="1"/>
          <w:color w:val="auto"/>
        </w:rPr>
        <w:t xml:space="preserve"> </w:t>
      </w:r>
      <w:r>
        <w:rPr>
          <w:rFonts w:ascii="Arial" w:cs="Arial" w:eastAsia="Arial" w:hAnsi="Arial"/>
          <w:sz w:val="16"/>
          <w:szCs w:val="16"/>
          <w:color w:val="auto"/>
        </w:rPr>
        <w:t>margin, free cash flow and free cash flow margin to the related GAAP financial measures.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60" w:type="dxa"/>
            <w:vAlign w:val="bottom"/>
            <w:tcBorders>
              <w:bottom w:val="single" w:sz="8" w:color="CCEEFF"/>
            </w:tcBorders>
            <w:vMerge w:val="continue"/>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18"/>
              <w:spacing w:after="0" w:line="136"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15"/>
              <w:spacing w:after="0" w:line="136"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Non-GAAP cost of revenues, software subscriptions</w:t>
            </w:r>
          </w:p>
        </w:tc>
        <w:tc>
          <w:tcPr>
            <w:tcW w:w="23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spacing w:after="0"/>
              <w:rPr>
                <w:sz w:val="20"/>
                <w:szCs w:val="20"/>
                <w:color w:val="auto"/>
              </w:rPr>
            </w:pPr>
            <w:r>
              <w:rPr>
                <w:rFonts w:ascii="Arial" w:cs="Arial" w:eastAsia="Arial" w:hAnsi="Arial"/>
                <w:sz w:val="17"/>
                <w:szCs w:val="17"/>
                <w:color w:val="auto"/>
              </w:rPr>
              <w:t>Non-GAAP cost of revenues, services</w:t>
            </w:r>
          </w:p>
        </w:tc>
        <w:tc>
          <w:tcPr>
            <w:tcW w:w="25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10,749</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9,540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Non-GAAP gross profit</w:t>
            </w:r>
          </w:p>
        </w:tc>
        <w:tc>
          <w:tcPr>
            <w:tcW w:w="25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60" w:type="dxa"/>
            <w:vAlign w:val="bottom"/>
          </w:tcPr>
          <w:p>
            <w:pPr>
              <w:spacing w:after="0"/>
              <w:rPr>
                <w:sz w:val="20"/>
                <w:szCs w:val="20"/>
                <w:color w:val="auto"/>
              </w:rPr>
            </w:pPr>
            <w:r>
              <w:rPr>
                <w:rFonts w:ascii="Arial" w:cs="Arial" w:eastAsia="Arial" w:hAnsi="Arial"/>
                <w:sz w:val="17"/>
                <w:szCs w:val="17"/>
                <w:color w:val="auto"/>
              </w:rPr>
              <w:t>Non-GAAP gross margin</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69.7 %</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70.6 %</w:t>
            </w:r>
          </w:p>
        </w:tc>
        <w:tc>
          <w:tcPr>
            <w:tcW w:w="0" w:type="dxa"/>
            <w:vAlign w:val="bottom"/>
          </w:tcPr>
          <w:p>
            <w:pPr>
              <w:spacing w:after="0"/>
              <w:rPr>
                <w:sz w:val="1"/>
                <w:szCs w:val="1"/>
                <w:color w:val="auto"/>
              </w:rPr>
            </w:pP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Non-GAAP research and development expense</w:t>
            </w:r>
          </w:p>
        </w:tc>
        <w:tc>
          <w:tcPr>
            <w:tcW w:w="25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60" w:type="dxa"/>
            <w:vAlign w:val="bottom"/>
          </w:tcPr>
          <w:p>
            <w:pPr>
              <w:spacing w:after="0"/>
              <w:rPr>
                <w:sz w:val="20"/>
                <w:szCs w:val="20"/>
                <w:color w:val="auto"/>
              </w:rPr>
            </w:pPr>
            <w:r>
              <w:rPr>
                <w:rFonts w:ascii="Arial" w:cs="Arial" w:eastAsia="Arial" w:hAnsi="Arial"/>
                <w:sz w:val="17"/>
                <w:szCs w:val="17"/>
                <w:color w:val="auto"/>
              </w:rPr>
              <w:t>Non-GAAP selling and marketing expense</w:t>
            </w:r>
          </w:p>
        </w:tc>
        <w:tc>
          <w:tcPr>
            <w:tcW w:w="25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18,779</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17,349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Non-GAAP general and administrative expense</w:t>
            </w:r>
          </w:p>
        </w:tc>
        <w:tc>
          <w:tcPr>
            <w:tcW w:w="25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60" w:type="dxa"/>
            <w:vAlign w:val="bottom"/>
          </w:tcPr>
          <w:p>
            <w:pPr>
              <w:spacing w:after="0"/>
              <w:rPr>
                <w:sz w:val="20"/>
                <w:szCs w:val="20"/>
                <w:color w:val="auto"/>
              </w:rPr>
            </w:pPr>
            <w:r>
              <w:rPr>
                <w:rFonts w:ascii="Arial" w:cs="Arial" w:eastAsia="Arial" w:hAnsi="Arial"/>
                <w:sz w:val="17"/>
                <w:szCs w:val="17"/>
                <w:color w:val="auto"/>
              </w:rPr>
              <w:t>Non-GAAP operating income</w:t>
            </w:r>
          </w:p>
        </w:tc>
        <w:tc>
          <w:tcPr>
            <w:tcW w:w="25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15,357</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12,425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Non-GAAP net income</w:t>
            </w:r>
          </w:p>
        </w:tc>
        <w:tc>
          <w:tcPr>
            <w:tcW w:w="25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43"/>
        </w:trPr>
        <w:tc>
          <w:tcPr>
            <w:tcW w:w="3960" w:type="dxa"/>
            <w:vAlign w:val="bottom"/>
          </w:tcPr>
          <w:p>
            <w:pPr>
              <w:spacing w:after="0"/>
              <w:rPr>
                <w:sz w:val="24"/>
                <w:szCs w:val="24"/>
                <w:color w:val="auto"/>
              </w:rPr>
            </w:pPr>
          </w:p>
        </w:tc>
        <w:tc>
          <w:tcPr>
            <w:tcW w:w="2300" w:type="dxa"/>
            <w:vAlign w:val="bottom"/>
          </w:tcPr>
          <w:p>
            <w:pPr>
              <w:jc w:val="right"/>
              <w:ind w:right="1594"/>
              <w:spacing w:after="0"/>
              <w:rPr>
                <w:sz w:val="20"/>
                <w:szCs w:val="20"/>
                <w:color w:val="auto"/>
              </w:rPr>
            </w:pPr>
            <w:r>
              <w:rPr>
                <w:rFonts w:ascii="Arial" w:cs="Arial" w:eastAsia="Arial" w:hAnsi="Arial"/>
                <w:sz w:val="17"/>
                <w:szCs w:val="17"/>
                <w:color w:val="auto"/>
              </w:rPr>
              <w:t>-48-</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3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3" w:right="1440" w:bottom="1440" w:gutter="0" w:footer="0" w:header="0"/>
        </w:sectPr>
      </w:pPr>
    </w:p>
    <w:bookmarkStart w:id="48" w:name="page49"/>
    <w:bookmarkEnd w:id="4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5"/>
          </w:tcPr>
          <w:p>
            <w:pPr>
              <w:jc w:val="right"/>
              <w:ind w:right="62"/>
              <w:spacing w:after="0"/>
              <w:rPr>
                <w:sz w:val="20"/>
                <w:szCs w:val="20"/>
                <w:color w:val="auto"/>
              </w:rPr>
            </w:pPr>
            <w:r>
              <w:rPr>
                <w:rFonts w:ascii="Arial" w:cs="Arial" w:eastAsia="Arial" w:hAnsi="Arial"/>
                <w:sz w:val="16"/>
                <w:szCs w:val="16"/>
                <w:b w:val="1"/>
                <w:bCs w:val="1"/>
                <w:color w:val="auto"/>
                <w:w w:val="87"/>
              </w:rPr>
              <w:t>Three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right"/>
              <w:ind w:right="422"/>
              <w:spacing w:after="0"/>
              <w:rPr>
                <w:sz w:val="20"/>
                <w:szCs w:val="20"/>
                <w:color w:val="auto"/>
              </w:rPr>
            </w:pPr>
            <w:r>
              <w:rPr>
                <w:rFonts w:ascii="Arial" w:cs="Arial" w:eastAsia="Arial" w:hAnsi="Arial"/>
                <w:sz w:val="16"/>
                <w:szCs w:val="16"/>
                <w:b w:val="1"/>
                <w:bCs w:val="1"/>
                <w:color w:val="auto"/>
              </w:rPr>
              <w:t>March 31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(Dollars in thousands)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2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2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Non-GAAP Cost of Revenues, Software Subscriptions:</w:t>
            </w: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Cost of revenues, software subscriptions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25,590</w:t>
            </w:r>
          </w:p>
        </w:tc>
        <w:tc>
          <w:tcPr>
            <w:tcW w:w="160" w:type="dxa"/>
            <w:vAlign w:val="bottom"/>
          </w:tcPr>
          <w:p>
            <w:pPr>
              <w:spacing w:after="0"/>
              <w:rPr>
                <w:sz w:val="16"/>
                <w:szCs w:val="16"/>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24,684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w w:val="94"/>
              </w:rPr>
              <w:t>Depreciation and amortization of capitalized software and acquired intangible assets – cost of</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60" w:type="dxa"/>
            <w:vAlign w:val="bottom"/>
            <w:gridSpan w:val="2"/>
          </w:tcPr>
          <w:p>
            <w:pPr>
              <w:spacing w:after="0"/>
              <w:rPr>
                <w:sz w:val="20"/>
                <w:szCs w:val="20"/>
                <w:color w:val="auto"/>
              </w:rPr>
            </w:pPr>
            <w:r>
              <w:rPr>
                <w:rFonts w:ascii="Arial" w:cs="Arial" w:eastAsia="Arial" w:hAnsi="Arial"/>
                <w:sz w:val="16"/>
                <w:szCs w:val="16"/>
                <w:color w:val="auto"/>
              </w:rPr>
              <w:t>subscription revenues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(5,905)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Non-GAAP cost of revenues, software subscriptions</w:t>
            </w: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6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Cost of Revenues, Services:</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Cost of revenues, services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11,343</w:t>
            </w:r>
          </w:p>
        </w:tc>
        <w:tc>
          <w:tcPr>
            <w:tcW w:w="160" w:type="dxa"/>
            <w:vAlign w:val="bottom"/>
          </w:tcPr>
          <w:p>
            <w:pPr>
              <w:spacing w:after="0"/>
              <w:rPr>
                <w:sz w:val="16"/>
                <w:szCs w:val="16"/>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14,778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4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(5,238)</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60" w:type="dxa"/>
            <w:vAlign w:val="bottom"/>
            <w:gridSpan w:val="2"/>
          </w:tcPr>
          <w:p>
            <w:pPr>
              <w:spacing w:after="0"/>
              <w:rPr>
                <w:sz w:val="20"/>
                <w:szCs w:val="20"/>
                <w:color w:val="auto"/>
              </w:rPr>
            </w:pPr>
            <w:r>
              <w:rPr>
                <w:rFonts w:ascii="Arial" w:cs="Arial" w:eastAsia="Arial" w:hAnsi="Arial"/>
                <w:sz w:val="16"/>
                <w:szCs w:val="16"/>
                <w:color w:val="auto"/>
              </w:rPr>
              <w:t>Non-GAAP cost of revenues, services</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6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b w:val="1"/>
                <w:bCs w:val="1"/>
                <w:color w:val="auto"/>
              </w:rPr>
              <w:t>Non-GAAP Gross Profit: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61,303</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1,154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w w:val="94"/>
              </w:rPr>
              <w:t>Depreciation and amortization of capitalized software and acquired intangible assets - cost of</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subscription revenues</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260" w:type="dxa"/>
            <w:vAlign w:val="bottom"/>
            <w:gridSpan w:val="2"/>
          </w:tcPr>
          <w:p>
            <w:pPr>
              <w:spacing w:after="0"/>
              <w:rPr>
                <w:sz w:val="20"/>
                <w:szCs w:val="20"/>
                <w:color w:val="auto"/>
              </w:rPr>
            </w:pPr>
            <w:r>
              <w:rPr>
                <w:rFonts w:ascii="Arial" w:cs="Arial" w:eastAsia="Arial" w:hAnsi="Arial"/>
                <w:sz w:val="16"/>
                <w:szCs w:val="16"/>
                <w:color w:val="auto"/>
              </w:rPr>
              <w:t>Non-GAAP gross profit</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68,362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63,080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6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b w:val="1"/>
                <w:bCs w:val="1"/>
                <w:color w:val="auto"/>
              </w:rPr>
              <w:t>Non-GAAP Gross Margin:</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62.5 %</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55.7 %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Stock-based compensation expense as a percentage of revenues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w w:val="94"/>
              </w:rPr>
              <w:t>Depreciation and amortization of capitalized software and acquired intangible assets – cost of</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subscription revenues as a percentage of revenues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27"/>
        </w:trPr>
        <w:tc>
          <w:tcPr>
            <w:tcW w:w="6260" w:type="dxa"/>
            <w:vAlign w:val="bottom"/>
            <w:gridSpan w:val="2"/>
          </w:tcPr>
          <w:p>
            <w:pPr>
              <w:spacing w:after="0"/>
              <w:rPr>
                <w:sz w:val="20"/>
                <w:szCs w:val="20"/>
                <w:color w:val="auto"/>
              </w:rPr>
            </w:pPr>
            <w:r>
              <w:rPr>
                <w:rFonts w:ascii="Arial" w:cs="Arial" w:eastAsia="Arial" w:hAnsi="Arial"/>
                <w:sz w:val="16"/>
                <w:szCs w:val="16"/>
                <w:color w:val="auto"/>
              </w:rPr>
              <w:t>Non-GAAP gross margin</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6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b w:val="1"/>
                <w:bCs w:val="1"/>
                <w:color w:val="auto"/>
              </w:rPr>
              <w:t>Non-GAAP Research and Development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11,459</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Stock-based compensation expense</w:t>
            </w: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Non-GAAP research and development expense</w:t>
            </w: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10,898</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9,587</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6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Selling and Marketing Expense:</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Selling and marketing expense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20,150</w:t>
            </w:r>
          </w:p>
        </w:tc>
        <w:tc>
          <w:tcPr>
            <w:tcW w:w="160" w:type="dxa"/>
            <w:vAlign w:val="bottom"/>
          </w:tcPr>
          <w:p>
            <w:pPr>
              <w:spacing w:after="0"/>
              <w:rPr>
                <w:sz w:val="16"/>
                <w:szCs w:val="16"/>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24,333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Non-GAAP selling and marketing expense</w:t>
            </w: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18,779</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17,349</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6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General and Administrative Expense:</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24,852</w:t>
            </w:r>
          </w:p>
        </w:tc>
        <w:tc>
          <w:tcPr>
            <w:tcW w:w="160" w:type="dxa"/>
            <w:vAlign w:val="bottom"/>
          </w:tcPr>
          <w:p>
            <w:pPr>
              <w:spacing w:after="0"/>
              <w:rPr>
                <w:sz w:val="16"/>
                <w:szCs w:val="16"/>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37,636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(15,714)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Severance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4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60" w:type="dxa"/>
            <w:vAlign w:val="bottom"/>
            <w:gridSpan w:val="2"/>
          </w:tcPr>
          <w:p>
            <w:pPr>
              <w:spacing w:after="0"/>
              <w:rPr>
                <w:sz w:val="20"/>
                <w:szCs w:val="20"/>
                <w:color w:val="auto"/>
              </w:rPr>
            </w:pPr>
            <w:r>
              <w:rPr>
                <w:rFonts w:ascii="Arial" w:cs="Arial" w:eastAsia="Arial" w:hAnsi="Arial"/>
                <w:sz w:val="16"/>
                <w:szCs w:val="16"/>
                <w:color w:val="auto"/>
              </w:rPr>
              <w:t>Non-GAAP general and administrative expense</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6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b w:val="1"/>
                <w:bCs w:val="1"/>
                <w:color w:val="auto"/>
              </w:rPr>
              <w:t>Non-GAAP Operating Income: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(28,245)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6,543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34,920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w w:val="94"/>
              </w:rPr>
              <w:t>Depreciation and amortization of capitalized software and acquired intangible assets - cost of</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subscription revenues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Severance expense</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Transaction costs</w:t>
            </w: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Non-GAAP operating income</w:t>
            </w: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15,357</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12,425</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359410</wp:posOffset>
            </wp:positionV>
            <wp:extent cx="5655945"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49" w:name="page50"/>
    <w:bookmarkEnd w:id="4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Net Income:</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624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62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1,609</w:t>
            </w:r>
          </w:p>
        </w:tc>
        <w:tc>
          <w:tcPr>
            <w:tcW w:w="200" w:type="dxa"/>
            <w:vAlign w:val="bottom"/>
          </w:tcPr>
          <w:p>
            <w:pPr>
              <w:spacing w:after="0"/>
              <w:rPr>
                <w:sz w:val="16"/>
                <w:szCs w:val="16"/>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(28,814)</w:t>
            </w:r>
          </w:p>
        </w:tc>
        <w:tc>
          <w:tcPr>
            <w:tcW w:w="120" w:type="dxa"/>
            <w:vAlign w:val="bottom"/>
          </w:tcPr>
          <w:p>
            <w:pPr>
              <w:spacing w:after="0"/>
              <w:rPr>
                <w:sz w:val="16"/>
                <w:szCs w:val="16"/>
                <w:color w:val="auto"/>
              </w:rPr>
            </w:pPr>
          </w:p>
        </w:tc>
      </w:tr>
      <w:tr>
        <w:trPr>
          <w:trHeight w:val="194"/>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34,920</w:t>
            </w:r>
          </w:p>
        </w:tc>
        <w:tc>
          <w:tcPr>
            <w:tcW w:w="120" w:type="dxa"/>
            <w:vAlign w:val="bottom"/>
            <w:shd w:val="clear" w:color="auto" w:fill="CCEEFF"/>
          </w:tcPr>
          <w:p>
            <w:pPr>
              <w:spacing w:after="0"/>
              <w:rPr>
                <w:sz w:val="16"/>
                <w:szCs w:val="16"/>
                <w:color w:val="auto"/>
              </w:rPr>
            </w:pPr>
          </w:p>
        </w:tc>
      </w:tr>
      <w:tr>
        <w:trPr>
          <w:trHeight w:val="184"/>
        </w:trPr>
        <w:tc>
          <w:tcPr>
            <w:tcW w:w="6240" w:type="dxa"/>
            <w:vAlign w:val="bottom"/>
          </w:tcPr>
          <w:p>
            <w:pPr>
              <w:spacing w:after="0"/>
              <w:rPr>
                <w:sz w:val="20"/>
                <w:szCs w:val="20"/>
                <w:color w:val="auto"/>
              </w:rPr>
            </w:pPr>
            <w:r>
              <w:rPr>
                <w:rFonts w:ascii="Arial" w:cs="Arial" w:eastAsia="Arial" w:hAnsi="Arial"/>
                <w:sz w:val="16"/>
                <w:szCs w:val="16"/>
                <w:color w:val="auto"/>
                <w:w w:val="94"/>
              </w:rPr>
              <w:t>Depreciation and amortization of capitalized software and acquired intangible assets - cost of</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6240" w:type="dxa"/>
            <w:vAlign w:val="bottom"/>
          </w:tcPr>
          <w:p>
            <w:pPr>
              <w:spacing w:after="0"/>
              <w:rPr>
                <w:sz w:val="20"/>
                <w:szCs w:val="20"/>
                <w:color w:val="auto"/>
              </w:rPr>
            </w:pPr>
            <w:r>
              <w:rPr>
                <w:rFonts w:ascii="Arial" w:cs="Arial" w:eastAsia="Arial" w:hAnsi="Arial"/>
                <w:sz w:val="16"/>
                <w:szCs w:val="16"/>
                <w:color w:val="auto"/>
              </w:rPr>
              <w:t>subscription revenues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4,567</w:t>
            </w:r>
          </w:p>
        </w:tc>
        <w:tc>
          <w:tcPr>
            <w:tcW w:w="120" w:type="dxa"/>
            <w:vAlign w:val="bottom"/>
          </w:tcPr>
          <w:p>
            <w:pPr>
              <w:spacing w:after="0"/>
              <w:rPr>
                <w:sz w:val="17"/>
                <w:szCs w:val="17"/>
                <w:color w:val="auto"/>
              </w:rPr>
            </w:pPr>
          </w:p>
        </w:tc>
      </w:tr>
      <w:tr>
        <w:trPr>
          <w:trHeight w:val="200"/>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4"/>
        </w:trPr>
        <w:tc>
          <w:tcPr>
            <w:tcW w:w="6240" w:type="dxa"/>
            <w:vAlign w:val="bottom"/>
          </w:tcPr>
          <w:p>
            <w:pPr>
              <w:spacing w:after="0"/>
              <w:rPr>
                <w:sz w:val="20"/>
                <w:szCs w:val="20"/>
                <w:color w:val="auto"/>
              </w:rPr>
            </w:pPr>
            <w:r>
              <w:rPr>
                <w:rFonts w:ascii="Arial" w:cs="Arial" w:eastAsia="Arial" w:hAnsi="Arial"/>
                <w:sz w:val="16"/>
                <w:szCs w:val="16"/>
                <w:color w:val="auto"/>
              </w:rPr>
              <w:t>Severance expense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6"/>
                <w:szCs w:val="16"/>
                <w:color w:val="auto"/>
              </w:rPr>
            </w:pPr>
          </w:p>
        </w:tc>
      </w:tr>
      <w:tr>
        <w:trPr>
          <w:trHeight w:val="194"/>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87"/>
        </w:trPr>
        <w:tc>
          <w:tcPr>
            <w:tcW w:w="6240" w:type="dxa"/>
            <w:vAlign w:val="bottom"/>
          </w:tcPr>
          <w:p>
            <w:pPr>
              <w:spacing w:after="0" w:line="181" w:lineRule="exact"/>
              <w:rPr>
                <w:sz w:val="20"/>
                <w:szCs w:val="20"/>
                <w:color w:val="auto"/>
              </w:rPr>
            </w:pPr>
            <w:r>
              <w:rPr>
                <w:rFonts w:ascii="Arial" w:cs="Arial" w:eastAsia="Arial" w:hAnsi="Arial"/>
                <w:sz w:val="16"/>
                <w:szCs w:val="16"/>
                <w:color w:val="auto"/>
              </w:rPr>
              <w:t>Non-GAAP income before income taxes</w:t>
            </w:r>
          </w:p>
        </w:tc>
        <w:tc>
          <w:tcPr>
            <w:tcW w:w="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14,822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11,856</w:t>
            </w:r>
          </w:p>
        </w:tc>
        <w:tc>
          <w:tcPr>
            <w:tcW w:w="120" w:type="dxa"/>
            <w:vAlign w:val="bottom"/>
          </w:tcPr>
          <w:p>
            <w:pPr>
              <w:spacing w:after="0"/>
              <w:rPr>
                <w:sz w:val="16"/>
                <w:szCs w:val="16"/>
                <w:color w:val="auto"/>
              </w:rPr>
            </w:pPr>
          </w:p>
        </w:tc>
      </w:tr>
      <w:tr>
        <w:trPr>
          <w:trHeight w:val="194"/>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Income tax adjustment at statutory rate</w:t>
            </w:r>
          </w:p>
        </w:tc>
        <w:tc>
          <w:tcPr>
            <w:tcW w:w="4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6"/>
                <w:szCs w:val="16"/>
                <w:color w:val="auto"/>
              </w:rPr>
            </w:pPr>
          </w:p>
        </w:tc>
      </w:tr>
      <w:tr>
        <w:trPr>
          <w:trHeight w:val="187"/>
        </w:trPr>
        <w:tc>
          <w:tcPr>
            <w:tcW w:w="6240" w:type="dxa"/>
            <w:vAlign w:val="bottom"/>
          </w:tcPr>
          <w:p>
            <w:pPr>
              <w:spacing w:after="0"/>
              <w:rPr>
                <w:sz w:val="20"/>
                <w:szCs w:val="20"/>
                <w:color w:val="auto"/>
              </w:rPr>
            </w:pPr>
            <w:r>
              <w:rPr>
                <w:rFonts w:ascii="Arial" w:cs="Arial" w:eastAsia="Arial" w:hAnsi="Arial"/>
                <w:sz w:val="16"/>
                <w:szCs w:val="16"/>
                <w:color w:val="auto"/>
              </w:rPr>
              <w:t>Non-GAAP net income</w:t>
            </w:r>
          </w:p>
        </w:tc>
        <w:tc>
          <w:tcPr>
            <w:tcW w:w="46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11,042</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11,619</w:t>
            </w:r>
          </w:p>
        </w:tc>
        <w:tc>
          <w:tcPr>
            <w:tcW w:w="120" w:type="dxa"/>
            <w:vAlign w:val="bottom"/>
          </w:tcPr>
          <w:p>
            <w:pPr>
              <w:spacing w:after="0"/>
              <w:rPr>
                <w:sz w:val="16"/>
                <w:szCs w:val="16"/>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5"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The critical accounting policies that reflect our more significant judgments and estimates used in the preparation of our condensed consolidated financial statements include software development costs, goodwill, accounting for stock-based compensation, revenue recognition, and income taxes, which are described in “Note 1—Summary of Significant Accounting Policies” in Part I, Item 1 of this Quarterly Report on Form 10-Q.</w:t>
      </w:r>
    </w:p>
    <w:p>
      <w:pPr>
        <w:spacing w:after="0" w:line="177" w:lineRule="exact"/>
        <w:rPr>
          <w:sz w:val="20"/>
          <w:szCs w:val="20"/>
          <w:color w:val="auto"/>
        </w:rPr>
      </w:pPr>
    </w:p>
    <w:p>
      <w:pPr>
        <w:jc w:val="both"/>
        <w:ind w:left="40" w:right="59" w:firstLine="311"/>
        <w:spacing w:after="0" w:line="317" w:lineRule="auto"/>
        <w:rPr>
          <w:sz w:val="20"/>
          <w:szCs w:val="20"/>
          <w:color w:val="auto"/>
        </w:rPr>
      </w:pPr>
      <w:r>
        <w:rPr>
          <w:rFonts w:ascii="Arial" w:cs="Arial" w:eastAsia="Arial" w:hAnsi="Arial"/>
          <w:sz w:val="16"/>
          <w:szCs w:val="16"/>
          <w:color w:val="auto"/>
        </w:rPr>
        <w:t>There have been no material updates or changes to our critical accounting policies and estimates compared to the critical accounting policies and estimates described in our Annual Report on Form 10-K for the period ended December 31, 2020.</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 Accounting Pronouncements</w:t>
      </w:r>
    </w:p>
    <w:p>
      <w:pPr>
        <w:spacing w:after="0" w:line="225" w:lineRule="exact"/>
        <w:rPr>
          <w:sz w:val="20"/>
          <w:szCs w:val="20"/>
          <w:color w:val="auto"/>
        </w:rPr>
      </w:pPr>
    </w:p>
    <w:p>
      <w:pPr>
        <w:jc w:val="both"/>
        <w:ind w:left="40" w:right="59" w:firstLine="311"/>
        <w:spacing w:after="0" w:line="284" w:lineRule="auto"/>
        <w:rPr>
          <w:sz w:val="20"/>
          <w:szCs w:val="20"/>
          <w:color w:val="auto"/>
        </w:rPr>
      </w:pPr>
      <w:r>
        <w:rPr>
          <w:rFonts w:ascii="Arial" w:cs="Arial" w:eastAsia="Arial" w:hAnsi="Arial"/>
          <w:sz w:val="17"/>
          <w:szCs w:val="17"/>
          <w:color w:val="auto"/>
        </w:rPr>
        <w:t>For further information on recent accounting pronouncements, refer to Note 1 in the condensed consolidated financial statements contained within this Quarterly Report on Form 10-Q</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Interest Rate Risk</w:t>
      </w:r>
    </w:p>
    <w:p>
      <w:pPr>
        <w:spacing w:after="0" w:line="225"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We had cash and cash equivalents of $277.7 million as of March 31, 2021. In addition, the Company received proceeds, net of underwriter fees, from its Offering of $423.0 million on July 31, 2020, which it used to pay off outstanding debt of $175.0 million resulting in the Company having no outstanding bank debt after such redemption.</w:t>
      </w:r>
    </w:p>
    <w:p>
      <w:pPr>
        <w:spacing w:after="0" w:line="172"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We maintain our cash and cash equivalents in deposit accounts and money market funds with various financial institutions. Due to the short-term nature of these instruments, we believe that we do not have any material exposure to changes in the fair value of our investment portfolio as a result of changes in interest rates. Declines in interest rates, however, would reduce future interest income.</w:t>
      </w:r>
    </w:p>
    <w:p>
      <w:pPr>
        <w:spacing w:after="0" w:line="177" w:lineRule="exact"/>
        <w:rPr>
          <w:sz w:val="20"/>
          <w:szCs w:val="20"/>
          <w:color w:val="auto"/>
        </w:rPr>
      </w:pPr>
    </w:p>
    <w:p>
      <w:pPr>
        <w:jc w:val="both"/>
        <w:ind w:left="40" w:right="59" w:firstLine="311"/>
        <w:spacing w:after="0" w:line="269" w:lineRule="auto"/>
        <w:rPr>
          <w:sz w:val="20"/>
          <w:szCs w:val="20"/>
          <w:color w:val="auto"/>
        </w:rPr>
      </w:pPr>
      <w:r>
        <w:rPr>
          <w:rFonts w:ascii="Arial" w:cs="Arial" w:eastAsia="Arial" w:hAnsi="Arial"/>
          <w:sz w:val="17"/>
          <w:szCs w:val="17"/>
          <w:color w:val="auto"/>
        </w:rPr>
        <w:t>We are exposed to risk related to changes in interest rates. Borrowings under the bank credit agreement bear interest at rates that are variable. Increases in the bank prime or LIBOR rates would increase the interest rate on any outstanding borrowings. Any debt we incur in the future may also bear interest at variable rates.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Foreign Currency Exchange Risk</w:t>
      </w:r>
    </w:p>
    <w:p>
      <w:pPr>
        <w:spacing w:after="0" w:line="225" w:lineRule="exact"/>
        <w:rPr>
          <w:sz w:val="20"/>
          <w:szCs w:val="20"/>
          <w:color w:val="auto"/>
        </w:rPr>
      </w:pPr>
    </w:p>
    <w:p>
      <w:pPr>
        <w:jc w:val="both"/>
        <w:ind w:left="40" w:right="59" w:firstLine="311"/>
        <w:spacing w:after="0" w:line="282" w:lineRule="auto"/>
        <w:rPr>
          <w:sz w:val="20"/>
          <w:szCs w:val="20"/>
          <w:color w:val="auto"/>
        </w:rPr>
      </w:pPr>
      <w:r>
        <w:rPr>
          <w:rFonts w:ascii="Arial" w:cs="Arial" w:eastAsia="Arial" w:hAnsi="Arial"/>
          <w:sz w:val="16"/>
          <w:szCs w:val="16"/>
          <w:color w:val="auto"/>
        </w:rPr>
        <w:t>Our revenue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 and other operating results as expressed in U.S. dollars. For the three months ended March 31, 2021 and 2020, approximately 1% of our revenues were generated in currencies other than U.S. dollars in each respective period.</w:t>
      </w:r>
    </w:p>
    <w:p>
      <w:pPr>
        <w:spacing w:after="0" w:line="164" w:lineRule="exact"/>
        <w:rPr>
          <w:sz w:val="20"/>
          <w:szCs w:val="20"/>
          <w:color w:val="auto"/>
        </w:rPr>
      </w:pPr>
    </w:p>
    <w:p>
      <w:pPr>
        <w:jc w:val="both"/>
        <w:ind w:left="40" w:right="59" w:firstLine="311"/>
        <w:spacing w:after="0" w:line="317" w:lineRule="auto"/>
        <w:rPr>
          <w:sz w:val="20"/>
          <w:szCs w:val="20"/>
          <w:color w:val="auto"/>
        </w:rPr>
      </w:pPr>
      <w:r>
        <w:rPr>
          <w:rFonts w:ascii="Arial" w:cs="Arial" w:eastAsia="Arial" w:hAnsi="Arial"/>
          <w:sz w:val="16"/>
          <w:szCs w:val="16"/>
          <w:color w:val="auto"/>
        </w:rPr>
        <w:t>We have experienced and will continue to experience fluctuations in our net (loss) income as a result of transaction gains or losses related to revaluing certain current asset and current liability balances that are denominated in currencies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0" w:name="page51"/>
    <w:bookmarkEnd w:id="5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59"/>
        <w:spacing w:after="0" w:line="278" w:lineRule="auto"/>
        <w:rPr>
          <w:sz w:val="20"/>
          <w:szCs w:val="20"/>
          <w:color w:val="auto"/>
        </w:rPr>
      </w:pPr>
      <w:r>
        <w:rPr>
          <w:rFonts w:ascii="Arial" w:cs="Arial" w:eastAsia="Arial" w:hAnsi="Arial"/>
          <w:sz w:val="16"/>
          <w:szCs w:val="16"/>
          <w:color w:val="auto"/>
        </w:rPr>
        <w:t>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approximately 40% of our exposure to adverse fluctuations in the Brazilian Real associated with these future purchase commitments.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Inflation</w:t>
      </w:r>
    </w:p>
    <w:p>
      <w:pPr>
        <w:spacing w:after="0" w:line="225"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Historically, we do not believe that inflation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CONTROLS AND PROCEDURES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5" w:lineRule="exact"/>
        <w:rPr>
          <w:sz w:val="20"/>
          <w:szCs w:val="20"/>
          <w:color w:val="auto"/>
        </w:rPr>
      </w:pPr>
    </w:p>
    <w:p>
      <w:pPr>
        <w:jc w:val="both"/>
        <w:ind w:left="40" w:right="59" w:firstLine="311"/>
        <w:spacing w:after="0" w:line="264"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Solely as a result of the material weakness described below, our principal executive officer and principal financial officer concluded that, as of March 31, 2021, our disclosure controls and procedures were not effective.</w:t>
      </w:r>
    </w:p>
    <w:p>
      <w:pPr>
        <w:spacing w:after="0" w:line="177"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We have performed additional analyses, reconciliations, and other post-closing procedures and have concluded that, notwithstanding the material weakness in our internal control over financial reporting, the unaudited interim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Previously Identified Material Weaknesses</w:t>
      </w:r>
    </w:p>
    <w:p>
      <w:pPr>
        <w:spacing w:after="0" w:line="225" w:lineRule="exact"/>
        <w:rPr>
          <w:sz w:val="20"/>
          <w:szCs w:val="20"/>
          <w:color w:val="auto"/>
        </w:rPr>
      </w:pPr>
    </w:p>
    <w:p>
      <w:pPr>
        <w:jc w:val="both"/>
        <w:ind w:left="40" w:right="59" w:firstLine="311"/>
        <w:spacing w:after="0" w:line="321" w:lineRule="auto"/>
        <w:rPr>
          <w:sz w:val="20"/>
          <w:szCs w:val="20"/>
          <w:color w:val="auto"/>
        </w:rPr>
      </w:pPr>
      <w:r>
        <w:rPr>
          <w:rFonts w:ascii="Arial" w:cs="Arial" w:eastAsia="Arial" w:hAnsi="Arial"/>
          <w:sz w:val="15"/>
          <w:szCs w:val="15"/>
          <w:color w:val="auto"/>
        </w:rPr>
        <w:t>As previously disclosed in our Annual Report on Form 10-K for the year ended December 31, 2020, we identified a material weakness in our internal control over financial reporting due to an insufficient process for the provision and governance of user access to financially significant systems that resulted in a lack of segregation of duties related to journal entries.</w:t>
      </w:r>
    </w:p>
    <w:p>
      <w:pPr>
        <w:spacing w:after="0" w:line="138" w:lineRule="exact"/>
        <w:rPr>
          <w:sz w:val="20"/>
          <w:szCs w:val="20"/>
          <w:color w:val="auto"/>
        </w:rPr>
      </w:pPr>
    </w:p>
    <w:p>
      <w:pPr>
        <w:jc w:val="both"/>
        <w:ind w:left="40" w:right="79" w:firstLine="311"/>
        <w:spacing w:after="0" w:line="317"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a reasonable possibility that a material misstatement of the annual or interim financial statements will not be prevented or detected on a timely basis.</w:t>
      </w:r>
    </w:p>
    <w:p>
      <w:pPr>
        <w:spacing w:after="0" w:line="136" w:lineRule="exact"/>
        <w:rPr>
          <w:sz w:val="20"/>
          <w:szCs w:val="20"/>
          <w:color w:val="auto"/>
        </w:rPr>
      </w:pPr>
    </w:p>
    <w:p>
      <w:pPr>
        <w:jc w:val="both"/>
        <w:ind w:left="40" w:right="59" w:firstLine="311"/>
        <w:spacing w:after="0" w:line="262" w:lineRule="auto"/>
        <w:rPr>
          <w:sz w:val="20"/>
          <w:szCs w:val="20"/>
          <w:color w:val="auto"/>
        </w:rPr>
      </w:pPr>
      <w:r>
        <w:rPr>
          <w:rFonts w:ascii="Arial" w:cs="Arial" w:eastAsia="Arial" w:hAnsi="Arial"/>
          <w:sz w:val="17"/>
          <w:szCs w:val="17"/>
          <w:color w:val="auto"/>
        </w:rPr>
        <w:t>Our management, with oversight from our Audit Committee, is in the process of remediating this material weakness. During 2020, we implemented changes to our user access governance practices to prevent individuals from having the ability to create and post journal entries and have implemented a periodic review cycle for user access. However, this material weakness will not be considered remediated until the applicable controls operate for a sufficient period of time and management has concluded, through testing, that these controls are operating effectively.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5" w:lineRule="exact"/>
        <w:rPr>
          <w:sz w:val="20"/>
          <w:szCs w:val="20"/>
          <w:color w:val="auto"/>
        </w:rPr>
      </w:pPr>
    </w:p>
    <w:p>
      <w:pPr>
        <w:jc w:val="both"/>
        <w:ind w:left="40" w:right="59" w:firstLine="311"/>
        <w:spacing w:after="0" w:line="294" w:lineRule="auto"/>
        <w:rPr>
          <w:sz w:val="20"/>
          <w:szCs w:val="20"/>
          <w:color w:val="auto"/>
        </w:rPr>
      </w:pPr>
      <w:r>
        <w:rPr>
          <w:rFonts w:ascii="Arial" w:cs="Arial" w:eastAsia="Arial" w:hAnsi="Arial"/>
          <w:sz w:val="16"/>
          <w:szCs w:val="16"/>
          <w:color w:val="auto"/>
        </w:rPr>
        <w:t>Other than the changes described above regarding enhancements associated with ongoing remediation efforts, 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1" w:name="page52"/>
    <w:bookmarkEnd w:id="5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LEGAL PROCEEDINGS</w:t>
      </w:r>
    </w:p>
    <w:p>
      <w:pPr>
        <w:spacing w:after="0" w:line="225" w:lineRule="exact"/>
        <w:rPr>
          <w:sz w:val="20"/>
          <w:szCs w:val="20"/>
          <w:color w:val="auto"/>
        </w:rPr>
      </w:pPr>
    </w:p>
    <w:p>
      <w:pPr>
        <w:jc w:val="both"/>
        <w:ind w:left="40" w:right="59" w:firstLine="311"/>
        <w:spacing w:after="0" w:line="286" w:lineRule="auto"/>
        <w:rPr>
          <w:sz w:val="20"/>
          <w:szCs w:val="20"/>
          <w:color w:val="auto"/>
        </w:rPr>
      </w:pPr>
      <w:r>
        <w:rPr>
          <w:rFonts w:ascii="Arial" w:cs="Arial" w:eastAsia="Arial" w:hAnsi="Arial"/>
          <w:sz w:val="16"/>
          <w:szCs w:val="16"/>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a material adverse effect on our business, financial condition, or operating results.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1A. RISK FACTORS</w:t>
      </w:r>
    </w:p>
    <w:p>
      <w:pPr>
        <w:spacing w:after="0" w:line="225" w:lineRule="exact"/>
        <w:rPr>
          <w:sz w:val="20"/>
          <w:szCs w:val="20"/>
          <w:color w:val="auto"/>
        </w:rPr>
      </w:pPr>
    </w:p>
    <w:p>
      <w:pPr>
        <w:jc w:val="both"/>
        <w:ind w:left="40" w:right="59" w:firstLine="311"/>
        <w:spacing w:after="0" w:line="260" w:lineRule="auto"/>
        <w:rPr>
          <w:sz w:val="20"/>
          <w:szCs w:val="20"/>
          <w:color w:val="auto"/>
        </w:rPr>
      </w:pPr>
      <w:r>
        <w:rPr>
          <w:rFonts w:ascii="Arial" w:cs="Arial" w:eastAsia="Arial" w:hAnsi="Arial"/>
          <w:sz w:val="17"/>
          <w:szCs w:val="17"/>
          <w:color w:val="auto"/>
        </w:rPr>
        <w:t>There are no material changes to the risk factors discussed in the Company’s Annual Report on Form 10-K for the year ended December 31, 2020 under the heading “Risk Factors.”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w:t>
      </w:r>
      <w:r>
        <w:rPr>
          <w:rFonts w:ascii="Arial" w:cs="Arial" w:eastAsia="Arial" w:hAnsi="Arial"/>
          <w:sz w:val="17"/>
          <w:szCs w:val="17"/>
          <w:color w:val="auto"/>
        </w:rPr>
        <w:t>.</w:t>
      </w:r>
      <w:r>
        <w:rPr>
          <w:rFonts w:ascii="Arial" w:cs="Arial" w:eastAsia="Arial" w:hAnsi="Arial"/>
          <w:sz w:val="17"/>
          <w:szCs w:val="17"/>
          <w:b w:val="1"/>
          <w:bCs w:val="1"/>
          <w:color w:val="auto"/>
        </w:rPr>
        <w:t xml:space="preserve"> MINE SAFETY DISCLOSURES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 Applicable.</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5.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2" w:name="page53"/>
    <w:bookmarkEnd w:id="52"/>
    <w:p>
      <w:pPr>
        <w:ind w:left="10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4"/>
                <w:szCs w:val="14"/>
                <w:color w:val="auto"/>
              </w:rPr>
            </w:pPr>
          </w:p>
        </w:tc>
        <w:tc>
          <w:tcPr>
            <w:tcW w:w="2480" w:type="dxa"/>
            <w:vAlign w:val="bottom"/>
            <w:gridSpan w:val="12"/>
          </w:tcPr>
          <w:p>
            <w:pPr>
              <w:ind w:left="580"/>
              <w:spacing w:after="0"/>
              <w:rPr>
                <w:sz w:val="20"/>
                <w:szCs w:val="20"/>
                <w:color w:val="auto"/>
              </w:rPr>
            </w:pPr>
            <w:r>
              <w:rPr>
                <w:rFonts w:ascii="Arial" w:cs="Arial" w:eastAsia="Arial" w:hAnsi="Arial"/>
                <w:sz w:val="14"/>
                <w:szCs w:val="14"/>
                <w:b w:val="1"/>
                <w:bCs w:val="1"/>
                <w:color w:val="auto"/>
              </w:rPr>
              <w:t>Exhibit Description</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Form</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File No.</w:t>
            </w:r>
          </w:p>
        </w:tc>
        <w:tc>
          <w:tcPr>
            <w:tcW w:w="380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Exhibit   Filing Date   Filed Herewith   Furnished Herewith</w:t>
            </w:r>
          </w:p>
        </w:tc>
      </w:tr>
      <w:tr>
        <w:trPr>
          <w:trHeight w:val="149"/>
        </w:trPr>
        <w:tc>
          <w:tcPr>
            <w:tcW w:w="1040" w:type="dxa"/>
            <w:vAlign w:val="bottom"/>
            <w:tcBorders>
              <w:top w:val="single" w:sz="8" w:color="auto"/>
            </w:tcBorders>
            <w:gridSpan w:val="3"/>
          </w:tcPr>
          <w:p>
            <w:pPr>
              <w:ind w:left="20"/>
              <w:spacing w:after="0" w:line="148" w:lineRule="exact"/>
              <w:rPr>
                <w:rFonts w:ascii="Arial" w:cs="Arial" w:eastAsia="Arial" w:hAnsi="Arial"/>
                <w:sz w:val="16"/>
                <w:szCs w:val="16"/>
                <w:color w:val="0000EE"/>
              </w:rPr>
            </w:pPr>
            <w:hyperlink w:anchor="page55">
              <w:r>
                <w:rPr>
                  <w:rFonts w:ascii="Arial" w:cs="Arial" w:eastAsia="Arial" w:hAnsi="Arial"/>
                  <w:sz w:val="16"/>
                  <w:szCs w:val="16"/>
                  <w:color w:val="0000EE"/>
                </w:rPr>
                <w:t>31.</w:t>
              </w:r>
              <w:r>
                <w:rPr>
                  <w:rFonts w:ascii="Arial" w:cs="Arial" w:eastAsia="Arial" w:hAnsi="Arial"/>
                  <w:sz w:val="16"/>
                  <w:szCs w:val="16"/>
                  <w:u w:val="single" w:color="auto"/>
                  <w:color w:val="0000EE"/>
                </w:rPr>
                <w:t>1</w:t>
              </w:r>
            </w:hyperlink>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10"/>
          </w:tcPr>
          <w:p>
            <w:pPr>
              <w:spacing w:after="0" w:line="148" w:lineRule="exact"/>
              <w:rPr>
                <w:rFonts w:ascii="Arial" w:cs="Arial" w:eastAsia="Arial" w:hAnsi="Arial"/>
                <w:sz w:val="16"/>
                <w:szCs w:val="16"/>
                <w:color w:val="0000EE"/>
                <w:w w:val="95"/>
              </w:rPr>
            </w:pPr>
            <w:hyperlink w:anchor="page55">
              <w:r>
                <w:rPr>
                  <w:rFonts w:ascii="Arial" w:cs="Arial" w:eastAsia="Arial" w:hAnsi="Arial"/>
                  <w:sz w:val="16"/>
                  <w:szCs w:val="16"/>
                  <w:color w:val="0000EE"/>
                  <w:w w:val="95"/>
                </w:rPr>
                <w:t>Certification of Principal Executive</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8"/>
          </w:tcPr>
          <w:p>
            <w:pPr>
              <w:spacing w:after="0" w:line="175" w:lineRule="exact"/>
              <w:rPr>
                <w:rFonts w:ascii="Arial" w:cs="Arial" w:eastAsia="Arial" w:hAnsi="Arial"/>
                <w:sz w:val="16"/>
                <w:szCs w:val="16"/>
                <w:color w:val="0000EE"/>
                <w:w w:val="87"/>
              </w:rPr>
            </w:pPr>
            <w:hyperlink w:anchor="page55">
              <w:r>
                <w:rPr>
                  <w:rFonts w:ascii="Arial" w:cs="Arial" w:eastAsia="Arial" w:hAnsi="Arial"/>
                  <w:sz w:val="16"/>
                  <w:szCs w:val="16"/>
                  <w:color w:val="0000EE"/>
                  <w:w w:val="87"/>
                </w:rPr>
                <w:t>Officer Pursuant to Rules 13a-14(a)</w:t>
              </w:r>
            </w:hyperlink>
          </w:p>
        </w:tc>
        <w:tc>
          <w:tcPr>
            <w:tcW w:w="20" w:type="dxa"/>
            <w:vAlign w:val="bottom"/>
            <w:tcBorders>
              <w:bottom w:val="single" w:sz="8" w:color="0000EE"/>
            </w:tcBorders>
          </w:tcPr>
          <w:p>
            <w:pPr>
              <w:spacing w:after="0"/>
              <w:rPr>
                <w:sz w:val="15"/>
                <w:szCs w:val="15"/>
                <w:color w:val="auto"/>
              </w:rPr>
            </w:pPr>
          </w:p>
        </w:tc>
        <w:tc>
          <w:tcPr>
            <w:tcW w:w="24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w w:val="99"/>
              </w:rPr>
            </w:pPr>
            <w:hyperlink w:anchor="page55">
              <w:r>
                <w:rPr>
                  <w:rFonts w:ascii="Arial" w:cs="Arial" w:eastAsia="Arial" w:hAnsi="Arial"/>
                  <w:sz w:val="16"/>
                  <w:szCs w:val="16"/>
                  <w:color w:val="0000EE"/>
                  <w:w w:val="99"/>
                </w:rPr>
                <w:t>and 15d-14(a) under the Securities</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Borders>
              <w:bottom w:val="single" w:sz="8" w:color="0000EE"/>
            </w:tcBorders>
            <w:gridSpan w:val="7"/>
          </w:tcPr>
          <w:p>
            <w:pPr>
              <w:spacing w:after="0" w:line="175" w:lineRule="exact"/>
              <w:rPr>
                <w:rFonts w:ascii="Arial" w:cs="Arial" w:eastAsia="Arial" w:hAnsi="Arial"/>
                <w:sz w:val="16"/>
                <w:szCs w:val="16"/>
                <w:color w:val="0000EE"/>
                <w:w w:val="88"/>
              </w:rPr>
            </w:pPr>
            <w:hyperlink w:anchor="page55">
              <w:r>
                <w:rPr>
                  <w:rFonts w:ascii="Arial" w:cs="Arial" w:eastAsia="Arial" w:hAnsi="Arial"/>
                  <w:sz w:val="16"/>
                  <w:szCs w:val="16"/>
                  <w:color w:val="0000EE"/>
                  <w:w w:val="88"/>
                </w:rPr>
                <w:t>Exchange Act of 1934, as Adopted</w:t>
              </w:r>
            </w:hyperlink>
          </w:p>
        </w:tc>
        <w:tc>
          <w:tcPr>
            <w:tcW w:w="28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Borders>
              <w:bottom w:val="single" w:sz="8" w:color="0000EE"/>
            </w:tcBorders>
            <w:gridSpan w:val="4"/>
          </w:tcPr>
          <w:p>
            <w:pPr>
              <w:spacing w:after="0" w:line="175" w:lineRule="exact"/>
              <w:rPr>
                <w:rFonts w:ascii="Arial" w:cs="Arial" w:eastAsia="Arial" w:hAnsi="Arial"/>
                <w:sz w:val="16"/>
                <w:szCs w:val="16"/>
                <w:color w:val="0000EE"/>
                <w:w w:val="86"/>
              </w:rPr>
            </w:pPr>
            <w:hyperlink w:anchor="page55">
              <w:r>
                <w:rPr>
                  <w:rFonts w:ascii="Arial" w:cs="Arial" w:eastAsia="Arial" w:hAnsi="Arial"/>
                  <w:sz w:val="16"/>
                  <w:szCs w:val="16"/>
                  <w:color w:val="0000EE"/>
                  <w:w w:val="86"/>
                </w:rPr>
                <w:t>Pursuant to Section 302 of the</w:t>
              </w:r>
            </w:hyperlink>
          </w:p>
        </w:tc>
        <w:tc>
          <w:tcPr>
            <w:tcW w:w="60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rPr>
            </w:pPr>
            <w:hyperlink w:anchor="page55">
              <w:r>
                <w:rPr>
                  <w:rFonts w:ascii="Arial" w:cs="Arial" w:eastAsia="Arial" w:hAnsi="Arial"/>
                  <w:sz w:val="16"/>
                  <w:szCs w:val="16"/>
                  <w:color w:val="0000EE"/>
                </w:rPr>
                <w:t>Sarbanes-Oxley Act of 2002</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ind w:left="600"/>
              <w:spacing w:after="0" w:line="175" w:lineRule="exact"/>
              <w:rPr>
                <w:sz w:val="20"/>
                <w:szCs w:val="20"/>
                <w:color w:val="auto"/>
              </w:rPr>
            </w:pPr>
            <w:r>
              <w:rPr>
                <w:rFonts w:ascii="Arial" w:cs="Arial" w:eastAsia="Arial" w:hAnsi="Arial"/>
                <w:sz w:val="16"/>
                <w:szCs w:val="16"/>
                <w:color w:val="auto"/>
              </w:rPr>
              <w:t>X</w:t>
            </w:r>
          </w:p>
        </w:tc>
      </w:tr>
      <w:tr>
        <w:trPr>
          <w:trHeight w:val="20"/>
        </w:trPr>
        <w:tc>
          <w:tcPr>
            <w:tcW w:w="1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4"/>
        </w:trPr>
        <w:tc>
          <w:tcPr>
            <w:tcW w:w="1040" w:type="dxa"/>
            <w:vAlign w:val="bottom"/>
            <w:gridSpan w:val="3"/>
          </w:tcPr>
          <w:p>
            <w:pPr>
              <w:ind w:left="20"/>
              <w:spacing w:after="0" w:line="175" w:lineRule="exact"/>
              <w:rPr>
                <w:rFonts w:ascii="Arial" w:cs="Arial" w:eastAsia="Arial" w:hAnsi="Arial"/>
                <w:sz w:val="16"/>
                <w:szCs w:val="16"/>
                <w:color w:val="0000EE"/>
              </w:rPr>
            </w:pPr>
            <w:hyperlink w:anchor="page56">
              <w:r>
                <w:rPr>
                  <w:rFonts w:ascii="Arial" w:cs="Arial" w:eastAsia="Arial" w:hAnsi="Arial"/>
                  <w:sz w:val="16"/>
                  <w:szCs w:val="16"/>
                  <w:color w:val="0000EE"/>
                </w:rPr>
                <w:t>31.</w:t>
              </w:r>
              <w:r>
                <w:rPr>
                  <w:rFonts w:ascii="Arial" w:cs="Arial" w:eastAsia="Arial" w:hAnsi="Arial"/>
                  <w:sz w:val="16"/>
                  <w:szCs w:val="16"/>
                  <w:u w:val="single" w:color="auto"/>
                  <w:color w:val="0000EE"/>
                </w:rPr>
                <w:t>2</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rPr>
            </w:pPr>
            <w:hyperlink w:anchor="page56">
              <w:r>
                <w:rPr>
                  <w:rFonts w:ascii="Arial" w:cs="Arial" w:eastAsia="Arial" w:hAnsi="Arial"/>
                  <w:sz w:val="16"/>
                  <w:szCs w:val="16"/>
                  <w:color w:val="0000EE"/>
                </w:rPr>
                <w:t>Certification of Principal Financial</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bottom w:val="single" w:sz="8" w:color="0000EE"/>
            </w:tcBorders>
            <w:gridSpan w:val="9"/>
          </w:tcPr>
          <w:p>
            <w:pPr>
              <w:spacing w:after="0" w:line="175" w:lineRule="exact"/>
              <w:rPr>
                <w:rFonts w:ascii="Arial" w:cs="Arial" w:eastAsia="Arial" w:hAnsi="Arial"/>
                <w:sz w:val="16"/>
                <w:szCs w:val="16"/>
                <w:color w:val="0000EE"/>
                <w:w w:val="87"/>
              </w:rPr>
            </w:pPr>
            <w:hyperlink w:anchor="page56">
              <w:r>
                <w:rPr>
                  <w:rFonts w:ascii="Arial" w:cs="Arial" w:eastAsia="Arial" w:hAnsi="Arial"/>
                  <w:sz w:val="16"/>
                  <w:szCs w:val="16"/>
                  <w:color w:val="0000EE"/>
                  <w:w w:val="87"/>
                </w:rPr>
                <w:t>Officer Pursuant to Rules 13a-14(a)</w:t>
              </w:r>
            </w:hyperlink>
          </w:p>
        </w:tc>
        <w:tc>
          <w:tcPr>
            <w:tcW w:w="24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w w:val="99"/>
              </w:rPr>
            </w:pPr>
            <w:hyperlink w:anchor="page56">
              <w:r>
                <w:rPr>
                  <w:rFonts w:ascii="Arial" w:cs="Arial" w:eastAsia="Arial" w:hAnsi="Arial"/>
                  <w:sz w:val="16"/>
                  <w:szCs w:val="16"/>
                  <w:color w:val="0000EE"/>
                  <w:w w:val="99"/>
                </w:rPr>
                <w:t>and 15d-14(a) under the Securities</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Borders>
              <w:bottom w:val="single" w:sz="8" w:color="0000EE"/>
            </w:tcBorders>
            <w:gridSpan w:val="7"/>
          </w:tcPr>
          <w:p>
            <w:pPr>
              <w:spacing w:after="0" w:line="175" w:lineRule="exact"/>
              <w:rPr>
                <w:rFonts w:ascii="Arial" w:cs="Arial" w:eastAsia="Arial" w:hAnsi="Arial"/>
                <w:sz w:val="16"/>
                <w:szCs w:val="16"/>
                <w:color w:val="0000EE"/>
                <w:w w:val="88"/>
              </w:rPr>
            </w:pPr>
            <w:hyperlink w:anchor="page56">
              <w:r>
                <w:rPr>
                  <w:rFonts w:ascii="Arial" w:cs="Arial" w:eastAsia="Arial" w:hAnsi="Arial"/>
                  <w:sz w:val="16"/>
                  <w:szCs w:val="16"/>
                  <w:color w:val="0000EE"/>
                  <w:w w:val="88"/>
                </w:rPr>
                <w:t>Exchange Act of 1934, as Adopted</w:t>
              </w:r>
            </w:hyperlink>
          </w:p>
        </w:tc>
        <w:tc>
          <w:tcPr>
            <w:tcW w:w="28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Borders>
              <w:bottom w:val="single" w:sz="8" w:color="0000EE"/>
            </w:tcBorders>
            <w:gridSpan w:val="4"/>
          </w:tcPr>
          <w:p>
            <w:pPr>
              <w:spacing w:after="0" w:line="175" w:lineRule="exact"/>
              <w:rPr>
                <w:rFonts w:ascii="Arial" w:cs="Arial" w:eastAsia="Arial" w:hAnsi="Arial"/>
                <w:sz w:val="16"/>
                <w:szCs w:val="16"/>
                <w:color w:val="0000EE"/>
                <w:w w:val="86"/>
              </w:rPr>
            </w:pPr>
            <w:hyperlink w:anchor="page56">
              <w:r>
                <w:rPr>
                  <w:rFonts w:ascii="Arial" w:cs="Arial" w:eastAsia="Arial" w:hAnsi="Arial"/>
                  <w:sz w:val="16"/>
                  <w:szCs w:val="16"/>
                  <w:color w:val="0000EE"/>
                  <w:w w:val="86"/>
                </w:rPr>
                <w:t>Pursuant to Section 302 of the</w:t>
              </w:r>
            </w:hyperlink>
          </w:p>
        </w:tc>
        <w:tc>
          <w:tcPr>
            <w:tcW w:w="60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rPr>
            </w:pPr>
            <w:hyperlink w:anchor="page56">
              <w:r>
                <w:rPr>
                  <w:rFonts w:ascii="Arial" w:cs="Arial" w:eastAsia="Arial" w:hAnsi="Arial"/>
                  <w:sz w:val="16"/>
                  <w:szCs w:val="16"/>
                  <w:color w:val="0000EE"/>
                </w:rPr>
                <w:t>Sarbanes-Oxley Act of 2002</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ind w:left="600"/>
              <w:spacing w:after="0" w:line="175" w:lineRule="exact"/>
              <w:rPr>
                <w:sz w:val="20"/>
                <w:szCs w:val="20"/>
                <w:color w:val="auto"/>
              </w:rPr>
            </w:pPr>
            <w:r>
              <w:rPr>
                <w:rFonts w:ascii="Arial" w:cs="Arial" w:eastAsia="Arial" w:hAnsi="Arial"/>
                <w:sz w:val="16"/>
                <w:szCs w:val="16"/>
                <w:color w:val="auto"/>
              </w:rPr>
              <w:t>X</w:t>
            </w:r>
          </w:p>
        </w:tc>
      </w:tr>
      <w:tr>
        <w:trPr>
          <w:trHeight w:val="20"/>
        </w:trPr>
        <w:tc>
          <w:tcPr>
            <w:tcW w:w="1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4"/>
        </w:trPr>
        <w:tc>
          <w:tcPr>
            <w:tcW w:w="1040" w:type="dxa"/>
            <w:vAlign w:val="bottom"/>
            <w:gridSpan w:val="3"/>
          </w:tcPr>
          <w:p>
            <w:pPr>
              <w:ind w:left="20"/>
              <w:spacing w:after="0" w:line="175" w:lineRule="exact"/>
              <w:rPr>
                <w:rFonts w:ascii="Arial" w:cs="Arial" w:eastAsia="Arial" w:hAnsi="Arial"/>
                <w:sz w:val="16"/>
                <w:szCs w:val="16"/>
                <w:color w:val="0000EE"/>
              </w:rPr>
            </w:pPr>
            <w:hyperlink w:anchor="page57">
              <w:r>
                <w:rPr>
                  <w:rFonts w:ascii="Arial" w:cs="Arial" w:eastAsia="Arial" w:hAnsi="Arial"/>
                  <w:sz w:val="16"/>
                  <w:szCs w:val="16"/>
                  <w:color w:val="0000EE"/>
                </w:rPr>
                <w:t>32.</w:t>
              </w:r>
              <w:r>
                <w:rPr>
                  <w:rFonts w:ascii="Arial" w:cs="Arial" w:eastAsia="Arial" w:hAnsi="Arial"/>
                  <w:sz w:val="16"/>
                  <w:szCs w:val="16"/>
                  <w:u w:val="single" w:color="auto"/>
                  <w:color w:val="0000EE"/>
                </w:rPr>
                <w:t>1</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rPr>
            </w:pPr>
            <w:hyperlink w:anchor="page57">
              <w:r>
                <w:rPr>
                  <w:rFonts w:ascii="Arial" w:cs="Arial" w:eastAsia="Arial" w:hAnsi="Arial"/>
                  <w:sz w:val="16"/>
                  <w:szCs w:val="16"/>
                  <w:color w:val="0000EE"/>
                </w:rPr>
                <w:t>Certification of Principal Executive</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3"/>
          </w:tcPr>
          <w:p>
            <w:pPr>
              <w:spacing w:after="0" w:line="175" w:lineRule="exact"/>
              <w:rPr>
                <w:rFonts w:ascii="Arial" w:cs="Arial" w:eastAsia="Arial" w:hAnsi="Arial"/>
                <w:sz w:val="16"/>
                <w:szCs w:val="16"/>
                <w:color w:val="0000EE"/>
                <w:w w:val="87"/>
              </w:rPr>
            </w:pPr>
            <w:hyperlink w:anchor="page57">
              <w:r>
                <w:rPr>
                  <w:rFonts w:ascii="Arial" w:cs="Arial" w:eastAsia="Arial" w:hAnsi="Arial"/>
                  <w:sz w:val="16"/>
                  <w:szCs w:val="16"/>
                  <w:color w:val="0000EE"/>
                  <w:w w:val="87"/>
                </w:rPr>
                <w:t>Officer Pursuant to 18 U.S.C.</w:t>
              </w:r>
            </w:hyperlink>
          </w:p>
        </w:tc>
        <w:tc>
          <w:tcPr>
            <w:tcW w:w="380" w:type="dxa"/>
            <w:vAlign w:val="bottom"/>
            <w:tcBorders>
              <w:top w:val="single" w:sz="8" w:color="0000EE"/>
            </w:tcBorders>
            <w:gridSpan w:val="5"/>
          </w:tcPr>
          <w:p>
            <w:pPr>
              <w:spacing w:after="0"/>
              <w:rPr>
                <w:sz w:val="15"/>
                <w:szCs w:val="15"/>
                <w:color w:val="auto"/>
              </w:rPr>
            </w:pPr>
          </w:p>
        </w:tc>
        <w:tc>
          <w:tcPr>
            <w:tcW w:w="260" w:type="dxa"/>
            <w:vAlign w:val="bottom"/>
            <w:gridSpan w:val="4"/>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tcBorders>
              <w:bottom w:val="single" w:sz="8" w:color="0000EE"/>
            </w:tcBorders>
            <w:gridSpan w:val="11"/>
          </w:tcPr>
          <w:p>
            <w:pPr>
              <w:spacing w:after="0" w:line="175" w:lineRule="exact"/>
              <w:rPr>
                <w:rFonts w:ascii="Arial" w:cs="Arial" w:eastAsia="Arial" w:hAnsi="Arial"/>
                <w:sz w:val="16"/>
                <w:szCs w:val="16"/>
                <w:color w:val="0000EE"/>
                <w:w w:val="86"/>
              </w:rPr>
            </w:pPr>
            <w:hyperlink w:anchor="page57">
              <w:r>
                <w:rPr>
                  <w:rFonts w:ascii="Arial" w:cs="Arial" w:eastAsia="Arial" w:hAnsi="Arial"/>
                  <w:sz w:val="16"/>
                  <w:szCs w:val="16"/>
                  <w:color w:val="0000EE"/>
                  <w:w w:val="86"/>
                </w:rPr>
                <w:t>Section 1350, as Adopted Pursuant to</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w w:val="99"/>
              </w:rPr>
            </w:pPr>
            <w:hyperlink w:anchor="page57">
              <w:r>
                <w:rPr>
                  <w:rFonts w:ascii="Arial" w:cs="Arial" w:eastAsia="Arial" w:hAnsi="Arial"/>
                  <w:sz w:val="16"/>
                  <w:szCs w:val="16"/>
                  <w:color w:val="0000EE"/>
                  <w:w w:val="99"/>
                </w:rPr>
                <w:t>Section 906 of the Sarbanes-Oxley</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0000EE"/>
              <w:bottom w:val="single" w:sz="8" w:color="0000EE"/>
            </w:tcBorders>
          </w:tcPr>
          <w:p>
            <w:pPr>
              <w:spacing w:after="0" w:line="175" w:lineRule="exact"/>
              <w:rPr>
                <w:rFonts w:ascii="Arial" w:cs="Arial" w:eastAsia="Arial" w:hAnsi="Arial"/>
                <w:sz w:val="16"/>
                <w:szCs w:val="16"/>
                <w:color w:val="0000EE"/>
                <w:w w:val="88"/>
              </w:rPr>
            </w:pPr>
            <w:hyperlink w:anchor="page57">
              <w:r>
                <w:rPr>
                  <w:rFonts w:ascii="Arial" w:cs="Arial" w:eastAsia="Arial" w:hAnsi="Arial"/>
                  <w:sz w:val="16"/>
                  <w:szCs w:val="16"/>
                  <w:color w:val="0000EE"/>
                  <w:w w:val="88"/>
                </w:rPr>
                <w:t>Act of 2002</w:t>
              </w:r>
            </w:hyperlink>
          </w:p>
        </w:tc>
        <w:tc>
          <w:tcPr>
            <w:tcW w:w="1440" w:type="dxa"/>
            <w:vAlign w:val="bottom"/>
            <w:tcBorders>
              <w:top w:val="single" w:sz="8" w:color="0000EE"/>
            </w:tcBorders>
            <w:gridSpan w:val="5"/>
          </w:tcPr>
          <w:p>
            <w:pPr>
              <w:spacing w:after="0"/>
              <w:rPr>
                <w:sz w:val="15"/>
                <w:szCs w:val="15"/>
                <w:color w:val="auto"/>
              </w:rPr>
            </w:pPr>
          </w:p>
        </w:tc>
        <w:tc>
          <w:tcPr>
            <w:tcW w:w="300" w:type="dxa"/>
            <w:vAlign w:val="bottom"/>
            <w:gridSpan w:val="6"/>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ind w:left="600"/>
              <w:spacing w:after="0" w:line="175" w:lineRule="exact"/>
              <w:rPr>
                <w:sz w:val="20"/>
                <w:szCs w:val="20"/>
                <w:color w:val="auto"/>
              </w:rPr>
            </w:pPr>
            <w:r>
              <w:rPr>
                <w:rFonts w:ascii="Arial" w:cs="Arial" w:eastAsia="Arial" w:hAnsi="Arial"/>
                <w:sz w:val="16"/>
                <w:szCs w:val="16"/>
                <w:color w:val="auto"/>
              </w:rPr>
              <w:t>X</w:t>
            </w:r>
          </w:p>
        </w:tc>
      </w:tr>
      <w:tr>
        <w:trPr>
          <w:trHeight w:val="174"/>
        </w:trPr>
        <w:tc>
          <w:tcPr>
            <w:tcW w:w="1040" w:type="dxa"/>
            <w:vAlign w:val="bottom"/>
            <w:gridSpan w:val="3"/>
          </w:tcPr>
          <w:p>
            <w:pPr>
              <w:ind w:left="20"/>
              <w:spacing w:after="0" w:line="175" w:lineRule="exact"/>
              <w:rPr>
                <w:rFonts w:ascii="Arial" w:cs="Arial" w:eastAsia="Arial" w:hAnsi="Arial"/>
                <w:sz w:val="16"/>
                <w:szCs w:val="16"/>
                <w:color w:val="0000EE"/>
              </w:rPr>
            </w:pPr>
            <w:hyperlink w:anchor="page58">
              <w:r>
                <w:rPr>
                  <w:rFonts w:ascii="Arial" w:cs="Arial" w:eastAsia="Arial" w:hAnsi="Arial"/>
                  <w:sz w:val="16"/>
                  <w:szCs w:val="16"/>
                  <w:color w:val="0000EE"/>
                </w:rPr>
                <w:t>32.</w:t>
              </w:r>
              <w:r>
                <w:rPr>
                  <w:rFonts w:ascii="Arial" w:cs="Arial" w:eastAsia="Arial" w:hAnsi="Arial"/>
                  <w:sz w:val="16"/>
                  <w:szCs w:val="16"/>
                  <w:u w:val="single" w:color="auto"/>
                  <w:color w:val="0000EE"/>
                </w:rPr>
                <w:t>2</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rPr>
            </w:pPr>
            <w:hyperlink w:anchor="page58">
              <w:r>
                <w:rPr>
                  <w:rFonts w:ascii="Arial" w:cs="Arial" w:eastAsia="Arial" w:hAnsi="Arial"/>
                  <w:sz w:val="16"/>
                  <w:szCs w:val="16"/>
                  <w:color w:val="0000EE"/>
                </w:rPr>
                <w:t>Certification of Principal Financial</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3"/>
          </w:tcPr>
          <w:p>
            <w:pPr>
              <w:spacing w:after="0" w:line="175" w:lineRule="exact"/>
              <w:rPr>
                <w:rFonts w:ascii="Arial" w:cs="Arial" w:eastAsia="Arial" w:hAnsi="Arial"/>
                <w:sz w:val="16"/>
                <w:szCs w:val="16"/>
                <w:color w:val="0000EE"/>
                <w:w w:val="87"/>
              </w:rPr>
            </w:pPr>
            <w:hyperlink w:anchor="page58">
              <w:r>
                <w:rPr>
                  <w:rFonts w:ascii="Arial" w:cs="Arial" w:eastAsia="Arial" w:hAnsi="Arial"/>
                  <w:sz w:val="16"/>
                  <w:szCs w:val="16"/>
                  <w:color w:val="0000EE"/>
                  <w:w w:val="87"/>
                </w:rPr>
                <w:t>Officer Pursuant to 18 U.S.C.</w:t>
              </w:r>
            </w:hyperlink>
          </w:p>
        </w:tc>
        <w:tc>
          <w:tcPr>
            <w:tcW w:w="340" w:type="dxa"/>
            <w:vAlign w:val="bottom"/>
            <w:tcBorders>
              <w:top w:val="single" w:sz="8" w:color="0000EE"/>
            </w:tcBorders>
            <w:gridSpan w:val="3"/>
          </w:tcPr>
          <w:p>
            <w:pPr>
              <w:spacing w:after="0"/>
              <w:rPr>
                <w:sz w:val="15"/>
                <w:szCs w:val="15"/>
                <w:color w:val="auto"/>
              </w:rPr>
            </w:pPr>
          </w:p>
        </w:tc>
        <w:tc>
          <w:tcPr>
            <w:tcW w:w="300" w:type="dxa"/>
            <w:vAlign w:val="bottom"/>
            <w:gridSpan w:val="6"/>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tcBorders>
              <w:bottom w:val="single" w:sz="8" w:color="0000EE"/>
            </w:tcBorders>
            <w:gridSpan w:val="11"/>
          </w:tcPr>
          <w:p>
            <w:pPr>
              <w:spacing w:after="0" w:line="175" w:lineRule="exact"/>
              <w:rPr>
                <w:rFonts w:ascii="Arial" w:cs="Arial" w:eastAsia="Arial" w:hAnsi="Arial"/>
                <w:sz w:val="16"/>
                <w:szCs w:val="16"/>
                <w:color w:val="0000EE"/>
                <w:w w:val="86"/>
              </w:rPr>
            </w:pPr>
            <w:hyperlink w:anchor="page58">
              <w:r>
                <w:rPr>
                  <w:rFonts w:ascii="Arial" w:cs="Arial" w:eastAsia="Arial" w:hAnsi="Arial"/>
                  <w:sz w:val="16"/>
                  <w:szCs w:val="16"/>
                  <w:color w:val="0000EE"/>
                  <w:w w:val="86"/>
                </w:rPr>
                <w:t>Section 1350, as Adopted Pursuant to</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2"/>
          </w:tcPr>
          <w:p>
            <w:pPr>
              <w:spacing w:after="0" w:line="175" w:lineRule="exact"/>
              <w:rPr>
                <w:rFonts w:ascii="Arial" w:cs="Arial" w:eastAsia="Arial" w:hAnsi="Arial"/>
                <w:sz w:val="16"/>
                <w:szCs w:val="16"/>
                <w:color w:val="0000EE"/>
                <w:w w:val="99"/>
              </w:rPr>
            </w:pPr>
            <w:hyperlink w:anchor="page58">
              <w:r>
                <w:rPr>
                  <w:rFonts w:ascii="Arial" w:cs="Arial" w:eastAsia="Arial" w:hAnsi="Arial"/>
                  <w:sz w:val="16"/>
                  <w:szCs w:val="16"/>
                  <w:color w:val="0000EE"/>
                  <w:w w:val="99"/>
                </w:rPr>
                <w:t>Section 906 of the Sarbanes-Oxley</w:t>
              </w:r>
            </w:hyperlink>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0000EE"/>
              <w:bottom w:val="single" w:sz="8" w:color="0000EE"/>
            </w:tcBorders>
          </w:tcPr>
          <w:p>
            <w:pPr>
              <w:spacing w:after="0" w:line="175" w:lineRule="exact"/>
              <w:rPr>
                <w:rFonts w:ascii="Arial" w:cs="Arial" w:eastAsia="Arial" w:hAnsi="Arial"/>
                <w:sz w:val="16"/>
                <w:szCs w:val="16"/>
                <w:color w:val="0000EE"/>
                <w:w w:val="88"/>
              </w:rPr>
            </w:pPr>
            <w:hyperlink w:anchor="page58">
              <w:r>
                <w:rPr>
                  <w:rFonts w:ascii="Arial" w:cs="Arial" w:eastAsia="Arial" w:hAnsi="Arial"/>
                  <w:sz w:val="16"/>
                  <w:szCs w:val="16"/>
                  <w:color w:val="0000EE"/>
                  <w:w w:val="88"/>
                </w:rPr>
                <w:t>Act of 2002</w:t>
              </w:r>
            </w:hyperlink>
          </w:p>
        </w:tc>
        <w:tc>
          <w:tcPr>
            <w:tcW w:w="1440" w:type="dxa"/>
            <w:vAlign w:val="bottom"/>
            <w:tcBorders>
              <w:top w:val="single" w:sz="8" w:color="0000EE"/>
            </w:tcBorders>
            <w:gridSpan w:val="5"/>
          </w:tcPr>
          <w:p>
            <w:pPr>
              <w:spacing w:after="0"/>
              <w:rPr>
                <w:sz w:val="15"/>
                <w:szCs w:val="15"/>
                <w:color w:val="auto"/>
              </w:rPr>
            </w:pPr>
          </w:p>
        </w:tc>
        <w:tc>
          <w:tcPr>
            <w:tcW w:w="300" w:type="dxa"/>
            <w:vAlign w:val="bottom"/>
            <w:gridSpan w:val="6"/>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ind w:left="600"/>
              <w:spacing w:after="0" w:line="175" w:lineRule="exact"/>
              <w:rPr>
                <w:sz w:val="20"/>
                <w:szCs w:val="20"/>
                <w:color w:val="auto"/>
              </w:rPr>
            </w:pPr>
            <w:r>
              <w:rPr>
                <w:rFonts w:ascii="Arial" w:cs="Arial" w:eastAsia="Arial" w:hAnsi="Arial"/>
                <w:sz w:val="16"/>
                <w:szCs w:val="16"/>
                <w:color w:val="auto"/>
              </w:rPr>
              <w:t>X</w:t>
            </w:r>
          </w:p>
        </w:tc>
      </w:tr>
      <w:tr>
        <w:trPr>
          <w:trHeight w:val="203"/>
        </w:trPr>
        <w:tc>
          <w:tcPr>
            <w:tcW w:w="2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Inline XBRL Instance Document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600"/>
              <w:spacing w:after="0"/>
              <w:rPr>
                <w:sz w:val="20"/>
                <w:szCs w:val="20"/>
                <w:color w:val="auto"/>
              </w:rPr>
            </w:pPr>
            <w:r>
              <w:rPr>
                <w:rFonts w:ascii="Arial" w:cs="Arial" w:eastAsia="Arial" w:hAnsi="Arial"/>
                <w:sz w:val="16"/>
                <w:szCs w:val="16"/>
                <w:color w:val="auto"/>
              </w:rPr>
              <w:t>X</w:t>
            </w:r>
          </w:p>
        </w:tc>
      </w:tr>
      <w:tr>
        <w:trPr>
          <w:trHeight w:val="194"/>
        </w:trPr>
        <w:tc>
          <w:tcPr>
            <w:tcW w:w="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Inline XBRL Taxonomy Extension</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Schema Document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ind w:left="600"/>
              <w:spacing w:after="0"/>
              <w:rPr>
                <w:sz w:val="20"/>
                <w:szCs w:val="20"/>
                <w:color w:val="auto"/>
              </w:rPr>
            </w:pPr>
            <w:r>
              <w:rPr>
                <w:rFonts w:ascii="Arial" w:cs="Arial" w:eastAsia="Arial" w:hAnsi="Arial"/>
                <w:sz w:val="16"/>
                <w:szCs w:val="16"/>
                <w:color w:val="auto"/>
              </w:rPr>
              <w:t>X</w:t>
            </w:r>
          </w:p>
        </w:tc>
      </w:tr>
      <w:tr>
        <w:trPr>
          <w:trHeight w:val="194"/>
        </w:trPr>
        <w:tc>
          <w:tcPr>
            <w:tcW w:w="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Inline XBRL Taxonomy Extension</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Calculation Linkbase Document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ind w:left="600"/>
              <w:spacing w:after="0"/>
              <w:rPr>
                <w:sz w:val="20"/>
                <w:szCs w:val="20"/>
                <w:color w:val="auto"/>
              </w:rPr>
            </w:pPr>
            <w:r>
              <w:rPr>
                <w:rFonts w:ascii="Arial" w:cs="Arial" w:eastAsia="Arial" w:hAnsi="Arial"/>
                <w:sz w:val="16"/>
                <w:szCs w:val="16"/>
                <w:color w:val="auto"/>
              </w:rPr>
              <w:t>X</w:t>
            </w:r>
          </w:p>
        </w:tc>
      </w:tr>
      <w:tr>
        <w:trPr>
          <w:trHeight w:val="194"/>
        </w:trPr>
        <w:tc>
          <w:tcPr>
            <w:tcW w:w="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Inline XBRL Taxonomy Extension</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Definition Linkbase Document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ind w:left="600"/>
              <w:spacing w:after="0"/>
              <w:rPr>
                <w:sz w:val="20"/>
                <w:szCs w:val="20"/>
                <w:color w:val="auto"/>
              </w:rPr>
            </w:pPr>
            <w:r>
              <w:rPr>
                <w:rFonts w:ascii="Arial" w:cs="Arial" w:eastAsia="Arial" w:hAnsi="Arial"/>
                <w:sz w:val="16"/>
                <w:szCs w:val="16"/>
                <w:color w:val="auto"/>
              </w:rPr>
              <w:t>X</w:t>
            </w:r>
          </w:p>
        </w:tc>
      </w:tr>
      <w:tr>
        <w:trPr>
          <w:trHeight w:val="194"/>
        </w:trPr>
        <w:tc>
          <w:tcPr>
            <w:tcW w:w="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Inline XBRL Taxonomy Extension</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Label Linkbase Document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ind w:left="600"/>
              <w:spacing w:after="0"/>
              <w:rPr>
                <w:sz w:val="20"/>
                <w:szCs w:val="20"/>
                <w:color w:val="auto"/>
              </w:rPr>
            </w:pPr>
            <w:r>
              <w:rPr>
                <w:rFonts w:ascii="Arial" w:cs="Arial" w:eastAsia="Arial" w:hAnsi="Arial"/>
                <w:sz w:val="16"/>
                <w:szCs w:val="16"/>
                <w:color w:val="auto"/>
              </w:rPr>
              <w:t>X</w:t>
            </w:r>
          </w:p>
        </w:tc>
      </w:tr>
      <w:tr>
        <w:trPr>
          <w:trHeight w:val="194"/>
        </w:trPr>
        <w:tc>
          <w:tcPr>
            <w:tcW w:w="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6"/>
                <w:szCs w:val="16"/>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Inline XBRL Taxonomy Extension</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12"/>
          </w:tcPr>
          <w:p>
            <w:pPr>
              <w:spacing w:after="0"/>
              <w:rPr>
                <w:sz w:val="20"/>
                <w:szCs w:val="20"/>
                <w:color w:val="auto"/>
              </w:rPr>
            </w:pPr>
            <w:r>
              <w:rPr>
                <w:rFonts w:ascii="Arial" w:cs="Arial" w:eastAsia="Arial" w:hAnsi="Arial"/>
                <w:sz w:val="16"/>
                <w:szCs w:val="16"/>
                <w:color w:val="auto"/>
              </w:rPr>
              <w:t>Presentation Linkbase Document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600"/>
              <w:spacing w:after="0"/>
              <w:rPr>
                <w:sz w:val="20"/>
                <w:szCs w:val="20"/>
                <w:color w:val="auto"/>
              </w:rPr>
            </w:pPr>
            <w:r>
              <w:rPr>
                <w:rFonts w:ascii="Arial" w:cs="Arial" w:eastAsia="Arial" w:hAnsi="Arial"/>
                <w:sz w:val="16"/>
                <w:szCs w:val="16"/>
                <w:color w:val="auto"/>
              </w:rPr>
              <w:t>X</w:t>
            </w:r>
          </w:p>
        </w:tc>
      </w:tr>
    </w:tbl>
    <w:p>
      <w:pPr>
        <w:ind w:left="1240" w:right="5820" w:hanging="1227"/>
        <w:spacing w:after="0" w:line="314" w:lineRule="auto"/>
        <w:tabs>
          <w:tab w:leader="none" w:pos="1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344805</wp:posOffset>
            </wp:positionV>
            <wp:extent cx="565594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5945" cy="24765"/>
                    </a:xfrm>
                    <a:prstGeom prst="rect">
                      <a:avLst/>
                    </a:prstGeom>
                    <a:noFill/>
                  </pic:spPr>
                </pic:pic>
              </a:graphicData>
            </a:graphic>
          </wp:anchor>
        </w:drawing>
      </w:r>
    </w:p>
    <w:p>
      <w:pPr>
        <w:sectPr>
          <w:pgSz w:w="11900" w:h="16838" w:orient="portrait"/>
          <w:cols w:equalWidth="0" w:num="1">
            <w:col w:w="9100"/>
          </w:cols>
          <w:pgMar w:left="1380" w:top="503" w:right="1419" w:bottom="1440" w:gutter="0" w:footer="0" w:header="0"/>
        </w:sectPr>
      </w:pPr>
    </w:p>
    <w:bookmarkStart w:id="53" w:name="page54"/>
    <w:bookmarkEnd w:id="5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left="40" w:right="339" w:firstLine="622"/>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2900" w:type="dxa"/>
            <w:vAlign w:val="bottom"/>
          </w:tcPr>
          <w:p>
            <w:pPr>
              <w:spacing w:after="0"/>
              <w:rPr>
                <w:sz w:val="19"/>
                <w:szCs w:val="19"/>
                <w:color w:val="auto"/>
              </w:rPr>
            </w:pPr>
          </w:p>
        </w:tc>
        <w:tc>
          <w:tcPr>
            <w:tcW w:w="6000" w:type="dxa"/>
            <w:vAlign w:val="bottom"/>
            <w:gridSpan w:val="2"/>
          </w:tcPr>
          <w:p>
            <w:pPr>
              <w:ind w:left="1520"/>
              <w:spacing w:after="0"/>
              <w:rPr>
                <w:sz w:val="20"/>
                <w:szCs w:val="20"/>
                <w:color w:val="auto"/>
              </w:rPr>
            </w:pPr>
            <w:r>
              <w:rPr>
                <w:rFonts w:ascii="Arial" w:cs="Arial" w:eastAsia="Arial" w:hAnsi="Arial"/>
                <w:sz w:val="17"/>
                <w:szCs w:val="17"/>
                <w:color w:val="auto"/>
              </w:rPr>
              <w:t>Vertex, Inc.</w:t>
            </w:r>
          </w:p>
        </w:tc>
      </w:tr>
      <w:tr>
        <w:trPr>
          <w:trHeight w:val="415"/>
        </w:trPr>
        <w:tc>
          <w:tcPr>
            <w:tcW w:w="2900" w:type="dxa"/>
            <w:vAlign w:val="bottom"/>
          </w:tcPr>
          <w:p>
            <w:pPr>
              <w:spacing w:after="0"/>
              <w:rPr>
                <w:sz w:val="20"/>
                <w:szCs w:val="20"/>
                <w:color w:val="auto"/>
              </w:rPr>
            </w:pPr>
            <w:r>
              <w:rPr>
                <w:rFonts w:ascii="Arial" w:cs="Arial" w:eastAsia="Arial" w:hAnsi="Arial"/>
                <w:sz w:val="17"/>
                <w:szCs w:val="17"/>
                <w:color w:val="auto"/>
              </w:rPr>
              <w:t>Date: May 13, 2021</w:t>
            </w:r>
          </w:p>
        </w:tc>
        <w:tc>
          <w:tcPr>
            <w:tcW w:w="6000" w:type="dxa"/>
            <w:vAlign w:val="bottom"/>
            <w:gridSpan w:val="2"/>
          </w:tcPr>
          <w:p>
            <w:pPr>
              <w:ind w:left="1520"/>
              <w:spacing w:after="0"/>
              <w:rPr>
                <w:sz w:val="20"/>
                <w:szCs w:val="20"/>
                <w:color w:val="auto"/>
              </w:rPr>
            </w:pPr>
            <w:r>
              <w:rPr>
                <w:rFonts w:ascii="Arial" w:cs="Arial" w:eastAsia="Arial" w:hAnsi="Arial"/>
                <w:sz w:val="17"/>
                <w:szCs w:val="17"/>
                <w:color w:val="auto"/>
              </w:rPr>
              <w:t>By:/s/ David DeStefano</w:t>
            </w:r>
          </w:p>
        </w:tc>
      </w:tr>
      <w:tr>
        <w:trPr>
          <w:trHeight w:val="188"/>
        </w:trPr>
        <w:tc>
          <w:tcPr>
            <w:tcW w:w="2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2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David DeStefano</w:t>
            </w:r>
          </w:p>
        </w:tc>
      </w:tr>
      <w:tr>
        <w:trPr>
          <w:trHeight w:val="207"/>
        </w:trPr>
        <w:tc>
          <w:tcPr>
            <w:tcW w:w="2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i w:val="1"/>
                <w:iCs w:val="1"/>
                <w:color w:val="auto"/>
              </w:rPr>
              <w:t>President, Chief Executive Officer and Chairperson</w:t>
            </w:r>
          </w:p>
        </w:tc>
      </w:tr>
      <w:tr>
        <w:trPr>
          <w:trHeight w:val="220"/>
        </w:trPr>
        <w:tc>
          <w:tcPr>
            <w:tcW w:w="2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i w:val="1"/>
                <w:iCs w:val="1"/>
                <w:color w:val="auto"/>
              </w:rPr>
              <w:t>(principal executive officer)</w:t>
            </w:r>
          </w:p>
        </w:tc>
      </w:tr>
      <w:tr>
        <w:trPr>
          <w:trHeight w:val="415"/>
        </w:trPr>
        <w:tc>
          <w:tcPr>
            <w:tcW w:w="2900" w:type="dxa"/>
            <w:vAlign w:val="bottom"/>
          </w:tcPr>
          <w:p>
            <w:pPr>
              <w:spacing w:after="0"/>
              <w:rPr>
                <w:sz w:val="20"/>
                <w:szCs w:val="20"/>
                <w:color w:val="auto"/>
              </w:rPr>
            </w:pPr>
            <w:r>
              <w:rPr>
                <w:rFonts w:ascii="Arial" w:cs="Arial" w:eastAsia="Arial" w:hAnsi="Arial"/>
                <w:sz w:val="17"/>
                <w:szCs w:val="17"/>
                <w:color w:val="auto"/>
              </w:rPr>
              <w:t>Date: May 13, 2021</w:t>
            </w:r>
          </w:p>
        </w:tc>
        <w:tc>
          <w:tcPr>
            <w:tcW w:w="6000" w:type="dxa"/>
            <w:vAlign w:val="bottom"/>
            <w:gridSpan w:val="2"/>
          </w:tcPr>
          <w:p>
            <w:pPr>
              <w:ind w:left="1520"/>
              <w:spacing w:after="0"/>
              <w:rPr>
                <w:sz w:val="20"/>
                <w:szCs w:val="20"/>
                <w:color w:val="auto"/>
              </w:rPr>
            </w:pPr>
            <w:r>
              <w:rPr>
                <w:rFonts w:ascii="Arial" w:cs="Arial" w:eastAsia="Arial" w:hAnsi="Arial"/>
                <w:sz w:val="17"/>
                <w:szCs w:val="17"/>
                <w:color w:val="auto"/>
              </w:rPr>
              <w:t>By:/s/ John Schwab</w:t>
            </w:r>
          </w:p>
        </w:tc>
      </w:tr>
      <w:tr>
        <w:trPr>
          <w:trHeight w:val="188"/>
        </w:trPr>
        <w:tc>
          <w:tcPr>
            <w:tcW w:w="2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2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John Schwab</w:t>
            </w:r>
          </w:p>
        </w:tc>
      </w:tr>
      <w:tr>
        <w:trPr>
          <w:trHeight w:val="220"/>
        </w:trPr>
        <w:tc>
          <w:tcPr>
            <w:tcW w:w="2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344805</wp:posOffset>
            </wp:positionV>
            <wp:extent cx="565594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David DeStefano, certify that:</w:t>
      </w:r>
    </w:p>
    <w:p>
      <w:pPr>
        <w:spacing w:after="0" w:line="219" w:lineRule="exact"/>
        <w:rPr>
          <w:sz w:val="20"/>
          <w:szCs w:val="20"/>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Vertex, Inc.;</w:t>
      </w:r>
    </w:p>
    <w:p>
      <w:pPr>
        <w:spacing w:after="0" w:line="219" w:lineRule="exact"/>
        <w:rPr>
          <w:rFonts w:ascii="Arial" w:cs="Arial" w:eastAsia="Arial" w:hAnsi="Arial"/>
          <w:sz w:val="17"/>
          <w:szCs w:val="17"/>
          <w:color w:val="auto"/>
        </w:rPr>
      </w:pPr>
    </w:p>
    <w:p>
      <w:pPr>
        <w:jc w:val="both"/>
        <w:ind w:left="620" w:hanging="304"/>
        <w:spacing w:after="0" w:line="26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jc w:val="both"/>
        <w:ind w:left="620" w:hanging="304"/>
        <w:spacing w:after="0" w:line="26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ind w:left="620" w:hanging="304"/>
        <w:spacing w:after="0" w:line="284"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Arial" w:cs="Arial" w:eastAsia="Arial" w:hAnsi="Arial"/>
          <w:sz w:val="17"/>
          <w:szCs w:val="17"/>
          <w:color w:val="auto"/>
        </w:rPr>
      </w:pPr>
    </w:p>
    <w:p>
      <w:pPr>
        <w:jc w:val="both"/>
        <w:ind w:left="1240" w:hanging="302"/>
        <w:spacing w:after="0" w:line="294"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6"/>
          <w:szCs w:val="16"/>
          <w:color w:val="auto"/>
        </w:rPr>
      </w:pPr>
    </w:p>
    <w:p>
      <w:pPr>
        <w:jc w:val="both"/>
        <w:ind w:left="1240" w:hanging="302"/>
        <w:spacing w:after="0" w:line="269"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jc w:val="both"/>
        <w:ind w:left="1240" w:hanging="302"/>
        <w:spacing w:after="0" w:line="294"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6"/>
          <w:szCs w:val="16"/>
          <w:color w:val="auto"/>
        </w:rPr>
      </w:pPr>
    </w:p>
    <w:p>
      <w:pPr>
        <w:jc w:val="both"/>
        <w:ind w:left="620" w:hanging="304"/>
        <w:spacing w:after="0" w:line="26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jc w:val="both"/>
        <w:ind w:left="1240" w:hanging="302"/>
        <w:spacing w:after="0" w:line="269"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1240" w:hanging="302"/>
        <w:spacing w:after="0" w:line="284"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4960" w:val="left"/>
        </w:tabs>
        <w:rPr>
          <w:sz w:val="20"/>
          <w:szCs w:val="20"/>
          <w:color w:val="auto"/>
        </w:rPr>
      </w:pPr>
      <w:r>
        <w:rPr>
          <w:rFonts w:ascii="Arial" w:cs="Arial" w:eastAsia="Arial" w:hAnsi="Arial"/>
          <w:sz w:val="17"/>
          <w:szCs w:val="17"/>
          <w:color w:val="auto"/>
        </w:rPr>
        <w:t>Date: May 13, 2021</w:t>
      </w:r>
      <w:r>
        <w:rPr>
          <w:sz w:val="20"/>
          <w:szCs w:val="20"/>
          <w:color w:val="auto"/>
        </w:rPr>
        <w:tab/>
      </w:r>
      <w:r>
        <w:rPr>
          <w:rFonts w:ascii="Arial" w:cs="Arial" w:eastAsia="Arial" w:hAnsi="Arial"/>
          <w:sz w:val="15"/>
          <w:szCs w:val="15"/>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15240</wp:posOffset>
            </wp:positionV>
            <wp:extent cx="2955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55290" cy="8255"/>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David DeStefano</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Chief Executive Officer</w:t>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468630</wp:posOffset>
            </wp:positionV>
            <wp:extent cx="629793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7930"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John Schwab, certify that:</w:t>
      </w:r>
    </w:p>
    <w:p>
      <w:pPr>
        <w:spacing w:after="0" w:line="219" w:lineRule="exact"/>
        <w:rPr>
          <w:sz w:val="20"/>
          <w:szCs w:val="20"/>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Vertex, Inc.;</w:t>
      </w:r>
    </w:p>
    <w:p>
      <w:pPr>
        <w:spacing w:after="0" w:line="232" w:lineRule="exact"/>
        <w:rPr>
          <w:rFonts w:ascii="Arial" w:cs="Arial" w:eastAsia="Arial" w:hAnsi="Arial"/>
          <w:sz w:val="17"/>
          <w:szCs w:val="17"/>
          <w:color w:val="auto"/>
        </w:rPr>
      </w:pPr>
    </w:p>
    <w:p>
      <w:pPr>
        <w:jc w:val="both"/>
        <w:ind w:left="620" w:hanging="304"/>
        <w:spacing w:after="0" w:line="269"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7"/>
          <w:szCs w:val="17"/>
          <w:color w:val="auto"/>
        </w:rPr>
      </w:pPr>
    </w:p>
    <w:p>
      <w:pPr>
        <w:jc w:val="both"/>
        <w:ind w:left="620" w:hanging="304"/>
        <w:spacing w:after="0" w:line="269"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620" w:hanging="304"/>
        <w:spacing w:after="0" w:line="284"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72" w:lineRule="exact"/>
        <w:rPr>
          <w:rFonts w:ascii="Arial" w:cs="Arial" w:eastAsia="Arial" w:hAnsi="Arial"/>
          <w:sz w:val="17"/>
          <w:szCs w:val="17"/>
          <w:color w:val="auto"/>
        </w:rPr>
      </w:pPr>
    </w:p>
    <w:p>
      <w:pPr>
        <w:jc w:val="both"/>
        <w:ind w:left="1240" w:hanging="302"/>
        <w:spacing w:after="0" w:line="294"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6"/>
          <w:szCs w:val="16"/>
          <w:color w:val="auto"/>
        </w:rPr>
      </w:pPr>
    </w:p>
    <w:p>
      <w:pPr>
        <w:jc w:val="both"/>
        <w:ind w:left="1240" w:hanging="302"/>
        <w:spacing w:after="0" w:line="269" w:lineRule="auto"/>
        <w:tabs>
          <w:tab w:leader="none" w:pos="1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7"/>
          <w:szCs w:val="17"/>
          <w:color w:val="auto"/>
        </w:rPr>
      </w:pPr>
    </w:p>
    <w:p>
      <w:pPr>
        <w:jc w:val="both"/>
        <w:ind w:left="1240" w:hanging="302"/>
        <w:spacing w:after="0" w:line="294"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jc w:val="both"/>
        <w:ind w:left="620" w:hanging="304"/>
        <w:spacing w:after="0" w:line="269"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7"/>
          <w:szCs w:val="17"/>
          <w:color w:val="auto"/>
        </w:rPr>
      </w:pPr>
    </w:p>
    <w:p>
      <w:pPr>
        <w:jc w:val="both"/>
        <w:ind w:left="1240" w:hanging="302"/>
        <w:spacing w:after="0" w:line="269" w:lineRule="auto"/>
        <w:tabs>
          <w:tab w:leader="none" w:pos="1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240" w:hanging="302"/>
        <w:spacing w:after="0" w:line="284" w:lineRule="auto"/>
        <w:tabs>
          <w:tab w:leader="none" w:pos="1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60" w:val="left"/>
        </w:tabs>
        <w:rPr>
          <w:sz w:val="20"/>
          <w:szCs w:val="20"/>
          <w:color w:val="auto"/>
        </w:rPr>
      </w:pPr>
      <w:r>
        <w:rPr>
          <w:rFonts w:ascii="Arial" w:cs="Arial" w:eastAsia="Arial" w:hAnsi="Arial"/>
          <w:sz w:val="17"/>
          <w:szCs w:val="17"/>
          <w:color w:val="auto"/>
        </w:rPr>
        <w:t>Date: May 13, 2021</w:t>
      </w:r>
      <w:r>
        <w:rPr>
          <w:sz w:val="20"/>
          <w:szCs w:val="20"/>
          <w:color w:val="auto"/>
        </w:rPr>
        <w:tab/>
      </w:r>
      <w:r>
        <w:rPr>
          <w:rFonts w:ascii="Arial" w:cs="Arial" w:eastAsia="Arial" w:hAnsi="Arial"/>
          <w:sz w:val="15"/>
          <w:szCs w:val="15"/>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15240</wp:posOffset>
            </wp:positionV>
            <wp:extent cx="2955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55290" cy="8255"/>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John Schwab</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Chief Financial Officer</w:t>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468630</wp:posOffset>
            </wp:positionV>
            <wp:extent cx="629793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7930"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2"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firstLine="622"/>
        <w:spacing w:after="0" w:line="297" w:lineRule="auto"/>
        <w:rPr>
          <w:sz w:val="20"/>
          <w:szCs w:val="20"/>
          <w:color w:val="auto"/>
        </w:rPr>
      </w:pPr>
      <w:r>
        <w:rPr>
          <w:rFonts w:ascii="Arial" w:cs="Arial" w:eastAsia="Arial" w:hAnsi="Arial"/>
          <w:sz w:val="15"/>
          <w:szCs w:val="15"/>
          <w:color w:val="auto"/>
        </w:rPr>
        <w:t>In connection with the Quarterly Report on Form 10-Q of Vertex, Inc. (the “Company”) for the period ended March 31, 2021 as filed with the Securities and Exchange Commission on the date hereof (the “Report”), I certify, pursuant to 18 U.S.C. § 1350, as adopted pursuant to</w:t>
      </w:r>
    </w:p>
    <w:p>
      <w:pPr>
        <w:spacing w:after="0" w:line="1" w:lineRule="exact"/>
        <w:rPr>
          <w:sz w:val="20"/>
          <w:szCs w:val="20"/>
          <w:color w:val="auto"/>
        </w:rPr>
      </w:pPr>
    </w:p>
    <w:p>
      <w:pPr>
        <w:ind w:left="140" w:hanging="135"/>
        <w:spacing w:after="0"/>
        <w:tabs>
          <w:tab w:leader="none" w:pos="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906 of the Sarbanes-Oxley Act of 2002, that:</w:t>
      </w:r>
    </w:p>
    <w:p>
      <w:pPr>
        <w:spacing w:after="0" w:line="232" w:lineRule="exact"/>
        <w:rPr>
          <w:rFonts w:ascii="Arial" w:cs="Arial" w:eastAsia="Arial" w:hAnsi="Arial"/>
          <w:sz w:val="17"/>
          <w:szCs w:val="17"/>
          <w:color w:val="auto"/>
        </w:rPr>
      </w:pPr>
    </w:p>
    <w:p>
      <w:pPr>
        <w:ind w:left="1240" w:right="580" w:hanging="302"/>
        <w:spacing w:after="0" w:line="284" w:lineRule="auto"/>
        <w:tabs>
          <w:tab w:leader="none" w:pos="12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5" w:lineRule="exact"/>
        <w:rPr>
          <w:rFonts w:ascii="Arial" w:cs="Arial" w:eastAsia="Arial" w:hAnsi="Arial"/>
          <w:sz w:val="17"/>
          <w:szCs w:val="17"/>
          <w:color w:val="auto"/>
        </w:rPr>
      </w:pPr>
    </w:p>
    <w:p>
      <w:pPr>
        <w:ind w:left="1240" w:right="600" w:hanging="302"/>
        <w:spacing w:after="0" w:line="284" w:lineRule="auto"/>
        <w:tabs>
          <w:tab w:leader="none" w:pos="12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Arial" w:cs="Arial" w:eastAsia="Arial" w:hAnsi="Arial"/>
                <w:sz w:val="17"/>
                <w:szCs w:val="17"/>
                <w:color w:val="auto"/>
              </w:rPr>
              <w:t>Date: May 13, 2021</w:t>
            </w:r>
          </w:p>
        </w:tc>
        <w:tc>
          <w:tcPr>
            <w:tcW w:w="6760" w:type="dxa"/>
            <w:vAlign w:val="bottom"/>
            <w:gridSpan w:val="2"/>
          </w:tcPr>
          <w:p>
            <w:pPr>
              <w:ind w:left="1780"/>
              <w:spacing w:after="0"/>
              <w:rPr>
                <w:sz w:val="20"/>
                <w:szCs w:val="20"/>
                <w:color w:val="auto"/>
              </w:rPr>
            </w:pPr>
            <w:r>
              <w:rPr>
                <w:rFonts w:ascii="Arial" w:cs="Arial" w:eastAsia="Arial" w:hAnsi="Arial"/>
                <w:sz w:val="17"/>
                <w:szCs w:val="17"/>
                <w:color w:val="auto"/>
              </w:rPr>
              <w:t>By: /s/ David DeStefano</w:t>
            </w:r>
          </w:p>
        </w:tc>
      </w:tr>
      <w:tr>
        <w:trPr>
          <w:trHeight w:val="175"/>
        </w:trPr>
        <w:tc>
          <w:tcPr>
            <w:tcW w:w="3160" w:type="dxa"/>
            <w:vAlign w:val="bottom"/>
          </w:tcPr>
          <w:p>
            <w:pPr>
              <w:spacing w:after="0"/>
              <w:rPr>
                <w:sz w:val="15"/>
                <w:szCs w:val="15"/>
                <w:color w:val="auto"/>
              </w:rPr>
            </w:pPr>
          </w:p>
        </w:tc>
        <w:tc>
          <w:tcPr>
            <w:tcW w:w="2120" w:type="dxa"/>
            <w:vAlign w:val="bottom"/>
          </w:tcPr>
          <w:p>
            <w:pPr>
              <w:ind w:left="1780"/>
              <w:spacing w:after="0" w:line="175" w:lineRule="exact"/>
              <w:rPr>
                <w:sz w:val="20"/>
                <w:szCs w:val="20"/>
                <w:color w:val="auto"/>
              </w:rPr>
            </w:pPr>
            <w:r>
              <w:rPr>
                <w:rFonts w:ascii="Arial" w:cs="Arial" w:eastAsia="Arial" w:hAnsi="Arial"/>
                <w:sz w:val="17"/>
                <w:szCs w:val="17"/>
                <w:color w:val="auto"/>
                <w:w w:val="73"/>
              </w:rPr>
              <w:t>David</w:t>
            </w:r>
          </w:p>
        </w:tc>
        <w:tc>
          <w:tcPr>
            <w:tcW w:w="4640" w:type="dxa"/>
            <w:vAlign w:val="bottom"/>
            <w:tcBorders>
              <w:top w:val="single" w:sz="8" w:color="auto"/>
            </w:tcBorders>
          </w:tcPr>
          <w:p>
            <w:pPr>
              <w:ind w:left="120"/>
              <w:spacing w:after="0" w:line="175" w:lineRule="exact"/>
              <w:rPr>
                <w:sz w:val="20"/>
                <w:szCs w:val="20"/>
                <w:color w:val="auto"/>
              </w:rPr>
            </w:pPr>
            <w:r>
              <w:rPr>
                <w:rFonts w:ascii="Arial" w:cs="Arial" w:eastAsia="Arial" w:hAnsi="Arial"/>
                <w:sz w:val="17"/>
                <w:szCs w:val="17"/>
                <w:color w:val="auto"/>
              </w:rPr>
              <w:t>DeStefano</w:t>
            </w:r>
          </w:p>
        </w:tc>
      </w:tr>
      <w:tr>
        <w:trPr>
          <w:trHeight w:val="207"/>
        </w:trPr>
        <w:tc>
          <w:tcPr>
            <w:tcW w:w="3160" w:type="dxa"/>
            <w:vAlign w:val="bottom"/>
          </w:tcPr>
          <w:p>
            <w:pPr>
              <w:spacing w:after="0"/>
              <w:rPr>
                <w:sz w:val="18"/>
                <w:szCs w:val="18"/>
                <w:color w:val="auto"/>
              </w:rPr>
            </w:pPr>
          </w:p>
        </w:tc>
        <w:tc>
          <w:tcPr>
            <w:tcW w:w="6760" w:type="dxa"/>
            <w:vAlign w:val="bottom"/>
            <w:gridSpan w:val="2"/>
          </w:tcPr>
          <w:p>
            <w:pPr>
              <w:ind w:left="1780"/>
              <w:spacing w:after="0"/>
              <w:rPr>
                <w:sz w:val="20"/>
                <w:szCs w:val="20"/>
                <w:color w:val="auto"/>
              </w:rPr>
            </w:pPr>
            <w:r>
              <w:rPr>
                <w:rFonts w:ascii="Arial" w:cs="Arial" w:eastAsia="Arial" w:hAnsi="Arial"/>
                <w:sz w:val="17"/>
                <w:szCs w:val="17"/>
                <w:color w:val="auto"/>
              </w:rPr>
              <w:t>Chief Executive Officer</w:t>
            </w:r>
          </w:p>
        </w:tc>
      </w:tr>
      <w:tr>
        <w:trPr>
          <w:trHeight w:val="220"/>
        </w:trPr>
        <w:tc>
          <w:tcPr>
            <w:tcW w:w="3160" w:type="dxa"/>
            <w:vAlign w:val="bottom"/>
          </w:tcPr>
          <w:p>
            <w:pPr>
              <w:spacing w:after="0"/>
              <w:rPr>
                <w:sz w:val="19"/>
                <w:szCs w:val="19"/>
                <w:color w:val="auto"/>
              </w:rPr>
            </w:pPr>
          </w:p>
        </w:tc>
        <w:tc>
          <w:tcPr>
            <w:tcW w:w="6760" w:type="dxa"/>
            <w:vAlign w:val="bottom"/>
            <w:gridSpan w:val="2"/>
          </w:tcPr>
          <w:p>
            <w:pPr>
              <w:ind w:left="1780"/>
              <w:spacing w:after="0"/>
              <w:rPr>
                <w:sz w:val="20"/>
                <w:szCs w:val="20"/>
                <w:color w:val="auto"/>
              </w:rPr>
            </w:pPr>
            <w:r>
              <w:rPr>
                <w:rFonts w:ascii="Arial" w:cs="Arial" w:eastAsia="Arial" w:hAnsi="Arial"/>
                <w:sz w:val="17"/>
                <w:szCs w:val="17"/>
                <w:i w:val="1"/>
                <w:iCs w:val="1"/>
                <w:color w:val="auto"/>
              </w:rPr>
              <w:t>(principal executive officer)</w:t>
            </w:r>
          </w:p>
        </w:tc>
      </w:tr>
      <w:tr>
        <w:trPr>
          <w:trHeight w:val="745"/>
        </w:trPr>
        <w:tc>
          <w:tcPr>
            <w:tcW w:w="3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2"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firstLine="622"/>
        <w:spacing w:after="0" w:line="297" w:lineRule="auto"/>
        <w:rPr>
          <w:sz w:val="20"/>
          <w:szCs w:val="20"/>
          <w:color w:val="auto"/>
        </w:rPr>
      </w:pPr>
      <w:r>
        <w:rPr>
          <w:rFonts w:ascii="Arial" w:cs="Arial" w:eastAsia="Arial" w:hAnsi="Arial"/>
          <w:sz w:val="15"/>
          <w:szCs w:val="15"/>
          <w:color w:val="auto"/>
        </w:rPr>
        <w:t>In connection with the Quarterly Report on Form 10-Q of Vertex, Inc. (the “Company”) for the period ended March 31, 2021 as filed with the Securities and Exchange Commission on the date hereof (the “Report”), I certify, pursuant to 18 U.S.C. § 1350, as adopted pursuant to</w:t>
      </w:r>
    </w:p>
    <w:p>
      <w:pPr>
        <w:spacing w:after="0" w:line="1" w:lineRule="exact"/>
        <w:rPr>
          <w:sz w:val="20"/>
          <w:szCs w:val="20"/>
          <w:color w:val="auto"/>
        </w:rPr>
      </w:pPr>
    </w:p>
    <w:p>
      <w:pPr>
        <w:ind w:left="140" w:hanging="135"/>
        <w:spacing w:after="0"/>
        <w:tabs>
          <w:tab w:leader="none" w:pos="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906 of the Sarbanes-Oxley Act of 2002, that:</w:t>
      </w:r>
    </w:p>
    <w:p>
      <w:pPr>
        <w:spacing w:after="0" w:line="232" w:lineRule="exact"/>
        <w:rPr>
          <w:rFonts w:ascii="Arial" w:cs="Arial" w:eastAsia="Arial" w:hAnsi="Arial"/>
          <w:sz w:val="17"/>
          <w:szCs w:val="17"/>
          <w:color w:val="auto"/>
        </w:rPr>
      </w:pPr>
    </w:p>
    <w:p>
      <w:pPr>
        <w:ind w:left="1240" w:hanging="302"/>
        <w:spacing w:after="0" w:line="284" w:lineRule="auto"/>
        <w:tabs>
          <w:tab w:leader="none" w:pos="12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5" w:lineRule="exact"/>
        <w:rPr>
          <w:rFonts w:ascii="Arial" w:cs="Arial" w:eastAsia="Arial" w:hAnsi="Arial"/>
          <w:sz w:val="17"/>
          <w:szCs w:val="17"/>
          <w:color w:val="auto"/>
        </w:rPr>
      </w:pPr>
    </w:p>
    <w:p>
      <w:pPr>
        <w:ind w:left="1240" w:hanging="302"/>
        <w:spacing w:after="0" w:line="284" w:lineRule="auto"/>
        <w:tabs>
          <w:tab w:leader="none" w:pos="12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Arial" w:cs="Arial" w:eastAsia="Arial" w:hAnsi="Arial"/>
                <w:sz w:val="17"/>
                <w:szCs w:val="17"/>
                <w:color w:val="auto"/>
              </w:rPr>
              <w:t>Date: March 31, 2021</w:t>
            </w:r>
          </w:p>
        </w:tc>
        <w:tc>
          <w:tcPr>
            <w:tcW w:w="6680" w:type="dxa"/>
            <w:vAlign w:val="bottom"/>
            <w:gridSpan w:val="2"/>
          </w:tcPr>
          <w:p>
            <w:pPr>
              <w:ind w:left="1740"/>
              <w:spacing w:after="0"/>
              <w:rPr>
                <w:sz w:val="20"/>
                <w:szCs w:val="20"/>
                <w:color w:val="auto"/>
              </w:rPr>
            </w:pPr>
            <w:r>
              <w:rPr>
                <w:rFonts w:ascii="Arial" w:cs="Arial" w:eastAsia="Arial" w:hAnsi="Arial"/>
                <w:sz w:val="17"/>
                <w:szCs w:val="17"/>
                <w:color w:val="auto"/>
              </w:rPr>
              <w:t>By: /s/ John Schwab</w:t>
            </w:r>
          </w:p>
        </w:tc>
      </w:tr>
      <w:tr>
        <w:trPr>
          <w:trHeight w:val="175"/>
        </w:trPr>
        <w:tc>
          <w:tcPr>
            <w:tcW w:w="3240" w:type="dxa"/>
            <w:vAlign w:val="bottom"/>
          </w:tcPr>
          <w:p>
            <w:pPr>
              <w:spacing w:after="0"/>
              <w:rPr>
                <w:sz w:val="15"/>
                <w:szCs w:val="15"/>
                <w:color w:val="auto"/>
              </w:rPr>
            </w:pPr>
          </w:p>
        </w:tc>
        <w:tc>
          <w:tcPr>
            <w:tcW w:w="2020" w:type="dxa"/>
            <w:vAlign w:val="bottom"/>
          </w:tcPr>
          <w:p>
            <w:pPr>
              <w:ind w:left="1740"/>
              <w:spacing w:after="0" w:line="175" w:lineRule="exact"/>
              <w:rPr>
                <w:sz w:val="20"/>
                <w:szCs w:val="20"/>
                <w:color w:val="auto"/>
              </w:rPr>
            </w:pPr>
            <w:r>
              <w:rPr>
                <w:rFonts w:ascii="Arial" w:cs="Arial" w:eastAsia="Arial" w:hAnsi="Arial"/>
                <w:sz w:val="17"/>
                <w:szCs w:val="17"/>
                <w:color w:val="auto"/>
                <w:w w:val="70"/>
              </w:rPr>
              <w:t>John</w:t>
            </w:r>
          </w:p>
        </w:tc>
        <w:tc>
          <w:tcPr>
            <w:tcW w:w="4660" w:type="dxa"/>
            <w:vAlign w:val="bottom"/>
            <w:tcBorders>
              <w:top w:val="single" w:sz="8" w:color="auto"/>
            </w:tcBorders>
          </w:tcPr>
          <w:p>
            <w:pPr>
              <w:ind w:left="80"/>
              <w:spacing w:after="0" w:line="175" w:lineRule="exact"/>
              <w:rPr>
                <w:sz w:val="20"/>
                <w:szCs w:val="20"/>
                <w:color w:val="auto"/>
              </w:rPr>
            </w:pPr>
            <w:r>
              <w:rPr>
                <w:rFonts w:ascii="Arial" w:cs="Arial" w:eastAsia="Arial" w:hAnsi="Arial"/>
                <w:sz w:val="17"/>
                <w:szCs w:val="17"/>
                <w:color w:val="auto"/>
              </w:rPr>
              <w:t>Schwab</w:t>
            </w:r>
          </w:p>
        </w:tc>
      </w:tr>
      <w:tr>
        <w:trPr>
          <w:trHeight w:val="207"/>
        </w:trPr>
        <w:tc>
          <w:tcPr>
            <w:tcW w:w="3240" w:type="dxa"/>
            <w:vAlign w:val="bottom"/>
          </w:tcPr>
          <w:p>
            <w:pPr>
              <w:spacing w:after="0"/>
              <w:rPr>
                <w:sz w:val="18"/>
                <w:szCs w:val="18"/>
                <w:color w:val="auto"/>
              </w:rPr>
            </w:pPr>
          </w:p>
        </w:tc>
        <w:tc>
          <w:tcPr>
            <w:tcW w:w="6680" w:type="dxa"/>
            <w:vAlign w:val="bottom"/>
            <w:gridSpan w:val="2"/>
          </w:tcPr>
          <w:p>
            <w:pPr>
              <w:ind w:left="1740"/>
              <w:spacing w:after="0"/>
              <w:rPr>
                <w:sz w:val="20"/>
                <w:szCs w:val="20"/>
                <w:color w:val="auto"/>
              </w:rPr>
            </w:pPr>
            <w:r>
              <w:rPr>
                <w:rFonts w:ascii="Arial" w:cs="Arial" w:eastAsia="Arial" w:hAnsi="Arial"/>
                <w:sz w:val="17"/>
                <w:szCs w:val="17"/>
                <w:color w:val="auto"/>
              </w:rPr>
              <w:t>Chief Financial Officer</w:t>
            </w:r>
          </w:p>
        </w:tc>
      </w:tr>
      <w:tr>
        <w:trPr>
          <w:trHeight w:val="220"/>
        </w:trPr>
        <w:tc>
          <w:tcPr>
            <w:tcW w:w="3240" w:type="dxa"/>
            <w:vAlign w:val="bottom"/>
          </w:tcPr>
          <w:p>
            <w:pPr>
              <w:spacing w:after="0"/>
              <w:rPr>
                <w:sz w:val="19"/>
                <w:szCs w:val="19"/>
                <w:color w:val="auto"/>
              </w:rPr>
            </w:pPr>
          </w:p>
        </w:tc>
        <w:tc>
          <w:tcPr>
            <w:tcW w:w="6680" w:type="dxa"/>
            <w:vAlign w:val="bottom"/>
            <w:gridSpan w:val="2"/>
          </w:tcPr>
          <w:p>
            <w:pPr>
              <w:ind w:left="1740"/>
              <w:spacing w:after="0"/>
              <w:rPr>
                <w:sz w:val="20"/>
                <w:szCs w:val="20"/>
                <w:color w:val="auto"/>
              </w:rPr>
            </w:pPr>
            <w:r>
              <w:rPr>
                <w:rFonts w:ascii="Arial" w:cs="Arial" w:eastAsia="Arial" w:hAnsi="Arial"/>
                <w:sz w:val="17"/>
                <w:szCs w:val="17"/>
                <w:i w:val="1"/>
                <w:iCs w:val="1"/>
                <w:color w:val="auto"/>
              </w:rPr>
              <w:t>(principal financial officer)</w:t>
            </w:r>
          </w:p>
        </w:tc>
      </w:tr>
      <w:tr>
        <w:trPr>
          <w:trHeight w:val="745"/>
        </w:trPr>
        <w:tc>
          <w:tcPr>
            <w:tcW w:w="3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
      <w:numFmt w:val="bullet"/>
      <w:start w:val="1"/>
    </w:lvl>
    <w:lvl w:ilvl="1">
      <w:lvlJc w:val="left"/>
      <w:lvlText w:val="(%2)"/>
      <w:numFmt w:val="decimal"/>
      <w:start w:val="1"/>
    </w:lvl>
  </w:abstractNum>
  <w:abstractNum w:abstractNumId="18">
    <w:nsid w:val="7C83E45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2021-05-13T15:59:17Z</dcterms:created>
  <dcterms:modified xsi:type="dcterms:W3CDTF">2021-05-13T15:59:17Z</dcterms:modified>
</cp:coreProperties>
</file>