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0001819244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line="268" w:lineRule="auto"/>
        <w:rPr>
          <w:sz w:val="20"/>
          <w:szCs w:val="20"/>
          <w:color w:val="auto"/>
        </w:rPr>
      </w:pPr>
      <w:r>
        <w:rPr>
          <w:rFonts w:ascii="Arial" w:cs="Arial" w:eastAsia="Arial" w:hAnsi="Arial"/>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22"/>
          <w:szCs w:val="22"/>
          <w:color w:val="auto"/>
        </w:rPr>
        <w:t>Vertex,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001-39413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2301 RENAISSANCE BOULEVARD</w:t>
      </w:r>
    </w:p>
    <w:p>
      <w:pPr>
        <w:spacing w:after="0" w:line="238" w:lineRule="auto"/>
        <w:rPr>
          <w:sz w:val="20"/>
          <w:szCs w:val="20"/>
          <w:color w:val="auto"/>
        </w:rPr>
      </w:pPr>
      <w:r>
        <w:rPr>
          <w:rFonts w:ascii="Arial" w:cs="Arial" w:eastAsia="Arial" w:hAnsi="Arial"/>
          <w:sz w:val="22"/>
          <w:szCs w:val="22"/>
          <w:color w:val="auto"/>
        </w:rPr>
        <w:t>KING OF PRUSSIA</w:t>
      </w:r>
    </w:p>
    <w:p>
      <w:pPr>
        <w:spacing w:after="0" w:line="230" w:lineRule="auto"/>
        <w:rPr>
          <w:sz w:val="20"/>
          <w:szCs w:val="20"/>
          <w:color w:val="auto"/>
        </w:rPr>
      </w:pPr>
      <w:r>
        <w:rPr>
          <w:rFonts w:ascii="Arial" w:cs="Arial" w:eastAsia="Arial" w:hAnsi="Arial"/>
          <w:sz w:val="22"/>
          <w:szCs w:val="22"/>
          <w:color w:val="auto"/>
        </w:rPr>
        <w:t>PENNSYLVANIA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19406</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(800) 355-3500</w:t>
      </w:r>
    </w:p>
    <w:p>
      <w:pPr>
        <w:spacing w:after="0" w:line="44" w:lineRule="exact"/>
        <w:rPr>
          <w:sz w:val="24"/>
          <w:szCs w:val="24"/>
          <w:color w:val="auto"/>
        </w:rPr>
      </w:pPr>
    </w:p>
    <w:p>
      <w:pPr>
        <w:ind w:right="200"/>
        <w:spacing w:after="0" w:line="250" w:lineRule="auto"/>
        <w:rPr>
          <w:sz w:val="20"/>
          <w:szCs w:val="20"/>
          <w:color w:val="auto"/>
        </w:rPr>
      </w:pPr>
      <w:r>
        <w:rPr>
          <w:rFonts w:ascii="Arial" w:cs="Arial" w:eastAsia="Arial" w:hAnsi="Arial"/>
          <w:sz w:val="22"/>
          <w:szCs w:val="22"/>
          <w:color w:val="auto"/>
        </w:rPr>
        <w:t>ITEM SECOND IRR. TRUST FBO KYLE R. WESTPHAL u/a of JEFFREY R. WESTPHAL dated October 5, 2001</w:t>
      </w:r>
    </w:p>
    <w:p>
      <w:pPr>
        <w:spacing w:after="0" w:line="13" w:lineRule="exact"/>
        <w:rPr>
          <w:sz w:val="24"/>
          <w:szCs w:val="24"/>
          <w:color w:val="auto"/>
        </w:rPr>
      </w:pPr>
    </w:p>
    <w:p>
      <w:pPr>
        <w:sectPr>
          <w:pgSz w:w="11900" w:h="16838" w:orient="portrait"/>
          <w:cols w:equalWidth="0" w:num="2">
            <w:col w:w="3500" w:space="580"/>
            <w:col w:w="71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40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w w:val="98"/>
              </w:rPr>
              <w:t>Class A Common Stock</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245 Summer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00" w:type="dxa"/>
            <w:vAlign w:val="bottom"/>
            <w:vMerge w:val="restart"/>
          </w:tcPr>
          <w:p>
            <w:pPr>
              <w:jc w:val="right"/>
              <w:ind w:right="12"/>
              <w:spacing w:after="0" w:line="243" w:lineRule="exact"/>
              <w:rPr>
                <w:sz w:val="20"/>
                <w:szCs w:val="20"/>
                <w:color w:val="auto"/>
              </w:rPr>
            </w:pPr>
            <w:r>
              <w:rPr>
                <w:rFonts w:ascii="Arial" w:cs="Arial" w:eastAsia="Arial" w:hAnsi="Arial"/>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3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1000000</w:t>
            </w:r>
          </w:p>
        </w:tc>
        <w:tc>
          <w:tcPr>
            <w:tcW w:w="1300" w:type="dxa"/>
            <w:vAlign w:val="bottom"/>
          </w:tcPr>
          <w:p>
            <w:pPr>
              <w:jc w:val="right"/>
              <w:spacing w:after="0"/>
              <w:rPr>
                <w:sz w:val="20"/>
                <w:szCs w:val="20"/>
                <w:color w:val="auto"/>
              </w:rPr>
            </w:pPr>
            <w:r>
              <w:rPr>
                <w:rFonts w:ascii="Arial" w:cs="Arial" w:eastAsia="Arial" w:hAnsi="Arial"/>
                <w:sz w:val="22"/>
                <w:szCs w:val="22"/>
                <w:color w:val="auto"/>
                <w:w w:val="91"/>
              </w:rPr>
              <w:t>24210000.00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55245904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720" w:type="dxa"/>
            <w:vAlign w:val="bottom"/>
          </w:tcPr>
          <w:p>
            <w:pPr>
              <w:ind w:left="1380"/>
              <w:spacing w:after="0"/>
              <w:rPr>
                <w:sz w:val="20"/>
                <w:szCs w:val="20"/>
                <w:color w:val="auto"/>
              </w:rPr>
            </w:pPr>
            <w:r>
              <w:rPr>
                <w:rFonts w:ascii="Arial" w:cs="Arial" w:eastAsia="Arial" w:hAnsi="Arial"/>
                <w:sz w:val="22"/>
                <w:szCs w:val="22"/>
                <w:b w:val="1"/>
                <w:bCs w:val="1"/>
                <w:color w:val="auto"/>
              </w:rPr>
              <w:t>Transaction</w:t>
            </w:r>
          </w:p>
        </w:tc>
        <w:tc>
          <w:tcPr>
            <w:tcW w:w="1400" w:type="dxa"/>
            <w:vAlign w:val="bottom"/>
          </w:tcPr>
          <w:p>
            <w:pPr>
              <w:jc w:val="center"/>
              <w:ind w:left="112"/>
              <w:spacing w:after="0"/>
              <w:rPr>
                <w:sz w:val="20"/>
                <w:szCs w:val="20"/>
                <w:color w:val="auto"/>
              </w:rPr>
            </w:pPr>
            <w:r>
              <w:rPr>
                <w:rFonts w:ascii="Arial" w:cs="Arial" w:eastAsia="Arial" w:hAnsi="Arial"/>
                <w:sz w:val="22"/>
                <w:szCs w:val="22"/>
                <w:b w:val="1"/>
                <w:bCs w:val="1"/>
                <w:color w:val="auto"/>
                <w:w w:val="92"/>
              </w:rPr>
              <w:t>Whom</w:t>
            </w:r>
          </w:p>
        </w:tc>
        <w:tc>
          <w:tcPr>
            <w:tcW w:w="282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282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272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22"/>
                <w:szCs w:val="22"/>
                <w:color w:val="auto"/>
              </w:rPr>
              <w:t>Irrevocable</w:t>
            </w:r>
          </w:p>
        </w:tc>
        <w:tc>
          <w:tcPr>
            <w:tcW w:w="2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20" w:type="dxa"/>
            <w:vAlign w:val="bottom"/>
            <w:vMerge w:val="restart"/>
          </w:tcPr>
          <w:p>
            <w:pPr>
              <w:ind w:left="60"/>
              <w:spacing w:after="0"/>
              <w:rPr>
                <w:sz w:val="20"/>
                <w:szCs w:val="20"/>
                <w:color w:val="auto"/>
              </w:rPr>
            </w:pPr>
            <w:r>
              <w:rPr>
                <w:rFonts w:ascii="Arial" w:cs="Arial" w:eastAsia="Arial" w:hAnsi="Arial"/>
                <w:sz w:val="22"/>
                <w:szCs w:val="22"/>
                <w:color w:val="auto"/>
                <w:w w:val="92"/>
              </w:rPr>
              <w:t>10/05/2001 Acquired as a gift</w:t>
            </w:r>
          </w:p>
        </w:tc>
        <w:tc>
          <w:tcPr>
            <w:tcW w:w="1400" w:type="dxa"/>
            <w:vAlign w:val="bottom"/>
            <w:vMerge w:val="restart"/>
          </w:tcPr>
          <w:p>
            <w:pPr>
              <w:ind w:left="80"/>
              <w:spacing w:after="0"/>
              <w:rPr>
                <w:sz w:val="20"/>
                <w:szCs w:val="20"/>
                <w:color w:val="auto"/>
              </w:rPr>
            </w:pPr>
            <w:r>
              <w:rPr>
                <w:rFonts w:ascii="Arial" w:cs="Arial" w:eastAsia="Arial" w:hAnsi="Arial"/>
                <w:sz w:val="22"/>
                <w:szCs w:val="22"/>
                <w:color w:val="auto"/>
              </w:rPr>
              <w:t>Trust Jeffrey</w:t>
            </w:r>
          </w:p>
        </w:tc>
        <w:tc>
          <w:tcPr>
            <w:tcW w:w="2820" w:type="dxa"/>
            <w:vAlign w:val="bottom"/>
            <w:vMerge w:val="restart"/>
          </w:tcPr>
          <w:p>
            <w:pPr>
              <w:jc w:val="right"/>
              <w:ind w:right="312"/>
              <w:spacing w:after="0"/>
              <w:rPr>
                <w:sz w:val="20"/>
                <w:szCs w:val="20"/>
                <w:color w:val="auto"/>
              </w:rPr>
            </w:pPr>
            <w:r>
              <w:rPr>
                <w:rFonts w:ascii="Arial" w:cs="Arial" w:eastAsia="Arial" w:hAnsi="Arial"/>
                <w:sz w:val="22"/>
                <w:szCs w:val="22"/>
                <w:color w:val="auto"/>
              </w:rPr>
              <w:t>1000000</w:t>
            </w:r>
          </w:p>
        </w:tc>
        <w:tc>
          <w:tcPr>
            <w:tcW w:w="1540" w:type="dxa"/>
            <w:vAlign w:val="bottom"/>
            <w:vMerge w:val="restart"/>
          </w:tcPr>
          <w:p>
            <w:pPr>
              <w:ind w:left="120"/>
              <w:spacing w:after="0"/>
              <w:rPr>
                <w:sz w:val="20"/>
                <w:szCs w:val="20"/>
                <w:color w:val="auto"/>
              </w:rPr>
            </w:pPr>
            <w:r>
              <w:rPr>
                <w:rFonts w:ascii="Arial" w:cs="Arial" w:eastAsia="Arial" w:hAnsi="Arial"/>
                <w:sz w:val="22"/>
                <w:szCs w:val="22"/>
                <w:color w:val="auto"/>
                <w:w w:val="91"/>
              </w:rPr>
              <w:t>10/05/2001 N/A</w:t>
            </w:r>
          </w:p>
        </w:tc>
        <w:tc>
          <w:tcPr>
            <w:tcW w:w="0" w:type="dxa"/>
            <w:vAlign w:val="bottom"/>
          </w:tcPr>
          <w:p>
            <w:pPr>
              <w:spacing w:after="0"/>
              <w:rPr>
                <w:sz w:val="1"/>
                <w:szCs w:val="1"/>
                <w:color w:val="auto"/>
              </w:rPr>
            </w:pPr>
          </w:p>
        </w:tc>
      </w:tr>
      <w:tr>
        <w:trPr>
          <w:trHeight w:val="210"/>
        </w:trPr>
        <w:tc>
          <w:tcPr>
            <w:tcW w:w="1420" w:type="dxa"/>
            <w:vAlign w:val="bottom"/>
          </w:tcPr>
          <w:p>
            <w:pPr>
              <w:spacing w:after="0" w:line="210" w:lineRule="exact"/>
              <w:rPr>
                <w:sz w:val="20"/>
                <w:szCs w:val="20"/>
                <w:color w:val="auto"/>
              </w:rPr>
            </w:pPr>
            <w:r>
              <w:rPr>
                <w:rFonts w:ascii="Arial" w:cs="Arial" w:eastAsia="Arial" w:hAnsi="Arial"/>
                <w:sz w:val="22"/>
                <w:szCs w:val="22"/>
                <w:color w:val="auto"/>
                <w:w w:val="93"/>
              </w:rPr>
              <w:t>Common Stock</w:t>
            </w:r>
          </w:p>
        </w:tc>
        <w:tc>
          <w:tcPr>
            <w:tcW w:w="272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282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400" w:type="dxa"/>
            <w:vAlign w:val="bottom"/>
          </w:tcPr>
          <w:p>
            <w:pPr>
              <w:ind w:left="80"/>
              <w:spacing w:after="0"/>
              <w:rPr>
                <w:sz w:val="20"/>
                <w:szCs w:val="20"/>
                <w:color w:val="auto"/>
              </w:rPr>
            </w:pPr>
            <w:r>
              <w:rPr>
                <w:rFonts w:ascii="Arial" w:cs="Arial" w:eastAsia="Arial" w:hAnsi="Arial"/>
                <w:sz w:val="22"/>
                <w:szCs w:val="22"/>
                <w:color w:val="auto"/>
              </w:rPr>
              <w:t>Westphal</w:t>
            </w:r>
          </w:p>
        </w:tc>
        <w:tc>
          <w:tcPr>
            <w:tcW w:w="28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-361950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43"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9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11/01/2023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3"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1000" w:right="180" w:hanging="959"/>
        <w:spacing w:after="0" w:line="211" w:lineRule="auto"/>
        <w:tabs>
          <w:tab w:leader="none" w:pos="980" w:val="left"/>
        </w:tabs>
        <w:rPr>
          <w:sz w:val="20"/>
          <w:szCs w:val="20"/>
          <w:color w:val="auto"/>
        </w:rPr>
      </w:pPr>
      <w:r>
        <w:rPr>
          <w:rFonts w:ascii="Arial" w:cs="Arial" w:eastAsia="Arial" w:hAnsi="Arial"/>
          <w:sz w:val="33"/>
          <w:szCs w:val="33"/>
          <w:color w:val="auto"/>
          <w:vertAlign w:val="subscript"/>
        </w:rPr>
        <w:t>Signature</w:t>
      </w:r>
      <w:r>
        <w:rPr>
          <w:sz w:val="20"/>
          <w:szCs w:val="20"/>
          <w:color w:val="auto"/>
        </w:rPr>
        <w:tab/>
      </w:r>
      <w:r>
        <w:rPr>
          <w:rFonts w:ascii="Arial" w:cs="Arial" w:eastAsia="Arial" w:hAnsi="Arial"/>
          <w:sz w:val="18"/>
          <w:szCs w:val="18"/>
          <w:color w:val="auto"/>
        </w:rPr>
        <w:t>/s/ Myra King, as a duly authorized representative of Fidelity Brokerage Services LLC, as attorney-in-fact for ITEM SECOND IRR. TRUST FBO KYLE R. WEST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2023-11-01T16:44:31Z</dcterms:created>
  <dcterms:modified xsi:type="dcterms:W3CDTF">2023-11-01T16:44:31Z</dcterms:modified>
</cp:coreProperties>
</file>