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343535</wp:posOffset>
            </wp:positionV>
            <wp:extent cx="649478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4780" cy="323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408305</wp:posOffset>
            </wp:positionV>
            <wp:extent cx="6494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47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98" w:lineRule="exact"/>
        <w:rPr>
          <w:sz w:val="24"/>
          <w:szCs w:val="24"/>
          <w:color w:val="auto"/>
        </w:rPr>
      </w:pPr>
    </w:p>
    <w:p>
      <w:pPr>
        <w:ind w:left="540" w:hanging="530"/>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September 30, 2021</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98" w:lineRule="exact"/>
        <w:rPr>
          <w:sz w:val="24"/>
          <w:szCs w:val="24"/>
          <w:color w:val="auto"/>
        </w:rPr>
      </w:pPr>
    </w:p>
    <w:p>
      <w:pPr>
        <w:ind w:left="520" w:hanging="485"/>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gridSpan w:val="3"/>
          </w:tcPr>
          <w:p>
            <w:pPr>
              <w:jc w:val="center"/>
              <w:ind w:right="620"/>
              <w:spacing w:after="0"/>
              <w:rPr>
                <w:sz w:val="20"/>
                <w:szCs w:val="20"/>
                <w:color w:val="auto"/>
              </w:rPr>
            </w:pPr>
            <w:r>
              <w:rPr>
                <w:rFonts w:ascii="Arial" w:cs="Arial" w:eastAsia="Arial" w:hAnsi="Arial"/>
                <w:sz w:val="15"/>
                <w:szCs w:val="15"/>
                <w:b w:val="1"/>
                <w:bCs w:val="1"/>
                <w:color w:val="auto"/>
                <w:w w:val="93"/>
              </w:rPr>
              <w:t>For the transition period from to</w:t>
            </w:r>
          </w:p>
        </w:tc>
        <w:tc>
          <w:tcPr>
            <w:tcW w:w="2820" w:type="dxa"/>
            <w:vAlign w:val="bottom"/>
          </w:tcPr>
          <w:p>
            <w:pPr>
              <w:spacing w:after="0"/>
              <w:rPr>
                <w:sz w:val="17"/>
                <w:szCs w:val="17"/>
                <w:color w:val="auto"/>
              </w:rPr>
            </w:pPr>
          </w:p>
        </w:tc>
      </w:tr>
      <w:tr>
        <w:trPr>
          <w:trHeight w:val="254"/>
        </w:trPr>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60" w:type="dxa"/>
            <w:vAlign w:val="bottom"/>
            <w:gridSpan w:val="3"/>
          </w:tcPr>
          <w:p>
            <w:pPr>
              <w:jc w:val="center"/>
              <w:ind w:right="620"/>
              <w:spacing w:after="0"/>
              <w:rPr>
                <w:sz w:val="20"/>
                <w:szCs w:val="20"/>
                <w:color w:val="auto"/>
              </w:rPr>
            </w:pPr>
            <w:r>
              <w:rPr>
                <w:rFonts w:ascii="Arial" w:cs="Arial" w:eastAsia="Arial" w:hAnsi="Arial"/>
                <w:sz w:val="15"/>
                <w:szCs w:val="15"/>
                <w:b w:val="1"/>
                <w:bCs w:val="1"/>
                <w:color w:val="auto"/>
                <w:w w:val="92"/>
              </w:rPr>
              <w:t>Commission File Number: 001-39413</w:t>
            </w:r>
          </w:p>
        </w:tc>
        <w:tc>
          <w:tcPr>
            <w:tcW w:w="2820" w:type="dxa"/>
            <w:vAlign w:val="bottom"/>
          </w:tcPr>
          <w:p>
            <w:pPr>
              <w:spacing w:after="0"/>
              <w:rPr>
                <w:sz w:val="22"/>
                <w:szCs w:val="22"/>
                <w:color w:val="auto"/>
              </w:rPr>
            </w:pPr>
          </w:p>
        </w:tc>
      </w:tr>
      <w:tr>
        <w:trPr>
          <w:trHeight w:val="501"/>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gridSpan w:val="3"/>
          </w:tcPr>
          <w:p>
            <w:pPr>
              <w:jc w:val="center"/>
              <w:ind w:right="620"/>
              <w:spacing w:after="0"/>
              <w:rPr>
                <w:sz w:val="20"/>
                <w:szCs w:val="20"/>
                <w:color w:val="auto"/>
              </w:rPr>
            </w:pPr>
            <w:r>
              <w:rPr>
                <w:rFonts w:ascii="Arial" w:cs="Arial" w:eastAsia="Arial" w:hAnsi="Arial"/>
                <w:sz w:val="39"/>
                <w:szCs w:val="39"/>
                <w:b w:val="1"/>
                <w:bCs w:val="1"/>
                <w:color w:val="auto"/>
              </w:rPr>
              <w:t>VERTEX, INC.</w:t>
            </w:r>
          </w:p>
        </w:tc>
        <w:tc>
          <w:tcPr>
            <w:tcW w:w="2820" w:type="dxa"/>
            <w:vAlign w:val="bottom"/>
          </w:tcPr>
          <w:p>
            <w:pPr>
              <w:spacing w:after="0"/>
              <w:rPr>
                <w:sz w:val="24"/>
                <w:szCs w:val="24"/>
                <w:color w:val="auto"/>
              </w:rPr>
            </w:pPr>
          </w:p>
        </w:tc>
      </w:tr>
      <w:tr>
        <w:trPr>
          <w:trHeight w:val="198"/>
        </w:trPr>
        <w:tc>
          <w:tcPr>
            <w:tcW w:w="3240" w:type="dxa"/>
            <w:vAlign w:val="bottom"/>
          </w:tcPr>
          <w:p>
            <w:pPr>
              <w:spacing w:after="0"/>
              <w:rPr>
                <w:sz w:val="17"/>
                <w:szCs w:val="17"/>
                <w:color w:val="auto"/>
              </w:rPr>
            </w:pPr>
          </w:p>
        </w:tc>
        <w:tc>
          <w:tcPr>
            <w:tcW w:w="4180" w:type="dxa"/>
            <w:vAlign w:val="bottom"/>
            <w:gridSpan w:val="4"/>
          </w:tcPr>
          <w:p>
            <w:pPr>
              <w:jc w:val="center"/>
              <w:ind w:right="400"/>
              <w:spacing w:after="0"/>
              <w:rPr>
                <w:sz w:val="20"/>
                <w:szCs w:val="20"/>
                <w:color w:val="auto"/>
              </w:rPr>
            </w:pPr>
            <w:r>
              <w:rPr>
                <w:rFonts w:ascii="Arial" w:cs="Arial" w:eastAsia="Arial" w:hAnsi="Arial"/>
                <w:sz w:val="15"/>
                <w:szCs w:val="15"/>
                <w:b w:val="1"/>
                <w:bCs w:val="1"/>
                <w:color w:val="auto"/>
                <w:w w:val="92"/>
              </w:rPr>
              <w:t>(Exact Name of Registrant as Specified in its Charter)</w:t>
            </w:r>
          </w:p>
        </w:tc>
        <w:tc>
          <w:tcPr>
            <w:tcW w:w="2820" w:type="dxa"/>
            <w:vAlign w:val="bottom"/>
          </w:tcPr>
          <w:p>
            <w:pPr>
              <w:spacing w:after="0"/>
              <w:rPr>
                <w:sz w:val="17"/>
                <w:szCs w:val="17"/>
                <w:color w:val="auto"/>
              </w:rPr>
            </w:pPr>
          </w:p>
        </w:tc>
      </w:tr>
      <w:tr>
        <w:trPr>
          <w:trHeight w:val="268"/>
        </w:trPr>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4"/>
              </w:rPr>
              <w:t>Delaware</w:t>
            </w:r>
          </w:p>
        </w:tc>
        <w:tc>
          <w:tcPr>
            <w:tcW w:w="2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20" w:type="dxa"/>
            <w:vAlign w:val="bottom"/>
          </w:tcPr>
          <w:p>
            <w:pPr>
              <w:jc w:val="center"/>
              <w:ind w:right="373"/>
              <w:spacing w:after="0"/>
              <w:rPr>
                <w:sz w:val="20"/>
                <w:szCs w:val="20"/>
                <w:color w:val="auto"/>
              </w:rPr>
            </w:pPr>
            <w:r>
              <w:rPr>
                <w:rFonts w:ascii="Arial" w:cs="Arial" w:eastAsia="Arial" w:hAnsi="Arial"/>
                <w:sz w:val="15"/>
                <w:szCs w:val="15"/>
                <w:b w:val="1"/>
                <w:bCs w:val="1"/>
                <w:color w:val="auto"/>
                <w:w w:val="92"/>
              </w:rPr>
              <w:t>23-2081753</w:t>
            </w:r>
          </w:p>
        </w:tc>
      </w:tr>
      <w:tr>
        <w:trPr>
          <w:trHeight w:val="127"/>
        </w:trPr>
        <w:tc>
          <w:tcPr>
            <w:tcW w:w="32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1"/>
              </w:rPr>
              <w:t>(State or other jurisdiction of</w:t>
            </w: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20" w:type="dxa"/>
            <w:vAlign w:val="bottom"/>
          </w:tcPr>
          <w:p>
            <w:pPr>
              <w:jc w:val="center"/>
              <w:ind w:right="373"/>
              <w:spacing w:after="0" w:line="127" w:lineRule="exact"/>
              <w:rPr>
                <w:sz w:val="20"/>
                <w:szCs w:val="20"/>
                <w:color w:val="auto"/>
              </w:rPr>
            </w:pPr>
            <w:r>
              <w:rPr>
                <w:rFonts w:ascii="Arial" w:cs="Arial" w:eastAsia="Arial" w:hAnsi="Arial"/>
                <w:sz w:val="12"/>
                <w:szCs w:val="12"/>
                <w:b w:val="1"/>
                <w:bCs w:val="1"/>
                <w:color w:val="auto"/>
                <w:w w:val="93"/>
              </w:rPr>
              <w:t>(I.R.S. Employer</w:t>
            </w:r>
          </w:p>
        </w:tc>
      </w:tr>
      <w:tr>
        <w:trPr>
          <w:trHeight w:val="152"/>
        </w:trPr>
        <w:tc>
          <w:tcPr>
            <w:tcW w:w="3240" w:type="dxa"/>
            <w:vAlign w:val="bottom"/>
          </w:tcPr>
          <w:p>
            <w:pPr>
              <w:jc w:val="center"/>
              <w:spacing w:after="0"/>
              <w:rPr>
                <w:sz w:val="20"/>
                <w:szCs w:val="20"/>
                <w:color w:val="auto"/>
              </w:rPr>
            </w:pPr>
            <w:r>
              <w:rPr>
                <w:rFonts w:ascii="Arial" w:cs="Arial" w:eastAsia="Arial" w:hAnsi="Arial"/>
                <w:sz w:val="12"/>
                <w:szCs w:val="12"/>
                <w:b w:val="1"/>
                <w:bCs w:val="1"/>
                <w:color w:val="auto"/>
                <w:w w:val="89"/>
              </w:rPr>
              <w:t>incorporation or organization)</w:t>
            </w:r>
          </w:p>
        </w:tc>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20" w:type="dxa"/>
            <w:vAlign w:val="bottom"/>
          </w:tcPr>
          <w:p>
            <w:pPr>
              <w:jc w:val="center"/>
              <w:ind w:right="393"/>
              <w:spacing w:after="0"/>
              <w:rPr>
                <w:sz w:val="20"/>
                <w:szCs w:val="20"/>
                <w:color w:val="auto"/>
              </w:rPr>
            </w:pPr>
            <w:r>
              <w:rPr>
                <w:rFonts w:ascii="Arial" w:cs="Arial" w:eastAsia="Arial" w:hAnsi="Arial"/>
                <w:sz w:val="12"/>
                <w:szCs w:val="12"/>
                <w:b w:val="1"/>
                <w:bCs w:val="1"/>
                <w:color w:val="auto"/>
                <w:w w:val="90"/>
              </w:rPr>
              <w:t>Identification No.)</w:t>
            </w:r>
          </w:p>
        </w:tc>
      </w:tr>
      <w:tr>
        <w:trPr>
          <w:trHeight w:val="361"/>
        </w:trPr>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0"/>
              </w:rPr>
              <w:t>2301 Renaissance Blvd</w:t>
            </w:r>
          </w:p>
        </w:tc>
        <w:tc>
          <w:tcPr>
            <w:tcW w:w="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tcPr>
          <w:p>
            <w:pPr>
              <w:jc w:val="center"/>
              <w:ind w:right="413"/>
              <w:spacing w:after="0"/>
              <w:rPr>
                <w:sz w:val="20"/>
                <w:szCs w:val="20"/>
                <w:color w:val="auto"/>
              </w:rPr>
            </w:pPr>
            <w:r>
              <w:rPr>
                <w:rFonts w:ascii="Arial" w:cs="Arial" w:eastAsia="Arial" w:hAnsi="Arial"/>
                <w:sz w:val="15"/>
                <w:szCs w:val="15"/>
                <w:b w:val="1"/>
                <w:bCs w:val="1"/>
                <w:color w:val="auto"/>
                <w:w w:val="91"/>
              </w:rPr>
              <w:t>19406</w:t>
            </w:r>
          </w:p>
        </w:tc>
      </w:tr>
      <w:tr>
        <w:trPr>
          <w:trHeight w:val="187"/>
        </w:trPr>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0"/>
              </w:rPr>
              <w:t>King of Prussia, Pennsylvania</w:t>
            </w:r>
          </w:p>
        </w:tc>
        <w:tc>
          <w:tcPr>
            <w:tcW w:w="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52"/>
        </w:trPr>
        <w:tc>
          <w:tcPr>
            <w:tcW w:w="3240" w:type="dxa"/>
            <w:vAlign w:val="bottom"/>
          </w:tcPr>
          <w:p>
            <w:pPr>
              <w:jc w:val="center"/>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20" w:type="dxa"/>
            <w:vAlign w:val="bottom"/>
          </w:tcPr>
          <w:p>
            <w:pPr>
              <w:jc w:val="center"/>
              <w:ind w:right="373"/>
              <w:spacing w:after="0"/>
              <w:rPr>
                <w:sz w:val="20"/>
                <w:szCs w:val="20"/>
                <w:color w:val="auto"/>
              </w:rPr>
            </w:pPr>
            <w:r>
              <w:rPr>
                <w:rFonts w:ascii="Arial" w:cs="Arial" w:eastAsia="Arial" w:hAnsi="Arial"/>
                <w:sz w:val="12"/>
                <w:szCs w:val="12"/>
                <w:b w:val="1"/>
                <w:bCs w:val="1"/>
                <w:color w:val="auto"/>
                <w:w w:val="90"/>
              </w:rPr>
              <w:t>(Zip Code)</w:t>
            </w:r>
          </w:p>
        </w:tc>
      </w:tr>
      <w:tr>
        <w:trPr>
          <w:trHeight w:val="317"/>
        </w:trPr>
        <w:tc>
          <w:tcPr>
            <w:tcW w:w="7420" w:type="dxa"/>
            <w:vAlign w:val="bottom"/>
            <w:gridSpan w:val="5"/>
          </w:tcPr>
          <w:p>
            <w:pPr>
              <w:jc w:val="center"/>
              <w:ind w:left="2771"/>
              <w:spacing w:after="0"/>
              <w:rPr>
                <w:sz w:val="20"/>
                <w:szCs w:val="20"/>
                <w:color w:val="auto"/>
              </w:rPr>
            </w:pPr>
            <w:r>
              <w:rPr>
                <w:rFonts w:ascii="Arial" w:cs="Arial" w:eastAsia="Arial" w:hAnsi="Arial"/>
                <w:sz w:val="15"/>
                <w:szCs w:val="15"/>
                <w:b w:val="1"/>
                <w:bCs w:val="1"/>
                <w:color w:val="auto"/>
                <w:w w:val="90"/>
              </w:rPr>
              <w:t>Registrant’s telephone number, including area code: (800) 355-3500</w:t>
            </w:r>
          </w:p>
        </w:tc>
        <w:tc>
          <w:tcPr>
            <w:tcW w:w="2820" w:type="dxa"/>
            <w:vAlign w:val="bottom"/>
          </w:tcPr>
          <w:p>
            <w:pPr>
              <w:spacing w:after="0"/>
              <w:rPr>
                <w:sz w:val="24"/>
                <w:szCs w:val="24"/>
                <w:color w:val="auto"/>
              </w:rPr>
            </w:pPr>
          </w:p>
        </w:tc>
      </w:tr>
      <w:tr>
        <w:trPr>
          <w:trHeight w:val="267"/>
        </w:trPr>
        <w:tc>
          <w:tcPr>
            <w:tcW w:w="3240" w:type="dxa"/>
            <w:vAlign w:val="bottom"/>
          </w:tcPr>
          <w:p>
            <w:pPr>
              <w:spacing w:after="0"/>
              <w:rPr>
                <w:sz w:val="23"/>
                <w:szCs w:val="23"/>
                <w:color w:val="auto"/>
              </w:rPr>
            </w:pPr>
          </w:p>
        </w:tc>
        <w:tc>
          <w:tcPr>
            <w:tcW w:w="4180" w:type="dxa"/>
            <w:vAlign w:val="bottom"/>
            <w:gridSpan w:val="4"/>
          </w:tcPr>
          <w:p>
            <w:pPr>
              <w:jc w:val="center"/>
              <w:ind w:right="42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2820" w:type="dxa"/>
            <w:vAlign w:val="bottom"/>
          </w:tcPr>
          <w:p>
            <w:pPr>
              <w:spacing w:after="0"/>
              <w:rPr>
                <w:sz w:val="23"/>
                <w:szCs w:val="23"/>
                <w:color w:val="auto"/>
              </w:rPr>
            </w:pPr>
          </w:p>
        </w:tc>
      </w:tr>
      <w:tr>
        <w:trPr>
          <w:trHeight w:val="229"/>
        </w:trPr>
        <w:tc>
          <w:tcPr>
            <w:tcW w:w="3240" w:type="dxa"/>
            <w:vAlign w:val="bottom"/>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220" w:type="dxa"/>
            <w:vAlign w:val="bottom"/>
          </w:tcPr>
          <w:p>
            <w:pPr>
              <w:spacing w:after="0"/>
              <w:rPr>
                <w:sz w:val="19"/>
                <w:szCs w:val="19"/>
                <w:color w:val="auto"/>
              </w:rPr>
            </w:pPr>
          </w:p>
        </w:tc>
        <w:tc>
          <w:tcPr>
            <w:tcW w:w="396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89"/>
              </w:rPr>
              <w:t>Trading symbol</w:t>
            </w:r>
          </w:p>
        </w:tc>
        <w:tc>
          <w:tcPr>
            <w:tcW w:w="2820" w:type="dxa"/>
            <w:vAlign w:val="bottom"/>
          </w:tcPr>
          <w:p>
            <w:pPr>
              <w:jc w:val="center"/>
              <w:ind w:right="353"/>
              <w:spacing w:after="0"/>
              <w:rPr>
                <w:sz w:val="20"/>
                <w:szCs w:val="20"/>
                <w:color w:val="auto"/>
              </w:rPr>
            </w:pPr>
            <w:r>
              <w:rPr>
                <w:rFonts w:ascii="Arial" w:cs="Arial" w:eastAsia="Arial" w:hAnsi="Arial"/>
                <w:sz w:val="12"/>
                <w:szCs w:val="12"/>
                <w:b w:val="1"/>
                <w:bCs w:val="1"/>
                <w:color w:val="auto"/>
                <w:w w:val="86"/>
              </w:rPr>
              <w:t>Name of each exchange on which registered</w:t>
            </w:r>
          </w:p>
        </w:tc>
      </w:tr>
      <w:tr>
        <w:trPr>
          <w:trHeight w:val="55"/>
        </w:trPr>
        <w:tc>
          <w:tcPr>
            <w:tcW w:w="3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820" w:type="dxa"/>
            <w:vAlign w:val="bottom"/>
          </w:tcPr>
          <w:p>
            <w:pPr>
              <w:spacing w:after="0"/>
              <w:rPr>
                <w:sz w:val="4"/>
                <w:szCs w:val="4"/>
                <w:color w:val="auto"/>
              </w:rPr>
            </w:pPr>
          </w:p>
        </w:tc>
      </w:tr>
      <w:tr>
        <w:trPr>
          <w:trHeight w:val="171"/>
        </w:trPr>
        <w:tc>
          <w:tcPr>
            <w:tcW w:w="324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5"/>
                <w:szCs w:val="15"/>
                <w:b w:val="1"/>
                <w:bCs w:val="1"/>
                <w:color w:val="auto"/>
                <w:w w:val="91"/>
              </w:rPr>
              <w:t>Class A Common Stock, Par Value $0.001 Per</w:t>
            </w:r>
          </w:p>
        </w:tc>
        <w:tc>
          <w:tcPr>
            <w:tcW w:w="220" w:type="dxa"/>
            <w:vAlign w:val="bottom"/>
          </w:tcPr>
          <w:p>
            <w:pPr>
              <w:spacing w:after="0"/>
              <w:rPr>
                <w:sz w:val="14"/>
                <w:szCs w:val="14"/>
                <w:color w:val="auto"/>
              </w:rPr>
            </w:pPr>
          </w:p>
        </w:tc>
        <w:tc>
          <w:tcPr>
            <w:tcW w:w="332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5"/>
                <w:szCs w:val="15"/>
                <w:b w:val="1"/>
                <w:bCs w:val="1"/>
                <w:color w:val="auto"/>
              </w:rPr>
              <w:t>VERX</w:t>
            </w:r>
          </w:p>
        </w:tc>
        <w:tc>
          <w:tcPr>
            <w:tcW w:w="2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tcPr>
          <w:p>
            <w:pPr>
              <w:jc w:val="center"/>
              <w:ind w:right="373"/>
              <w:spacing w:after="0" w:line="172" w:lineRule="exact"/>
              <w:rPr>
                <w:sz w:val="20"/>
                <w:szCs w:val="20"/>
                <w:color w:val="auto"/>
              </w:rPr>
            </w:pPr>
            <w:r>
              <w:rPr>
                <w:rFonts w:ascii="Arial" w:cs="Arial" w:eastAsia="Arial" w:hAnsi="Arial"/>
                <w:sz w:val="15"/>
                <w:szCs w:val="15"/>
                <w:b w:val="1"/>
                <w:bCs w:val="1"/>
                <w:color w:val="auto"/>
                <w:w w:val="95"/>
              </w:rPr>
              <w:t>The Nasdaq Stock Market LLC</w:t>
            </w:r>
          </w:p>
        </w:tc>
      </w:tr>
      <w:tr>
        <w:trPr>
          <w:trHeight w:val="198"/>
        </w:trPr>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1"/>
              </w:rPr>
              <w:t>Share</w:t>
            </w:r>
          </w:p>
        </w:tc>
        <w:tc>
          <w:tcPr>
            <w:tcW w:w="2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20" w:type="dxa"/>
            <w:vAlign w:val="bottom"/>
          </w:tcPr>
          <w:p>
            <w:pPr>
              <w:spacing w:after="0"/>
              <w:rPr>
                <w:sz w:val="17"/>
                <w:szCs w:val="17"/>
                <w:color w:val="auto"/>
              </w:rPr>
            </w:pPr>
          </w:p>
        </w:tc>
      </w:tr>
    </w:tbl>
    <w:p>
      <w:pPr>
        <w:spacing w:after="0" w:line="73" w:lineRule="exact"/>
        <w:rPr>
          <w:sz w:val="24"/>
          <w:szCs w:val="24"/>
          <w:color w:val="auto"/>
        </w:rPr>
      </w:pPr>
    </w:p>
    <w:p>
      <w:pPr>
        <w:jc w:val="both"/>
        <w:ind w:firstLine="443"/>
        <w:spacing w:after="0" w:line="19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ind w:firstLine="443"/>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ind w:firstLine="439"/>
        <w:spacing w:after="0" w:line="28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30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980" w:type="dxa"/>
            <w:vAlign w:val="bottom"/>
          </w:tcPr>
          <w:p>
            <w:pPr>
              <w:ind w:left="1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ind w:left="180"/>
              <w:spacing w:after="0"/>
              <w:rPr>
                <w:sz w:val="20"/>
                <w:szCs w:val="20"/>
                <w:color w:val="auto"/>
              </w:rPr>
            </w:pPr>
            <w:r>
              <w:rPr>
                <w:rFonts w:ascii="Arial" w:cs="Arial" w:eastAsia="Arial" w:hAnsi="Arial"/>
                <w:sz w:val="15"/>
                <w:szCs w:val="15"/>
                <w:color w:val="auto"/>
              </w:rPr>
              <w:t>Accelerated filer</w:t>
            </w:r>
          </w:p>
        </w:tc>
        <w:tc>
          <w:tcPr>
            <w:tcW w:w="1700" w:type="dxa"/>
            <w:vAlign w:val="bottom"/>
          </w:tcPr>
          <w:p>
            <w:pPr>
              <w:ind w:left="1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91"/>
        </w:trPr>
        <w:tc>
          <w:tcPr>
            <w:tcW w:w="3060" w:type="dxa"/>
            <w:vAlign w:val="bottom"/>
          </w:tcPr>
          <w:p>
            <w:pPr>
              <w:spacing w:after="0"/>
              <w:rPr>
                <w:sz w:val="20"/>
                <w:szCs w:val="20"/>
                <w:color w:val="auto"/>
              </w:rPr>
            </w:pPr>
            <w:r>
              <w:rPr>
                <w:rFonts w:ascii="Arial" w:cs="Arial" w:eastAsia="Arial" w:hAnsi="Arial"/>
                <w:sz w:val="15"/>
                <w:szCs w:val="15"/>
                <w:color w:val="auto"/>
              </w:rPr>
              <w:t>Non-accelerated filer</w:t>
            </w:r>
          </w:p>
        </w:tc>
        <w:tc>
          <w:tcPr>
            <w:tcW w:w="1980" w:type="dxa"/>
            <w:vAlign w:val="bottom"/>
          </w:tcPr>
          <w:p>
            <w:pPr>
              <w:ind w:left="1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ind w:left="180"/>
              <w:spacing w:after="0"/>
              <w:rPr>
                <w:sz w:val="20"/>
                <w:szCs w:val="20"/>
                <w:color w:val="auto"/>
              </w:rPr>
            </w:pPr>
            <w:r>
              <w:rPr>
                <w:rFonts w:ascii="Arial" w:cs="Arial" w:eastAsia="Arial" w:hAnsi="Arial"/>
                <w:sz w:val="15"/>
                <w:szCs w:val="15"/>
                <w:color w:val="auto"/>
              </w:rPr>
              <w:t>Smaller reporting company</w:t>
            </w:r>
          </w:p>
        </w:tc>
        <w:tc>
          <w:tcPr>
            <w:tcW w:w="1700" w:type="dxa"/>
            <w:vAlign w:val="bottom"/>
          </w:tcPr>
          <w:p>
            <w:pPr>
              <w:ind w:left="1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9"/>
        </w:trPr>
        <w:tc>
          <w:tcPr>
            <w:tcW w:w="3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Arial" w:cs="Arial" w:eastAsia="Arial" w:hAnsi="Arial"/>
                <w:sz w:val="15"/>
                <w:szCs w:val="15"/>
                <w:color w:val="auto"/>
              </w:rPr>
              <w:t>Emerging growth company</w:t>
            </w:r>
          </w:p>
        </w:tc>
        <w:tc>
          <w:tcPr>
            <w:tcW w:w="1700" w:type="dxa"/>
            <w:vAlign w:val="bottom"/>
          </w:tcPr>
          <w:p>
            <w:pPr>
              <w:ind w:left="15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7" w:lineRule="exact"/>
        <w:rPr>
          <w:sz w:val="24"/>
          <w:szCs w:val="24"/>
          <w:color w:val="auto"/>
        </w:rPr>
      </w:pPr>
    </w:p>
    <w:p>
      <w:pPr>
        <w:ind w:firstLine="439"/>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8" w:lineRule="exact"/>
        <w:rPr>
          <w:sz w:val="24"/>
          <w:szCs w:val="24"/>
          <w:color w:val="auto"/>
        </w:rPr>
      </w:pPr>
    </w:p>
    <w:p>
      <w:pPr>
        <w:ind w:left="440"/>
        <w:spacing w:after="0" w:line="173" w:lineRule="exact"/>
        <w:tabs>
          <w:tab w:leader="none" w:pos="80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11" w:lineRule="exact"/>
        <w:rPr>
          <w:sz w:val="24"/>
          <w:szCs w:val="24"/>
          <w:color w:val="auto"/>
        </w:rPr>
      </w:pPr>
    </w:p>
    <w:p>
      <w:pPr>
        <w:ind w:firstLine="439"/>
        <w:spacing w:after="0" w:line="294" w:lineRule="auto"/>
        <w:rPr>
          <w:sz w:val="20"/>
          <w:szCs w:val="20"/>
          <w:color w:val="auto"/>
        </w:rPr>
      </w:pPr>
      <w:r>
        <w:rPr>
          <w:rFonts w:ascii="Arial" w:cs="Arial" w:eastAsia="Arial" w:hAnsi="Arial"/>
          <w:sz w:val="15"/>
          <w:szCs w:val="15"/>
          <w:color w:val="auto"/>
        </w:rPr>
        <w:t>As of November 8, 2021, the registrant had 40,772,739 shares of Class A common stock, $0.001 par value per share, and 108,017,000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447040</wp:posOffset>
            </wp:positionV>
            <wp:extent cx="649478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4780" cy="158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4947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478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92075</wp:posOffset>
            </wp:positionV>
            <wp:extent cx="6494780"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4780" cy="32385"/>
                    </a:xfrm>
                    <a:prstGeom prst="rect">
                      <a:avLst/>
                    </a:prstGeom>
                    <a:noFill/>
                  </pic:spPr>
                </pic:pic>
              </a:graphicData>
            </a:graphic>
          </wp:anchor>
        </w:drawing>
      </w:r>
    </w:p>
    <w:p>
      <w:pPr>
        <w:sectPr>
          <w:pgSz w:w="11900" w:h="16838" w:orient="portrait"/>
          <w:cols w:equalWidth="0" w:num="1">
            <w:col w:w="10240"/>
          </w:cols>
          <w:pgMar w:left="820" w:top="635" w:right="8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195"/>
        </w:trPr>
        <w:tc>
          <w:tcPr>
            <w:tcW w:w="8240" w:type="dxa"/>
            <w:vAlign w:val="bottom"/>
            <w:gridSpan w:val="26"/>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2"/>
        </w:trPr>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20" w:type="dxa"/>
            <w:vAlign w:val="bottom"/>
            <w:gridSpan w:val="10"/>
          </w:tcPr>
          <w:p>
            <w:pPr>
              <w:ind w:left="40"/>
              <w:spacing w:after="0"/>
              <w:rPr>
                <w:sz w:val="20"/>
                <w:szCs w:val="20"/>
                <w:color w:val="auto"/>
              </w:rPr>
            </w:pPr>
            <w:r>
              <w:rPr>
                <w:rFonts w:ascii="Arial" w:cs="Arial" w:eastAsia="Arial" w:hAnsi="Arial"/>
                <w:sz w:val="17"/>
                <w:szCs w:val="17"/>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11"/>
            <w:vMerge w:val="restart"/>
          </w:tcPr>
          <w:p>
            <w:pPr>
              <w:ind w:left="500"/>
              <w:spacing w:after="0"/>
              <w:rPr>
                <w:rFonts w:ascii="Arial" w:cs="Arial" w:eastAsia="Arial" w:hAnsi="Arial"/>
                <w:sz w:val="17"/>
                <w:szCs w:val="17"/>
                <w:color w:val="0000EE"/>
              </w:rPr>
            </w:pPr>
            <w:hyperlink w:anchor="page5">
              <w:r>
                <w:rPr>
                  <w:rFonts w:ascii="Arial" w:cs="Arial" w:eastAsia="Arial" w:hAnsi="Arial"/>
                  <w:sz w:val="17"/>
                  <w:szCs w:val="17"/>
                  <w:color w:val="0000EE"/>
                </w:rPr>
                <w:t>Part I - Financial Information</w:t>
              </w:r>
            </w:hyperlink>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gridSpan w:val="11"/>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Item 1.</w:t>
              </w:r>
            </w:hyperlink>
          </w:p>
        </w:tc>
        <w:tc>
          <w:tcPr>
            <w:tcW w:w="340" w:type="dxa"/>
            <w:vAlign w:val="bottom"/>
            <w:gridSpan w:val="2"/>
          </w:tcPr>
          <w:p>
            <w:pPr>
              <w:spacing w:after="0"/>
              <w:rPr>
                <w:sz w:val="17"/>
                <w:szCs w:val="17"/>
                <w:color w:val="auto"/>
              </w:rPr>
            </w:pPr>
          </w:p>
        </w:tc>
        <w:tc>
          <w:tcPr>
            <w:tcW w:w="1420" w:type="dxa"/>
            <w:vAlign w:val="bottom"/>
            <w:tcBorders>
              <w:bottom w:val="single" w:sz="8" w:color="0000EE"/>
            </w:tcBorders>
            <w:gridSpan w:val="8"/>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Financial Statements</w:t>
              </w:r>
            </w:hyperlink>
          </w:p>
        </w:tc>
        <w:tc>
          <w:tcPr>
            <w:tcW w:w="1260" w:type="dxa"/>
            <w:vAlign w:val="bottom"/>
            <w:gridSpan w:val="4"/>
          </w:tcPr>
          <w:p>
            <w:pPr>
              <w:spacing w:after="0"/>
              <w:rPr>
                <w:sz w:val="17"/>
                <w:szCs w:val="17"/>
                <w:color w:val="auto"/>
              </w:rPr>
            </w:pPr>
          </w:p>
        </w:tc>
        <w:tc>
          <w:tcPr>
            <w:tcW w:w="2040" w:type="dxa"/>
            <w:vAlign w:val="bottom"/>
            <w:tcBorders>
              <w:top w:val="single" w:sz="8" w:color="0000EE"/>
            </w:tcBorders>
            <w:gridSpan w:val="6"/>
          </w:tcPr>
          <w:p>
            <w:pPr>
              <w:spacing w:after="0"/>
              <w:rPr>
                <w:sz w:val="17"/>
                <w:szCs w:val="17"/>
                <w:color w:val="auto"/>
              </w:rPr>
            </w:pPr>
          </w:p>
        </w:tc>
        <w:tc>
          <w:tcPr>
            <w:tcW w:w="268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gridSpan w:val="22"/>
          </w:tcPr>
          <w:p>
            <w:pPr>
              <w:spacing w:after="0" w:line="184" w:lineRule="exact"/>
              <w:rPr>
                <w:rFonts w:ascii="Arial" w:cs="Arial" w:eastAsia="Arial" w:hAnsi="Arial"/>
                <w:sz w:val="17"/>
                <w:szCs w:val="17"/>
                <w:color w:val="0000EE"/>
                <w:w w:val="93"/>
              </w:rPr>
            </w:pPr>
            <w:hyperlink w:anchor="page5">
              <w:r>
                <w:rPr>
                  <w:rFonts w:ascii="Arial" w:cs="Arial" w:eastAsia="Arial" w:hAnsi="Arial"/>
                  <w:sz w:val="17"/>
                  <w:szCs w:val="17"/>
                  <w:color w:val="0000EE"/>
                  <w:w w:val="93"/>
                </w:rPr>
                <w:t>Condensed Consolidated Balance Sheets as of September 30, 2021 and December 31, 2020 (unaudited)</w:t>
              </w:r>
            </w:hyperlink>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tcBorders>
              <w:bottom w:val="single" w:sz="8" w:color="0000EE"/>
            </w:tcBorders>
            <w:gridSpan w:val="22"/>
          </w:tcPr>
          <w:p>
            <w:pPr>
              <w:spacing w:after="0" w:line="184" w:lineRule="exact"/>
              <w:rPr>
                <w:rFonts w:ascii="Arial" w:cs="Arial" w:eastAsia="Arial" w:hAnsi="Arial"/>
                <w:sz w:val="17"/>
                <w:szCs w:val="17"/>
                <w:color w:val="0000EE"/>
                <w:w w:val="97"/>
              </w:rPr>
            </w:pPr>
            <w:hyperlink w:anchor="page6">
              <w:r>
                <w:rPr>
                  <w:rFonts w:ascii="Arial" w:cs="Arial" w:eastAsia="Arial" w:hAnsi="Arial"/>
                  <w:sz w:val="17"/>
                  <w:szCs w:val="17"/>
                  <w:color w:val="0000EE"/>
                  <w:w w:val="97"/>
                </w:rPr>
                <w:t>Condensed Consolidated Statements of Comprehensive Loss for the Three and Nine Months Ended</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gridSpan w:val="22"/>
          </w:tcPr>
          <w:p>
            <w:pPr>
              <w:spacing w:after="0" w:line="184" w:lineRule="exact"/>
              <w:rPr>
                <w:rFonts w:ascii="Arial" w:cs="Arial" w:eastAsia="Arial" w:hAnsi="Arial"/>
                <w:sz w:val="17"/>
                <w:szCs w:val="17"/>
                <w:color w:val="0000EE"/>
              </w:rPr>
            </w:pPr>
            <w:hyperlink w:anchor="page6">
              <w:r>
                <w:rPr>
                  <w:rFonts w:ascii="Arial" w:cs="Arial" w:eastAsia="Arial" w:hAnsi="Arial"/>
                  <w:sz w:val="17"/>
                  <w:szCs w:val="17"/>
                  <w:color w:val="0000EE"/>
                </w:rPr>
                <w:t>September 30, 2021 and 2020 (unaudited)</w:t>
              </w:r>
            </w:hyperlink>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tcBorders>
              <w:bottom w:val="single" w:sz="8" w:color="0000EE"/>
            </w:tcBorders>
            <w:gridSpan w:val="22"/>
          </w:tcPr>
          <w:p>
            <w:pPr>
              <w:spacing w:after="0" w:line="184" w:lineRule="exact"/>
              <w:rPr>
                <w:rFonts w:ascii="Arial" w:cs="Arial" w:eastAsia="Arial" w:hAnsi="Arial"/>
                <w:sz w:val="17"/>
                <w:szCs w:val="17"/>
                <w:color w:val="0000EE"/>
                <w:w w:val="92"/>
              </w:rPr>
            </w:pPr>
            <w:hyperlink w:anchor="page7">
              <w:r>
                <w:rPr>
                  <w:rFonts w:ascii="Arial" w:cs="Arial" w:eastAsia="Arial" w:hAnsi="Arial"/>
                  <w:sz w:val="17"/>
                  <w:szCs w:val="17"/>
                  <w:color w:val="0000EE"/>
                  <w:w w:val="92"/>
                </w:rPr>
                <w:t>Condensed Consolidated Statements of Changes in Equity (Deficit) for the Nine Months Ended September</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tcBorders>
              <w:bottom w:val="single" w:sz="8" w:color="0000EE"/>
            </w:tcBorders>
            <w:gridSpan w:val="10"/>
          </w:tcPr>
          <w:p>
            <w:pPr>
              <w:spacing w:after="0" w:line="184" w:lineRule="exact"/>
              <w:rPr>
                <w:rFonts w:ascii="Arial" w:cs="Arial" w:eastAsia="Arial" w:hAnsi="Arial"/>
                <w:sz w:val="17"/>
                <w:szCs w:val="17"/>
                <w:color w:val="0000EE"/>
                <w:w w:val="88"/>
              </w:rPr>
            </w:pPr>
            <w:hyperlink w:anchor="page7">
              <w:r>
                <w:rPr>
                  <w:rFonts w:ascii="Arial" w:cs="Arial" w:eastAsia="Arial" w:hAnsi="Arial"/>
                  <w:sz w:val="17"/>
                  <w:szCs w:val="17"/>
                  <w:color w:val="0000EE"/>
                  <w:w w:val="88"/>
                </w:rPr>
                <w:t>30, 2021 and 2020 (unaudited)</w:t>
              </w:r>
            </w:hyperlink>
          </w:p>
        </w:tc>
        <w:tc>
          <w:tcPr>
            <w:tcW w:w="5320" w:type="dxa"/>
            <w:vAlign w:val="bottom"/>
            <w:gridSpan w:val="12"/>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gridSpan w:val="22"/>
          </w:tcPr>
          <w:p>
            <w:pPr>
              <w:spacing w:after="0" w:line="184" w:lineRule="exact"/>
              <w:rPr>
                <w:rFonts w:ascii="Arial" w:cs="Arial" w:eastAsia="Arial" w:hAnsi="Arial"/>
                <w:sz w:val="17"/>
                <w:szCs w:val="17"/>
                <w:color w:val="0000EE"/>
                <w:w w:val="93"/>
              </w:rPr>
            </w:pPr>
            <w:hyperlink w:anchor="page9">
              <w:r>
                <w:rPr>
                  <w:rFonts w:ascii="Arial" w:cs="Arial" w:eastAsia="Arial" w:hAnsi="Arial"/>
                  <w:sz w:val="17"/>
                  <w:szCs w:val="17"/>
                  <w:color w:val="0000EE"/>
                  <w:w w:val="93"/>
                </w:rPr>
                <w:t>Condensed Consolidated Statements of Cash Flows for the Nine Months Ended September 30, 2021 and</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5"/>
          </w:tcPr>
          <w:p>
            <w:pPr>
              <w:spacing w:after="0" w:line="184" w:lineRule="exact"/>
              <w:rPr>
                <w:rFonts w:ascii="Arial" w:cs="Arial" w:eastAsia="Arial" w:hAnsi="Arial"/>
                <w:sz w:val="17"/>
                <w:szCs w:val="17"/>
                <w:color w:val="0000EE"/>
                <w:w w:val="88"/>
              </w:rPr>
            </w:pPr>
            <w:hyperlink w:anchor="page9">
              <w:r>
                <w:rPr>
                  <w:rFonts w:ascii="Arial" w:cs="Arial" w:eastAsia="Arial" w:hAnsi="Arial"/>
                  <w:sz w:val="17"/>
                  <w:szCs w:val="17"/>
                  <w:color w:val="0000EE"/>
                  <w:w w:val="88"/>
                </w:rPr>
                <w:t>2020 (unaudited)</w:t>
              </w:r>
            </w:hyperlink>
          </w:p>
        </w:tc>
        <w:tc>
          <w:tcPr>
            <w:tcW w:w="622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bottom w:val="single" w:sz="8" w:color="0000EE"/>
            </w:tcBorders>
            <w:gridSpan w:val="16"/>
          </w:tcPr>
          <w:p>
            <w:pPr>
              <w:spacing w:after="0" w:line="184" w:lineRule="exact"/>
              <w:rPr>
                <w:rFonts w:ascii="Arial" w:cs="Arial" w:eastAsia="Arial" w:hAnsi="Arial"/>
                <w:sz w:val="17"/>
                <w:szCs w:val="17"/>
                <w:color w:val="0000EE"/>
                <w:w w:val="88"/>
              </w:rPr>
            </w:pPr>
            <w:hyperlink w:anchor="page10">
              <w:r>
                <w:rPr>
                  <w:rFonts w:ascii="Arial" w:cs="Arial" w:eastAsia="Arial" w:hAnsi="Arial"/>
                  <w:sz w:val="17"/>
                  <w:szCs w:val="17"/>
                  <w:color w:val="0000EE"/>
                  <w:w w:val="88"/>
                </w:rPr>
                <w:t>Notes to Condensed Consolidated Financial Statements (unaudited)</w:t>
              </w:r>
            </w:hyperlink>
          </w:p>
        </w:tc>
        <w:tc>
          <w:tcPr>
            <w:tcW w:w="2820" w:type="dxa"/>
            <w:vAlign w:val="bottom"/>
            <w:gridSpan w:val="6"/>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bottom w:val="single" w:sz="8" w:color="0000EE"/>
            </w:tcBorders>
          </w:tcPr>
          <w:p>
            <w:pPr>
              <w:spacing w:after="0" w:line="184" w:lineRule="exact"/>
              <w:rPr>
                <w:rFonts w:ascii="Arial" w:cs="Arial" w:eastAsia="Arial" w:hAnsi="Arial"/>
                <w:sz w:val="17"/>
                <w:szCs w:val="17"/>
                <w:color w:val="0000EE"/>
                <w:w w:val="88"/>
              </w:rPr>
            </w:pPr>
            <w:hyperlink w:anchor="page41">
              <w:r>
                <w:rPr>
                  <w:rFonts w:ascii="Arial" w:cs="Arial" w:eastAsia="Arial" w:hAnsi="Arial"/>
                  <w:sz w:val="17"/>
                  <w:szCs w:val="17"/>
                  <w:color w:val="0000EE"/>
                  <w:w w:val="88"/>
                </w:rPr>
                <w:t>Item 2.</w:t>
              </w:r>
            </w:hyperlink>
          </w:p>
        </w:tc>
        <w:tc>
          <w:tcPr>
            <w:tcW w:w="340" w:type="dxa"/>
            <w:vAlign w:val="bottom"/>
            <w:gridSpan w:val="2"/>
          </w:tcPr>
          <w:p>
            <w:pPr>
              <w:spacing w:after="0"/>
              <w:rPr>
                <w:sz w:val="15"/>
                <w:szCs w:val="15"/>
                <w:color w:val="auto"/>
              </w:rPr>
            </w:pPr>
          </w:p>
        </w:tc>
        <w:tc>
          <w:tcPr>
            <w:tcW w:w="6080" w:type="dxa"/>
            <w:vAlign w:val="bottom"/>
            <w:tcBorders>
              <w:bottom w:val="single" w:sz="8" w:color="0000EE"/>
            </w:tcBorders>
            <w:gridSpan w:val="19"/>
          </w:tcPr>
          <w:p>
            <w:pPr>
              <w:spacing w:after="0" w:line="184" w:lineRule="exact"/>
              <w:rPr>
                <w:rFonts w:ascii="Arial" w:cs="Arial" w:eastAsia="Arial" w:hAnsi="Arial"/>
                <w:sz w:val="17"/>
                <w:szCs w:val="17"/>
                <w:color w:val="0000EE"/>
                <w:w w:val="90"/>
              </w:rPr>
            </w:pPr>
            <w:hyperlink w:anchor="page41">
              <w:r>
                <w:rPr>
                  <w:rFonts w:ascii="Arial" w:cs="Arial" w:eastAsia="Arial" w:hAnsi="Arial"/>
                  <w:sz w:val="17"/>
                  <w:szCs w:val="17"/>
                  <w:color w:val="0000EE"/>
                  <w:w w:val="90"/>
                </w:rPr>
                <w:t>Management’s Discussion and Analysis of Financial Condition and Results of Operations</w:t>
              </w:r>
            </w:hyperlink>
          </w:p>
        </w:tc>
        <w:tc>
          <w:tcPr>
            <w:tcW w:w="1320" w:type="dxa"/>
            <w:vAlign w:val="bottom"/>
            <w:gridSpan w:val="3"/>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bottom w:val="single" w:sz="8" w:color="0000EE"/>
            </w:tcBorders>
          </w:tcPr>
          <w:p>
            <w:pPr>
              <w:spacing w:after="0" w:line="184" w:lineRule="exact"/>
              <w:rPr>
                <w:rFonts w:ascii="Arial" w:cs="Arial" w:eastAsia="Arial" w:hAnsi="Arial"/>
                <w:sz w:val="17"/>
                <w:szCs w:val="17"/>
                <w:color w:val="0000EE"/>
                <w:w w:val="88"/>
              </w:rPr>
            </w:pPr>
            <w:hyperlink w:anchor="page64">
              <w:r>
                <w:rPr>
                  <w:rFonts w:ascii="Arial" w:cs="Arial" w:eastAsia="Arial" w:hAnsi="Arial"/>
                  <w:sz w:val="17"/>
                  <w:szCs w:val="17"/>
                  <w:color w:val="0000EE"/>
                  <w:w w:val="88"/>
                </w:rPr>
                <w:t>Item 3.</w:t>
              </w:r>
            </w:hyperlink>
          </w:p>
        </w:tc>
        <w:tc>
          <w:tcPr>
            <w:tcW w:w="340" w:type="dxa"/>
            <w:vAlign w:val="bottom"/>
            <w:gridSpan w:val="2"/>
          </w:tcPr>
          <w:p>
            <w:pPr>
              <w:spacing w:after="0"/>
              <w:rPr>
                <w:sz w:val="15"/>
                <w:szCs w:val="15"/>
                <w:color w:val="auto"/>
              </w:rPr>
            </w:pPr>
          </w:p>
        </w:tc>
        <w:tc>
          <w:tcPr>
            <w:tcW w:w="4060" w:type="dxa"/>
            <w:vAlign w:val="bottom"/>
            <w:tcBorders>
              <w:bottom w:val="single" w:sz="8" w:color="0000EE"/>
            </w:tcBorders>
            <w:gridSpan w:val="14"/>
          </w:tcPr>
          <w:p>
            <w:pPr>
              <w:spacing w:after="0" w:line="184" w:lineRule="exact"/>
              <w:rPr>
                <w:rFonts w:ascii="Arial" w:cs="Arial" w:eastAsia="Arial" w:hAnsi="Arial"/>
                <w:sz w:val="17"/>
                <w:szCs w:val="17"/>
                <w:color w:val="0000EE"/>
                <w:w w:val="91"/>
              </w:rPr>
            </w:pPr>
            <w:hyperlink w:anchor="page64">
              <w:r>
                <w:rPr>
                  <w:rFonts w:ascii="Arial" w:cs="Arial" w:eastAsia="Arial" w:hAnsi="Arial"/>
                  <w:sz w:val="17"/>
                  <w:szCs w:val="17"/>
                  <w:color w:val="0000EE"/>
                  <w:w w:val="91"/>
                </w:rPr>
                <w:t>Quantitative and Qualitative Disclosures about Market Risk</w:t>
              </w:r>
            </w:hyperlink>
          </w:p>
        </w:tc>
        <w:tc>
          <w:tcPr>
            <w:tcW w:w="3340" w:type="dxa"/>
            <w:vAlign w:val="bottom"/>
            <w:gridSpan w:val="8"/>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gridSpan w:val="3"/>
          </w:tcPr>
          <w:p>
            <w:pPr>
              <w:spacing w:after="0" w:line="184" w:lineRule="exact"/>
              <w:rPr>
                <w:rFonts w:ascii="Arial" w:cs="Arial" w:eastAsia="Arial" w:hAnsi="Arial"/>
                <w:sz w:val="17"/>
                <w:szCs w:val="17"/>
                <w:color w:val="0000EE"/>
              </w:rPr>
            </w:pPr>
            <w:hyperlink w:anchor="page64">
              <w:r>
                <w:rPr>
                  <w:rFonts w:ascii="Arial" w:cs="Arial" w:eastAsia="Arial" w:hAnsi="Arial"/>
                  <w:sz w:val="17"/>
                  <w:szCs w:val="17"/>
                  <w:color w:val="0000EE"/>
                </w:rPr>
                <w:t>Item 4.</w:t>
              </w:r>
            </w:hyperlink>
          </w:p>
        </w:tc>
        <w:tc>
          <w:tcPr>
            <w:tcW w:w="7400" w:type="dxa"/>
            <w:vAlign w:val="bottom"/>
            <w:gridSpan w:val="22"/>
          </w:tcPr>
          <w:p>
            <w:pPr>
              <w:spacing w:after="0" w:line="184" w:lineRule="exact"/>
              <w:rPr>
                <w:rFonts w:ascii="Arial" w:cs="Arial" w:eastAsia="Arial" w:hAnsi="Arial"/>
                <w:sz w:val="17"/>
                <w:szCs w:val="17"/>
                <w:color w:val="0000EE"/>
              </w:rPr>
            </w:pPr>
            <w:hyperlink w:anchor="page64">
              <w:r>
                <w:rPr>
                  <w:rFonts w:ascii="Arial" w:cs="Arial" w:eastAsia="Arial" w:hAnsi="Arial"/>
                  <w:sz w:val="17"/>
                  <w:szCs w:val="17"/>
                  <w:color w:val="0000EE"/>
                </w:rPr>
                <w:t>Controls and Procedures</w:t>
              </w:r>
            </w:hyperlink>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Borders>
              <w:bottom w:val="single" w:sz="8" w:color="0000EE"/>
            </w:tcBorders>
            <w:gridSpan w:val="4"/>
          </w:tcPr>
          <w:p>
            <w:pPr>
              <w:spacing w:after="0" w:line="184" w:lineRule="exact"/>
              <w:rPr>
                <w:rFonts w:ascii="Arial" w:cs="Arial" w:eastAsia="Arial" w:hAnsi="Arial"/>
                <w:sz w:val="17"/>
                <w:szCs w:val="17"/>
                <w:color w:val="0000EE"/>
                <w:w w:val="90"/>
              </w:rPr>
            </w:pPr>
            <w:hyperlink w:anchor="page66">
              <w:r>
                <w:rPr>
                  <w:rFonts w:ascii="Arial" w:cs="Arial" w:eastAsia="Arial" w:hAnsi="Arial"/>
                  <w:sz w:val="17"/>
                  <w:szCs w:val="17"/>
                  <w:color w:val="0000EE"/>
                  <w:w w:val="90"/>
                </w:rPr>
                <w:t>Part II - Other Information</w:t>
              </w:r>
            </w:hyperlink>
          </w:p>
        </w:tc>
        <w:tc>
          <w:tcPr>
            <w:tcW w:w="2800" w:type="dxa"/>
            <w:vAlign w:val="bottom"/>
            <w:gridSpan w:val="5"/>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bottom w:val="single" w:sz="8" w:color="0000EE"/>
            </w:tcBorders>
          </w:tcPr>
          <w:p>
            <w:pPr>
              <w:spacing w:after="0" w:line="184" w:lineRule="exact"/>
              <w:rPr>
                <w:rFonts w:ascii="Arial" w:cs="Arial" w:eastAsia="Arial" w:hAnsi="Arial"/>
                <w:sz w:val="17"/>
                <w:szCs w:val="17"/>
                <w:color w:val="0000EE"/>
                <w:w w:val="88"/>
              </w:rPr>
            </w:pPr>
            <w:hyperlink w:anchor="page66">
              <w:r>
                <w:rPr>
                  <w:rFonts w:ascii="Arial" w:cs="Arial" w:eastAsia="Arial" w:hAnsi="Arial"/>
                  <w:sz w:val="17"/>
                  <w:szCs w:val="17"/>
                  <w:color w:val="0000EE"/>
                  <w:w w:val="88"/>
                </w:rPr>
                <w:t>Item 1.</w:t>
              </w:r>
            </w:hyperlink>
          </w:p>
        </w:tc>
        <w:tc>
          <w:tcPr>
            <w:tcW w:w="340" w:type="dxa"/>
            <w:vAlign w:val="bottom"/>
            <w:gridSpan w:val="2"/>
          </w:tcPr>
          <w:p>
            <w:pPr>
              <w:spacing w:after="0"/>
              <w:rPr>
                <w:sz w:val="15"/>
                <w:szCs w:val="15"/>
                <w:color w:val="auto"/>
              </w:rPr>
            </w:pPr>
          </w:p>
        </w:tc>
        <w:tc>
          <w:tcPr>
            <w:tcW w:w="1260" w:type="dxa"/>
            <w:vAlign w:val="bottom"/>
            <w:tcBorders>
              <w:bottom w:val="single" w:sz="8" w:color="0000EE"/>
            </w:tcBorders>
            <w:gridSpan w:val="7"/>
          </w:tcPr>
          <w:p>
            <w:pPr>
              <w:spacing w:after="0" w:line="184" w:lineRule="exact"/>
              <w:rPr>
                <w:rFonts w:ascii="Arial" w:cs="Arial" w:eastAsia="Arial" w:hAnsi="Arial"/>
                <w:sz w:val="17"/>
                <w:szCs w:val="17"/>
                <w:color w:val="0000EE"/>
                <w:w w:val="88"/>
              </w:rPr>
            </w:pPr>
            <w:hyperlink w:anchor="page66">
              <w:r>
                <w:rPr>
                  <w:rFonts w:ascii="Arial" w:cs="Arial" w:eastAsia="Arial" w:hAnsi="Arial"/>
                  <w:sz w:val="17"/>
                  <w:szCs w:val="17"/>
                  <w:color w:val="0000EE"/>
                  <w:w w:val="88"/>
                </w:rPr>
                <w:t>Legal Proceedings</w:t>
              </w:r>
            </w:hyperlink>
          </w:p>
        </w:tc>
        <w:tc>
          <w:tcPr>
            <w:tcW w:w="6140" w:type="dxa"/>
            <w:vAlign w:val="bottom"/>
            <w:gridSpan w:val="15"/>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gridSpan w:val="2"/>
          </w:tcPr>
          <w:p>
            <w:pPr>
              <w:spacing w:after="0" w:line="184"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Item 1A.</w:t>
              </w:r>
            </w:hyperlink>
          </w:p>
        </w:tc>
        <w:tc>
          <w:tcPr>
            <w:tcW w:w="220" w:type="dxa"/>
            <w:vAlign w:val="bottom"/>
          </w:tcPr>
          <w:p>
            <w:pPr>
              <w:spacing w:after="0"/>
              <w:rPr>
                <w:sz w:val="15"/>
                <w:szCs w:val="15"/>
                <w:color w:val="auto"/>
              </w:rPr>
            </w:pPr>
          </w:p>
        </w:tc>
        <w:tc>
          <w:tcPr>
            <w:tcW w:w="7400" w:type="dxa"/>
            <w:vAlign w:val="bottom"/>
            <w:gridSpan w:val="22"/>
          </w:tcPr>
          <w:p>
            <w:pPr>
              <w:spacing w:after="0" w:line="184" w:lineRule="exact"/>
              <w:rPr>
                <w:rFonts w:ascii="Arial" w:cs="Arial" w:eastAsia="Arial" w:hAnsi="Arial"/>
                <w:sz w:val="17"/>
                <w:szCs w:val="17"/>
                <w:color w:val="0000EE"/>
              </w:rPr>
            </w:pPr>
            <w:hyperlink w:anchor="page66">
              <w:r>
                <w:rPr>
                  <w:rFonts w:ascii="Arial" w:cs="Arial" w:eastAsia="Arial" w:hAnsi="Arial"/>
                  <w:sz w:val="17"/>
                  <w:szCs w:val="17"/>
                  <w:color w:val="0000EE"/>
                </w:rPr>
                <w:t>Risk Factors</w:t>
              </w:r>
            </w:hyperlink>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line="184" w:lineRule="exact"/>
              <w:rPr>
                <w:rFonts w:ascii="Arial" w:cs="Arial" w:eastAsia="Arial" w:hAnsi="Arial"/>
                <w:sz w:val="17"/>
                <w:szCs w:val="17"/>
                <w:color w:val="0000EE"/>
                <w:w w:val="88"/>
              </w:rPr>
            </w:pPr>
            <w:hyperlink w:anchor="page66">
              <w:r>
                <w:rPr>
                  <w:rFonts w:ascii="Arial" w:cs="Arial" w:eastAsia="Arial" w:hAnsi="Arial"/>
                  <w:sz w:val="17"/>
                  <w:szCs w:val="17"/>
                  <w:color w:val="0000EE"/>
                  <w:w w:val="88"/>
                </w:rPr>
                <w:t>Item 2.</w:t>
              </w:r>
            </w:hyperlink>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gridSpan w:val="22"/>
          </w:tcPr>
          <w:p>
            <w:pPr>
              <w:spacing w:after="0" w:line="184" w:lineRule="exact"/>
              <w:rPr>
                <w:rFonts w:ascii="Arial" w:cs="Arial" w:eastAsia="Arial" w:hAnsi="Arial"/>
                <w:sz w:val="17"/>
                <w:szCs w:val="17"/>
                <w:color w:val="0000EE"/>
              </w:rPr>
            </w:pPr>
            <w:hyperlink w:anchor="page66">
              <w:r>
                <w:rPr>
                  <w:rFonts w:ascii="Arial" w:cs="Arial" w:eastAsia="Arial" w:hAnsi="Arial"/>
                  <w:sz w:val="17"/>
                  <w:szCs w:val="17"/>
                  <w:color w:val="0000EE"/>
                </w:rPr>
                <w:t>Unregistered Sales of Equity Securities and Use of Proceeds</w:t>
              </w:r>
            </w:hyperlink>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line="184" w:lineRule="exact"/>
              <w:rPr>
                <w:rFonts w:ascii="Arial" w:cs="Arial" w:eastAsia="Arial" w:hAnsi="Arial"/>
                <w:sz w:val="17"/>
                <w:szCs w:val="17"/>
                <w:color w:val="0000EE"/>
                <w:w w:val="88"/>
              </w:rPr>
            </w:pPr>
            <w:hyperlink w:anchor="page66">
              <w:r>
                <w:rPr>
                  <w:rFonts w:ascii="Arial" w:cs="Arial" w:eastAsia="Arial" w:hAnsi="Arial"/>
                  <w:sz w:val="17"/>
                  <w:szCs w:val="17"/>
                  <w:color w:val="0000EE"/>
                  <w:w w:val="88"/>
                </w:rPr>
                <w:t>Item 3.</w:t>
              </w:r>
            </w:hyperlink>
          </w:p>
        </w:tc>
        <w:tc>
          <w:tcPr>
            <w:tcW w:w="340" w:type="dxa"/>
            <w:vAlign w:val="bottom"/>
            <w:gridSpan w:val="2"/>
          </w:tcPr>
          <w:p>
            <w:pPr>
              <w:spacing w:after="0"/>
              <w:rPr>
                <w:sz w:val="15"/>
                <w:szCs w:val="15"/>
                <w:color w:val="auto"/>
              </w:rPr>
            </w:pPr>
          </w:p>
        </w:tc>
        <w:tc>
          <w:tcPr>
            <w:tcW w:w="408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66">
              <w:r>
                <w:rPr>
                  <w:rFonts w:ascii="Arial" w:cs="Arial" w:eastAsia="Arial" w:hAnsi="Arial"/>
                  <w:sz w:val="17"/>
                  <w:szCs w:val="17"/>
                  <w:color w:val="0000EE"/>
                </w:rPr>
                <w:t>Defaults Upon Senior Securities</w:t>
              </w:r>
            </w:hyperlink>
          </w:p>
        </w:tc>
        <w:tc>
          <w:tcPr>
            <w:tcW w:w="3320" w:type="dxa"/>
            <w:vAlign w:val="bottom"/>
            <w:gridSpan w:val="7"/>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line="184" w:lineRule="exact"/>
              <w:rPr>
                <w:rFonts w:ascii="Arial" w:cs="Arial" w:eastAsia="Arial" w:hAnsi="Arial"/>
                <w:sz w:val="17"/>
                <w:szCs w:val="17"/>
                <w:color w:val="0000EE"/>
                <w:w w:val="88"/>
              </w:rPr>
            </w:pPr>
            <w:hyperlink w:anchor="page66">
              <w:r>
                <w:rPr>
                  <w:rFonts w:ascii="Arial" w:cs="Arial" w:eastAsia="Arial" w:hAnsi="Arial"/>
                  <w:sz w:val="17"/>
                  <w:szCs w:val="17"/>
                  <w:color w:val="0000EE"/>
                  <w:w w:val="88"/>
                </w:rPr>
                <w:t>Item 4.</w:t>
              </w:r>
            </w:hyperlink>
          </w:p>
        </w:tc>
        <w:tc>
          <w:tcPr>
            <w:tcW w:w="340" w:type="dxa"/>
            <w:vAlign w:val="bottom"/>
            <w:gridSpan w:val="2"/>
          </w:tcPr>
          <w:p>
            <w:pPr>
              <w:spacing w:after="0"/>
              <w:rPr>
                <w:sz w:val="15"/>
                <w:szCs w:val="15"/>
                <w:color w:val="auto"/>
              </w:rPr>
            </w:pPr>
          </w:p>
        </w:tc>
        <w:tc>
          <w:tcPr>
            <w:tcW w:w="2180" w:type="dxa"/>
            <w:vAlign w:val="bottom"/>
            <w:tcBorders>
              <w:top w:val="single" w:sz="8" w:color="0000EE"/>
            </w:tcBorders>
            <w:gridSpan w:val="11"/>
          </w:tcPr>
          <w:p>
            <w:pPr>
              <w:spacing w:after="0" w:line="184" w:lineRule="exact"/>
              <w:rPr>
                <w:rFonts w:ascii="Arial" w:cs="Arial" w:eastAsia="Arial" w:hAnsi="Arial"/>
                <w:sz w:val="17"/>
                <w:szCs w:val="17"/>
                <w:color w:val="0000EE"/>
              </w:rPr>
            </w:pPr>
            <w:hyperlink w:anchor="page66">
              <w:r>
                <w:rPr>
                  <w:rFonts w:ascii="Arial" w:cs="Arial" w:eastAsia="Arial" w:hAnsi="Arial"/>
                  <w:sz w:val="17"/>
                  <w:szCs w:val="17"/>
                  <w:color w:val="0000EE"/>
                </w:rPr>
                <w:t>Mine Safety Disclosures</w:t>
              </w:r>
            </w:hyperlink>
          </w:p>
        </w:tc>
        <w:tc>
          <w:tcPr>
            <w:tcW w:w="5220" w:type="dxa"/>
            <w:vAlign w:val="bottom"/>
            <w:gridSpan w:val="11"/>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spacing w:after="0" w:line="184" w:lineRule="exact"/>
              <w:rPr>
                <w:rFonts w:ascii="Arial" w:cs="Arial" w:eastAsia="Arial" w:hAnsi="Arial"/>
                <w:sz w:val="17"/>
                <w:szCs w:val="17"/>
                <w:color w:val="0000EE"/>
                <w:w w:val="88"/>
              </w:rPr>
            </w:pPr>
            <w:hyperlink w:anchor="page66">
              <w:r>
                <w:rPr>
                  <w:rFonts w:ascii="Arial" w:cs="Arial" w:eastAsia="Arial" w:hAnsi="Arial"/>
                  <w:sz w:val="17"/>
                  <w:szCs w:val="17"/>
                  <w:color w:val="0000EE"/>
                  <w:w w:val="88"/>
                </w:rPr>
                <w:t>Item 5.</w:t>
              </w:r>
            </w:hyperlink>
          </w:p>
        </w:tc>
        <w:tc>
          <w:tcPr>
            <w:tcW w:w="340" w:type="dxa"/>
            <w:vAlign w:val="bottom"/>
            <w:gridSpan w:val="2"/>
          </w:tcPr>
          <w:p>
            <w:pPr>
              <w:spacing w:after="0"/>
              <w:rPr>
                <w:sz w:val="15"/>
                <w:szCs w:val="15"/>
                <w:color w:val="auto"/>
              </w:rPr>
            </w:pPr>
          </w:p>
        </w:tc>
        <w:tc>
          <w:tcPr>
            <w:tcW w:w="1240" w:type="dxa"/>
            <w:vAlign w:val="bottom"/>
            <w:tcBorders>
              <w:top w:val="single" w:sz="8" w:color="0000EE"/>
              <w:bottom w:val="single" w:sz="8" w:color="0000EE"/>
            </w:tcBorders>
            <w:gridSpan w:val="6"/>
          </w:tcPr>
          <w:p>
            <w:pPr>
              <w:spacing w:after="0" w:line="184" w:lineRule="exact"/>
              <w:rPr>
                <w:rFonts w:ascii="Arial" w:cs="Arial" w:eastAsia="Arial" w:hAnsi="Arial"/>
                <w:sz w:val="17"/>
                <w:szCs w:val="17"/>
                <w:color w:val="0000EE"/>
                <w:w w:val="92"/>
              </w:rPr>
            </w:pPr>
            <w:hyperlink w:anchor="page66">
              <w:r>
                <w:rPr>
                  <w:rFonts w:ascii="Arial" w:cs="Arial" w:eastAsia="Arial" w:hAnsi="Arial"/>
                  <w:sz w:val="17"/>
                  <w:szCs w:val="17"/>
                  <w:color w:val="0000EE"/>
                  <w:w w:val="92"/>
                </w:rPr>
                <w:t>Other Information</w:t>
              </w:r>
            </w:hyperlink>
          </w:p>
        </w:tc>
        <w:tc>
          <w:tcPr>
            <w:tcW w:w="420" w:type="dxa"/>
            <w:vAlign w:val="bottom"/>
            <w:tcBorders>
              <w:top w:val="single" w:sz="8" w:color="0000EE"/>
            </w:tcBorders>
            <w:gridSpan w:val="3"/>
          </w:tcPr>
          <w:p>
            <w:pPr>
              <w:spacing w:after="0"/>
              <w:rPr>
                <w:sz w:val="15"/>
                <w:szCs w:val="15"/>
                <w:color w:val="auto"/>
              </w:rPr>
            </w:pPr>
          </w:p>
        </w:tc>
        <w:tc>
          <w:tcPr>
            <w:tcW w:w="5740" w:type="dxa"/>
            <w:vAlign w:val="bottom"/>
            <w:gridSpan w:val="13"/>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line="184" w:lineRule="exact"/>
              <w:rPr>
                <w:rFonts w:ascii="Arial" w:cs="Arial" w:eastAsia="Arial" w:hAnsi="Arial"/>
                <w:sz w:val="17"/>
                <w:szCs w:val="17"/>
                <w:color w:val="0000EE"/>
                <w:w w:val="88"/>
              </w:rPr>
            </w:pPr>
            <w:hyperlink w:anchor="page67">
              <w:r>
                <w:rPr>
                  <w:rFonts w:ascii="Arial" w:cs="Arial" w:eastAsia="Arial" w:hAnsi="Arial"/>
                  <w:sz w:val="17"/>
                  <w:szCs w:val="17"/>
                  <w:color w:val="0000EE"/>
                  <w:w w:val="88"/>
                </w:rPr>
                <w:t>Item 6.</w:t>
              </w:r>
            </w:hyperlink>
          </w:p>
        </w:tc>
        <w:tc>
          <w:tcPr>
            <w:tcW w:w="340" w:type="dxa"/>
            <w:vAlign w:val="bottom"/>
            <w:gridSpan w:val="2"/>
          </w:tcPr>
          <w:p>
            <w:pPr>
              <w:spacing w:after="0"/>
              <w:rPr>
                <w:sz w:val="15"/>
                <w:szCs w:val="15"/>
                <w:color w:val="auto"/>
              </w:rPr>
            </w:pPr>
          </w:p>
        </w:tc>
        <w:tc>
          <w:tcPr>
            <w:tcW w:w="7400" w:type="dxa"/>
            <w:vAlign w:val="bottom"/>
            <w:gridSpan w:val="22"/>
          </w:tcPr>
          <w:p>
            <w:pPr>
              <w:spacing w:after="0" w:line="184" w:lineRule="exact"/>
              <w:rPr>
                <w:rFonts w:ascii="Arial" w:cs="Arial" w:eastAsia="Arial" w:hAnsi="Arial"/>
                <w:sz w:val="17"/>
                <w:szCs w:val="17"/>
                <w:color w:val="0000EE"/>
              </w:rPr>
            </w:pPr>
            <w:hyperlink w:anchor="page67">
              <w:r>
                <w:rPr>
                  <w:rFonts w:ascii="Arial" w:cs="Arial" w:eastAsia="Arial" w:hAnsi="Arial"/>
                  <w:sz w:val="17"/>
                  <w:szCs w:val="17"/>
                  <w:color w:val="0000EE"/>
                </w:rPr>
                <w:t>Exhibits</w:t>
              </w:r>
            </w:hyperlink>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8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gridSpan w:val="22"/>
          </w:tcPr>
          <w:p>
            <w:pPr>
              <w:spacing w:after="0" w:line="184" w:lineRule="exact"/>
              <w:rPr>
                <w:rFonts w:ascii="Arial" w:cs="Arial" w:eastAsia="Arial" w:hAnsi="Arial"/>
                <w:sz w:val="17"/>
                <w:szCs w:val="17"/>
                <w:color w:val="0000EE"/>
              </w:rPr>
            </w:pPr>
            <w:hyperlink w:anchor="page68">
              <w:r>
                <w:rPr>
                  <w:rFonts w:ascii="Arial" w:cs="Arial" w:eastAsia="Arial" w:hAnsi="Arial"/>
                  <w:sz w:val="17"/>
                  <w:szCs w:val="17"/>
                  <w:color w:val="0000EE"/>
                </w:rPr>
                <w:t>Signatures</w:t>
              </w:r>
            </w:hyperlink>
          </w:p>
        </w:tc>
        <w:tc>
          <w:tcPr>
            <w:tcW w:w="680" w:type="dxa"/>
            <w:vAlign w:val="bottom"/>
          </w:tcPr>
          <w:p>
            <w:pPr>
              <w:jc w:val="right"/>
              <w:spacing w:after="0" w:line="184"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760"/>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8" w:right="1440" w:bottom="1440" w:gutter="0" w:footer="0" w:header="0"/>
        </w:sectPr>
      </w:pPr>
    </w:p>
    <w:bookmarkStart w:id="2" w:name="page3"/>
    <w:bookmarkEnd w:id="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5"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5"/>
          <w:szCs w:val="15"/>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59" w:lineRule="exact"/>
        <w:rPr>
          <w:sz w:val="20"/>
          <w:szCs w:val="20"/>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effects on our business of the coronavirus disease 2019 (“COVID-19”) pandemic;</w:t>
      </w:r>
    </w:p>
    <w:p>
      <w:pPr>
        <w:spacing w:after="0" w:line="71" w:lineRule="exact"/>
        <w:rPr>
          <w:rFonts w:ascii="Arial" w:cs="Arial" w:eastAsia="Arial" w:hAnsi="Arial"/>
          <w:sz w:val="17"/>
          <w:szCs w:val="17"/>
          <w:color w:val="auto"/>
        </w:rPr>
      </w:pPr>
    </w:p>
    <w:p>
      <w:pPr>
        <w:ind w:left="980" w:right="299" w:hanging="299"/>
        <w:spacing w:after="0" w:line="273"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customers on a cost-effective basis and the extent to which existing customers renew and upgrade their subscriptions;</w:t>
      </w:r>
    </w:p>
    <w:p>
      <w:pPr>
        <w:spacing w:after="0" w:line="25"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sustain and expand revenues, maintain profitability, and to effectively manage our anticipated growth;</w:t>
      </w:r>
    </w:p>
    <w:p>
      <w:pPr>
        <w:spacing w:after="0" w:line="107" w:lineRule="exact"/>
        <w:rPr>
          <w:rFonts w:ascii="Arial" w:cs="Arial" w:eastAsia="Arial" w:hAnsi="Arial"/>
          <w:sz w:val="15"/>
          <w:szCs w:val="15"/>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our introduction of new solutions or updates to existing solutions;</w:t>
      </w:r>
    </w:p>
    <w:p>
      <w:pPr>
        <w:spacing w:after="0" w:line="71" w:lineRule="exact"/>
        <w:rPr>
          <w:rFonts w:ascii="Arial" w:cs="Arial" w:eastAsia="Arial" w:hAnsi="Arial"/>
          <w:sz w:val="17"/>
          <w:szCs w:val="17"/>
          <w:color w:val="auto"/>
        </w:rPr>
      </w:pPr>
    </w:p>
    <w:p>
      <w:pPr>
        <w:ind w:left="980" w:right="579" w:hanging="299"/>
        <w:spacing w:after="0" w:line="273"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diversify our solutions by developing or introducing new solutions or acquiring and integrating additional businesses, products, services or content;</w:t>
      </w:r>
    </w:p>
    <w:p>
      <w:pPr>
        <w:spacing w:after="0" w:line="25"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expand our strategic relationships with third parties;</w:t>
      </w:r>
    </w:p>
    <w:p>
      <w:pPr>
        <w:spacing w:after="0" w:line="84"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our expanding international operations;</w:t>
      </w:r>
    </w:p>
    <w:p>
      <w:pPr>
        <w:spacing w:after="0" w:line="71"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deliver our solutions to customers without disruption or delay;</w:t>
      </w:r>
    </w:p>
    <w:p>
      <w:pPr>
        <w:spacing w:after="0" w:line="71"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exposure to liability from errors, delays, fraud or system failures, which may not be covered by insurance;</w:t>
      </w:r>
    </w:p>
    <w:p>
      <w:pPr>
        <w:spacing w:after="0" w:line="95" w:lineRule="exact"/>
        <w:rPr>
          <w:rFonts w:ascii="Arial" w:cs="Arial" w:eastAsia="Arial" w:hAnsi="Arial"/>
          <w:sz w:val="16"/>
          <w:szCs w:val="16"/>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our determinations of customers’ transaction tax and tax payments;</w:t>
      </w:r>
    </w:p>
    <w:p>
      <w:pPr>
        <w:spacing w:after="0" w:line="71"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changes in tax laws and regulations or their interpretation or enforcement;</w:t>
      </w:r>
    </w:p>
    <w:p>
      <w:pPr>
        <w:spacing w:after="0" w:line="71"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cybersecurity and data privacy risks;</w:t>
      </w:r>
    </w:p>
    <w:p>
      <w:pPr>
        <w:spacing w:after="0" w:line="84"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failures in information technology, infrastructure and third-party service providers;</w:t>
      </w:r>
    </w:p>
    <w:p>
      <w:pPr>
        <w:spacing w:after="0" w:line="71"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protect, maintain and enhance our brand;</w:t>
      </w:r>
    </w:p>
    <w:p>
      <w:pPr>
        <w:spacing w:after="0" w:line="71"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economic weakness and uncertainties, and disruption in the capital and credit markets;</w:t>
      </w:r>
    </w:p>
    <w:p>
      <w:pPr>
        <w:spacing w:after="0" w:line="84" w:lineRule="exact"/>
        <w:rPr>
          <w:rFonts w:ascii="Arial" w:cs="Arial" w:eastAsia="Arial" w:hAnsi="Arial"/>
          <w:sz w:val="17"/>
          <w:szCs w:val="17"/>
          <w:color w:val="auto"/>
        </w:rPr>
      </w:pPr>
    </w:p>
    <w:p>
      <w:pPr>
        <w:ind w:left="980" w:right="359" w:hanging="299"/>
        <w:spacing w:after="0" w:line="273"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disruptions related to natural disasters, epidemic outbreaks, terrorist acts, political events or other events outside of our control;</w:t>
      </w:r>
    </w:p>
    <w:p>
      <w:pPr>
        <w:spacing w:after="0" w:line="25"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anti-corruption, anti-bribery and similar laws;</w:t>
      </w:r>
    </w:p>
    <w:p>
      <w:pPr>
        <w:spacing w:after="0" w:line="71" w:lineRule="exact"/>
        <w:rPr>
          <w:rFonts w:ascii="Arial" w:cs="Arial" w:eastAsia="Arial" w:hAnsi="Arial"/>
          <w:sz w:val="17"/>
          <w:szCs w:val="17"/>
          <w:color w:val="auto"/>
        </w:rPr>
      </w:pPr>
    </w:p>
    <w:p>
      <w:pPr>
        <w:ind w:left="980" w:right="79" w:hanging="299"/>
        <w:spacing w:after="0" w:line="273"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interest rates, security ratings and market perceptions of the industry in which we operate, or our ability to obtain capital on commercially reasonable terms or at all;</w:t>
      </w:r>
    </w:p>
    <w:p>
      <w:pPr>
        <w:spacing w:after="0" w:line="38"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statements of belief and any statements of assumptions underlying any of the foregoing; and</w:t>
      </w:r>
    </w:p>
    <w:p>
      <w:pPr>
        <w:spacing w:after="0" w:line="71"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3" w:name="page4"/>
    <w:bookmarkEnd w:id="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87" w:lineRule="auto"/>
        <w:rPr>
          <w:sz w:val="20"/>
          <w:szCs w:val="20"/>
          <w:color w:val="auto"/>
        </w:rPr>
      </w:pPr>
      <w:r>
        <w:rPr>
          <w:rFonts w:ascii="Arial" w:cs="Arial" w:eastAsia="Arial" w:hAnsi="Arial"/>
          <w:sz w:val="15"/>
          <w:szCs w:val="15"/>
          <w:color w:val="auto"/>
        </w:rPr>
        <w:t>The risks included here are not exhaustive, and additional factors could adversely affect our business and financial performance, including factors and risks included in our Annual Report on Form 10-K for the year ended December 31, 2020 and in other sections of this Quarterly Report on Form 10-Q, including under Part II, Item 1A, Risk Factors.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433070</wp:posOffset>
            </wp:positionV>
            <wp:extent cx="56559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 w:name="page5"/>
    <w:bookmarkEnd w:id="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 - FINANCIAL INFORMATION</w:t>
      </w:r>
    </w:p>
    <w:p>
      <w:pPr>
        <w:ind w:left="40"/>
        <w:spacing w:after="0" w:line="208" w:lineRule="auto"/>
        <w:rPr>
          <w:sz w:val="20"/>
          <w:szCs w:val="20"/>
          <w:color w:val="auto"/>
        </w:rPr>
      </w:pPr>
      <w:r>
        <w:rPr>
          <w:rFonts w:ascii="Arial" w:cs="Arial" w:eastAsia="Arial" w:hAnsi="Arial"/>
          <w:sz w:val="14"/>
          <w:szCs w:val="14"/>
          <w:b w:val="1"/>
          <w:bCs w:val="1"/>
          <w:color w:val="auto"/>
        </w:rPr>
        <w:t>Item 1. FINANCIAL STATEMENTS</w:t>
      </w:r>
    </w:p>
    <w:p>
      <w:pPr>
        <w:jc w:val="center"/>
        <w:ind w:right="19"/>
        <w:spacing w:after="0" w:line="208" w:lineRule="auto"/>
        <w:rPr>
          <w:sz w:val="20"/>
          <w:szCs w:val="20"/>
          <w:color w:val="auto"/>
        </w:rPr>
      </w:pPr>
      <w:r>
        <w:rPr>
          <w:rFonts w:ascii="Arial" w:cs="Arial" w:eastAsia="Arial" w:hAnsi="Arial"/>
          <w:sz w:val="14"/>
          <w:szCs w:val="14"/>
          <w:b w:val="1"/>
          <w:bCs w:val="1"/>
          <w:color w:val="auto"/>
        </w:rPr>
        <w:t>Vertex, Inc. and Subsidiaries</w:t>
      </w:r>
    </w:p>
    <w:p>
      <w:pPr>
        <w:jc w:val="center"/>
        <w:ind w:right="19"/>
        <w:spacing w:after="0" w:line="209" w:lineRule="auto"/>
        <w:rPr>
          <w:sz w:val="20"/>
          <w:szCs w:val="20"/>
          <w:color w:val="auto"/>
        </w:rPr>
      </w:pPr>
      <w:r>
        <w:rPr>
          <w:rFonts w:ascii="Arial" w:cs="Arial" w:eastAsia="Arial" w:hAnsi="Arial"/>
          <w:sz w:val="14"/>
          <w:szCs w:val="14"/>
          <w:b w:val="1"/>
          <w:bCs w:val="1"/>
          <w:color w:val="auto"/>
        </w:rPr>
        <w:t>Condensed Consolidated Balance Sheets</w:t>
      </w:r>
    </w:p>
    <w:p>
      <w:pPr>
        <w:jc w:val="center"/>
        <w:ind w:right="19"/>
        <w:spacing w:after="0" w:line="208" w:lineRule="auto"/>
        <w:rPr>
          <w:sz w:val="20"/>
          <w:szCs w:val="20"/>
          <w:color w:val="auto"/>
        </w:rPr>
      </w:pPr>
      <w:r>
        <w:rPr>
          <w:rFonts w:ascii="Arial" w:cs="Arial" w:eastAsia="Arial" w:hAnsi="Arial"/>
          <w:sz w:val="14"/>
          <w:szCs w:val="14"/>
          <w:b w:val="1"/>
          <w:bCs w:val="1"/>
          <w:color w:val="auto"/>
        </w:rPr>
        <w:t>As of September 30, 2021 and December 31, 2020</w:t>
      </w:r>
    </w:p>
    <w:p>
      <w:pPr>
        <w:jc w:val="center"/>
        <w:ind w:right="19"/>
        <w:spacing w:after="0"/>
        <w:rPr>
          <w:sz w:val="20"/>
          <w:szCs w:val="20"/>
          <w:color w:val="auto"/>
        </w:rPr>
      </w:pPr>
      <w:r>
        <w:rPr>
          <w:rFonts w:ascii="Arial" w:cs="Arial" w:eastAsia="Arial" w:hAnsi="Arial"/>
          <w:sz w:val="14"/>
          <w:szCs w:val="14"/>
          <w:b w:val="1"/>
          <w:bCs w:val="1"/>
          <w:color w:val="auto"/>
        </w:rPr>
        <w:t>(Amounts in thousands, except per share data)</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b w:val="1"/>
                <w:bCs w:val="1"/>
                <w:color w:val="auto"/>
                <w:w w:val="89"/>
              </w:rPr>
              <w:t>September 30, 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61"/>
              <w:spacing w:after="0" w:line="120"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spacing w:after="0" w:line="127" w:lineRule="exact"/>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Cash and cash equivalents</w:t>
            </w:r>
          </w:p>
        </w:tc>
        <w:tc>
          <w:tcPr>
            <w:tcW w:w="2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47,481</w:t>
            </w:r>
          </w:p>
        </w:tc>
        <w:tc>
          <w:tcPr>
            <w:tcW w:w="280" w:type="dxa"/>
            <w:vAlign w:val="bottom"/>
            <w:gridSpan w:val="2"/>
            <w:shd w:val="clear" w:color="auto" w:fill="CCEEFF"/>
          </w:tcPr>
          <w:p>
            <w:pPr>
              <w:jc w:val="right"/>
              <w:ind w:right="36"/>
              <w:spacing w:after="0" w:line="127"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303,051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Funds held for customers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27,860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9,222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Accounts receivable, net of allowance of $8,845, and $8,592, respectively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73,234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77,159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Borders>
              <w:bottom w:val="single" w:sz="8" w:color="CCEEFF"/>
            </w:tcBorders>
          </w:tcPr>
          <w:p>
            <w:pPr>
              <w:ind w:left="80"/>
              <w:spacing w:after="0" w:line="127" w:lineRule="exact"/>
              <w:rPr>
                <w:sz w:val="20"/>
                <w:szCs w:val="20"/>
                <w:color w:val="auto"/>
              </w:rPr>
            </w:pPr>
            <w:r>
              <w:rPr>
                <w:rFonts w:ascii="Arial" w:cs="Arial" w:eastAsia="Arial" w:hAnsi="Arial"/>
                <w:sz w:val="12"/>
                <w:szCs w:val="12"/>
                <w:color w:val="auto"/>
              </w:rPr>
              <w:t>Prepaid expenses and other current assets</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18,167</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
              <w:spacing w:after="0" w:line="127" w:lineRule="exact"/>
              <w:rPr>
                <w:sz w:val="20"/>
                <w:szCs w:val="20"/>
                <w:color w:val="auto"/>
              </w:rPr>
            </w:pPr>
            <w:r>
              <w:rPr>
                <w:rFonts w:ascii="Arial" w:cs="Arial" w:eastAsia="Arial" w:hAnsi="Arial"/>
                <w:sz w:val="12"/>
                <w:szCs w:val="12"/>
                <w:color w:val="auto"/>
              </w:rPr>
              <w:t>13,259</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color w:val="auto"/>
              </w:rPr>
              <w:t>Total current assets</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166,742</w:t>
            </w:r>
          </w:p>
        </w:tc>
        <w:tc>
          <w:tcPr>
            <w:tcW w:w="1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ind w:right="1"/>
              <w:spacing w:after="0" w:line="120" w:lineRule="exact"/>
              <w:rPr>
                <w:sz w:val="20"/>
                <w:szCs w:val="20"/>
                <w:color w:val="auto"/>
              </w:rPr>
            </w:pPr>
            <w:r>
              <w:rPr>
                <w:rFonts w:ascii="Arial" w:cs="Arial" w:eastAsia="Arial" w:hAnsi="Arial"/>
                <w:sz w:val="12"/>
                <w:szCs w:val="12"/>
                <w:color w:val="auto"/>
              </w:rPr>
              <w:t>402,691</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line="120" w:lineRule="exact"/>
              <w:rPr>
                <w:sz w:val="20"/>
                <w:szCs w:val="20"/>
                <w:color w:val="auto"/>
              </w:rPr>
            </w:pPr>
            <w:r>
              <w:rPr>
                <w:rFonts w:ascii="Arial" w:cs="Arial" w:eastAsia="Arial" w:hAnsi="Arial"/>
                <w:sz w:val="12"/>
                <w:szCs w:val="12"/>
                <w:color w:val="auto"/>
              </w:rPr>
              <w:t>Property and equipment, net of accumulated depreciation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spacing w:after="0" w:line="120" w:lineRule="exact"/>
              <w:rPr>
                <w:sz w:val="20"/>
                <w:szCs w:val="20"/>
                <w:color w:val="auto"/>
              </w:rPr>
            </w:pPr>
            <w:r>
              <w:rPr>
                <w:rFonts w:ascii="Arial" w:cs="Arial" w:eastAsia="Arial" w:hAnsi="Arial"/>
                <w:sz w:val="12"/>
                <w:szCs w:val="12"/>
                <w:color w:val="auto"/>
              </w:rPr>
              <w:t>97,869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
              <w:spacing w:after="0" w:line="120" w:lineRule="exact"/>
              <w:rPr>
                <w:sz w:val="20"/>
                <w:szCs w:val="20"/>
                <w:color w:val="auto"/>
              </w:rPr>
            </w:pPr>
            <w:r>
              <w:rPr>
                <w:rFonts w:ascii="Arial" w:cs="Arial" w:eastAsia="Arial" w:hAnsi="Arial"/>
                <w:sz w:val="12"/>
                <w:szCs w:val="12"/>
                <w:color w:val="auto"/>
              </w:rPr>
              <w:t>56,557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Capitalized software, net of accumulated amortization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34,018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31,989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spacing w:after="0" w:line="127" w:lineRule="exact"/>
              <w:rPr>
                <w:sz w:val="20"/>
                <w:szCs w:val="20"/>
                <w:color w:val="auto"/>
              </w:rPr>
            </w:pPr>
            <w:r>
              <w:rPr>
                <w:rFonts w:ascii="Arial" w:cs="Arial" w:eastAsia="Arial" w:hAnsi="Arial"/>
                <w:sz w:val="12"/>
                <w:szCs w:val="12"/>
                <w:color w:val="auto"/>
              </w:rPr>
              <w:t>Goodwill and other intangible assets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277,924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18,711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Deferred commissions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12,583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11,743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spacing w:after="0" w:line="127" w:lineRule="exact"/>
              <w:rPr>
                <w:sz w:val="20"/>
                <w:szCs w:val="20"/>
                <w:color w:val="auto"/>
              </w:rPr>
            </w:pPr>
            <w:r>
              <w:rPr>
                <w:rFonts w:ascii="Arial" w:cs="Arial" w:eastAsia="Arial" w:hAnsi="Arial"/>
                <w:sz w:val="12"/>
                <w:szCs w:val="12"/>
                <w:color w:val="auto"/>
              </w:rPr>
              <w:t>Deferred income tax asset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32,816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29,974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Operating lease right-of-use assets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21,137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Borders>
              <w:bottom w:val="single" w:sz="8" w:color="CCEEFF"/>
            </w:tcBorders>
          </w:tcPr>
          <w:p>
            <w:pPr>
              <w:spacing w:after="0" w:line="127" w:lineRule="exact"/>
              <w:rPr>
                <w:sz w:val="20"/>
                <w:szCs w:val="20"/>
                <w:color w:val="auto"/>
              </w:rPr>
            </w:pPr>
            <w:r>
              <w:rPr>
                <w:rFonts w:ascii="Arial" w:cs="Arial" w:eastAsia="Arial" w:hAnsi="Arial"/>
                <w:sz w:val="12"/>
                <w:szCs w:val="12"/>
                <w:color w:val="auto"/>
              </w:rPr>
              <w:t>Other assets</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2,755</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
              <w:spacing w:after="0" w:line="127" w:lineRule="exact"/>
              <w:rPr>
                <w:sz w:val="20"/>
                <w:szCs w:val="20"/>
                <w:color w:val="auto"/>
              </w:rPr>
            </w:pPr>
            <w:r>
              <w:rPr>
                <w:rFonts w:ascii="Arial" w:cs="Arial" w:eastAsia="Arial" w:hAnsi="Arial"/>
                <w:sz w:val="12"/>
                <w:szCs w:val="12"/>
                <w:color w:val="auto"/>
              </w:rPr>
              <w:t>3,263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CCEEFF"/>
            </w:tcBorders>
            <w:shd w:val="clear" w:color="auto" w:fill="CCEEFF"/>
          </w:tcPr>
          <w:p>
            <w:pPr>
              <w:ind w:left="80"/>
              <w:spacing w:after="0" w:line="120" w:lineRule="exact"/>
              <w:rPr>
                <w:sz w:val="20"/>
                <w:szCs w:val="20"/>
                <w:color w:val="auto"/>
              </w:rPr>
            </w:pPr>
            <w:r>
              <w:rPr>
                <w:rFonts w:ascii="Arial" w:cs="Arial" w:eastAsia="Arial" w:hAnsi="Arial"/>
                <w:sz w:val="12"/>
                <w:szCs w:val="12"/>
                <w:color w:val="auto"/>
              </w:rPr>
              <w:t>Total assets</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645,844</w:t>
            </w: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shd w:val="clear" w:color="auto" w:fill="CCEEFF"/>
          </w:tcPr>
          <w:p>
            <w:pPr>
              <w:jc w:val="right"/>
              <w:ind w:right="1"/>
              <w:spacing w:after="0" w:line="120" w:lineRule="exact"/>
              <w:rPr>
                <w:sz w:val="20"/>
                <w:szCs w:val="20"/>
                <w:color w:val="auto"/>
              </w:rPr>
            </w:pPr>
            <w:r>
              <w:rPr>
                <w:rFonts w:ascii="Arial" w:cs="Arial" w:eastAsia="Arial" w:hAnsi="Arial"/>
                <w:sz w:val="12"/>
                <w:szCs w:val="12"/>
                <w:color w:val="auto"/>
              </w:rPr>
              <w:t>554,928</w:t>
            </w:r>
          </w:p>
        </w:tc>
        <w:tc>
          <w:tcPr>
            <w:tcW w:w="1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Liabilities and stockholders' equity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spacing w:after="0" w:line="127" w:lineRule="exact"/>
              <w:rPr>
                <w:sz w:val="20"/>
                <w:szCs w:val="20"/>
                <w:color w:val="auto"/>
              </w:rPr>
            </w:pPr>
            <w:r>
              <w:rPr>
                <w:rFonts w:ascii="Arial" w:cs="Arial" w:eastAsia="Arial" w:hAnsi="Arial"/>
                <w:sz w:val="12"/>
                <w:szCs w:val="12"/>
                <w:color w:val="auto"/>
              </w:rPr>
              <w:t>Current liabilities: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Accounts payable</w:t>
            </w:r>
          </w:p>
        </w:tc>
        <w:tc>
          <w:tcPr>
            <w:tcW w:w="2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10,701</w:t>
            </w:r>
          </w:p>
        </w:tc>
        <w:tc>
          <w:tcPr>
            <w:tcW w:w="280" w:type="dxa"/>
            <w:vAlign w:val="bottom"/>
            <w:gridSpan w:val="2"/>
            <w:shd w:val="clear" w:color="auto" w:fill="CCEEFF"/>
          </w:tcPr>
          <w:p>
            <w:pPr>
              <w:jc w:val="right"/>
              <w:ind w:right="36"/>
              <w:spacing w:after="0" w:line="127"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8,876</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Accrued expenses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23,467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19,176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Distributions payable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2,700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Customer funds obligations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27,979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9,235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Accrued salaries and benefits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26,472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17,326</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Accrued and deferred compensation, current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23,101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24,429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Deferred revenue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211,036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207,560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Current portion of long-term debt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882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Current portion of operating lease liabilities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2,480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Current portion of finance lease liabilities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276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Deferred rent and other</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939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Deferred purchase consideration, current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19,705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Purchase commitment and contingent consideration liabilities, current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478</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845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CCEEFF"/>
            </w:tcBorders>
          </w:tcPr>
          <w:p>
            <w:pPr>
              <w:ind w:left="80"/>
              <w:spacing w:after="0" w:line="120" w:lineRule="exact"/>
              <w:rPr>
                <w:sz w:val="20"/>
                <w:szCs w:val="20"/>
                <w:color w:val="auto"/>
              </w:rPr>
            </w:pPr>
            <w:r>
              <w:rPr>
                <w:rFonts w:ascii="Arial" w:cs="Arial" w:eastAsia="Arial" w:hAnsi="Arial"/>
                <w:sz w:val="12"/>
                <w:szCs w:val="12"/>
                <w:color w:val="auto"/>
              </w:rPr>
              <w:t>Total current liabilities</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345,695</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
              <w:spacing w:after="0" w:line="120" w:lineRule="exact"/>
              <w:rPr>
                <w:sz w:val="20"/>
                <w:szCs w:val="20"/>
                <w:color w:val="auto"/>
              </w:rPr>
            </w:pPr>
            <w:r>
              <w:rPr>
                <w:rFonts w:ascii="Arial" w:cs="Arial" w:eastAsia="Arial" w:hAnsi="Arial"/>
                <w:sz w:val="12"/>
                <w:szCs w:val="12"/>
                <w:color w:val="auto"/>
              </w:rPr>
              <w:t>291,968</w:t>
            </w: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Deferred compensation, net of current portion</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2,786</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
              <w:spacing w:after="0" w:line="120" w:lineRule="exact"/>
              <w:rPr>
                <w:sz w:val="20"/>
                <w:szCs w:val="20"/>
                <w:color w:val="auto"/>
              </w:rPr>
            </w:pPr>
            <w:r>
              <w:rPr>
                <w:rFonts w:ascii="Arial" w:cs="Arial" w:eastAsia="Arial" w:hAnsi="Arial"/>
                <w:sz w:val="12"/>
                <w:szCs w:val="12"/>
                <w:color w:val="auto"/>
              </w:rPr>
              <w:t>5,010</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spacing w:after="0" w:line="127" w:lineRule="exact"/>
              <w:rPr>
                <w:sz w:val="20"/>
                <w:szCs w:val="20"/>
                <w:color w:val="auto"/>
              </w:rPr>
            </w:pPr>
            <w:r>
              <w:rPr>
                <w:rFonts w:ascii="Arial" w:cs="Arial" w:eastAsia="Arial" w:hAnsi="Arial"/>
                <w:sz w:val="12"/>
                <w:szCs w:val="12"/>
                <w:color w:val="auto"/>
              </w:rPr>
              <w:t>Deferred revenue, net of current portion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11,544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14,702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Debt, net of current portion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225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spacing w:after="0" w:line="127" w:lineRule="exact"/>
              <w:rPr>
                <w:sz w:val="20"/>
                <w:szCs w:val="20"/>
                <w:color w:val="auto"/>
              </w:rPr>
            </w:pPr>
            <w:r>
              <w:rPr>
                <w:rFonts w:ascii="Arial" w:cs="Arial" w:eastAsia="Arial" w:hAnsi="Arial"/>
                <w:sz w:val="12"/>
                <w:szCs w:val="12"/>
                <w:color w:val="auto"/>
              </w:rPr>
              <w:t>Operating lease liabilities, net of current portion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26,707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Finance lease liabilities, net of current portion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334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spacing w:after="0" w:line="127" w:lineRule="exact"/>
              <w:rPr>
                <w:sz w:val="20"/>
                <w:szCs w:val="20"/>
                <w:color w:val="auto"/>
              </w:rPr>
            </w:pPr>
            <w:r>
              <w:rPr>
                <w:rFonts w:ascii="Arial" w:cs="Arial" w:eastAsia="Arial" w:hAnsi="Arial"/>
                <w:sz w:val="12"/>
                <w:szCs w:val="12"/>
                <w:color w:val="auto"/>
              </w:rPr>
              <w:t>Deferred purchase consideration, net of current portion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19,319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Purchase commitment and contingent consideration liabilities, net of current portion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11,049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8,905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Borders>
              <w:bottom w:val="single" w:sz="8" w:color="CCEEFF"/>
            </w:tcBorders>
          </w:tcPr>
          <w:p>
            <w:pPr>
              <w:spacing w:after="0" w:line="127" w:lineRule="exact"/>
              <w:rPr>
                <w:sz w:val="20"/>
                <w:szCs w:val="20"/>
                <w:color w:val="auto"/>
              </w:rPr>
            </w:pPr>
            <w:r>
              <w:rPr>
                <w:rFonts w:ascii="Arial" w:cs="Arial" w:eastAsia="Arial" w:hAnsi="Arial"/>
                <w:sz w:val="12"/>
                <w:szCs w:val="12"/>
                <w:color w:val="auto"/>
              </w:rPr>
              <w:t>Deferred other liabilities</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4,199</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
              <w:spacing w:after="0" w:line="127" w:lineRule="exact"/>
              <w:rPr>
                <w:sz w:val="20"/>
                <w:szCs w:val="20"/>
                <w:color w:val="auto"/>
              </w:rPr>
            </w:pPr>
            <w:r>
              <w:rPr>
                <w:rFonts w:ascii="Arial" w:cs="Arial" w:eastAsia="Arial" w:hAnsi="Arial"/>
                <w:sz w:val="12"/>
                <w:szCs w:val="12"/>
                <w:color w:val="auto"/>
              </w:rPr>
              <w:t>8,632</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color w:val="auto"/>
              </w:rPr>
              <w:t>Total liabilities</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421,633</w:t>
            </w:r>
          </w:p>
        </w:tc>
        <w:tc>
          <w:tcPr>
            <w:tcW w:w="1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ind w:right="1"/>
              <w:spacing w:after="0" w:line="120" w:lineRule="exact"/>
              <w:rPr>
                <w:sz w:val="20"/>
                <w:szCs w:val="20"/>
                <w:color w:val="auto"/>
              </w:rPr>
            </w:pPr>
            <w:r>
              <w:rPr>
                <w:rFonts w:ascii="Arial" w:cs="Arial" w:eastAsia="Arial" w:hAnsi="Arial"/>
                <w:sz w:val="12"/>
                <w:szCs w:val="12"/>
                <w:color w:val="auto"/>
              </w:rPr>
              <w:t>329,442</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line="120" w:lineRule="exact"/>
              <w:rPr>
                <w:sz w:val="20"/>
                <w:szCs w:val="20"/>
                <w:color w:val="auto"/>
              </w:rPr>
            </w:pPr>
            <w:r>
              <w:rPr>
                <w:rFonts w:ascii="Arial" w:cs="Arial" w:eastAsia="Arial" w:hAnsi="Arial"/>
                <w:sz w:val="12"/>
                <w:szCs w:val="12"/>
                <w:color w:val="auto"/>
              </w:rPr>
              <w:t>Commitments and contingencies (Note 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Stockholders' equity: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Preferred shares, $0.001 par value, 30,000 shares authorized; no shares issued and outstanding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960" w:type="dxa"/>
            <w:vAlign w:val="bottom"/>
            <w:shd w:val="clear" w:color="auto" w:fill="CCEEFF"/>
          </w:tcPr>
          <w:p>
            <w:pPr>
              <w:ind w:left="80"/>
              <w:spacing w:after="0" w:line="113" w:lineRule="exact"/>
              <w:rPr>
                <w:sz w:val="20"/>
                <w:szCs w:val="20"/>
                <w:color w:val="auto"/>
              </w:rPr>
            </w:pPr>
            <w:r>
              <w:rPr>
                <w:rFonts w:ascii="Arial" w:cs="Arial" w:eastAsia="Arial" w:hAnsi="Arial"/>
                <w:sz w:val="12"/>
                <w:szCs w:val="12"/>
                <w:color w:val="auto"/>
                <w:w w:val="91"/>
              </w:rPr>
              <w:t>Class A common stock, $0.001 par value, 300,000 shares authorized; 40,574 and 26,327 shares issued and outstanding,</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respectively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960" w:type="dxa"/>
            <w:vAlign w:val="bottom"/>
          </w:tcPr>
          <w:p>
            <w:pPr>
              <w:ind w:left="80"/>
              <w:spacing w:after="0" w:line="113" w:lineRule="exact"/>
              <w:rPr>
                <w:sz w:val="20"/>
                <w:szCs w:val="20"/>
                <w:color w:val="auto"/>
              </w:rPr>
            </w:pPr>
            <w:r>
              <w:rPr>
                <w:rFonts w:ascii="Arial" w:cs="Arial" w:eastAsia="Arial" w:hAnsi="Arial"/>
                <w:sz w:val="12"/>
                <w:szCs w:val="12"/>
                <w:color w:val="auto"/>
                <w:w w:val="89"/>
              </w:rPr>
              <w:t>Class B common stock, $0.001 par value, 150,000 shares authorized; 108,017 and 120,117 shares issued and outstanding,</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60" w:type="dxa"/>
            <w:vAlign w:val="bottom"/>
          </w:tcPr>
          <w:p>
            <w:pPr>
              <w:ind w:left="80"/>
              <w:spacing w:after="0"/>
              <w:rPr>
                <w:sz w:val="20"/>
                <w:szCs w:val="20"/>
                <w:color w:val="auto"/>
              </w:rPr>
            </w:pPr>
            <w:r>
              <w:rPr>
                <w:rFonts w:ascii="Arial" w:cs="Arial" w:eastAsia="Arial" w:hAnsi="Arial"/>
                <w:sz w:val="12"/>
                <w:szCs w:val="12"/>
                <w:color w:val="auto"/>
              </w:rPr>
              <w:t>respectively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Additional paid in capital</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215,647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27" w:lineRule="exact"/>
              <w:rPr>
                <w:sz w:val="20"/>
                <w:szCs w:val="20"/>
                <w:color w:val="auto"/>
              </w:rPr>
            </w:pPr>
            <w:r>
              <w:rPr>
                <w:rFonts w:ascii="Arial" w:cs="Arial" w:eastAsia="Arial" w:hAnsi="Arial"/>
                <w:sz w:val="12"/>
                <w:szCs w:val="12"/>
                <w:color w:val="auto"/>
              </w:rPr>
              <w:t>206,541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tcPr>
          <w:p>
            <w:pPr>
              <w:ind w:left="80"/>
              <w:spacing w:after="0" w:line="127" w:lineRule="exact"/>
              <w:rPr>
                <w:sz w:val="20"/>
                <w:szCs w:val="20"/>
                <w:color w:val="auto"/>
              </w:rPr>
            </w:pPr>
            <w:r>
              <w:rPr>
                <w:rFonts w:ascii="Arial" w:cs="Arial" w:eastAsia="Arial" w:hAnsi="Arial"/>
                <w:sz w:val="12"/>
                <w:szCs w:val="12"/>
                <w:color w:val="auto"/>
              </w:rPr>
              <w:t>Retained 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7" w:lineRule="exact"/>
              <w:rPr>
                <w:sz w:val="20"/>
                <w:szCs w:val="20"/>
                <w:color w:val="auto"/>
              </w:rPr>
            </w:pPr>
            <w:r>
              <w:rPr>
                <w:rFonts w:ascii="Arial" w:cs="Arial" w:eastAsia="Arial" w:hAnsi="Arial"/>
                <w:sz w:val="12"/>
                <w:szCs w:val="12"/>
                <w:color w:val="auto"/>
              </w:rPr>
              <w:t>21,582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27" w:lineRule="exact"/>
              <w:rPr>
                <w:sz w:val="20"/>
                <w:szCs w:val="20"/>
                <w:color w:val="auto"/>
              </w:rPr>
            </w:pPr>
            <w:r>
              <w:rPr>
                <w:rFonts w:ascii="Arial" w:cs="Arial" w:eastAsia="Arial" w:hAnsi="Arial"/>
                <w:sz w:val="12"/>
                <w:szCs w:val="12"/>
                <w:color w:val="auto"/>
              </w:rPr>
              <w:t>21,926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6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Accumulated other comprehensive loss</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(13,167)</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(3,127)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CCEEFF"/>
            </w:tcBorders>
          </w:tcPr>
          <w:p>
            <w:pPr>
              <w:ind w:left="80"/>
              <w:spacing w:after="0" w:line="120" w:lineRule="exact"/>
              <w:rPr>
                <w:sz w:val="20"/>
                <w:szCs w:val="20"/>
                <w:color w:val="auto"/>
              </w:rPr>
            </w:pPr>
            <w:r>
              <w:rPr>
                <w:rFonts w:ascii="Arial" w:cs="Arial" w:eastAsia="Arial" w:hAnsi="Arial"/>
                <w:sz w:val="12"/>
                <w:szCs w:val="12"/>
                <w:color w:val="auto"/>
              </w:rPr>
              <w:t>Total stockholders' equity</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224,211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
              <w:spacing w:after="0" w:line="120" w:lineRule="exact"/>
              <w:rPr>
                <w:sz w:val="20"/>
                <w:szCs w:val="20"/>
                <w:color w:val="auto"/>
              </w:rPr>
            </w:pPr>
            <w:r>
              <w:rPr>
                <w:rFonts w:ascii="Arial" w:cs="Arial" w:eastAsia="Arial" w:hAnsi="Arial"/>
                <w:sz w:val="12"/>
                <w:szCs w:val="12"/>
                <w:color w:val="auto"/>
              </w:rPr>
              <w:t>225,486</w:t>
            </w: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CCEEFF"/>
            </w:tcBorders>
            <w:shd w:val="clear" w:color="auto" w:fill="CCEEFF"/>
          </w:tcPr>
          <w:p>
            <w:pPr>
              <w:ind w:left="180"/>
              <w:spacing w:after="0" w:line="120" w:lineRule="exact"/>
              <w:rPr>
                <w:sz w:val="20"/>
                <w:szCs w:val="20"/>
                <w:color w:val="auto"/>
              </w:rPr>
            </w:pPr>
            <w:r>
              <w:rPr>
                <w:rFonts w:ascii="Arial" w:cs="Arial" w:eastAsia="Arial" w:hAnsi="Arial"/>
                <w:sz w:val="12"/>
                <w:szCs w:val="12"/>
                <w:color w:val="auto"/>
              </w:rPr>
              <w:t>Total liabilities and stockholders' equity</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645,844</w:t>
            </w: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shd w:val="clear" w:color="auto" w:fill="CCEEFF"/>
          </w:tcPr>
          <w:p>
            <w:pPr>
              <w:jc w:val="right"/>
              <w:ind w:right="1"/>
              <w:spacing w:after="0" w:line="120" w:lineRule="exact"/>
              <w:rPr>
                <w:sz w:val="20"/>
                <w:szCs w:val="20"/>
                <w:color w:val="auto"/>
              </w:rPr>
            </w:pPr>
            <w:r>
              <w:rPr>
                <w:rFonts w:ascii="Arial" w:cs="Arial" w:eastAsia="Arial" w:hAnsi="Arial"/>
                <w:sz w:val="12"/>
                <w:szCs w:val="12"/>
                <w:color w:val="auto"/>
              </w:rPr>
              <w:t>554,928</w:t>
            </w:r>
          </w:p>
        </w:tc>
        <w:tc>
          <w:tcPr>
            <w:tcW w:w="1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-97790</wp:posOffset>
            </wp:positionV>
            <wp:extent cx="1678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830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 w:name="page6"/>
    <w:bookmarkEnd w:id="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three and nine months ended September 30, 2021 and 2020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per share data)</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7"/>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4"/>
          </w:tcPr>
          <w:p>
            <w:pPr>
              <w:jc w:val="center"/>
              <w:ind w:right="92"/>
              <w:spacing w:after="0" w:line="120"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4"/>
          </w:tcPr>
          <w:p>
            <w:pPr>
              <w:jc w:val="center"/>
              <w:ind w:right="92"/>
              <w:spacing w:after="0" w:line="120"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5"/>
                <w:szCs w:val="15"/>
                <w:color w:val="auto"/>
              </w:rPr>
              <w:t>Software subscriptions</w:t>
            </w:r>
          </w:p>
        </w:tc>
        <w:tc>
          <w:tcPr>
            <w:tcW w:w="4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92,276</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79,778</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265,160</w:t>
            </w:r>
          </w:p>
        </w:tc>
        <w:tc>
          <w:tcPr>
            <w:tcW w:w="2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232,844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Services</w:t>
            </w:r>
          </w:p>
        </w:tc>
        <w:tc>
          <w:tcPr>
            <w:tcW w:w="3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18,442</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14,827</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48,732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ind w:left="80"/>
              <w:spacing w:after="0" w:line="171" w:lineRule="exact"/>
              <w:rPr>
                <w:sz w:val="20"/>
                <w:szCs w:val="20"/>
                <w:color w:val="auto"/>
              </w:rPr>
            </w:pPr>
            <w:r>
              <w:rPr>
                <w:rFonts w:ascii="Arial" w:cs="Arial" w:eastAsia="Arial" w:hAnsi="Arial"/>
                <w:sz w:val="15"/>
                <w:szCs w:val="15"/>
                <w:color w:val="auto"/>
              </w:rPr>
              <w:t>Total revenues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94,605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313,892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275,121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Cost of revenues: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5"/>
                <w:szCs w:val="15"/>
                <w:color w:val="auto"/>
              </w:rPr>
              <w:t>Software subscriptions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29,161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84,419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79,846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Services</w:t>
            </w:r>
          </w:p>
        </w:tc>
        <w:tc>
          <w:tcPr>
            <w:tcW w:w="3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11,938</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18,807</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49,329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ind w:left="80"/>
              <w:spacing w:after="0" w:line="171" w:lineRule="exact"/>
              <w:rPr>
                <w:sz w:val="20"/>
                <w:szCs w:val="20"/>
                <w:color w:val="auto"/>
              </w:rPr>
            </w:pPr>
            <w:r>
              <w:rPr>
                <w:rFonts w:ascii="Arial" w:cs="Arial" w:eastAsia="Arial" w:hAnsi="Arial"/>
                <w:sz w:val="15"/>
                <w:szCs w:val="15"/>
                <w:color w:val="auto"/>
              </w:rPr>
              <w:t>Total cost of revenues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43,938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129,175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shd w:val="clear" w:color="auto" w:fill="CCEEFF"/>
          </w:tcPr>
          <w:p>
            <w:pPr>
              <w:ind w:left="180"/>
              <w:spacing w:after="0" w:line="171" w:lineRule="exact"/>
              <w:rPr>
                <w:sz w:val="20"/>
                <w:szCs w:val="20"/>
                <w:color w:val="auto"/>
              </w:rPr>
            </w:pPr>
            <w:r>
              <w:rPr>
                <w:rFonts w:ascii="Arial" w:cs="Arial" w:eastAsia="Arial" w:hAnsi="Arial"/>
                <w:sz w:val="15"/>
                <w:szCs w:val="15"/>
                <w:color w:val="auto"/>
              </w:rPr>
              <w:t>Gross profit</w:t>
            </w:r>
          </w:p>
        </w:tc>
        <w:tc>
          <w:tcPr>
            <w:tcW w:w="3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66,780</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46,637</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195,642</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145,946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line="171" w:lineRule="exact"/>
              <w:rPr>
                <w:sz w:val="20"/>
                <w:szCs w:val="20"/>
                <w:color w:val="auto"/>
              </w:rPr>
            </w:pPr>
            <w:r>
              <w:rPr>
                <w:rFonts w:ascii="Arial" w:cs="Arial" w:eastAsia="Arial" w:hAnsi="Arial"/>
                <w:sz w:val="15"/>
                <w:szCs w:val="15"/>
                <w:color w:val="auto"/>
              </w:rPr>
              <w:t>Operating expenses: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Research and development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43,197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5"/>
                <w:szCs w:val="15"/>
                <w:color w:val="auto"/>
              </w:rPr>
              <w:t>Selling and marketing</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25,658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29,423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70,673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78,300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General and administrative</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3,082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2,735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operating expense (income), net</w:t>
            </w:r>
          </w:p>
        </w:tc>
        <w:tc>
          <w:tcPr>
            <w:tcW w:w="3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ind w:left="80"/>
              <w:spacing w:after="0" w:line="171" w:lineRule="exact"/>
              <w:rPr>
                <w:sz w:val="20"/>
                <w:szCs w:val="20"/>
                <w:color w:val="auto"/>
              </w:rPr>
            </w:pPr>
            <w:r>
              <w:rPr>
                <w:rFonts w:ascii="Arial" w:cs="Arial" w:eastAsia="Arial" w:hAnsi="Arial"/>
                <w:sz w:val="15"/>
                <w:szCs w:val="15"/>
                <w:color w:val="auto"/>
              </w:rPr>
              <w:t>Total operating expenses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70,394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96,642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198,570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253,197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shd w:val="clear" w:color="auto" w:fill="CCEEFF"/>
          </w:tcPr>
          <w:p>
            <w:pPr>
              <w:ind w:left="180"/>
              <w:spacing w:after="0" w:line="171" w:lineRule="exact"/>
              <w:rPr>
                <w:sz w:val="20"/>
                <w:szCs w:val="20"/>
                <w:color w:val="auto"/>
              </w:rPr>
            </w:pPr>
            <w:r>
              <w:rPr>
                <w:rFonts w:ascii="Arial" w:cs="Arial" w:eastAsia="Arial" w:hAnsi="Arial"/>
                <w:sz w:val="15"/>
                <w:szCs w:val="15"/>
                <w:color w:val="auto"/>
              </w:rPr>
              <w:t>Loss from operations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(107,251)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Interest expense, net</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shd w:val="clear" w:color="auto" w:fill="CCEEFF"/>
          </w:tcPr>
          <w:p>
            <w:pPr>
              <w:ind w:left="180"/>
              <w:spacing w:after="0" w:line="171" w:lineRule="exact"/>
              <w:rPr>
                <w:sz w:val="20"/>
                <w:szCs w:val="20"/>
                <w:color w:val="auto"/>
              </w:rPr>
            </w:pPr>
            <w:r>
              <w:rPr>
                <w:rFonts w:ascii="Arial" w:cs="Arial" w:eastAsia="Arial" w:hAnsi="Arial"/>
                <w:sz w:val="15"/>
                <w:szCs w:val="15"/>
                <w:color w:val="auto"/>
              </w:rPr>
              <w:t>Loss before income taxes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(51,801)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(110,675)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Income tax benefit</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(30,773)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(31,508)</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shd w:val="clear" w:color="auto" w:fill="CCEEFF"/>
          </w:tcPr>
          <w:p>
            <w:pPr>
              <w:ind w:left="80"/>
              <w:spacing w:after="0" w:line="171" w:lineRule="exact"/>
              <w:rPr>
                <w:sz w:val="20"/>
                <w:szCs w:val="20"/>
                <w:color w:val="auto"/>
              </w:rPr>
            </w:pPr>
            <w:r>
              <w:rPr>
                <w:rFonts w:ascii="Arial" w:cs="Arial" w:eastAsia="Arial" w:hAnsi="Arial"/>
                <w:sz w:val="15"/>
                <w:szCs w:val="15"/>
                <w:color w:val="auto"/>
              </w:rPr>
              <w:t>Net loss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(79,167)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5"/>
                <w:szCs w:val="15"/>
                <w:color w:val="auto"/>
                <w:w w:val="96"/>
              </w:rPr>
              <w:t>Other comprehensive loss from foreign currency translation adjustments and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960" w:type="dxa"/>
            <w:vAlign w:val="bottom"/>
            <w:gridSpan w:val="2"/>
          </w:tcPr>
          <w:p>
            <w:pPr>
              <w:spacing w:after="0"/>
              <w:rPr>
                <w:sz w:val="20"/>
                <w:szCs w:val="20"/>
                <w:color w:val="auto"/>
              </w:rPr>
            </w:pPr>
            <w:r>
              <w:rPr>
                <w:rFonts w:ascii="Arial" w:cs="Arial" w:eastAsia="Arial" w:hAnsi="Arial"/>
                <w:sz w:val="15"/>
                <w:szCs w:val="15"/>
                <w:color w:val="auto"/>
              </w:rPr>
              <w:t>revaluations, net of tax</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shd w:val="clear" w:color="auto" w:fill="CCEEFF"/>
          </w:tcPr>
          <w:p>
            <w:pPr>
              <w:ind w:left="80"/>
              <w:spacing w:after="0"/>
              <w:rPr>
                <w:sz w:val="20"/>
                <w:szCs w:val="20"/>
                <w:color w:val="auto"/>
              </w:rPr>
            </w:pPr>
            <w:r>
              <w:rPr>
                <w:rFonts w:ascii="Arial" w:cs="Arial" w:eastAsia="Arial" w:hAnsi="Arial"/>
                <w:sz w:val="15"/>
                <w:szCs w:val="15"/>
                <w:color w:val="auto"/>
              </w:rPr>
              <w:t>Total comprehensive loss</w:t>
            </w: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vMerge w:val="continue"/>
            <w:shd w:val="clear" w:color="auto" w:fill="CCEEFF"/>
          </w:tcPr>
          <w:p>
            <w:pPr>
              <w:spacing w:after="0"/>
              <w:rPr>
                <w:sz w:val="13"/>
                <w:szCs w:val="13"/>
                <w:color w:val="auto"/>
              </w:rPr>
            </w:pPr>
          </w:p>
        </w:tc>
        <w:tc>
          <w:tcPr>
            <w:tcW w:w="460" w:type="dxa"/>
            <w:vAlign w:val="bottom"/>
            <w:gridSpan w:val="2"/>
            <w:shd w:val="clear" w:color="auto" w:fill="CCEEFF"/>
          </w:tcPr>
          <w:p>
            <w:pPr>
              <w:jc w:val="right"/>
              <w:ind w:right="49"/>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(9,652)</w:t>
            </w:r>
          </w:p>
        </w:tc>
        <w:tc>
          <w:tcPr>
            <w:tcW w:w="280" w:type="dxa"/>
            <w:vAlign w:val="bottom"/>
            <w:gridSpan w:val="2"/>
            <w:shd w:val="clear" w:color="auto" w:fill="CCEEFF"/>
          </w:tcPr>
          <w:p>
            <w:pPr>
              <w:jc w:val="right"/>
              <w:ind w:right="29"/>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(21,266)</w:t>
            </w:r>
          </w:p>
        </w:tc>
        <w:tc>
          <w:tcPr>
            <w:tcW w:w="280" w:type="dxa"/>
            <w:vAlign w:val="bottom"/>
            <w:gridSpan w:val="2"/>
            <w:shd w:val="clear" w:color="auto" w:fill="CCEEFF"/>
          </w:tcPr>
          <w:p>
            <w:pPr>
              <w:jc w:val="right"/>
              <w:ind w:right="29"/>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(10,892)</w:t>
            </w:r>
          </w:p>
        </w:tc>
        <w:tc>
          <w:tcPr>
            <w:tcW w:w="2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(82,679)</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Class A stockholders</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spacing w:after="0" w:line="171" w:lineRule="exact"/>
              <w:rPr>
                <w:sz w:val="20"/>
                <w:szCs w:val="20"/>
                <w:color w:val="auto"/>
              </w:rPr>
            </w:pPr>
            <w:r>
              <w:rPr>
                <w:rFonts w:ascii="Arial" w:cs="Arial" w:eastAsia="Arial" w:hAnsi="Arial"/>
                <w:sz w:val="15"/>
                <w:szCs w:val="15"/>
                <w:color w:val="auto"/>
              </w:rPr>
              <w:t>Net loss per Class A share, basic</w:t>
            </w: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(0.03)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(0.15)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(0.40)</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Borders>
              <w:bottom w:val="single" w:sz="8" w:color="CCEEFF"/>
            </w:tcBorders>
            <w:shd w:val="clear" w:color="auto" w:fill="CCEEFF"/>
          </w:tcPr>
          <w:p>
            <w:pPr>
              <w:spacing w:after="0" w:line="131" w:lineRule="exact"/>
              <w:rPr>
                <w:sz w:val="20"/>
                <w:szCs w:val="20"/>
                <w:color w:val="auto"/>
              </w:rPr>
            </w:pPr>
            <w:r>
              <w:rPr>
                <w:rFonts w:ascii="Arial" w:cs="Arial" w:eastAsia="Arial" w:hAnsi="Arial"/>
                <w:sz w:val="15"/>
                <w:szCs w:val="15"/>
                <w:color w:val="auto"/>
              </w:rPr>
              <w:t>Weighted average Class A common stock, basic</w:t>
            </w:r>
          </w:p>
        </w:tc>
        <w:tc>
          <w:tcPr>
            <w:tcW w:w="3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40,141</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18,124</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33,775</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6,129</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spacing w:after="0" w:line="171" w:lineRule="exact"/>
              <w:rPr>
                <w:sz w:val="20"/>
                <w:szCs w:val="20"/>
                <w:color w:val="auto"/>
              </w:rPr>
            </w:pPr>
            <w:r>
              <w:rPr>
                <w:rFonts w:ascii="Arial" w:cs="Arial" w:eastAsia="Arial" w:hAnsi="Arial"/>
                <w:sz w:val="15"/>
                <w:szCs w:val="15"/>
                <w:color w:val="auto"/>
              </w:rPr>
              <w:t>Net loss attributable to Class A stockholders, diluted</w:t>
            </w: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(1,070)</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(2,751)</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(2,427)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Borders>
              <w:bottom w:val="single" w:sz="8" w:color="CCEEFF"/>
            </w:tcBorders>
            <w:shd w:val="clear" w:color="auto" w:fill="CCEEFF"/>
          </w:tcPr>
          <w:p>
            <w:pPr>
              <w:spacing w:after="0" w:line="131" w:lineRule="exact"/>
              <w:rPr>
                <w:sz w:val="20"/>
                <w:szCs w:val="20"/>
                <w:color w:val="auto"/>
              </w:rPr>
            </w:pPr>
            <w:r>
              <w:rPr>
                <w:rFonts w:ascii="Arial" w:cs="Arial" w:eastAsia="Arial" w:hAnsi="Arial"/>
                <w:sz w:val="15"/>
                <w:szCs w:val="15"/>
                <w:color w:val="auto"/>
              </w:rPr>
              <w:t>Net loss per Class A share, diluted</w:t>
            </w:r>
          </w:p>
        </w:tc>
        <w:tc>
          <w:tcPr>
            <w:tcW w:w="3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(0.03)</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(0.15)</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(0.40)</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spacing w:after="0" w:line="171" w:lineRule="exact"/>
              <w:rPr>
                <w:sz w:val="20"/>
                <w:szCs w:val="20"/>
                <w:color w:val="auto"/>
              </w:rPr>
            </w:pPr>
            <w:r>
              <w:rPr>
                <w:rFonts w:ascii="Arial" w:cs="Arial" w:eastAsia="Arial" w:hAnsi="Arial"/>
                <w:sz w:val="15"/>
                <w:szCs w:val="15"/>
                <w:color w:val="auto"/>
              </w:rPr>
              <w:t>Weighted average Class A common stock, diluted</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40,141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18,124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33,775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6,129</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5"/>
                <w:szCs w:val="15"/>
                <w:color w:val="auto"/>
              </w:rPr>
              <w:t>Net loss attributable to Class B stockholders</w:t>
            </w:r>
          </w:p>
        </w:tc>
        <w:tc>
          <w:tcPr>
            <w:tcW w:w="4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(2,878)</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(18,277)</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(657)</w:t>
            </w:r>
          </w:p>
        </w:tc>
        <w:tc>
          <w:tcPr>
            <w:tcW w:w="2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(76,740)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5"/>
                <w:szCs w:val="15"/>
                <w:color w:val="auto"/>
              </w:rPr>
              <w:t>Net loss per Class B share, basic</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(0.03)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(0.15)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(0.01)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(0.64)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spacing w:after="0" w:line="171" w:lineRule="exact"/>
              <w:rPr>
                <w:sz w:val="20"/>
                <w:szCs w:val="20"/>
                <w:color w:val="auto"/>
              </w:rPr>
            </w:pPr>
            <w:r>
              <w:rPr>
                <w:rFonts w:ascii="Arial" w:cs="Arial" w:eastAsia="Arial" w:hAnsi="Arial"/>
                <w:sz w:val="15"/>
                <w:szCs w:val="15"/>
                <w:color w:val="auto"/>
              </w:rPr>
              <w:t>Weighted average Class B common stock, basic</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108,017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120,417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113,646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120,417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Borders>
              <w:bottom w:val="single" w:sz="8" w:color="CCEEFF"/>
            </w:tcBorders>
            <w:shd w:val="clear" w:color="auto" w:fill="CCEEFF"/>
          </w:tcPr>
          <w:p>
            <w:pPr>
              <w:spacing w:after="0" w:line="131" w:lineRule="exact"/>
              <w:rPr>
                <w:sz w:val="20"/>
                <w:szCs w:val="20"/>
                <w:color w:val="auto"/>
              </w:rPr>
            </w:pPr>
            <w:r>
              <w:rPr>
                <w:rFonts w:ascii="Arial" w:cs="Arial" w:eastAsia="Arial" w:hAnsi="Arial"/>
                <w:sz w:val="15"/>
                <w:szCs w:val="15"/>
                <w:color w:val="auto"/>
              </w:rPr>
              <w:t>Net loss attributable to Class B stockholders, diluted</w:t>
            </w:r>
          </w:p>
        </w:tc>
        <w:tc>
          <w:tcPr>
            <w:tcW w:w="3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(2,878)</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(18,277)</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(657)</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(76,740)</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spacing w:after="0" w:line="171" w:lineRule="exact"/>
              <w:rPr>
                <w:sz w:val="20"/>
                <w:szCs w:val="20"/>
                <w:color w:val="auto"/>
              </w:rPr>
            </w:pPr>
            <w:r>
              <w:rPr>
                <w:rFonts w:ascii="Arial" w:cs="Arial" w:eastAsia="Arial" w:hAnsi="Arial"/>
                <w:sz w:val="15"/>
                <w:szCs w:val="15"/>
                <w:color w:val="auto"/>
              </w:rPr>
              <w:t>Net loss per Class B share, diluted</w:t>
            </w: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(0.03)</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(0.15)</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(0.64)</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Borders>
              <w:bottom w:val="single" w:sz="8" w:color="CCEEFF"/>
            </w:tcBorders>
            <w:shd w:val="clear" w:color="auto" w:fill="CCEEFF"/>
          </w:tcPr>
          <w:p>
            <w:pPr>
              <w:spacing w:after="0" w:line="131" w:lineRule="exact"/>
              <w:rPr>
                <w:sz w:val="20"/>
                <w:szCs w:val="20"/>
                <w:color w:val="auto"/>
              </w:rPr>
            </w:pPr>
            <w:r>
              <w:rPr>
                <w:rFonts w:ascii="Arial" w:cs="Arial" w:eastAsia="Arial" w:hAnsi="Arial"/>
                <w:sz w:val="15"/>
                <w:szCs w:val="15"/>
                <w:color w:val="auto"/>
              </w:rPr>
              <w:t>Weighted average Class B common stock, diluted</w:t>
            </w:r>
          </w:p>
        </w:tc>
        <w:tc>
          <w:tcPr>
            <w:tcW w:w="3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108,017</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120,417</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113,646</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120,417</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 w:name="page7"/>
    <w:bookmarkEnd w:id="6"/>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Vertex,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Consolidated Statements of Changes in Equity (Deficit)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the nine months ended September 30, 2021 (unaudited)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5715</wp:posOffset>
            </wp:positionV>
            <wp:extent cx="648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716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480" w:type="dxa"/>
            <w:vAlign w:val="bottom"/>
          </w:tcPr>
          <w:p>
            <w:pPr>
              <w:spacing w:after="0"/>
              <w:rPr>
                <w:sz w:val="12"/>
                <w:szCs w:val="12"/>
                <w:color w:val="auto"/>
              </w:rPr>
            </w:pPr>
          </w:p>
        </w:tc>
        <w:tc>
          <w:tcPr>
            <w:tcW w:w="1900" w:type="dxa"/>
            <w:vAlign w:val="bottom"/>
            <w:tcBorders>
              <w:bottom w:val="single" w:sz="8" w:color="auto"/>
            </w:tcBorders>
            <w:gridSpan w:val="7"/>
          </w:tcPr>
          <w:p>
            <w:pPr>
              <w:ind w:left="580"/>
              <w:spacing w:after="0"/>
              <w:rPr>
                <w:sz w:val="20"/>
                <w:szCs w:val="20"/>
                <w:color w:val="auto"/>
              </w:rPr>
            </w:pPr>
            <w:r>
              <w:rPr>
                <w:rFonts w:ascii="Arial" w:cs="Arial" w:eastAsia="Arial" w:hAnsi="Arial"/>
                <w:sz w:val="12"/>
                <w:szCs w:val="12"/>
                <w:b w:val="1"/>
                <w:bCs w:val="1"/>
                <w:color w:val="auto"/>
                <w:w w:val="97"/>
              </w:rPr>
              <w:t>Before Recapitalization</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rPr>
              <w:t>After Recapitalization</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04"/>
        </w:trPr>
        <w:tc>
          <w:tcPr>
            <w:tcW w:w="1480" w:type="dxa"/>
            <w:vAlign w:val="bottom"/>
          </w:tcPr>
          <w:p>
            <w:pPr>
              <w:spacing w:after="0"/>
              <w:rPr>
                <w:sz w:val="9"/>
                <w:szCs w:val="9"/>
                <w:color w:val="auto"/>
              </w:rPr>
            </w:pPr>
          </w:p>
        </w:tc>
        <w:tc>
          <w:tcPr>
            <w:tcW w:w="680" w:type="dxa"/>
            <w:vAlign w:val="bottom"/>
            <w:gridSpan w:val="2"/>
          </w:tcPr>
          <w:p>
            <w:pPr>
              <w:jc w:val="center"/>
              <w:ind w:right="60"/>
              <w:spacing w:after="0" w:line="104" w:lineRule="exact"/>
              <w:rPr>
                <w:sz w:val="20"/>
                <w:szCs w:val="20"/>
                <w:color w:val="auto"/>
              </w:rPr>
            </w:pPr>
            <w:r>
              <w:rPr>
                <w:rFonts w:ascii="Arial" w:cs="Arial" w:eastAsia="Arial" w:hAnsi="Arial"/>
                <w:sz w:val="12"/>
                <w:szCs w:val="12"/>
                <w:b w:val="1"/>
                <w:bCs w:val="1"/>
                <w:color w:val="auto"/>
                <w:w w:val="87"/>
              </w:rPr>
              <w:t>Outstanding</w:t>
            </w:r>
          </w:p>
        </w:tc>
        <w:tc>
          <w:tcPr>
            <w:tcW w:w="540" w:type="dxa"/>
            <w:vAlign w:val="bottom"/>
            <w:gridSpan w:val="3"/>
          </w:tcPr>
          <w:p>
            <w:pPr>
              <w:jc w:val="right"/>
              <w:ind w:right="100"/>
              <w:spacing w:after="0" w:line="104" w:lineRule="exact"/>
              <w:rPr>
                <w:sz w:val="20"/>
                <w:szCs w:val="20"/>
                <w:color w:val="auto"/>
              </w:rPr>
            </w:pPr>
            <w:r>
              <w:rPr>
                <w:rFonts w:ascii="Arial" w:cs="Arial" w:eastAsia="Arial" w:hAnsi="Arial"/>
                <w:sz w:val="12"/>
                <w:szCs w:val="12"/>
                <w:b w:val="1"/>
                <w:bCs w:val="1"/>
                <w:color w:val="auto"/>
                <w:w w:val="95"/>
              </w:rPr>
              <w:t>Class A</w:t>
            </w:r>
          </w:p>
        </w:tc>
        <w:tc>
          <w:tcPr>
            <w:tcW w:w="680" w:type="dxa"/>
            <w:vAlign w:val="bottom"/>
            <w:gridSpan w:val="2"/>
          </w:tcPr>
          <w:p>
            <w:pPr>
              <w:jc w:val="center"/>
              <w:ind w:right="60"/>
              <w:spacing w:after="0" w:line="104" w:lineRule="exact"/>
              <w:rPr>
                <w:sz w:val="20"/>
                <w:szCs w:val="20"/>
                <w:color w:val="auto"/>
              </w:rPr>
            </w:pPr>
            <w:r>
              <w:rPr>
                <w:rFonts w:ascii="Arial" w:cs="Arial" w:eastAsia="Arial" w:hAnsi="Arial"/>
                <w:sz w:val="12"/>
                <w:szCs w:val="12"/>
                <w:b w:val="1"/>
                <w:bCs w:val="1"/>
                <w:color w:val="auto"/>
                <w:w w:val="87"/>
              </w:rPr>
              <w:t>Outstanding</w:t>
            </w:r>
          </w:p>
        </w:tc>
        <w:tc>
          <w:tcPr>
            <w:tcW w:w="460" w:type="dxa"/>
            <w:vAlign w:val="bottom"/>
            <w:gridSpan w:val="2"/>
          </w:tcPr>
          <w:p>
            <w:pPr>
              <w:jc w:val="right"/>
              <w:spacing w:after="0" w:line="104" w:lineRule="exact"/>
              <w:rPr>
                <w:sz w:val="20"/>
                <w:szCs w:val="20"/>
                <w:color w:val="auto"/>
              </w:rPr>
            </w:pPr>
            <w:r>
              <w:rPr>
                <w:rFonts w:ascii="Arial" w:cs="Arial" w:eastAsia="Arial" w:hAnsi="Arial"/>
                <w:sz w:val="12"/>
                <w:szCs w:val="12"/>
                <w:b w:val="1"/>
                <w:bCs w:val="1"/>
                <w:color w:val="auto"/>
                <w:w w:val="95"/>
              </w:rPr>
              <w:t>Class B</w:t>
            </w:r>
          </w:p>
        </w:tc>
        <w:tc>
          <w:tcPr>
            <w:tcW w:w="80" w:type="dxa"/>
            <w:vAlign w:val="bottom"/>
          </w:tcPr>
          <w:p>
            <w:pPr>
              <w:spacing w:after="0"/>
              <w:rPr>
                <w:sz w:val="9"/>
                <w:szCs w:val="9"/>
                <w:color w:val="auto"/>
              </w:rPr>
            </w:pPr>
          </w:p>
        </w:tc>
        <w:tc>
          <w:tcPr>
            <w:tcW w:w="640" w:type="dxa"/>
            <w:vAlign w:val="bottom"/>
            <w:gridSpan w:val="2"/>
          </w:tcPr>
          <w:p>
            <w:pPr>
              <w:jc w:val="center"/>
              <w:ind w:right="20"/>
              <w:spacing w:after="0" w:line="104" w:lineRule="exact"/>
              <w:rPr>
                <w:sz w:val="20"/>
                <w:szCs w:val="20"/>
                <w:color w:val="auto"/>
              </w:rPr>
            </w:pPr>
            <w:r>
              <w:rPr>
                <w:rFonts w:ascii="Arial" w:cs="Arial" w:eastAsia="Arial" w:hAnsi="Arial"/>
                <w:sz w:val="12"/>
                <w:szCs w:val="12"/>
                <w:b w:val="1"/>
                <w:bCs w:val="1"/>
                <w:color w:val="auto"/>
                <w:w w:val="87"/>
              </w:rPr>
              <w:t>Outstanding</w:t>
            </w:r>
          </w:p>
        </w:tc>
        <w:tc>
          <w:tcPr>
            <w:tcW w:w="60" w:type="dxa"/>
            <w:vAlign w:val="bottom"/>
          </w:tcPr>
          <w:p>
            <w:pPr>
              <w:spacing w:after="0"/>
              <w:rPr>
                <w:sz w:val="9"/>
                <w:szCs w:val="9"/>
                <w:color w:val="auto"/>
              </w:rPr>
            </w:pPr>
          </w:p>
        </w:tc>
        <w:tc>
          <w:tcPr>
            <w:tcW w:w="540" w:type="dxa"/>
            <w:vAlign w:val="bottom"/>
            <w:gridSpan w:val="3"/>
          </w:tcPr>
          <w:p>
            <w:pPr>
              <w:ind w:left="40"/>
              <w:spacing w:after="0" w:line="104" w:lineRule="exact"/>
              <w:rPr>
                <w:sz w:val="20"/>
                <w:szCs w:val="20"/>
                <w:color w:val="auto"/>
              </w:rPr>
            </w:pPr>
            <w:r>
              <w:rPr>
                <w:rFonts w:ascii="Arial" w:cs="Arial" w:eastAsia="Arial" w:hAnsi="Arial"/>
                <w:sz w:val="12"/>
                <w:szCs w:val="12"/>
                <w:b w:val="1"/>
                <w:bCs w:val="1"/>
                <w:color w:val="auto"/>
              </w:rPr>
              <w:t>Class A</w:t>
            </w:r>
          </w:p>
        </w:tc>
        <w:tc>
          <w:tcPr>
            <w:tcW w:w="700" w:type="dxa"/>
            <w:vAlign w:val="bottom"/>
            <w:gridSpan w:val="2"/>
          </w:tcPr>
          <w:p>
            <w:pPr>
              <w:jc w:val="center"/>
              <w:ind w:right="60"/>
              <w:spacing w:after="0" w:line="104" w:lineRule="exact"/>
              <w:rPr>
                <w:sz w:val="20"/>
                <w:szCs w:val="20"/>
                <w:color w:val="auto"/>
              </w:rPr>
            </w:pPr>
            <w:r>
              <w:rPr>
                <w:rFonts w:ascii="Arial" w:cs="Arial" w:eastAsia="Arial" w:hAnsi="Arial"/>
                <w:sz w:val="12"/>
                <w:szCs w:val="12"/>
                <w:b w:val="1"/>
                <w:bCs w:val="1"/>
                <w:color w:val="auto"/>
                <w:w w:val="90"/>
              </w:rPr>
              <w:t>Outstanding</w:t>
            </w:r>
          </w:p>
        </w:tc>
        <w:tc>
          <w:tcPr>
            <w:tcW w:w="460" w:type="dxa"/>
            <w:vAlign w:val="bottom"/>
            <w:gridSpan w:val="2"/>
          </w:tcPr>
          <w:p>
            <w:pPr>
              <w:jc w:val="right"/>
              <w:spacing w:after="0" w:line="104" w:lineRule="exact"/>
              <w:rPr>
                <w:sz w:val="20"/>
                <w:szCs w:val="20"/>
                <w:color w:val="auto"/>
              </w:rPr>
            </w:pPr>
            <w:r>
              <w:rPr>
                <w:rFonts w:ascii="Arial" w:cs="Arial" w:eastAsia="Arial" w:hAnsi="Arial"/>
                <w:sz w:val="12"/>
                <w:szCs w:val="12"/>
                <w:b w:val="1"/>
                <w:bCs w:val="1"/>
                <w:color w:val="auto"/>
                <w:w w:val="90"/>
              </w:rPr>
              <w:t>Class B</w:t>
            </w:r>
          </w:p>
        </w:tc>
        <w:tc>
          <w:tcPr>
            <w:tcW w:w="80" w:type="dxa"/>
            <w:vAlign w:val="bottom"/>
          </w:tcPr>
          <w:p>
            <w:pPr>
              <w:spacing w:after="0"/>
              <w:rPr>
                <w:sz w:val="9"/>
                <w:szCs w:val="9"/>
                <w:color w:val="auto"/>
              </w:rPr>
            </w:pPr>
          </w:p>
        </w:tc>
        <w:tc>
          <w:tcPr>
            <w:tcW w:w="620" w:type="dxa"/>
            <w:vAlign w:val="bottom"/>
            <w:gridSpan w:val="2"/>
          </w:tcPr>
          <w:p>
            <w:pPr>
              <w:spacing w:after="0" w:line="104" w:lineRule="exact"/>
              <w:rPr>
                <w:sz w:val="20"/>
                <w:szCs w:val="20"/>
                <w:color w:val="auto"/>
              </w:rPr>
            </w:pPr>
            <w:r>
              <w:rPr>
                <w:rFonts w:ascii="Arial" w:cs="Arial" w:eastAsia="Arial" w:hAnsi="Arial"/>
                <w:sz w:val="12"/>
                <w:szCs w:val="12"/>
                <w:b w:val="1"/>
                <w:bCs w:val="1"/>
                <w:color w:val="auto"/>
              </w:rPr>
              <w:t>Additional</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160"/>
              <w:spacing w:after="0" w:line="104" w:lineRule="exact"/>
              <w:rPr>
                <w:sz w:val="20"/>
                <w:szCs w:val="20"/>
                <w:color w:val="auto"/>
              </w:rPr>
            </w:pPr>
            <w:r>
              <w:rPr>
                <w:rFonts w:ascii="Arial" w:cs="Arial" w:eastAsia="Arial" w:hAnsi="Arial"/>
                <w:sz w:val="12"/>
                <w:szCs w:val="12"/>
                <w:b w:val="1"/>
                <w:bCs w:val="1"/>
                <w:color w:val="auto"/>
                <w:w w:val="93"/>
              </w:rPr>
              <w:t>Other</w:t>
            </w:r>
          </w:p>
        </w:tc>
        <w:tc>
          <w:tcPr>
            <w:tcW w:w="540" w:type="dxa"/>
            <w:vAlign w:val="bottom"/>
            <w:gridSpan w:val="2"/>
          </w:tcPr>
          <w:p>
            <w:pPr>
              <w:jc w:val="center"/>
              <w:ind w:right="60"/>
              <w:spacing w:after="0" w:line="104" w:lineRule="exact"/>
              <w:rPr>
                <w:sz w:val="20"/>
                <w:szCs w:val="20"/>
                <w:color w:val="auto"/>
              </w:rPr>
            </w:pPr>
            <w:r>
              <w:rPr>
                <w:rFonts w:ascii="Arial" w:cs="Arial" w:eastAsia="Arial" w:hAnsi="Arial"/>
                <w:sz w:val="12"/>
                <w:szCs w:val="12"/>
                <w:b w:val="1"/>
                <w:bCs w:val="1"/>
                <w:color w:val="auto"/>
                <w:w w:val="86"/>
              </w:rPr>
              <w:t>Treasury</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280"/>
              <w:spacing w:after="0" w:line="104" w:lineRule="exact"/>
              <w:rPr>
                <w:sz w:val="20"/>
                <w:szCs w:val="20"/>
                <w:color w:val="auto"/>
              </w:rPr>
            </w:pPr>
            <w:r>
              <w:rPr>
                <w:rFonts w:ascii="Arial" w:cs="Arial" w:eastAsia="Arial" w:hAnsi="Arial"/>
                <w:sz w:val="12"/>
                <w:szCs w:val="12"/>
                <w:b w:val="1"/>
                <w:bCs w:val="1"/>
                <w:color w:val="auto"/>
              </w:rPr>
              <w:t>Total</w:t>
            </w:r>
          </w:p>
        </w:tc>
        <w:tc>
          <w:tcPr>
            <w:tcW w:w="580" w:type="dxa"/>
            <w:vAlign w:val="bottom"/>
            <w:gridSpan w:val="2"/>
          </w:tcPr>
          <w:p>
            <w:pPr>
              <w:jc w:val="right"/>
              <w:spacing w:after="0" w:line="104" w:lineRule="exact"/>
              <w:rPr>
                <w:sz w:val="20"/>
                <w:szCs w:val="20"/>
                <w:color w:val="auto"/>
              </w:rPr>
            </w:pPr>
            <w:r>
              <w:rPr>
                <w:rFonts w:ascii="Arial" w:cs="Arial" w:eastAsia="Arial" w:hAnsi="Arial"/>
                <w:sz w:val="12"/>
                <w:szCs w:val="12"/>
                <w:b w:val="1"/>
                <w:bCs w:val="1"/>
                <w:color w:val="auto"/>
                <w:w w:val="86"/>
              </w:rPr>
              <w:t>Options for</w:t>
            </w:r>
          </w:p>
        </w:tc>
      </w:tr>
      <w:tr>
        <w:trPr>
          <w:trHeight w:val="127"/>
        </w:trPr>
        <w:tc>
          <w:tcPr>
            <w:tcW w:w="1480" w:type="dxa"/>
            <w:vAlign w:val="bottom"/>
          </w:tcPr>
          <w:p>
            <w:pPr>
              <w:spacing w:after="0"/>
              <w:rPr>
                <w:sz w:val="11"/>
                <w:szCs w:val="11"/>
                <w:color w:val="auto"/>
              </w:rPr>
            </w:pPr>
          </w:p>
        </w:tc>
        <w:tc>
          <w:tcPr>
            <w:tcW w:w="680" w:type="dxa"/>
            <w:vAlign w:val="bottom"/>
            <w:gridSpan w:val="2"/>
          </w:tcPr>
          <w:p>
            <w:pPr>
              <w:jc w:val="center"/>
              <w:ind w:right="60"/>
              <w:spacing w:after="0" w:line="127" w:lineRule="exact"/>
              <w:rPr>
                <w:sz w:val="20"/>
                <w:szCs w:val="20"/>
                <w:color w:val="auto"/>
              </w:rPr>
            </w:pPr>
            <w:r>
              <w:rPr>
                <w:rFonts w:ascii="Arial" w:cs="Arial" w:eastAsia="Arial" w:hAnsi="Arial"/>
                <w:sz w:val="12"/>
                <w:szCs w:val="12"/>
                <w:b w:val="1"/>
                <w:bCs w:val="1"/>
                <w:color w:val="auto"/>
                <w:w w:val="86"/>
              </w:rPr>
              <w:t>Class A</w:t>
            </w:r>
          </w:p>
        </w:tc>
        <w:tc>
          <w:tcPr>
            <w:tcW w:w="54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w w:val="96"/>
              </w:rPr>
              <w:t>Common</w:t>
            </w:r>
          </w:p>
        </w:tc>
        <w:tc>
          <w:tcPr>
            <w:tcW w:w="680" w:type="dxa"/>
            <w:vAlign w:val="bottom"/>
            <w:gridSpan w:val="2"/>
          </w:tcPr>
          <w:p>
            <w:pPr>
              <w:jc w:val="center"/>
              <w:ind w:right="60"/>
              <w:spacing w:after="0" w:line="127" w:lineRule="exact"/>
              <w:rPr>
                <w:sz w:val="20"/>
                <w:szCs w:val="20"/>
                <w:color w:val="auto"/>
              </w:rPr>
            </w:pPr>
            <w:r>
              <w:rPr>
                <w:rFonts w:ascii="Arial" w:cs="Arial" w:eastAsia="Arial" w:hAnsi="Arial"/>
                <w:sz w:val="12"/>
                <w:szCs w:val="12"/>
                <w:b w:val="1"/>
                <w:bCs w:val="1"/>
                <w:color w:val="auto"/>
                <w:w w:val="86"/>
              </w:rPr>
              <w:t>Class B</w:t>
            </w:r>
          </w:p>
        </w:tc>
        <w:tc>
          <w:tcPr>
            <w:tcW w:w="54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w w:val="96"/>
              </w:rPr>
              <w:t>Common</w:t>
            </w:r>
          </w:p>
        </w:tc>
        <w:tc>
          <w:tcPr>
            <w:tcW w:w="640" w:type="dxa"/>
            <w:vAlign w:val="bottom"/>
            <w:gridSpan w:val="2"/>
          </w:tcPr>
          <w:p>
            <w:pPr>
              <w:jc w:val="center"/>
              <w:ind w:right="20"/>
              <w:spacing w:after="0" w:line="127" w:lineRule="exact"/>
              <w:rPr>
                <w:sz w:val="20"/>
                <w:szCs w:val="20"/>
                <w:color w:val="auto"/>
              </w:rPr>
            </w:pPr>
            <w:r>
              <w:rPr>
                <w:rFonts w:ascii="Arial" w:cs="Arial" w:eastAsia="Arial" w:hAnsi="Arial"/>
                <w:sz w:val="12"/>
                <w:szCs w:val="12"/>
                <w:b w:val="1"/>
                <w:bCs w:val="1"/>
                <w:color w:val="auto"/>
                <w:w w:val="86"/>
              </w:rPr>
              <w:t>Class A</w:t>
            </w:r>
          </w:p>
        </w:tc>
        <w:tc>
          <w:tcPr>
            <w:tcW w:w="60" w:type="dxa"/>
            <w:vAlign w:val="bottom"/>
          </w:tcPr>
          <w:p>
            <w:pPr>
              <w:spacing w:after="0"/>
              <w:rPr>
                <w:sz w:val="11"/>
                <w:szCs w:val="11"/>
                <w:color w:val="auto"/>
              </w:rPr>
            </w:pPr>
          </w:p>
        </w:tc>
        <w:tc>
          <w:tcPr>
            <w:tcW w:w="5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w w:val="99"/>
              </w:rPr>
              <w:t>Common</w:t>
            </w:r>
          </w:p>
        </w:tc>
        <w:tc>
          <w:tcPr>
            <w:tcW w:w="700" w:type="dxa"/>
            <w:vAlign w:val="bottom"/>
            <w:gridSpan w:val="2"/>
          </w:tcPr>
          <w:p>
            <w:pPr>
              <w:jc w:val="center"/>
              <w:ind w:right="80"/>
              <w:spacing w:after="0" w:line="127" w:lineRule="exact"/>
              <w:rPr>
                <w:sz w:val="20"/>
                <w:szCs w:val="20"/>
                <w:color w:val="auto"/>
              </w:rPr>
            </w:pPr>
            <w:r>
              <w:rPr>
                <w:rFonts w:ascii="Arial" w:cs="Arial" w:eastAsia="Arial" w:hAnsi="Arial"/>
                <w:sz w:val="12"/>
                <w:szCs w:val="12"/>
                <w:b w:val="1"/>
                <w:bCs w:val="1"/>
                <w:color w:val="auto"/>
                <w:w w:val="86"/>
              </w:rPr>
              <w:t>Class B</w:t>
            </w:r>
          </w:p>
        </w:tc>
        <w:tc>
          <w:tcPr>
            <w:tcW w:w="1700" w:type="dxa"/>
            <w:vAlign w:val="bottom"/>
            <w:gridSpan w:val="7"/>
          </w:tcPr>
          <w:p>
            <w:pPr>
              <w:ind w:left="20"/>
              <w:spacing w:after="0" w:line="127" w:lineRule="exact"/>
              <w:rPr>
                <w:sz w:val="20"/>
                <w:szCs w:val="20"/>
                <w:color w:val="auto"/>
              </w:rPr>
            </w:pPr>
            <w:r>
              <w:rPr>
                <w:rFonts w:ascii="Arial" w:cs="Arial" w:eastAsia="Arial" w:hAnsi="Arial"/>
                <w:sz w:val="12"/>
                <w:szCs w:val="12"/>
                <w:b w:val="1"/>
                <w:bCs w:val="1"/>
                <w:color w:val="auto"/>
              </w:rPr>
              <w:t>Common   Paid-in   Retained</w:t>
            </w:r>
          </w:p>
        </w:tc>
        <w:tc>
          <w:tcPr>
            <w:tcW w:w="880" w:type="dxa"/>
            <w:vAlign w:val="bottom"/>
            <w:gridSpan w:val="3"/>
          </w:tcPr>
          <w:p>
            <w:pPr>
              <w:jc w:val="center"/>
              <w:ind w:right="100"/>
              <w:spacing w:after="0" w:line="127" w:lineRule="exact"/>
              <w:rPr>
                <w:sz w:val="20"/>
                <w:szCs w:val="20"/>
                <w:color w:val="auto"/>
              </w:rPr>
            </w:pPr>
            <w:r>
              <w:rPr>
                <w:rFonts w:ascii="Arial" w:cs="Arial" w:eastAsia="Arial" w:hAnsi="Arial"/>
                <w:sz w:val="12"/>
                <w:szCs w:val="12"/>
                <w:b w:val="1"/>
                <w:bCs w:val="1"/>
                <w:color w:val="auto"/>
                <w:w w:val="86"/>
              </w:rPr>
              <w:t>Comprehensive</w:t>
            </w:r>
          </w:p>
        </w:tc>
        <w:tc>
          <w:tcPr>
            <w:tcW w:w="540" w:type="dxa"/>
            <w:vAlign w:val="bottom"/>
            <w:gridSpan w:val="2"/>
          </w:tcPr>
          <w:p>
            <w:pPr>
              <w:jc w:val="center"/>
              <w:ind w:right="80"/>
              <w:spacing w:after="0" w:line="127" w:lineRule="exact"/>
              <w:rPr>
                <w:sz w:val="20"/>
                <w:szCs w:val="20"/>
                <w:color w:val="auto"/>
              </w:rPr>
            </w:pPr>
            <w:r>
              <w:rPr>
                <w:rFonts w:ascii="Arial" w:cs="Arial" w:eastAsia="Arial" w:hAnsi="Arial"/>
                <w:sz w:val="12"/>
                <w:szCs w:val="12"/>
                <w:b w:val="1"/>
                <w:bCs w:val="1"/>
                <w:color w:val="auto"/>
                <w:w w:val="84"/>
              </w:rPr>
              <w:t>Shares</w:t>
            </w:r>
          </w:p>
        </w:tc>
        <w:tc>
          <w:tcPr>
            <w:tcW w:w="1860" w:type="dxa"/>
            <w:vAlign w:val="bottom"/>
            <w:gridSpan w:val="8"/>
          </w:tcPr>
          <w:p>
            <w:pPr>
              <w:jc w:val="right"/>
              <w:spacing w:after="0" w:line="127" w:lineRule="exact"/>
              <w:rPr>
                <w:sz w:val="20"/>
                <w:szCs w:val="20"/>
                <w:color w:val="auto"/>
              </w:rPr>
            </w:pPr>
            <w:r>
              <w:rPr>
                <w:rFonts w:ascii="Arial" w:cs="Arial" w:eastAsia="Arial" w:hAnsi="Arial"/>
                <w:sz w:val="12"/>
                <w:szCs w:val="12"/>
                <w:b w:val="1"/>
                <w:bCs w:val="1"/>
                <w:color w:val="auto"/>
                <w:w w:val="91"/>
              </w:rPr>
              <w:t>Treasury Stockholders' Redeemabl</w:t>
            </w:r>
          </w:p>
        </w:tc>
      </w:tr>
      <w:tr>
        <w:trPr>
          <w:trHeight w:val="143"/>
        </w:trPr>
        <w:tc>
          <w:tcPr>
            <w:tcW w:w="14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5"/>
              </w:rPr>
              <w:t>Earnings</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78"/>
              </w:rPr>
              <w:t>Loss</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Issued</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Stock</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Equity</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89"/>
              </w:rPr>
              <w:t>Shares</w:t>
            </w:r>
          </w:p>
        </w:tc>
      </w:tr>
      <w:tr>
        <w:trPr>
          <w:trHeight w:val="247"/>
        </w:trPr>
        <w:tc>
          <w:tcPr>
            <w:tcW w:w="1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January 1, 2021</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26,327</w:t>
            </w:r>
          </w:p>
        </w:tc>
        <w:tc>
          <w:tcPr>
            <w:tcW w:w="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120,117</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$ 206,541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$ 21,926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(3,127)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225,486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tcPr>
          <w:p>
            <w:pPr>
              <w:ind w:left="120"/>
              <w:spacing w:after="0" w:line="113" w:lineRule="exact"/>
              <w:rPr>
                <w:sz w:val="20"/>
                <w:szCs w:val="20"/>
                <w:color w:val="auto"/>
              </w:rPr>
            </w:pPr>
            <w:r>
              <w:rPr>
                <w:rFonts w:ascii="Arial" w:cs="Arial" w:eastAsia="Arial" w:hAnsi="Arial"/>
                <w:sz w:val="12"/>
                <w:szCs w:val="12"/>
                <w:color w:val="auto"/>
              </w:rPr>
              <w:t>ASC 842 transition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2"/>
                <w:szCs w:val="12"/>
                <w:color w:val="auto"/>
              </w:rPr>
              <w:t>adjustment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w w:val="98"/>
              </w:rPr>
              <w:t>Exercise of stock options,</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(6,998)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(6,997)</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tcPr>
          <w:p>
            <w:pPr>
              <w:ind w:left="120"/>
              <w:spacing w:after="0" w:line="113" w:lineRule="exact"/>
              <w:rPr>
                <w:sz w:val="20"/>
                <w:szCs w:val="20"/>
                <w:color w:val="auto"/>
              </w:rPr>
            </w:pPr>
            <w:r>
              <w:rPr>
                <w:rFonts w:ascii="Arial" w:cs="Arial" w:eastAsia="Arial" w:hAnsi="Arial"/>
                <w:sz w:val="12"/>
                <w:szCs w:val="12"/>
                <w:color w:val="auto"/>
                <w:w w:val="90"/>
              </w:rPr>
              <w:t>Shares issued upon vesting</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7"/>
        </w:trPr>
        <w:tc>
          <w:tcPr>
            <w:tcW w:w="1480" w:type="dxa"/>
            <w:vAlign w:val="bottom"/>
          </w:tcPr>
          <w:p>
            <w:pPr>
              <w:ind w:left="120"/>
              <w:spacing w:after="0" w:line="127" w:lineRule="exact"/>
              <w:rPr>
                <w:sz w:val="20"/>
                <w:szCs w:val="20"/>
                <w:color w:val="auto"/>
              </w:rPr>
            </w:pPr>
            <w:r>
              <w:rPr>
                <w:rFonts w:ascii="Arial" w:cs="Arial" w:eastAsia="Arial" w:hAnsi="Arial"/>
                <w:sz w:val="12"/>
                <w:szCs w:val="12"/>
                <w:color w:val="auto"/>
                <w:w w:val="99"/>
              </w:rPr>
              <w:t>of Restricted Stock Units,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2"/>
                <w:szCs w:val="12"/>
                <w:color w:val="auto"/>
              </w:rPr>
              <w:t>net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(34)</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w w:val="92"/>
              </w:rPr>
              <w:t>Stock-based compensation</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tcPr>
          <w:p>
            <w:pPr>
              <w:ind w:left="120"/>
              <w:spacing w:after="0" w:line="113" w:lineRule="exact"/>
              <w:rPr>
                <w:sz w:val="20"/>
                <w:szCs w:val="20"/>
                <w:color w:val="auto"/>
              </w:rPr>
            </w:pPr>
            <w:r>
              <w:rPr>
                <w:rFonts w:ascii="Arial" w:cs="Arial" w:eastAsia="Arial" w:hAnsi="Arial"/>
                <w:sz w:val="12"/>
                <w:szCs w:val="12"/>
                <w:color w:val="auto"/>
              </w:rPr>
              <w:t>Foreign currency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7"/>
        </w:trPr>
        <w:tc>
          <w:tcPr>
            <w:tcW w:w="1480" w:type="dxa"/>
            <w:vAlign w:val="bottom"/>
          </w:tcPr>
          <w:p>
            <w:pPr>
              <w:ind w:left="120"/>
              <w:spacing w:after="0" w:line="127" w:lineRule="exact"/>
              <w:rPr>
                <w:sz w:val="20"/>
                <w:szCs w:val="20"/>
                <w:color w:val="auto"/>
              </w:rPr>
            </w:pPr>
            <w:r>
              <w:rPr>
                <w:rFonts w:ascii="Arial" w:cs="Arial" w:eastAsia="Arial" w:hAnsi="Arial"/>
                <w:sz w:val="12"/>
                <w:szCs w:val="12"/>
                <w:color w:val="auto"/>
              </w:rPr>
              <w:t>translation adjustments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2"/>
                <w:szCs w:val="12"/>
                <w:color w:val="auto"/>
                <w:w w:val="92"/>
              </w:rPr>
              <w:t>and revaluations, net of tax</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(977)</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(977)</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7"/>
        </w:trPr>
        <w:tc>
          <w:tcPr>
            <w:tcW w:w="148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Net income</w:t>
            </w:r>
          </w:p>
        </w:tc>
        <w:tc>
          <w:tcPr>
            <w:tcW w:w="620" w:type="dxa"/>
            <w:vAlign w:val="bottom"/>
            <w:tcBorders>
              <w:bottom w:val="single" w:sz="8" w:color="auto"/>
            </w:tcBorders>
            <w:shd w:val="clear" w:color="auto" w:fill="CCEEFF"/>
          </w:tcPr>
          <w:p>
            <w:pPr>
              <w:ind w:left="480"/>
              <w:spacing w:after="0" w:line="127"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ind w:left="480"/>
              <w:spacing w:after="0" w:line="127"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2,288</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320"/>
              <w:spacing w:after="0" w:line="127"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ind w:left="220"/>
              <w:spacing w:after="0" w:line="127"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2,288</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r>
      <w:tr>
        <w:trPr>
          <w:trHeight w:val="247"/>
        </w:trPr>
        <w:tc>
          <w:tcPr>
            <w:tcW w:w="1480" w:type="dxa"/>
            <w:vAlign w:val="bottom"/>
          </w:tcPr>
          <w:p>
            <w:pPr>
              <w:ind w:left="20"/>
              <w:spacing w:after="0"/>
              <w:rPr>
                <w:sz w:val="20"/>
                <w:szCs w:val="20"/>
                <w:color w:val="auto"/>
              </w:rPr>
            </w:pPr>
            <w:r>
              <w:rPr>
                <w:rFonts w:ascii="Arial" w:cs="Arial" w:eastAsia="Arial" w:hAnsi="Arial"/>
                <w:sz w:val="12"/>
                <w:szCs w:val="12"/>
                <w:color w:val="auto"/>
              </w:rPr>
              <w:t>Balance, March 31, 2021</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26,972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120,117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205,811</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24,722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(4,104)</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226,576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w w:val="98"/>
              </w:rPr>
              <w:t>Exercise of stock options,</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(3,293)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(3,292)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tcPr>
          <w:p>
            <w:pPr>
              <w:ind w:left="120"/>
              <w:spacing w:after="0" w:line="113" w:lineRule="exact"/>
              <w:rPr>
                <w:sz w:val="20"/>
                <w:szCs w:val="20"/>
                <w:color w:val="auto"/>
              </w:rPr>
            </w:pPr>
            <w:r>
              <w:rPr>
                <w:rFonts w:ascii="Arial" w:cs="Arial" w:eastAsia="Arial" w:hAnsi="Arial"/>
                <w:sz w:val="12"/>
                <w:szCs w:val="12"/>
                <w:color w:val="auto"/>
                <w:w w:val="90"/>
              </w:rPr>
              <w:t>Shares issued upon vesting</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2"/>
                <w:szCs w:val="12"/>
                <w:color w:val="auto"/>
                <w:w w:val="92"/>
              </w:rPr>
              <w:t>of Restricted Stock Awards</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234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w w:val="92"/>
              </w:rPr>
              <w:t>Stock-based compensation</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7"/>
        </w:trPr>
        <w:tc>
          <w:tcPr>
            <w:tcW w:w="1480" w:type="dxa"/>
            <w:vAlign w:val="bottom"/>
          </w:tcPr>
          <w:p>
            <w:pPr>
              <w:ind w:left="120"/>
              <w:spacing w:after="0" w:line="127" w:lineRule="exact"/>
              <w:rPr>
                <w:sz w:val="20"/>
                <w:szCs w:val="20"/>
                <w:color w:val="auto"/>
              </w:rPr>
            </w:pPr>
            <w:r>
              <w:rPr>
                <w:rFonts w:ascii="Arial" w:cs="Arial" w:eastAsia="Arial" w:hAnsi="Arial"/>
                <w:sz w:val="12"/>
                <w:szCs w:val="12"/>
                <w:color w:val="auto"/>
                <w:w w:val="92"/>
              </w:rPr>
              <w:t>Shares issued under ESPP</w:t>
            </w:r>
          </w:p>
        </w:tc>
        <w:tc>
          <w:tcPr>
            <w:tcW w:w="680" w:type="dxa"/>
            <w:vAlign w:val="bottom"/>
            <w:gridSpan w:val="2"/>
          </w:tcPr>
          <w:p>
            <w:pPr>
              <w:ind w:left="480"/>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60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1,010</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w:t>
            </w:r>
          </w:p>
        </w:tc>
        <w:tc>
          <w:tcPr>
            <w:tcW w:w="540" w:type="dxa"/>
            <w:vAlign w:val="bottom"/>
            <w:gridSpan w:val="2"/>
          </w:tcPr>
          <w:p>
            <w:pPr>
              <w:ind w:left="320"/>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gridSpan w:val="2"/>
          </w:tcPr>
          <w:p>
            <w:pPr>
              <w:ind w:left="220"/>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1,010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w w:val="93"/>
              </w:rPr>
              <w:t>Class B shares exchanged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 Class A shares</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(12,100)</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tcPr>
          <w:p>
            <w:pPr>
              <w:ind w:left="120"/>
              <w:spacing w:after="0" w:line="113" w:lineRule="exact"/>
              <w:rPr>
                <w:sz w:val="20"/>
                <w:szCs w:val="20"/>
                <w:color w:val="auto"/>
              </w:rPr>
            </w:pPr>
            <w:r>
              <w:rPr>
                <w:rFonts w:ascii="Arial" w:cs="Arial" w:eastAsia="Arial" w:hAnsi="Arial"/>
                <w:sz w:val="12"/>
                <w:szCs w:val="12"/>
                <w:color w:val="auto"/>
              </w:rPr>
              <w:t>Foreign currency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7"/>
        </w:trPr>
        <w:tc>
          <w:tcPr>
            <w:tcW w:w="1480" w:type="dxa"/>
            <w:vAlign w:val="bottom"/>
          </w:tcPr>
          <w:p>
            <w:pPr>
              <w:ind w:left="120"/>
              <w:spacing w:after="0" w:line="127" w:lineRule="exact"/>
              <w:rPr>
                <w:sz w:val="20"/>
                <w:szCs w:val="20"/>
                <w:color w:val="auto"/>
              </w:rPr>
            </w:pPr>
            <w:r>
              <w:rPr>
                <w:rFonts w:ascii="Arial" w:cs="Arial" w:eastAsia="Arial" w:hAnsi="Arial"/>
                <w:sz w:val="12"/>
                <w:szCs w:val="12"/>
                <w:color w:val="auto"/>
              </w:rPr>
              <w:t>translation adjustments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2"/>
                <w:szCs w:val="12"/>
                <w:color w:val="auto"/>
                <w:w w:val="92"/>
              </w:rPr>
              <w:t>and revaluations, net of tax</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(3,359)</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(3,359)</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7"/>
        </w:trPr>
        <w:tc>
          <w:tcPr>
            <w:tcW w:w="148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Net income</w:t>
            </w:r>
          </w:p>
        </w:tc>
        <w:tc>
          <w:tcPr>
            <w:tcW w:w="620" w:type="dxa"/>
            <w:vAlign w:val="bottom"/>
            <w:tcBorders>
              <w:bottom w:val="single" w:sz="8" w:color="auto"/>
            </w:tcBorders>
            <w:shd w:val="clear" w:color="auto" w:fill="CCEEFF"/>
          </w:tcPr>
          <w:p>
            <w:pPr>
              <w:ind w:left="480"/>
              <w:spacing w:after="0" w:line="127"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ind w:left="480"/>
              <w:spacing w:after="0" w:line="127"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808</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320"/>
              <w:spacing w:after="0" w:line="127"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ind w:left="220"/>
              <w:spacing w:after="0" w:line="127"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808</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r>
      <w:tr>
        <w:trPr>
          <w:trHeight w:val="247"/>
        </w:trPr>
        <w:tc>
          <w:tcPr>
            <w:tcW w:w="1480" w:type="dxa"/>
            <w:vAlign w:val="bottom"/>
          </w:tcPr>
          <w:p>
            <w:pPr>
              <w:ind w:left="20"/>
              <w:spacing w:after="0"/>
              <w:rPr>
                <w:sz w:val="20"/>
                <w:szCs w:val="20"/>
                <w:color w:val="auto"/>
              </w:rPr>
            </w:pPr>
            <w:r>
              <w:rPr>
                <w:rFonts w:ascii="Arial" w:cs="Arial" w:eastAsia="Arial" w:hAnsi="Arial"/>
                <w:sz w:val="12"/>
                <w:szCs w:val="12"/>
                <w:color w:val="auto"/>
              </w:rPr>
              <w:t>Balance, June 30, 2021</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39,828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108,017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209,629</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25,530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(7,463)</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227,844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w w:val="98"/>
              </w:rPr>
              <w:t>Exercise of stock options,</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(919)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tcPr>
          <w:p>
            <w:pPr>
              <w:ind w:left="120"/>
              <w:spacing w:after="0" w:line="113" w:lineRule="exact"/>
              <w:rPr>
                <w:sz w:val="20"/>
                <w:szCs w:val="20"/>
                <w:color w:val="auto"/>
              </w:rPr>
            </w:pPr>
            <w:r>
              <w:rPr>
                <w:rFonts w:ascii="Arial" w:cs="Arial" w:eastAsia="Arial" w:hAnsi="Arial"/>
                <w:sz w:val="12"/>
                <w:szCs w:val="12"/>
                <w:color w:val="auto"/>
                <w:w w:val="90"/>
              </w:rPr>
              <w:t>Shares issued upon vesting</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7"/>
        </w:trPr>
        <w:tc>
          <w:tcPr>
            <w:tcW w:w="1480" w:type="dxa"/>
            <w:vAlign w:val="bottom"/>
          </w:tcPr>
          <w:p>
            <w:pPr>
              <w:ind w:left="120"/>
              <w:spacing w:after="0" w:line="127" w:lineRule="exact"/>
              <w:rPr>
                <w:sz w:val="20"/>
                <w:szCs w:val="20"/>
                <w:color w:val="auto"/>
              </w:rPr>
            </w:pPr>
            <w:r>
              <w:rPr>
                <w:rFonts w:ascii="Arial" w:cs="Arial" w:eastAsia="Arial" w:hAnsi="Arial"/>
                <w:sz w:val="12"/>
                <w:szCs w:val="12"/>
                <w:color w:val="auto"/>
                <w:w w:val="99"/>
              </w:rPr>
              <w:t>of Restricted Stock Units,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2"/>
                <w:szCs w:val="12"/>
                <w:color w:val="auto"/>
              </w:rPr>
              <w:t>net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(44)</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w w:val="90"/>
              </w:rPr>
              <w:t>Shares issued upon vesting</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27"/>
        </w:trPr>
        <w:tc>
          <w:tcPr>
            <w:tcW w:w="148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of Restricted Stock</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Awards, net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tcPr>
          <w:p>
            <w:pPr>
              <w:ind w:left="120"/>
              <w:spacing w:after="0" w:line="113" w:lineRule="exact"/>
              <w:rPr>
                <w:sz w:val="20"/>
                <w:szCs w:val="20"/>
                <w:color w:val="auto"/>
              </w:rPr>
            </w:pPr>
            <w:r>
              <w:rPr>
                <w:rFonts w:ascii="Arial" w:cs="Arial" w:eastAsia="Arial" w:hAnsi="Arial"/>
                <w:sz w:val="12"/>
                <w:szCs w:val="12"/>
                <w:color w:val="auto"/>
                <w:w w:val="92"/>
              </w:rPr>
              <w:t>Stock-based compensation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41"/>
        </w:trPr>
        <w:tc>
          <w:tcPr>
            <w:tcW w:w="1480" w:type="dxa"/>
            <w:vAlign w:val="bottom"/>
          </w:tcPr>
          <w:p>
            <w:pPr>
              <w:ind w:left="120"/>
              <w:spacing w:after="0"/>
              <w:rPr>
                <w:sz w:val="20"/>
                <w:szCs w:val="20"/>
                <w:color w:val="auto"/>
              </w:rPr>
            </w:pPr>
            <w:r>
              <w:rPr>
                <w:rFonts w:ascii="Arial" w:cs="Arial" w:eastAsia="Arial" w:hAnsi="Arial"/>
                <w:sz w:val="12"/>
                <w:szCs w:val="12"/>
                <w:color w:val="auto"/>
              </w:rPr>
              <w:t>expense</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7,194</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7,194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3"/>
        </w:trPr>
        <w:tc>
          <w:tcPr>
            <w:tcW w:w="1480" w:type="dxa"/>
            <w:vAlign w:val="bottom"/>
            <w:shd w:val="clear" w:color="auto" w:fill="CCEEFF"/>
          </w:tcPr>
          <w:p>
            <w:pPr>
              <w:ind w:left="120"/>
              <w:spacing w:after="0" w:line="113" w:lineRule="exact"/>
              <w:rPr>
                <w:sz w:val="20"/>
                <w:szCs w:val="20"/>
                <w:color w:val="auto"/>
              </w:rPr>
            </w:pPr>
            <w:r>
              <w:rPr>
                <w:rFonts w:ascii="Arial" w:cs="Arial" w:eastAsia="Arial" w:hAnsi="Arial"/>
                <w:sz w:val="12"/>
                <w:szCs w:val="12"/>
                <w:color w:val="auto"/>
              </w:rPr>
              <w:t>Foreign currency</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27"/>
        </w:trPr>
        <w:tc>
          <w:tcPr>
            <w:tcW w:w="148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translation adjustments</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41"/>
        </w:trPr>
        <w:tc>
          <w:tcPr>
            <w:tcW w:w="14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and revaluations, net of tax</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(5,704)</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(5,704)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7"/>
        </w:trPr>
        <w:tc>
          <w:tcPr>
            <w:tcW w:w="1480" w:type="dxa"/>
            <w:vAlign w:val="bottom"/>
          </w:tcPr>
          <w:p>
            <w:pPr>
              <w:ind w:left="120"/>
              <w:spacing w:after="0" w:line="127" w:lineRule="exact"/>
              <w:rPr>
                <w:sz w:val="20"/>
                <w:szCs w:val="20"/>
                <w:color w:val="auto"/>
              </w:rPr>
            </w:pPr>
            <w:r>
              <w:rPr>
                <w:rFonts w:ascii="Arial" w:cs="Arial" w:eastAsia="Arial" w:hAnsi="Arial"/>
                <w:sz w:val="12"/>
                <w:szCs w:val="12"/>
                <w:color w:val="auto"/>
              </w:rPr>
              <w:t>Net loss</w:t>
            </w:r>
          </w:p>
        </w:tc>
        <w:tc>
          <w:tcPr>
            <w:tcW w:w="620" w:type="dxa"/>
            <w:vAlign w:val="bottom"/>
          </w:tcPr>
          <w:p>
            <w:pPr>
              <w:ind w:left="480"/>
              <w:spacing w:after="0" w:line="127"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20" w:type="dxa"/>
            <w:vAlign w:val="bottom"/>
          </w:tcPr>
          <w:p>
            <w:pPr>
              <w:ind w:left="480"/>
              <w:spacing w:after="0" w:line="127"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(3,948)</w:t>
            </w:r>
          </w:p>
        </w:tc>
        <w:tc>
          <w:tcPr>
            <w:tcW w:w="60" w:type="dxa"/>
            <w:vAlign w:val="bottom"/>
          </w:tcPr>
          <w:p>
            <w:pPr>
              <w:spacing w:after="0"/>
              <w:rPr>
                <w:sz w:val="11"/>
                <w:szCs w:val="11"/>
                <w:color w:val="auto"/>
              </w:rPr>
            </w:pPr>
          </w:p>
        </w:tc>
        <w:tc>
          <w:tcPr>
            <w:tcW w:w="82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w:t>
            </w:r>
          </w:p>
        </w:tc>
        <w:tc>
          <w:tcPr>
            <w:tcW w:w="540" w:type="dxa"/>
            <w:vAlign w:val="bottom"/>
            <w:gridSpan w:val="2"/>
          </w:tcPr>
          <w:p>
            <w:pPr>
              <w:ind w:left="320"/>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gridSpan w:val="2"/>
          </w:tcPr>
          <w:p>
            <w:pPr>
              <w:ind w:left="220"/>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(3,948)</w:t>
            </w:r>
          </w:p>
        </w:tc>
        <w:tc>
          <w:tcPr>
            <w:tcW w:w="10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r>
      <w:tr>
        <w:trPr>
          <w:trHeight w:val="247"/>
        </w:trPr>
        <w:tc>
          <w:tcPr>
            <w:tcW w:w="1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0"/>
              </w:rPr>
              <w:t>Balance, September 30, 2021</w:t>
            </w:r>
          </w:p>
        </w:tc>
        <w:tc>
          <w:tcPr>
            <w:tcW w:w="6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99"/>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99"/>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40,574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108,017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$ 215,647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5"/>
              </w:rPr>
              <w:t>$ 21,582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(13,167)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224,211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1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335280</wp:posOffset>
            </wp:positionV>
            <wp:extent cx="649478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4780" cy="15875"/>
                    </a:xfrm>
                    <a:prstGeom prst="rect">
                      <a:avLst/>
                    </a:prstGeom>
                    <a:noFill/>
                  </pic:spPr>
                </pic:pic>
              </a:graphicData>
            </a:graphic>
          </wp:anchor>
        </w:drawing>
      </w:r>
    </w:p>
    <w:p>
      <w:pPr>
        <w:sectPr>
          <w:pgSz w:w="11900" w:h="16838" w:orient="portrait"/>
          <w:cols w:equalWidth="0" w:num="1">
            <w:col w:w="10840"/>
          </w:cols>
          <w:pgMar w:left="820" w:top="496" w:right="239" w:bottom="1440" w:gutter="0" w:footer="0" w:header="0"/>
        </w:sectPr>
      </w:pPr>
    </w:p>
    <w:bookmarkStart w:id="7" w:name="page8"/>
    <w:bookmarkEnd w:id="7"/>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Vertex,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Consolidated Statements of Changes in Equity (Deficit)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the nine months ended September 30, 2020 (unaudited)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17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0"/>
                <w:szCs w:val="10"/>
                <w:b w:val="1"/>
                <w:bCs w:val="1"/>
                <w:color w:val="auto"/>
              </w:rPr>
              <w:t>Before Recapitalization</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After Recapitalization</w:t>
            </w: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Retained</w:t>
            </w:r>
          </w:p>
        </w:tc>
        <w:tc>
          <w:tcPr>
            <w:tcW w:w="6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Accumulated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5"/>
        </w:trPr>
        <w:tc>
          <w:tcPr>
            <w:tcW w:w="1580" w:type="dxa"/>
            <w:vAlign w:val="bottom"/>
          </w:tcPr>
          <w:p>
            <w:pPr>
              <w:spacing w:after="0"/>
              <w:rPr>
                <w:sz w:val="8"/>
                <w:szCs w:val="8"/>
                <w:color w:val="auto"/>
              </w:rPr>
            </w:pPr>
          </w:p>
        </w:tc>
        <w:tc>
          <w:tcPr>
            <w:tcW w:w="640" w:type="dxa"/>
            <w:vAlign w:val="bottom"/>
            <w:gridSpan w:val="2"/>
          </w:tcPr>
          <w:p>
            <w:pPr>
              <w:jc w:val="center"/>
              <w:ind w:right="60"/>
              <w:spacing w:after="0" w:line="96" w:lineRule="exact"/>
              <w:rPr>
                <w:sz w:val="20"/>
                <w:szCs w:val="20"/>
                <w:color w:val="auto"/>
              </w:rPr>
            </w:pPr>
            <w:r>
              <w:rPr>
                <w:rFonts w:ascii="Arial" w:cs="Arial" w:eastAsia="Arial" w:hAnsi="Arial"/>
                <w:sz w:val="10"/>
                <w:szCs w:val="10"/>
                <w:b w:val="1"/>
                <w:bCs w:val="1"/>
                <w:color w:val="auto"/>
                <w:w w:val="91"/>
              </w:rPr>
              <w:t>Outstanding</w:t>
            </w:r>
          </w:p>
        </w:tc>
        <w:tc>
          <w:tcPr>
            <w:tcW w:w="60" w:type="dxa"/>
            <w:vAlign w:val="bottom"/>
          </w:tcPr>
          <w:p>
            <w:pPr>
              <w:spacing w:after="0"/>
              <w:rPr>
                <w:sz w:val="8"/>
                <w:szCs w:val="8"/>
                <w:color w:val="auto"/>
              </w:rPr>
            </w:pPr>
          </w:p>
        </w:tc>
        <w:tc>
          <w:tcPr>
            <w:tcW w:w="420" w:type="dxa"/>
            <w:vAlign w:val="bottom"/>
            <w:gridSpan w:val="2"/>
          </w:tcPr>
          <w:p>
            <w:pPr>
              <w:spacing w:after="0" w:line="96" w:lineRule="exact"/>
              <w:rPr>
                <w:sz w:val="20"/>
                <w:szCs w:val="20"/>
                <w:color w:val="auto"/>
              </w:rPr>
            </w:pPr>
            <w:r>
              <w:rPr>
                <w:rFonts w:ascii="Arial" w:cs="Arial" w:eastAsia="Arial" w:hAnsi="Arial"/>
                <w:sz w:val="10"/>
                <w:szCs w:val="10"/>
                <w:b w:val="1"/>
                <w:bCs w:val="1"/>
                <w:color w:val="auto"/>
              </w:rPr>
              <w:t>Class A</w:t>
            </w:r>
          </w:p>
        </w:tc>
        <w:tc>
          <w:tcPr>
            <w:tcW w:w="600" w:type="dxa"/>
            <w:vAlign w:val="bottom"/>
            <w:gridSpan w:val="2"/>
          </w:tcPr>
          <w:p>
            <w:pPr>
              <w:jc w:val="center"/>
              <w:ind w:right="40"/>
              <w:spacing w:after="0" w:line="96" w:lineRule="exact"/>
              <w:rPr>
                <w:sz w:val="20"/>
                <w:szCs w:val="20"/>
                <w:color w:val="auto"/>
              </w:rPr>
            </w:pPr>
            <w:r>
              <w:rPr>
                <w:rFonts w:ascii="Arial" w:cs="Arial" w:eastAsia="Arial" w:hAnsi="Arial"/>
                <w:sz w:val="10"/>
                <w:szCs w:val="10"/>
                <w:b w:val="1"/>
                <w:bCs w:val="1"/>
                <w:color w:val="auto"/>
                <w:w w:val="95"/>
              </w:rPr>
              <w:t>Outstanding</w:t>
            </w:r>
          </w:p>
        </w:tc>
        <w:tc>
          <w:tcPr>
            <w:tcW w:w="60" w:type="dxa"/>
            <w:vAlign w:val="bottom"/>
          </w:tcPr>
          <w:p>
            <w:pPr>
              <w:spacing w:after="0"/>
              <w:rPr>
                <w:sz w:val="8"/>
                <w:szCs w:val="8"/>
                <w:color w:val="auto"/>
              </w:rPr>
            </w:pPr>
          </w:p>
        </w:tc>
        <w:tc>
          <w:tcPr>
            <w:tcW w:w="380" w:type="dxa"/>
            <w:vAlign w:val="bottom"/>
          </w:tcPr>
          <w:p>
            <w:pPr>
              <w:jc w:val="center"/>
              <w:ind w:right="9"/>
              <w:spacing w:after="0" w:line="96" w:lineRule="exact"/>
              <w:rPr>
                <w:sz w:val="20"/>
                <w:szCs w:val="20"/>
                <w:color w:val="auto"/>
              </w:rPr>
            </w:pPr>
            <w:r>
              <w:rPr>
                <w:rFonts w:ascii="Arial" w:cs="Arial" w:eastAsia="Arial" w:hAnsi="Arial"/>
                <w:sz w:val="10"/>
                <w:szCs w:val="10"/>
                <w:b w:val="1"/>
                <w:bCs w:val="1"/>
                <w:color w:val="auto"/>
                <w:w w:val="87"/>
              </w:rPr>
              <w:t>Class B</w:t>
            </w:r>
          </w:p>
        </w:tc>
        <w:tc>
          <w:tcPr>
            <w:tcW w:w="40" w:type="dxa"/>
            <w:vAlign w:val="bottom"/>
          </w:tcPr>
          <w:p>
            <w:pPr>
              <w:spacing w:after="0"/>
              <w:rPr>
                <w:sz w:val="8"/>
                <w:szCs w:val="8"/>
                <w:color w:val="auto"/>
              </w:rPr>
            </w:pPr>
          </w:p>
        </w:tc>
        <w:tc>
          <w:tcPr>
            <w:tcW w:w="580" w:type="dxa"/>
            <w:vAlign w:val="bottom"/>
            <w:gridSpan w:val="2"/>
          </w:tcPr>
          <w:p>
            <w:pPr>
              <w:jc w:val="center"/>
              <w:ind w:right="20"/>
              <w:spacing w:after="0" w:line="96" w:lineRule="exact"/>
              <w:rPr>
                <w:sz w:val="20"/>
                <w:szCs w:val="20"/>
                <w:color w:val="auto"/>
              </w:rPr>
            </w:pPr>
            <w:r>
              <w:rPr>
                <w:rFonts w:ascii="Arial" w:cs="Arial" w:eastAsia="Arial" w:hAnsi="Arial"/>
                <w:sz w:val="10"/>
                <w:szCs w:val="10"/>
                <w:b w:val="1"/>
                <w:bCs w:val="1"/>
                <w:color w:val="auto"/>
                <w:w w:val="95"/>
              </w:rPr>
              <w:t>Outstanding</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7"/>
              </w:rPr>
              <w:t>Class A</w:t>
            </w:r>
          </w:p>
        </w:tc>
        <w:tc>
          <w:tcPr>
            <w:tcW w:w="62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1"/>
              </w:rPr>
              <w:t>Outstanding</w:t>
            </w:r>
          </w:p>
        </w:tc>
        <w:tc>
          <w:tcPr>
            <w:tcW w:w="40" w:type="dxa"/>
            <w:vAlign w:val="bottom"/>
          </w:tcPr>
          <w:p>
            <w:pPr>
              <w:spacing w:after="0"/>
              <w:rPr>
                <w:sz w:val="8"/>
                <w:szCs w:val="8"/>
                <w:color w:val="auto"/>
              </w:rPr>
            </w:pPr>
          </w:p>
        </w:tc>
        <w:tc>
          <w:tcPr>
            <w:tcW w:w="3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2"/>
              </w:rPr>
              <w:t>Class B</w:t>
            </w:r>
          </w:p>
        </w:tc>
        <w:tc>
          <w:tcPr>
            <w:tcW w:w="60" w:type="dxa"/>
            <w:vAlign w:val="bottom"/>
          </w:tcPr>
          <w:p>
            <w:pPr>
              <w:spacing w:after="0"/>
              <w:rPr>
                <w:sz w:val="8"/>
                <w:szCs w:val="8"/>
                <w:color w:val="auto"/>
              </w:rPr>
            </w:pPr>
          </w:p>
        </w:tc>
        <w:tc>
          <w:tcPr>
            <w:tcW w:w="560" w:type="dxa"/>
            <w:vAlign w:val="bottom"/>
            <w:gridSpan w:val="3"/>
          </w:tcPr>
          <w:p>
            <w:pPr>
              <w:ind w:left="20"/>
              <w:spacing w:after="0" w:line="96"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8"/>
                <w:szCs w:val="8"/>
                <w:color w:val="auto"/>
              </w:rPr>
            </w:pPr>
          </w:p>
        </w:tc>
        <w:tc>
          <w:tcPr>
            <w:tcW w:w="62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3"/>
              </w:rPr>
              <w:t>Earnings</w:t>
            </w:r>
          </w:p>
        </w:tc>
        <w:tc>
          <w:tcPr>
            <w:tcW w:w="60" w:type="dxa"/>
            <w:vAlign w:val="bottom"/>
          </w:tcPr>
          <w:p>
            <w:pPr>
              <w:spacing w:after="0"/>
              <w:rPr>
                <w:sz w:val="8"/>
                <w:szCs w:val="8"/>
                <w:color w:val="auto"/>
              </w:rPr>
            </w:pPr>
          </w:p>
        </w:tc>
        <w:tc>
          <w:tcPr>
            <w:tcW w:w="70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97"/>
              </w:rPr>
              <w:t>Other</w:t>
            </w:r>
          </w:p>
        </w:tc>
        <w:tc>
          <w:tcPr>
            <w:tcW w:w="460" w:type="dxa"/>
            <w:vAlign w:val="bottom"/>
            <w:gridSpan w:val="2"/>
          </w:tcPr>
          <w:p>
            <w:pPr>
              <w:jc w:val="center"/>
              <w:ind w:right="60"/>
              <w:spacing w:after="0" w:line="96" w:lineRule="exact"/>
              <w:rPr>
                <w:sz w:val="20"/>
                <w:szCs w:val="20"/>
                <w:color w:val="auto"/>
              </w:rPr>
            </w:pPr>
            <w:r>
              <w:rPr>
                <w:rFonts w:ascii="Arial" w:cs="Arial" w:eastAsia="Arial" w:hAnsi="Arial"/>
                <w:sz w:val="10"/>
                <w:szCs w:val="10"/>
                <w:b w:val="1"/>
                <w:bCs w:val="1"/>
                <w:color w:val="auto"/>
                <w:w w:val="94"/>
              </w:rPr>
              <w:t>Treasury</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tcPr>
          <w:p>
            <w:pPr>
              <w:jc w:val="right"/>
              <w:ind w:right="280"/>
              <w:spacing w:after="0" w:line="96" w:lineRule="exact"/>
              <w:rPr>
                <w:sz w:val="20"/>
                <w:szCs w:val="20"/>
                <w:color w:val="auto"/>
              </w:rPr>
            </w:pPr>
            <w:r>
              <w:rPr>
                <w:rFonts w:ascii="Arial" w:cs="Arial" w:eastAsia="Arial" w:hAnsi="Arial"/>
                <w:sz w:val="10"/>
                <w:szCs w:val="10"/>
                <w:b w:val="1"/>
                <w:bCs w:val="1"/>
                <w:color w:val="auto"/>
              </w:rPr>
              <w:t>Total</w:t>
            </w:r>
          </w:p>
        </w:tc>
        <w:tc>
          <w:tcPr>
            <w:tcW w:w="540" w:type="dxa"/>
            <w:vAlign w:val="bottom"/>
            <w:gridSpan w:val="3"/>
          </w:tcPr>
          <w:p>
            <w:pPr>
              <w:ind w:left="20"/>
              <w:spacing w:after="0" w:line="96" w:lineRule="exact"/>
              <w:rPr>
                <w:sz w:val="20"/>
                <w:szCs w:val="20"/>
                <w:color w:val="auto"/>
              </w:rPr>
            </w:pPr>
            <w:r>
              <w:rPr>
                <w:rFonts w:ascii="Arial" w:cs="Arial" w:eastAsia="Arial" w:hAnsi="Arial"/>
                <w:sz w:val="10"/>
                <w:szCs w:val="10"/>
                <w:b w:val="1"/>
                <w:bCs w:val="1"/>
                <w:color w:val="auto"/>
                <w:w w:val="92"/>
              </w:rPr>
              <w:t>Options for</w:t>
            </w:r>
          </w:p>
        </w:tc>
      </w:tr>
      <w:tr>
        <w:trPr>
          <w:trHeight w:val="114"/>
        </w:trPr>
        <w:tc>
          <w:tcPr>
            <w:tcW w:w="1580" w:type="dxa"/>
            <w:vAlign w:val="bottom"/>
          </w:tcPr>
          <w:p>
            <w:pPr>
              <w:spacing w:after="0"/>
              <w:rPr>
                <w:sz w:val="9"/>
                <w:szCs w:val="9"/>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Class A</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Common</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Class B</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Common</w:t>
            </w:r>
          </w:p>
        </w:tc>
        <w:tc>
          <w:tcPr>
            <w:tcW w:w="5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7"/>
              </w:rPr>
              <w:t>Class A</w:t>
            </w:r>
          </w:p>
        </w:tc>
        <w:tc>
          <w:tcPr>
            <w:tcW w:w="40" w:type="dxa"/>
            <w:vAlign w:val="bottom"/>
          </w:tcPr>
          <w:p>
            <w:pPr>
              <w:spacing w:after="0"/>
              <w:rPr>
                <w:sz w:val="9"/>
                <w:szCs w:val="9"/>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2"/>
              </w:rPr>
              <w:t>Common</w:t>
            </w:r>
          </w:p>
        </w:tc>
        <w:tc>
          <w:tcPr>
            <w:tcW w:w="6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Class B</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Common</w:t>
            </w:r>
          </w:p>
        </w:tc>
        <w:tc>
          <w:tcPr>
            <w:tcW w:w="8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7"/>
              </w:rPr>
              <w:t>Paid In</w:t>
            </w:r>
          </w:p>
        </w:tc>
        <w:tc>
          <w:tcPr>
            <w:tcW w:w="7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(Accumulated</w:t>
            </w:r>
          </w:p>
        </w:tc>
        <w:tc>
          <w:tcPr>
            <w:tcW w:w="7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0"/>
              </w:rPr>
              <w:t>Comprehensive</w:t>
            </w:r>
          </w:p>
        </w:tc>
        <w:tc>
          <w:tcPr>
            <w:tcW w:w="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Shares</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Treasury</w:t>
            </w:r>
          </w:p>
        </w:tc>
        <w:tc>
          <w:tcPr>
            <w:tcW w:w="74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4"/>
              </w:rPr>
              <w:t>Stockholders'</w:t>
            </w:r>
          </w:p>
        </w:tc>
        <w:tc>
          <w:tcPr>
            <w:tcW w:w="540" w:type="dxa"/>
            <w:vAlign w:val="bottom"/>
            <w:gridSpan w:val="3"/>
          </w:tcPr>
          <w:p>
            <w:pPr>
              <w:spacing w:after="0"/>
              <w:rPr>
                <w:sz w:val="20"/>
                <w:szCs w:val="20"/>
                <w:color w:val="auto"/>
              </w:rPr>
            </w:pPr>
            <w:r>
              <w:rPr>
                <w:rFonts w:ascii="Arial" w:cs="Arial" w:eastAsia="Arial" w:hAnsi="Arial"/>
                <w:sz w:val="10"/>
                <w:szCs w:val="10"/>
                <w:b w:val="1"/>
                <w:bCs w:val="1"/>
                <w:color w:val="auto"/>
                <w:w w:val="88"/>
              </w:rPr>
              <w:t>Redeemable</w:t>
            </w:r>
          </w:p>
        </w:tc>
      </w:tr>
      <w:tr>
        <w:trPr>
          <w:trHeight w:val="126"/>
        </w:trPr>
        <w:tc>
          <w:tcPr>
            <w:tcW w:w="1580" w:type="dxa"/>
            <w:vAlign w:val="bottom"/>
          </w:tcPr>
          <w:p>
            <w:pPr>
              <w:spacing w:after="0"/>
              <w:rPr>
                <w:sz w:val="10"/>
                <w:szCs w:val="10"/>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Shares</w:t>
            </w:r>
          </w:p>
        </w:tc>
        <w:tc>
          <w:tcPr>
            <w:tcW w:w="60" w:type="dxa"/>
            <w:vAlign w:val="bottom"/>
          </w:tcPr>
          <w:p>
            <w:pPr>
              <w:spacing w:after="0"/>
              <w:rPr>
                <w:sz w:val="10"/>
                <w:szCs w:val="10"/>
                <w:color w:val="auto"/>
              </w:rPr>
            </w:pPr>
          </w:p>
        </w:tc>
        <w:tc>
          <w:tcPr>
            <w:tcW w:w="420" w:type="dxa"/>
            <w:vAlign w:val="bottom"/>
            <w:gridSpan w:val="2"/>
          </w:tcPr>
          <w:p>
            <w:pPr>
              <w:ind w:left="60"/>
              <w:spacing w:after="0"/>
              <w:rPr>
                <w:sz w:val="20"/>
                <w:szCs w:val="20"/>
                <w:color w:val="auto"/>
              </w:rPr>
            </w:pPr>
            <w:r>
              <w:rPr>
                <w:rFonts w:ascii="Arial" w:cs="Arial" w:eastAsia="Arial" w:hAnsi="Arial"/>
                <w:sz w:val="10"/>
                <w:szCs w:val="10"/>
                <w:b w:val="1"/>
                <w:bCs w:val="1"/>
                <w:color w:val="auto"/>
              </w:rPr>
              <w:t>Stock</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3"/>
              </w:rPr>
              <w:t>Shares</w:t>
            </w:r>
          </w:p>
        </w:tc>
        <w:tc>
          <w:tcPr>
            <w:tcW w:w="60" w:type="dxa"/>
            <w:vAlign w:val="bottom"/>
          </w:tcPr>
          <w:p>
            <w:pPr>
              <w:spacing w:after="0"/>
              <w:rPr>
                <w:sz w:val="10"/>
                <w:szCs w:val="10"/>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Stock</w:t>
            </w:r>
          </w:p>
        </w:tc>
        <w:tc>
          <w:tcPr>
            <w:tcW w:w="5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3"/>
              </w:rPr>
              <w:t>Shares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Stock</w:t>
            </w:r>
          </w:p>
        </w:tc>
        <w:tc>
          <w:tcPr>
            <w:tcW w:w="6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3"/>
              </w:rPr>
              <w:t>Shares</w:t>
            </w:r>
          </w:p>
        </w:tc>
        <w:tc>
          <w:tcPr>
            <w:tcW w:w="40" w:type="dxa"/>
            <w:vAlign w:val="bottom"/>
          </w:tcPr>
          <w:p>
            <w:pPr>
              <w:spacing w:after="0"/>
              <w:rPr>
                <w:sz w:val="10"/>
                <w:szCs w:val="10"/>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Stock</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Deficit)</w:t>
            </w:r>
          </w:p>
        </w:tc>
        <w:tc>
          <w:tcPr>
            <w:tcW w:w="6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5"/>
              </w:rPr>
              <w:t>Loss</w:t>
            </w:r>
          </w:p>
        </w:tc>
        <w:tc>
          <w:tcPr>
            <w:tcW w:w="4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Issued</w:t>
            </w:r>
          </w:p>
        </w:tc>
        <w:tc>
          <w:tcPr>
            <w:tcW w:w="60" w:type="dxa"/>
            <w:vAlign w:val="bottom"/>
          </w:tcPr>
          <w:p>
            <w:pPr>
              <w:spacing w:after="0"/>
              <w:rPr>
                <w:sz w:val="10"/>
                <w:szCs w:val="10"/>
                <w:color w:val="auto"/>
              </w:rPr>
            </w:pPr>
          </w:p>
        </w:tc>
        <w:tc>
          <w:tcPr>
            <w:tcW w:w="420" w:type="dxa"/>
            <w:vAlign w:val="bottom"/>
            <w:gridSpan w:val="2"/>
          </w:tcPr>
          <w:p>
            <w:pPr>
              <w:ind w:left="20"/>
              <w:spacing w:after="0"/>
              <w:rPr>
                <w:sz w:val="20"/>
                <w:szCs w:val="20"/>
                <w:color w:val="auto"/>
              </w:rPr>
            </w:pPr>
            <w:r>
              <w:rPr>
                <w:rFonts w:ascii="Arial" w:cs="Arial" w:eastAsia="Arial" w:hAnsi="Arial"/>
                <w:sz w:val="10"/>
                <w:szCs w:val="10"/>
                <w:b w:val="1"/>
                <w:bCs w:val="1"/>
                <w:color w:val="auto"/>
              </w:rPr>
              <w:t>Stock</w:t>
            </w:r>
          </w:p>
        </w:tc>
        <w:tc>
          <w:tcPr>
            <w:tcW w:w="74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Equity (Deficit)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9"/>
              </w:rPr>
              <w:t>Shares</w:t>
            </w:r>
          </w:p>
        </w:tc>
      </w:tr>
      <w:tr>
        <w:trPr>
          <w:trHeight w:val="107"/>
        </w:trPr>
        <w:tc>
          <w:tcPr>
            <w:tcW w:w="158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0"/>
                <w:szCs w:val="10"/>
                <w:color w:val="auto"/>
              </w:rPr>
              <w:t>Balance, January 1, 2020</w:t>
            </w:r>
          </w:p>
        </w:tc>
        <w:tc>
          <w:tcPr>
            <w:tcW w:w="5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147</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ind w:left="240"/>
              <w:spacing w:after="0" w:line="107" w:lineRule="exact"/>
              <w:rPr>
                <w:sz w:val="20"/>
                <w:szCs w:val="20"/>
                <w:color w:val="auto"/>
              </w:rPr>
            </w:pPr>
            <w:r>
              <w:rPr>
                <w:rFonts w:ascii="Arial" w:cs="Arial" w:eastAsia="Arial" w:hAnsi="Arial"/>
                <w:sz w:val="10"/>
                <w:szCs w:val="10"/>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120,270</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54</w:t>
            </w:r>
          </w:p>
        </w:tc>
        <w:tc>
          <w:tcPr>
            <w:tcW w:w="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ind w:left="20"/>
              <w:spacing w:after="0" w:line="107"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(90,701)</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(491)</w:t>
            </w: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41,910</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w w:val="91"/>
              </w:rPr>
              <w:t>(38,638)</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ind w:left="20"/>
              <w:spacing w:after="0" w:line="107"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(129,776)</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17,344</w:t>
            </w:r>
          </w:p>
        </w:tc>
        <w:tc>
          <w:tcPr>
            <w:tcW w:w="20" w:type="dxa"/>
            <w:vAlign w:val="bottom"/>
          </w:tcPr>
          <w:p>
            <w:pPr>
              <w:spacing w:after="0"/>
              <w:rPr>
                <w:sz w:val="9"/>
                <w:szCs w:val="9"/>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Remeasurement of options for</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redeemable shares</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auto"/>
              </w:rPr>
              <w:t>(15,242)</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(15,242)</w:t>
            </w: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15,242</w:t>
            </w:r>
          </w:p>
        </w:tc>
        <w:tc>
          <w:tcPr>
            <w:tcW w:w="20" w:type="dxa"/>
            <w:vAlign w:val="bottom"/>
          </w:tcPr>
          <w:p>
            <w:pPr>
              <w:spacing w:after="0"/>
              <w:rPr>
                <w:sz w:val="10"/>
                <w:szCs w:val="10"/>
                <w:color w:val="auto"/>
              </w:rPr>
            </w:pPr>
          </w:p>
        </w:tc>
      </w:tr>
      <w:tr>
        <w:trPr>
          <w:trHeight w:val="11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Distributions declared</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(4,010)</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(4,010)</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Foreign currency translation</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4"/>
        </w:trPr>
        <w:tc>
          <w:tcPr>
            <w:tcW w:w="1580" w:type="dxa"/>
            <w:vAlign w:val="bottom"/>
          </w:tcPr>
          <w:p>
            <w:pPr>
              <w:ind w:left="120"/>
              <w:spacing w:after="0"/>
              <w:rPr>
                <w:sz w:val="20"/>
                <w:szCs w:val="20"/>
                <w:color w:val="auto"/>
              </w:rPr>
            </w:pPr>
            <w:r>
              <w:rPr>
                <w:rFonts w:ascii="Arial" w:cs="Arial" w:eastAsia="Arial" w:hAnsi="Arial"/>
                <w:sz w:val="10"/>
                <w:szCs w:val="10"/>
                <w:color w:val="auto"/>
                <w:w w:val="96"/>
              </w:rPr>
              <w:t>adjustments and revaluations, net</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of tax</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(2,998)</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(2,998)</w:t>
            </w: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(29,064)</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(29,064)</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7"/>
        </w:trPr>
        <w:tc>
          <w:tcPr>
            <w:tcW w:w="1580" w:type="dxa"/>
            <w:vAlign w:val="bottom"/>
          </w:tcPr>
          <w:p>
            <w:pPr>
              <w:ind w:left="20"/>
              <w:spacing w:after="0" w:line="107" w:lineRule="exact"/>
              <w:rPr>
                <w:sz w:val="20"/>
                <w:szCs w:val="20"/>
                <w:color w:val="auto"/>
              </w:rPr>
            </w:pPr>
            <w:r>
              <w:rPr>
                <w:rFonts w:ascii="Arial" w:cs="Arial" w:eastAsia="Arial" w:hAnsi="Arial"/>
                <w:sz w:val="10"/>
                <w:szCs w:val="10"/>
                <w:color w:val="auto"/>
              </w:rPr>
              <w:t>Balance, March 31, 2020</w:t>
            </w:r>
          </w:p>
        </w:tc>
        <w:tc>
          <w:tcPr>
            <w:tcW w:w="5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147</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ind w:left="240"/>
              <w:spacing w:after="0" w:line="107"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120,270</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54</w:t>
            </w:r>
          </w:p>
        </w:tc>
        <w:tc>
          <w:tcPr>
            <w:tcW w:w="40" w:type="dxa"/>
            <w:vAlign w:val="bottom"/>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(139,017)</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(3,489)</w:t>
            </w:r>
          </w:p>
        </w:tc>
        <w:tc>
          <w:tcPr>
            <w:tcW w:w="60" w:type="dxa"/>
            <w:vAlign w:val="bottom"/>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41,910</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w w:val="91"/>
              </w:rPr>
              <w:t>(38,638)</w:t>
            </w: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(181,090)</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32,586</w:t>
            </w:r>
          </w:p>
        </w:tc>
        <w:tc>
          <w:tcPr>
            <w:tcW w:w="20" w:type="dxa"/>
            <w:vAlign w:val="bottom"/>
          </w:tcPr>
          <w:p>
            <w:pPr>
              <w:spacing w:after="0"/>
              <w:rPr>
                <w:sz w:val="9"/>
                <w:szCs w:val="9"/>
                <w:color w:val="auto"/>
              </w:rPr>
            </w:pPr>
          </w:p>
        </w:tc>
      </w:tr>
      <w:tr>
        <w:trPr>
          <w:trHeight w:val="105"/>
        </w:trPr>
        <w:tc>
          <w:tcPr>
            <w:tcW w:w="158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Remeasurement of options for</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redeemable shares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(14,637)</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(14,637)</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14,637</w:t>
            </w:r>
          </w:p>
        </w:tc>
        <w:tc>
          <w:tcPr>
            <w:tcW w:w="20" w:type="dxa"/>
            <w:vAlign w:val="bottom"/>
          </w:tcPr>
          <w:p>
            <w:pPr>
              <w:spacing w:after="0"/>
              <w:rPr>
                <w:sz w:val="10"/>
                <w:szCs w:val="10"/>
                <w:color w:val="auto"/>
              </w:rPr>
            </w:pPr>
          </w:p>
        </w:tc>
      </w:tr>
      <w:tr>
        <w:trPr>
          <w:trHeight w:val="114"/>
        </w:trPr>
        <w:tc>
          <w:tcPr>
            <w:tcW w:w="1580" w:type="dxa"/>
            <w:vAlign w:val="bottom"/>
          </w:tcPr>
          <w:p>
            <w:pPr>
              <w:ind w:left="120"/>
              <w:spacing w:after="0"/>
              <w:rPr>
                <w:sz w:val="20"/>
                <w:szCs w:val="20"/>
                <w:color w:val="auto"/>
              </w:rPr>
            </w:pPr>
            <w:r>
              <w:rPr>
                <w:rFonts w:ascii="Arial" w:cs="Arial" w:eastAsia="Arial" w:hAnsi="Arial"/>
                <w:sz w:val="10"/>
                <w:szCs w:val="10"/>
                <w:color w:val="auto"/>
              </w:rPr>
              <w:t>Exercise of stock options, net</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173</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1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Distributions declared</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(123,185)</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(123,185)</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Foreign currency translation</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4"/>
        </w:trPr>
        <w:tc>
          <w:tcPr>
            <w:tcW w:w="1580" w:type="dxa"/>
            <w:vAlign w:val="bottom"/>
          </w:tcPr>
          <w:p>
            <w:pPr>
              <w:ind w:left="120"/>
              <w:spacing w:after="0"/>
              <w:rPr>
                <w:sz w:val="20"/>
                <w:szCs w:val="20"/>
                <w:color w:val="auto"/>
              </w:rPr>
            </w:pPr>
            <w:r>
              <w:rPr>
                <w:rFonts w:ascii="Arial" w:cs="Arial" w:eastAsia="Arial" w:hAnsi="Arial"/>
                <w:sz w:val="10"/>
                <w:szCs w:val="10"/>
                <w:color w:val="auto"/>
                <w:w w:val="96"/>
              </w:rPr>
              <w:t>adjustments and revaluations, net</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of tax</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(276)</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(276)</w:t>
            </w: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(29,075)</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(29,075)</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7"/>
        </w:trPr>
        <w:tc>
          <w:tcPr>
            <w:tcW w:w="1580" w:type="dxa"/>
            <w:vAlign w:val="bottom"/>
          </w:tcPr>
          <w:p>
            <w:pPr>
              <w:ind w:left="20"/>
              <w:spacing w:after="0" w:line="107" w:lineRule="exact"/>
              <w:rPr>
                <w:sz w:val="20"/>
                <w:szCs w:val="20"/>
                <w:color w:val="auto"/>
              </w:rPr>
            </w:pPr>
            <w:r>
              <w:rPr>
                <w:rFonts w:ascii="Arial" w:cs="Arial" w:eastAsia="Arial" w:hAnsi="Arial"/>
                <w:sz w:val="10"/>
                <w:szCs w:val="10"/>
                <w:color w:val="auto"/>
              </w:rPr>
              <w:t>Balance, June 30, 2020</w:t>
            </w:r>
          </w:p>
        </w:tc>
        <w:tc>
          <w:tcPr>
            <w:tcW w:w="5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147</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ind w:left="240"/>
              <w:spacing w:after="0" w:line="107"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120,443</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54</w:t>
            </w:r>
          </w:p>
        </w:tc>
        <w:tc>
          <w:tcPr>
            <w:tcW w:w="40" w:type="dxa"/>
            <w:vAlign w:val="bottom"/>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(305,861)</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(3,765)</w:t>
            </w:r>
          </w:p>
        </w:tc>
        <w:tc>
          <w:tcPr>
            <w:tcW w:w="60" w:type="dxa"/>
            <w:vAlign w:val="bottom"/>
          </w:tcPr>
          <w:p>
            <w:pPr>
              <w:spacing w:after="0"/>
              <w:rPr>
                <w:sz w:val="9"/>
                <w:szCs w:val="9"/>
                <w:color w:val="auto"/>
              </w:rPr>
            </w:pPr>
          </w:p>
        </w:tc>
        <w:tc>
          <w:tcPr>
            <w:tcW w:w="3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41,910</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w w:val="91"/>
              </w:rPr>
              <w:t>(38,638)</w:t>
            </w: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(348,210)</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47,223</w:t>
            </w:r>
          </w:p>
        </w:tc>
        <w:tc>
          <w:tcPr>
            <w:tcW w:w="20" w:type="dxa"/>
            <w:vAlign w:val="bottom"/>
          </w:tcPr>
          <w:p>
            <w:pPr>
              <w:spacing w:after="0"/>
              <w:rPr>
                <w:sz w:val="9"/>
                <w:szCs w:val="9"/>
                <w:color w:val="auto"/>
              </w:rPr>
            </w:pPr>
          </w:p>
        </w:tc>
      </w:tr>
      <w:tr>
        <w:trPr>
          <w:trHeight w:val="11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Distributions declared</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(5,706)</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(5,706)</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Reclassification of accumulated</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S- Corporation earnings</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w w:val="93"/>
              </w:rPr>
              <w:t>(354,291)</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354,291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05"/>
        </w:trPr>
        <w:tc>
          <w:tcPr>
            <w:tcW w:w="158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Remeasurement of options for</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redeemable shares</w:t>
            </w: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(21,954)</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(21,954)</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21,954</w:t>
            </w:r>
          </w:p>
        </w:tc>
        <w:tc>
          <w:tcPr>
            <w:tcW w:w="20" w:type="dxa"/>
            <w:vAlign w:val="bottom"/>
          </w:tcPr>
          <w:p>
            <w:pPr>
              <w:spacing w:after="0"/>
              <w:rPr>
                <w:sz w:val="10"/>
                <w:szCs w:val="10"/>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Reclassification of options for</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redeemable shares</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69,177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69,177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0"/>
                <w:szCs w:val="10"/>
                <w:color w:val="auto"/>
              </w:rPr>
              <w:t>(69,177)</w:t>
            </w:r>
          </w:p>
        </w:tc>
      </w:tr>
      <w:tr>
        <w:trPr>
          <w:trHeight w:val="11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Recapitalization prior to Offering</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(147)</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(120,443)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(54)</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120,417</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(38,704)</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(41,910)</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38,638</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Reclassification of SAR liability</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4"/>
        </w:trPr>
        <w:tc>
          <w:tcPr>
            <w:tcW w:w="1580" w:type="dxa"/>
            <w:vAlign w:val="bottom"/>
          </w:tcPr>
          <w:p>
            <w:pPr>
              <w:ind w:left="120"/>
              <w:spacing w:after="0"/>
              <w:rPr>
                <w:sz w:val="20"/>
                <w:szCs w:val="20"/>
                <w:color w:val="auto"/>
              </w:rPr>
            </w:pPr>
            <w:r>
              <w:rPr>
                <w:rFonts w:ascii="Arial" w:cs="Arial" w:eastAsia="Arial" w:hAnsi="Arial"/>
                <w:sz w:val="10"/>
                <w:szCs w:val="10"/>
                <w:color w:val="auto"/>
              </w:rPr>
              <w:t>to equity in connection with</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Offering</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w w:val="99"/>
              </w:rPr>
              <w:t>143,519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143,519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05"/>
        </w:trPr>
        <w:tc>
          <w:tcPr>
            <w:tcW w:w="158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Auto-exercised options in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connection with Offering</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(13,809)</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(13,808)</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w w:val="98"/>
              </w:rPr>
              <w:t>Shares issued in connection with</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Offering, net of Offering costs</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23,812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24</w:t>
            </w:r>
          </w:p>
        </w:tc>
        <w:tc>
          <w:tcPr>
            <w:tcW w:w="6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w w:val="99"/>
              </w:rPr>
              <w:t>416,778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416,802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05"/>
        </w:trPr>
        <w:tc>
          <w:tcPr>
            <w:tcW w:w="158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Exercise of stock options in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connection with the Offering</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(7,023)</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(7,023)</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Vested restricted stock issued in</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connection with Offering</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361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361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Exercise of stock options, net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1,008</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5"/>
        </w:trPr>
        <w:tc>
          <w:tcPr>
            <w:tcW w:w="1580" w:type="dxa"/>
            <w:vAlign w:val="bottom"/>
          </w:tcPr>
          <w:p>
            <w:pPr>
              <w:ind w:left="120"/>
              <w:spacing w:after="0" w:line="105" w:lineRule="exact"/>
              <w:rPr>
                <w:sz w:val="20"/>
                <w:szCs w:val="20"/>
                <w:color w:val="auto"/>
              </w:rPr>
            </w:pPr>
            <w:r>
              <w:rPr>
                <w:rFonts w:ascii="Arial" w:cs="Arial" w:eastAsia="Arial" w:hAnsi="Arial"/>
                <w:sz w:val="10"/>
                <w:szCs w:val="10"/>
                <w:color w:val="auto"/>
              </w:rPr>
              <w:t>Stock-based compensation</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tcPr>
          <w:p>
            <w:pPr>
              <w:ind w:left="120"/>
              <w:spacing w:after="0"/>
              <w:rPr>
                <w:sz w:val="20"/>
                <w:szCs w:val="20"/>
                <w:color w:val="auto"/>
              </w:rPr>
            </w:pPr>
            <w:r>
              <w:rPr>
                <w:rFonts w:ascii="Arial" w:cs="Arial" w:eastAsia="Arial" w:hAnsi="Arial"/>
                <w:sz w:val="10"/>
                <w:szCs w:val="10"/>
                <w:color w:val="auto"/>
              </w:rPr>
              <w:t>expense</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5,661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5,661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05"/>
        </w:trPr>
        <w:tc>
          <w:tcPr>
            <w:tcW w:w="158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Foreign currency translation</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1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adjustments and revaluations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(238)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(238)</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r>
        <w:trPr>
          <w:trHeight w:val="114"/>
        </w:trPr>
        <w:tc>
          <w:tcPr>
            <w:tcW w:w="1580" w:type="dxa"/>
            <w:vAlign w:val="bottom"/>
          </w:tcPr>
          <w:p>
            <w:pPr>
              <w:ind w:left="120"/>
              <w:spacing w:after="0"/>
              <w:rPr>
                <w:sz w:val="20"/>
                <w:szCs w:val="20"/>
                <w:color w:val="auto"/>
              </w:rPr>
            </w:pPr>
            <w:r>
              <w:rPr>
                <w:rFonts w:ascii="Arial" w:cs="Arial" w:eastAsia="Arial" w:hAnsi="Arial"/>
                <w:sz w:val="10"/>
                <w:szCs w:val="10"/>
                <w:color w:val="auto"/>
              </w:rPr>
              <w:t>Net loss</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auto"/>
              </w:rPr>
              <w:t>(21,028)</w:t>
            </w:r>
          </w:p>
        </w:tc>
        <w:tc>
          <w:tcPr>
            <w:tcW w:w="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(21,028)</w:t>
            </w: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07"/>
        </w:trPr>
        <w:tc>
          <w:tcPr>
            <w:tcW w:w="1580" w:type="dxa"/>
            <w:vAlign w:val="bottom"/>
            <w:tcBorders>
              <w:top w:val="single" w:sz="8" w:color="CCEEFF"/>
              <w:bottom w:val="single" w:sz="8" w:color="CCEEFF"/>
            </w:tcBorders>
            <w:shd w:val="clear" w:color="auto" w:fill="CCEEFF"/>
          </w:tcPr>
          <w:p>
            <w:pPr>
              <w:ind w:left="20"/>
              <w:spacing w:after="0" w:line="107" w:lineRule="exact"/>
              <w:rPr>
                <w:sz w:val="20"/>
                <w:szCs w:val="20"/>
                <w:color w:val="auto"/>
              </w:rPr>
            </w:pPr>
            <w:r>
              <w:rPr>
                <w:rFonts w:ascii="Arial" w:cs="Arial" w:eastAsia="Arial" w:hAnsi="Arial"/>
                <w:sz w:val="10"/>
                <w:szCs w:val="10"/>
                <w:color w:val="auto"/>
              </w:rPr>
              <w:t>Balance, September 30, 2020</w:t>
            </w:r>
          </w:p>
        </w:tc>
        <w:tc>
          <w:tcPr>
            <w:tcW w:w="58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ind w:left="240"/>
              <w:spacing w:after="0" w:line="107" w:lineRule="exact"/>
              <w:rPr>
                <w:sz w:val="20"/>
                <w:szCs w:val="20"/>
                <w:color w:val="auto"/>
              </w:rPr>
            </w:pPr>
            <w:r>
              <w:rPr>
                <w:rFonts w:ascii="Arial" w:cs="Arial" w:eastAsia="Arial" w:hAnsi="Arial"/>
                <w:sz w:val="10"/>
                <w:szCs w:val="10"/>
                <w:color w:val="auto"/>
              </w:rPr>
              <w:t>—</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25,688</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26</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120,417</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120</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ind w:left="20"/>
              <w:spacing w:after="0" w:line="107"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w w:val="99"/>
              </w:rPr>
              <w:t>200,722</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21,696</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(4,003)</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ind w:left="20"/>
              <w:spacing w:after="0" w:line="107"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218,561</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line="107"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20"/>
        </w:trPr>
        <w:tc>
          <w:tcPr>
            <w:tcW w:w="1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335280</wp:posOffset>
            </wp:positionV>
            <wp:extent cx="649478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4780" cy="15875"/>
                    </a:xfrm>
                    <a:prstGeom prst="rect">
                      <a:avLst/>
                    </a:prstGeom>
                    <a:noFill/>
                  </pic:spPr>
                </pic:pic>
              </a:graphicData>
            </a:graphic>
          </wp:anchor>
        </w:drawing>
      </w:r>
    </w:p>
    <w:p>
      <w:pPr>
        <w:sectPr>
          <w:pgSz w:w="11900" w:h="16838" w:orient="portrait"/>
          <w:cols w:equalWidth="0" w:num="1">
            <w:col w:w="10240"/>
          </w:cols>
          <w:pgMar w:left="820" w:top="496" w:right="839" w:bottom="1440" w:gutter="0" w:footer="0" w:header="0"/>
        </w:sectPr>
      </w:pPr>
    </w:p>
    <w:bookmarkStart w:id="8" w:name="page9"/>
    <w:bookmarkEnd w:id="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Vertex, Inc. and Subsidiaries</w:t>
      </w:r>
    </w:p>
    <w:p>
      <w:pPr>
        <w:ind w:left="60"/>
        <w:spacing w:after="0" w:line="208" w:lineRule="auto"/>
        <w:rPr>
          <w:sz w:val="20"/>
          <w:szCs w:val="20"/>
          <w:color w:val="auto"/>
        </w:rPr>
      </w:pPr>
      <w:r>
        <w:rPr>
          <w:rFonts w:ascii="Arial" w:cs="Arial" w:eastAsia="Arial" w:hAnsi="Arial"/>
          <w:sz w:val="14"/>
          <w:szCs w:val="14"/>
          <w:b w:val="1"/>
          <w:bCs w:val="1"/>
          <w:color w:val="auto"/>
        </w:rPr>
        <w:t>Condensed Consolidated Statements of Cash Flows</w:t>
      </w:r>
    </w:p>
    <w:p>
      <w:pPr>
        <w:ind w:left="60"/>
        <w:spacing w:after="0" w:line="208" w:lineRule="auto"/>
        <w:rPr>
          <w:sz w:val="20"/>
          <w:szCs w:val="20"/>
          <w:color w:val="auto"/>
        </w:rPr>
      </w:pPr>
      <w:r>
        <w:rPr>
          <w:rFonts w:ascii="Arial" w:cs="Arial" w:eastAsia="Arial" w:hAnsi="Arial"/>
          <w:sz w:val="14"/>
          <w:szCs w:val="14"/>
          <w:b w:val="1"/>
          <w:bCs w:val="1"/>
          <w:color w:val="auto"/>
        </w:rPr>
        <w:t>For the nine months ended September 30, 2021 and 2020</w:t>
      </w:r>
    </w:p>
    <w:p>
      <w:pPr>
        <w:ind w:left="6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-8890</wp:posOffset>
            </wp:positionV>
            <wp:extent cx="56559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03"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Nine months ended</w:t>
      </w:r>
    </w:p>
    <w:p>
      <w:pPr>
        <w:ind w:left="746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92"/>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92"/>
              <w:spacing w:after="0" w:line="133" w:lineRule="exact"/>
              <w:rPr>
                <w:sz w:val="20"/>
                <w:szCs w:val="20"/>
                <w:color w:val="auto"/>
              </w:rPr>
            </w:pPr>
            <w:r>
              <w:rPr>
                <w:rFonts w:ascii="Arial" w:cs="Arial" w:eastAsia="Arial" w:hAnsi="Arial"/>
                <w:sz w:val="14"/>
                <w:szCs w:val="14"/>
                <w:b w:val="1"/>
                <w:bCs w:val="1"/>
                <w:color w:val="auto"/>
                <w:w w:val="96"/>
              </w:rPr>
              <w:t>2020</w:t>
            </w:r>
          </w:p>
        </w:tc>
      </w:tr>
      <w:tr>
        <w:trPr>
          <w:trHeight w:val="120"/>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4"/>
          </w:tcPr>
          <w:p>
            <w:pPr>
              <w:jc w:val="right"/>
              <w:ind w:right="17"/>
              <w:spacing w:after="0" w:line="120" w:lineRule="exact"/>
              <w:rPr>
                <w:sz w:val="20"/>
                <w:szCs w:val="20"/>
                <w:color w:val="auto"/>
              </w:rPr>
            </w:pPr>
            <w:r>
              <w:rPr>
                <w:rFonts w:ascii="Arial" w:cs="Arial" w:eastAsia="Arial" w:hAnsi="Arial"/>
                <w:sz w:val="12"/>
                <w:szCs w:val="12"/>
                <w:b w:val="1"/>
                <w:bCs w:val="1"/>
                <w:color w:val="auto"/>
              </w:rPr>
              <w:t>(unaudited)</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Net loss</w:t>
            </w:r>
          </w:p>
        </w:tc>
        <w:tc>
          <w:tcPr>
            <w:tcW w:w="300" w:type="dxa"/>
            <w:vAlign w:val="bottom"/>
            <w:gridSpan w:val="2"/>
          </w:tcPr>
          <w:p>
            <w:pPr>
              <w:jc w:val="right"/>
              <w:ind w:right="89"/>
              <w:spacing w:after="0" w:line="14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(852)</w:t>
            </w:r>
          </w:p>
        </w:tc>
        <w:tc>
          <w:tcPr>
            <w:tcW w:w="160" w:type="dxa"/>
            <w:vAlign w:val="bottom"/>
          </w:tcPr>
          <w:p>
            <w:pPr>
              <w:spacing w:after="0"/>
              <w:rPr>
                <w:sz w:val="12"/>
                <w:szCs w:val="12"/>
                <w:color w:val="auto"/>
              </w:rPr>
            </w:pPr>
          </w:p>
        </w:tc>
        <w:tc>
          <w:tcPr>
            <w:tcW w:w="320" w:type="dxa"/>
            <w:vAlign w:val="bottom"/>
            <w:gridSpan w:val="2"/>
          </w:tcPr>
          <w:p>
            <w:pPr>
              <w:jc w:val="right"/>
              <w:ind w:right="23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(79,167)</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31,902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23,586</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Provision for subscription cancellations and non-renewals, net of deferred allowance</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52</w:t>
            </w: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Amortization of deferred financing costs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159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356</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Write-off of deferred financing costs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1,351</w:t>
            </w: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20,250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140,890</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Deferred income tax benefit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(3,075)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(32,004)</w:t>
            </w: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Redemption of Converted SARs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(22,889)</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Non-cash operating lease costs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2,867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280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86</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12,120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4,143</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(3,669)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(4,613)</w:t>
            </w: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Deferred commissions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(840)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824</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1,529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1,193</w:t>
            </w: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(2,445)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1,382</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Accrued and deferred compensation</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(679)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(5,399)</w:t>
            </w:r>
          </w:p>
        </w:tc>
      </w:tr>
      <w:tr>
        <w:trPr>
          <w:trHeight w:val="140"/>
        </w:trPr>
        <w:tc>
          <w:tcPr>
            <w:tcW w:w="20" w:type="dxa"/>
            <w:vAlign w:val="bottom"/>
          </w:tcPr>
          <w:p>
            <w:pPr>
              <w:spacing w:after="0"/>
              <w:rPr>
                <w:sz w:val="12"/>
                <w:szCs w:val="12"/>
                <w:color w:val="auto"/>
              </w:rPr>
            </w:pPr>
          </w:p>
        </w:tc>
        <w:tc>
          <w:tcPr>
            <w:tcW w:w="6680" w:type="dxa"/>
            <w:vAlign w:val="bottom"/>
          </w:tcPr>
          <w:p>
            <w:pPr>
              <w:ind w:left="180"/>
              <w:spacing w:after="0" w:line="140"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(1,971)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(8,251)</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Operating lease liabilities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(3,685)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r>
      <w:tr>
        <w:trPr>
          <w:trHeight w:val="140"/>
        </w:trPr>
        <w:tc>
          <w:tcPr>
            <w:tcW w:w="20" w:type="dxa"/>
            <w:vAlign w:val="bottom"/>
          </w:tcPr>
          <w:p>
            <w:pPr>
              <w:spacing w:after="0"/>
              <w:rPr>
                <w:sz w:val="12"/>
                <w:szCs w:val="12"/>
                <w:color w:val="auto"/>
              </w:rPr>
            </w:pPr>
          </w:p>
        </w:tc>
        <w:tc>
          <w:tcPr>
            <w:tcW w:w="6680" w:type="dxa"/>
            <w:vAlign w:val="bottom"/>
            <w:tcBorders>
              <w:bottom w:val="single" w:sz="8" w:color="CCEEFF"/>
            </w:tcBorders>
          </w:tcPr>
          <w:p>
            <w:pPr>
              <w:ind w:left="180"/>
              <w:spacing w:after="0" w:line="140"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354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(1,496)</w:t>
            </w:r>
          </w:p>
        </w:tc>
      </w:tr>
      <w:tr>
        <w:trPr>
          <w:trHeight w:val="132"/>
        </w:trPr>
        <w:tc>
          <w:tcPr>
            <w:tcW w:w="20" w:type="dxa"/>
            <w:vAlign w:val="bottom"/>
          </w:tcPr>
          <w:p>
            <w:pPr>
              <w:spacing w:after="0"/>
              <w:rPr>
                <w:sz w:val="11"/>
                <w:szCs w:val="11"/>
                <w:color w:val="auto"/>
              </w:rPr>
            </w:pPr>
          </w:p>
        </w:tc>
        <w:tc>
          <w:tcPr>
            <w:tcW w:w="668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52,668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20,044</w:t>
            </w:r>
          </w:p>
        </w:tc>
      </w:tr>
      <w:tr>
        <w:trPr>
          <w:trHeight w:val="132"/>
        </w:trPr>
        <w:tc>
          <w:tcPr>
            <w:tcW w:w="20" w:type="dxa"/>
            <w:vAlign w:val="bottom"/>
          </w:tcPr>
          <w:p>
            <w:pPr>
              <w:spacing w:after="0"/>
              <w:rPr>
                <w:sz w:val="11"/>
                <w:szCs w:val="11"/>
                <w:color w:val="auto"/>
              </w:rPr>
            </w:pPr>
          </w:p>
        </w:tc>
        <w:tc>
          <w:tcPr>
            <w:tcW w:w="6680" w:type="dxa"/>
            <w:vAlign w:val="bottom"/>
          </w:tcPr>
          <w:p>
            <w:pPr>
              <w:spacing w:after="0" w:line="133"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Acquisition of businesses, net of cash acquired</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(251,412)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(12,318)</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Property and equipment additions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(23,899)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(14,982)</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Capitalized software additions</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(7,902)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(9,246)</w:t>
            </w:r>
          </w:p>
        </w:tc>
      </w:tr>
      <w:tr>
        <w:trPr>
          <w:trHeight w:val="132"/>
        </w:trPr>
        <w:tc>
          <w:tcPr>
            <w:tcW w:w="20" w:type="dxa"/>
            <w:vAlign w:val="bottom"/>
          </w:tcPr>
          <w:p>
            <w:pPr>
              <w:spacing w:after="0"/>
              <w:rPr>
                <w:sz w:val="11"/>
                <w:szCs w:val="11"/>
                <w:color w:val="auto"/>
              </w:rPr>
            </w:pPr>
          </w:p>
        </w:tc>
        <w:tc>
          <w:tcPr>
            <w:tcW w:w="668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(283,213)</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(36,546)</w:t>
            </w:r>
          </w:p>
        </w:tc>
      </w:tr>
      <w:tr>
        <w:trPr>
          <w:trHeight w:val="132"/>
        </w:trPr>
        <w:tc>
          <w:tcPr>
            <w:tcW w:w="20" w:type="dxa"/>
            <w:vAlign w:val="bottom"/>
          </w:tcPr>
          <w:p>
            <w:pPr>
              <w:spacing w:after="0"/>
              <w:rPr>
                <w:sz w:val="11"/>
                <w:szCs w:val="11"/>
                <w:color w:val="auto"/>
              </w:rPr>
            </w:pPr>
          </w:p>
        </w:tc>
        <w:tc>
          <w:tcPr>
            <w:tcW w:w="668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Net increase in customer funds obligations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18,744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1,158</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Proceeds from line of credit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12,500</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Principal payments on line of credit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(12,500)</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Proceeds from long-term debt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175,000</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Principal payments on long-term debt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(226,029)</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Payments for deferred financing costs, net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(2,436)</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Proceeds from purchases of stock under ESPP</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1,010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Payments for taxes related to net share settlement of stock-based awards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(12,712)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1,212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6,023</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Distributions to stockholders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(146,084)</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Distributions under Tax Sharing Agreement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(2,700)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Proceeds from issuance of shares in connection with Offering</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423,024</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Payments for offering costs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(6,222)</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Payments for taxes on exercised options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(11,999)</w:t>
            </w: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Payments for purchase commitment liabilities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(10,822)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Payments on finance lease liabilities</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(685)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r>
      <w:tr>
        <w:trPr>
          <w:trHeight w:val="132"/>
        </w:trPr>
        <w:tc>
          <w:tcPr>
            <w:tcW w:w="20" w:type="dxa"/>
            <w:vAlign w:val="bottom"/>
          </w:tcPr>
          <w:p>
            <w:pPr>
              <w:spacing w:after="0"/>
              <w:rPr>
                <w:sz w:val="11"/>
                <w:szCs w:val="11"/>
                <w:color w:val="auto"/>
              </w:rPr>
            </w:pPr>
          </w:p>
        </w:tc>
        <w:tc>
          <w:tcPr>
            <w:tcW w:w="6680" w:type="dxa"/>
            <w:vAlign w:val="bottom"/>
            <w:tcBorders>
              <w:bottom w:val="single" w:sz="8" w:color="CCEEFF"/>
            </w:tcBorders>
          </w:tcPr>
          <w:p>
            <w:pPr>
              <w:ind w:left="80"/>
              <w:spacing w:after="0" w:line="133" w:lineRule="exact"/>
              <w:rPr>
                <w:sz w:val="20"/>
                <w:szCs w:val="20"/>
                <w:color w:val="auto"/>
              </w:rPr>
            </w:pPr>
            <w:r>
              <w:rPr>
                <w:rFonts w:ascii="Arial" w:cs="Arial" w:eastAsia="Arial" w:hAnsi="Arial"/>
                <w:sz w:val="14"/>
                <w:szCs w:val="14"/>
                <w:color w:val="auto"/>
              </w:rPr>
              <w:t>Net cash (used in) provided by financing activities</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(5,953)</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212,435</w:t>
            </w:r>
          </w:p>
        </w:tc>
      </w:tr>
      <w:tr>
        <w:trPr>
          <w:trHeight w:val="132"/>
        </w:trPr>
        <w:tc>
          <w:tcPr>
            <w:tcW w:w="20" w:type="dxa"/>
            <w:vAlign w:val="bottom"/>
          </w:tcPr>
          <w:p>
            <w:pPr>
              <w:spacing w:after="0"/>
              <w:rPr>
                <w:sz w:val="11"/>
                <w:szCs w:val="11"/>
                <w:color w:val="auto"/>
              </w:rPr>
            </w:pPr>
          </w:p>
        </w:tc>
        <w:tc>
          <w:tcPr>
            <w:tcW w:w="668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(434)</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(412)</w:t>
            </w:r>
          </w:p>
        </w:tc>
      </w:tr>
      <w:tr>
        <w:trPr>
          <w:trHeight w:val="132"/>
        </w:trPr>
        <w:tc>
          <w:tcPr>
            <w:tcW w:w="20" w:type="dxa"/>
            <w:vAlign w:val="bottom"/>
          </w:tcPr>
          <w:p>
            <w:pPr>
              <w:spacing w:after="0"/>
              <w:rPr>
                <w:sz w:val="11"/>
                <w:szCs w:val="11"/>
                <w:color w:val="auto"/>
              </w:rPr>
            </w:pPr>
          </w:p>
        </w:tc>
        <w:tc>
          <w:tcPr>
            <w:tcW w:w="6680" w:type="dxa"/>
            <w:vAlign w:val="bottom"/>
          </w:tcPr>
          <w:p>
            <w:pPr>
              <w:ind w:left="80"/>
              <w:spacing w:after="0" w:line="133" w:lineRule="exact"/>
              <w:rPr>
                <w:sz w:val="20"/>
                <w:szCs w:val="20"/>
                <w:color w:val="auto"/>
              </w:rPr>
            </w:pPr>
            <w:r>
              <w:rPr>
                <w:rFonts w:ascii="Arial" w:cs="Arial" w:eastAsia="Arial" w:hAnsi="Arial"/>
                <w:sz w:val="14"/>
                <w:szCs w:val="14"/>
                <w:color w:val="auto"/>
              </w:rPr>
              <w:t>Net (decrease) increase in cash, cash equivalents and restricted cash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4"/>
                <w:szCs w:val="14"/>
                <w:color w:val="auto"/>
              </w:rPr>
              <w:t>(236,932)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4"/>
                <w:szCs w:val="14"/>
                <w:color w:val="auto"/>
              </w:rPr>
              <w:t>195,521</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312,273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83,495</w:t>
            </w:r>
          </w:p>
        </w:tc>
      </w:tr>
      <w:tr>
        <w:trPr>
          <w:trHeight w:val="172"/>
        </w:trPr>
        <w:tc>
          <w:tcPr>
            <w:tcW w:w="20" w:type="dxa"/>
            <w:vAlign w:val="bottom"/>
          </w:tcPr>
          <w:p>
            <w:pPr>
              <w:spacing w:after="0"/>
              <w:rPr>
                <w:sz w:val="14"/>
                <w:szCs w:val="14"/>
                <w:color w:val="auto"/>
              </w:rPr>
            </w:pPr>
          </w:p>
        </w:tc>
        <w:tc>
          <w:tcPr>
            <w:tcW w:w="6680" w:type="dxa"/>
            <w:vAlign w:val="bottom"/>
            <w:tcBorders>
              <w:bottom w:val="single" w:sz="8" w:color="CCEEFF"/>
            </w:tcBorders>
          </w:tcPr>
          <w:p>
            <w:pPr>
              <w:ind w:left="80"/>
              <w:spacing w:after="0" w:line="133" w:lineRule="exact"/>
              <w:rPr>
                <w:sz w:val="20"/>
                <w:szCs w:val="20"/>
                <w:color w:val="auto"/>
              </w:rPr>
            </w:pPr>
            <w:r>
              <w:rPr>
                <w:rFonts w:ascii="Arial" w:cs="Arial" w:eastAsia="Arial" w:hAnsi="Arial"/>
                <w:sz w:val="14"/>
                <w:szCs w:val="14"/>
                <w:color w:val="auto"/>
              </w:rPr>
              <w:t>Cash, cash equivalents and restricted cash, end of period</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75,341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23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279,016</w:t>
            </w:r>
          </w:p>
        </w:tc>
      </w:tr>
      <w:tr>
        <w:trPr>
          <w:trHeight w:val="118"/>
        </w:trPr>
        <w:tc>
          <w:tcPr>
            <w:tcW w:w="20" w:type="dxa"/>
            <w:vAlign w:val="bottom"/>
          </w:tcPr>
          <w:p>
            <w:pPr>
              <w:spacing w:after="0"/>
              <w:rPr>
                <w:sz w:val="10"/>
                <w:szCs w:val="10"/>
                <w:color w:val="auto"/>
              </w:rPr>
            </w:pPr>
          </w:p>
        </w:tc>
        <w:tc>
          <w:tcPr>
            <w:tcW w:w="66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Reconciliation of cash, cash equivalents and restricted cash to the Condensed Consolidated Balance Sheets, end of period:</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6680" w:type="dxa"/>
            <w:vAlign w:val="bottom"/>
          </w:tcPr>
          <w:p>
            <w:pPr>
              <w:ind w:left="80"/>
              <w:spacing w:after="0" w:line="140"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tcPr>
          <w:p>
            <w:pPr>
              <w:jc w:val="right"/>
              <w:ind w:right="89"/>
              <w:spacing w:after="0" w:line="14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0" w:lineRule="exact"/>
              <w:rPr>
                <w:sz w:val="20"/>
                <w:szCs w:val="20"/>
                <w:color w:val="auto"/>
              </w:rPr>
            </w:pPr>
            <w:r>
              <w:rPr>
                <w:rFonts w:ascii="Arial" w:cs="Arial" w:eastAsia="Arial" w:hAnsi="Arial"/>
                <w:sz w:val="14"/>
                <w:szCs w:val="14"/>
                <w:color w:val="auto"/>
              </w:rPr>
              <w:t>47,481</w:t>
            </w:r>
          </w:p>
        </w:tc>
        <w:tc>
          <w:tcPr>
            <w:tcW w:w="160" w:type="dxa"/>
            <w:vAlign w:val="bottom"/>
          </w:tcPr>
          <w:p>
            <w:pPr>
              <w:spacing w:after="0"/>
              <w:rPr>
                <w:sz w:val="12"/>
                <w:szCs w:val="12"/>
                <w:color w:val="auto"/>
              </w:rPr>
            </w:pPr>
          </w:p>
        </w:tc>
        <w:tc>
          <w:tcPr>
            <w:tcW w:w="320" w:type="dxa"/>
            <w:vAlign w:val="bottom"/>
            <w:gridSpan w:val="2"/>
          </w:tcPr>
          <w:p>
            <w:pPr>
              <w:jc w:val="right"/>
              <w:ind w:right="23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270,271</w:t>
            </w:r>
          </w:p>
        </w:tc>
      </w:tr>
      <w:tr>
        <w:trPr>
          <w:trHeight w:val="140"/>
        </w:trPr>
        <w:tc>
          <w:tcPr>
            <w:tcW w:w="20" w:type="dxa"/>
            <w:vAlign w:val="bottom"/>
          </w:tcPr>
          <w:p>
            <w:pPr>
              <w:spacing w:after="0"/>
              <w:rPr>
                <w:sz w:val="12"/>
                <w:szCs w:val="12"/>
                <w:color w:val="auto"/>
              </w:rPr>
            </w:pPr>
          </w:p>
        </w:tc>
        <w:tc>
          <w:tcPr>
            <w:tcW w:w="668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Restricted cash—funds held for customers</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27,860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8,745</w:t>
            </w:r>
          </w:p>
        </w:tc>
      </w:tr>
      <w:tr>
        <w:trPr>
          <w:trHeight w:val="132"/>
        </w:trPr>
        <w:tc>
          <w:tcPr>
            <w:tcW w:w="20" w:type="dxa"/>
            <w:vAlign w:val="bottom"/>
          </w:tcPr>
          <w:p>
            <w:pPr>
              <w:spacing w:after="0"/>
              <w:rPr>
                <w:sz w:val="11"/>
                <w:szCs w:val="11"/>
                <w:color w:val="auto"/>
              </w:rPr>
            </w:pPr>
          </w:p>
        </w:tc>
        <w:tc>
          <w:tcPr>
            <w:tcW w:w="6680" w:type="dxa"/>
            <w:vAlign w:val="bottom"/>
          </w:tcPr>
          <w:p>
            <w:pPr>
              <w:ind w:left="80"/>
              <w:spacing w:after="0" w:line="133" w:lineRule="exact"/>
              <w:rPr>
                <w:sz w:val="20"/>
                <w:szCs w:val="20"/>
                <w:color w:val="auto"/>
              </w:rPr>
            </w:pPr>
            <w:r>
              <w:rPr>
                <w:rFonts w:ascii="Arial" w:cs="Arial" w:eastAsia="Arial" w:hAnsi="Arial"/>
                <w:sz w:val="14"/>
                <w:szCs w:val="14"/>
                <w:color w:val="auto"/>
              </w:rPr>
              <w:t>Total cash, cash equivalents and restricted cash, end of period</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75,341</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23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279,016</w:t>
            </w:r>
          </w:p>
        </w:tc>
      </w:tr>
    </w:tbl>
    <w:p>
      <w:pPr>
        <w:spacing w:after="0" w:line="7"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-97790</wp:posOffset>
            </wp:positionV>
            <wp:extent cx="134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9" w:name="page10"/>
    <w:bookmarkEnd w:id="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Vertex, Inc. and Subsidiaries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5715</wp:posOffset>
            </wp:positionV>
            <wp:extent cx="5655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88" w:lineRule="exact"/>
        <w:rPr>
          <w:sz w:val="20"/>
          <w:szCs w:val="20"/>
          <w:color w:val="auto"/>
        </w:rPr>
      </w:pPr>
    </w:p>
    <w:p>
      <w:pPr>
        <w:ind w:left="360" w:right="4259" w:hanging="315"/>
        <w:spacing w:after="0" w:line="501" w:lineRule="auto"/>
        <w:tabs>
          <w:tab w:leader="none" w:pos="35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Nature of Business</w:t>
      </w:r>
    </w:p>
    <w:p>
      <w:pPr>
        <w:spacing w:after="0" w:line="1"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Vertex, Inc. (“Vertex”) and its direct and indirect wholly owned subsidiaries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Basis of Consolidation</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75" w:lineRule="exact"/>
        <w:rPr>
          <w:sz w:val="20"/>
          <w:szCs w:val="20"/>
          <w:color w:val="auto"/>
        </w:rPr>
      </w:pPr>
    </w:p>
    <w:p>
      <w:pPr>
        <w:ind w:left="40" w:right="119" w:firstLine="305"/>
        <w:spacing w:after="0" w:line="302" w:lineRule="auto"/>
        <w:rPr>
          <w:sz w:val="20"/>
          <w:szCs w:val="20"/>
          <w:color w:val="auto"/>
        </w:rPr>
      </w:pPr>
      <w:r>
        <w:rPr>
          <w:rFonts w:ascii="Arial" w:cs="Arial" w:eastAsia="Arial" w:hAnsi="Arial"/>
          <w:sz w:val="15"/>
          <w:szCs w:val="15"/>
          <w:color w:val="auto"/>
        </w:rPr>
        <w:t>The Company has a 65% controlling interest in Systax Sistemas Fiscais LTDA (“Systax”), a provider of Brazilian transaction tax content and software. Systax is considered a Variable Interest Entity (“VIE”) and its accounts have been included in the condensed consolidated financial statements from the acquisition date. Systax was determined to be a VIE as Vertex is the primary beneficiary of the equity interests in Systax and participates significantly in the variability in the fair value of Systax’s net assets.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215" w:lineRule="exact"/>
        <w:rPr>
          <w:sz w:val="20"/>
          <w:szCs w:val="20"/>
          <w:color w:val="auto"/>
        </w:rPr>
      </w:pPr>
    </w:p>
    <w:p>
      <w:pPr>
        <w:jc w:val="both"/>
        <w:ind w:left="40" w:right="59" w:firstLine="305"/>
        <w:spacing w:after="0" w:line="287" w:lineRule="auto"/>
        <w:rPr>
          <w:sz w:val="20"/>
          <w:szCs w:val="20"/>
          <w:color w:val="auto"/>
        </w:rPr>
      </w:pPr>
      <w:r>
        <w:rPr>
          <w:rFonts w:ascii="Arial" w:cs="Arial" w:eastAsia="Arial" w:hAnsi="Arial"/>
          <w:sz w:val="15"/>
          <w:szCs w:val="15"/>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2020, included in the Company’s Annual Report on Form 10-K for the year ended December 31, 2020 (the “2020 Annual Report”) filed with the SEC on March 15, 2021. The interim condensed consolidated balance sheet as of December 31, 2020 has been derived from audited financial statements included in the 2020 Annual Report. The accompanying interim condensed consolidated balance sheet as of September 30, 2021, the interim condensed consolidated statements of comprehensive loss and changes in equity (deficit) for the three and nine months ended September 30, 2021 and 2020, and interim condensed consolidated statements of cash flows for the nine months ended September 30, 2021 and 2020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nine months ended September 30, 2021 are not necessarily indicative of the results expected for the full year ending December 31, 2021.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0" w:name="page11"/>
    <w:bookmarkEnd w:id="1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Segments</w:t>
      </w:r>
    </w:p>
    <w:p>
      <w:pPr>
        <w:spacing w:after="0" w:line="215" w:lineRule="exact"/>
        <w:rPr>
          <w:sz w:val="20"/>
          <w:szCs w:val="20"/>
          <w:color w:val="auto"/>
        </w:rPr>
      </w:pPr>
    </w:p>
    <w:p>
      <w:pPr>
        <w:ind w:left="40" w:right="179" w:firstLine="305"/>
        <w:spacing w:after="0" w:line="257" w:lineRule="auto"/>
        <w:rPr>
          <w:sz w:val="20"/>
          <w:szCs w:val="20"/>
          <w:color w:val="auto"/>
        </w:rPr>
      </w:pPr>
      <w:r>
        <w:rPr>
          <w:rFonts w:ascii="Arial" w:cs="Arial" w:eastAsia="Arial" w:hAnsi="Arial"/>
          <w:sz w:val="17"/>
          <w:szCs w:val="17"/>
          <w:color w:val="auto"/>
        </w:rPr>
        <w:t>The Company operates its business as one operating segment. For the three months ended September 30, 2021 and 2020, approximately 6% and 3%, respectively, of the Company’s revenues were generated from customers outside the U.S. For the nine months ended September 30, 2021 and 2020, approximately 6% and 3%, respectively, of the Company’s revenues were generated from customers outside the U.S..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Fair Value Measurement</w:t>
      </w:r>
    </w:p>
    <w:p>
      <w:pPr>
        <w:spacing w:after="0" w:line="215"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Inputs are unadjusted quoted prices in active markets for identical assets or liabilities.</w:t>
      </w:r>
    </w:p>
    <w:p>
      <w:pPr>
        <w:spacing w:after="0" w:line="211" w:lineRule="exact"/>
        <w:rPr>
          <w:sz w:val="20"/>
          <w:szCs w:val="20"/>
          <w:color w:val="auto"/>
        </w:rPr>
      </w:pPr>
    </w:p>
    <w:p>
      <w:pPr>
        <w:jc w:val="both"/>
        <w:ind w:left="960" w:right="59" w:hanging="609"/>
        <w:spacing w:after="0" w:line="26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are quoted prices for similar assets and liabilities in active markets or quoted prices for identical 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in markets that are not active and model-derived valuations in which all significant inputs and significant value drivers are observable in active markets.</w:t>
      </w:r>
    </w:p>
    <w:p>
      <w:pPr>
        <w:spacing w:after="0" w:line="175" w:lineRule="exact"/>
        <w:rPr>
          <w:sz w:val="20"/>
          <w:szCs w:val="20"/>
          <w:color w:val="auto"/>
        </w:rPr>
      </w:pPr>
    </w:p>
    <w:p>
      <w:pPr>
        <w:jc w:val="both"/>
        <w:ind w:left="960" w:right="59" w:hanging="609"/>
        <w:spacing w:after="0" w:line="305"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 Inputs are unobservable inputs based on the Company’s assumptions and valuation techniques used to measure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at fair value. The inputs require significant management judgment or estimation.</w:t>
      </w:r>
    </w:p>
    <w:p>
      <w:pPr>
        <w:spacing w:after="0" w:line="142"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Use of Estimates</w:t>
      </w:r>
    </w:p>
    <w:p>
      <w:pPr>
        <w:spacing w:after="0" w:line="215" w:lineRule="exact"/>
        <w:rPr>
          <w:sz w:val="20"/>
          <w:szCs w:val="20"/>
          <w:color w:val="auto"/>
        </w:rPr>
      </w:pPr>
    </w:p>
    <w:p>
      <w:pPr>
        <w:jc w:val="both"/>
        <w:ind w:left="40" w:right="59" w:firstLine="305"/>
        <w:spacing w:after="0" w:line="286" w:lineRule="auto"/>
        <w:rPr>
          <w:sz w:val="20"/>
          <w:szCs w:val="20"/>
          <w:color w:val="auto"/>
        </w:rPr>
      </w:pPr>
      <w:r>
        <w:rPr>
          <w:rFonts w:ascii="Arial" w:cs="Arial" w:eastAsia="Arial" w:hAnsi="Arial"/>
          <w:sz w:val="15"/>
          <w:szCs w:val="15"/>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the reserve for self-insurance,</w:t>
      </w:r>
    </w:p>
    <w:p>
      <w:pPr>
        <w:spacing w:after="0" w:line="3" w:lineRule="exact"/>
        <w:rPr>
          <w:sz w:val="20"/>
          <w:szCs w:val="20"/>
          <w:color w:val="auto"/>
        </w:rPr>
      </w:pPr>
    </w:p>
    <w:p>
      <w:pPr>
        <w:jc w:val="both"/>
        <w:ind w:left="40" w:right="59" w:firstLine="5"/>
        <w:spacing w:after="0" w:line="282" w:lineRule="auto"/>
        <w:tabs>
          <w:tab w:leader="none" w:pos="345" w:val="left"/>
        </w:tabs>
        <w:numPr>
          <w:ilvl w:val="0"/>
          <w:numId w:val="5"/>
        </w:numPr>
        <w:rPr>
          <w:rFonts w:ascii="Arial" w:cs="Arial" w:eastAsia="Arial" w:hAnsi="Arial"/>
          <w:sz w:val="15"/>
          <w:szCs w:val="15"/>
          <w:color w:val="auto"/>
        </w:rPr>
      </w:pPr>
      <w:r>
        <w:rPr>
          <w:rFonts w:ascii="Arial" w:cs="Arial" w:eastAsia="Arial" w:hAnsi="Arial"/>
          <w:sz w:val="15"/>
          <w:szCs w:val="15"/>
          <w:color w:val="auto"/>
        </w:rPr>
        <w:t>assumptions related to achievement of technological feasibility for software developed for sale, (v) product life cycles, (vi) estimated useful lives and potential impairment of long-lived assets and intangible assets, (vii) potential impairment of goodwill,</w:t>
      </w:r>
    </w:p>
    <w:p>
      <w:pPr>
        <w:spacing w:after="0" w:line="1" w:lineRule="exact"/>
        <w:rPr>
          <w:rFonts w:ascii="Arial" w:cs="Arial" w:eastAsia="Arial" w:hAnsi="Arial"/>
          <w:sz w:val="15"/>
          <w:szCs w:val="15"/>
          <w:color w:val="auto"/>
        </w:rPr>
      </w:pPr>
    </w:p>
    <w:p>
      <w:pPr>
        <w:jc w:val="both"/>
        <w:ind w:left="40" w:right="59" w:firstLine="5"/>
        <w:spacing w:after="0" w:line="282" w:lineRule="auto"/>
        <w:tabs>
          <w:tab w:leader="none" w:pos="427" w:val="left"/>
        </w:tabs>
        <w:numPr>
          <w:ilvl w:val="0"/>
          <w:numId w:val="6"/>
        </w:numPr>
        <w:rPr>
          <w:rFonts w:ascii="Arial" w:cs="Arial" w:eastAsia="Arial" w:hAnsi="Arial"/>
          <w:sz w:val="15"/>
          <w:szCs w:val="15"/>
          <w:color w:val="auto"/>
        </w:rPr>
      </w:pPr>
      <w:r>
        <w:rPr>
          <w:rFonts w:ascii="Arial" w:cs="Arial" w:eastAsia="Arial" w:hAnsi="Arial"/>
          <w:sz w:val="15"/>
          <w:szCs w:val="15"/>
          <w:color w:val="auto"/>
        </w:rPr>
        <w:t>determination of the fair value of tangible and intangible assets acquired, liabilities assumed and consideration transferred in acquisitions, (ix) amortization period of material rights and deferred commissions (x) valuation of the Company’s stock used to measure stock-based compensation awards, (xi) Black-Scholes-Merton option pricing model (“Black-Scholes model”) input assumptions used to determine the fair value of stock-based compensation awards, (xii) measurement of future purchase commitment, contingent consideration liabilities and deferred purchase consideration liabilities associated with acquisitions, and</w:t>
      </w:r>
    </w:p>
    <w:p>
      <w:pPr>
        <w:spacing w:after="0" w:line="3" w:lineRule="exact"/>
        <w:rPr>
          <w:rFonts w:ascii="Arial" w:cs="Arial" w:eastAsia="Arial" w:hAnsi="Arial"/>
          <w:sz w:val="15"/>
          <w:szCs w:val="15"/>
          <w:color w:val="auto"/>
        </w:rPr>
      </w:pPr>
    </w:p>
    <w:p>
      <w:pPr>
        <w:ind w:left="40" w:right="59" w:firstLine="5"/>
        <w:spacing w:after="0" w:line="259" w:lineRule="auto"/>
        <w:tabs>
          <w:tab w:leader="none" w:pos="42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potential outcome of future tax consequences of events that have been recognized in the condensed consolidated financial statements or tax returns. Actual results may differ from these estimates.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Software Development Costs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Internal-Use Software</w:t>
      </w:r>
    </w:p>
    <w:p>
      <w:pPr>
        <w:spacing w:after="0" w:line="21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 xml:space="preserve">The Company follows Accounting Standard Codification (“ASC”) 350-40, </w:t>
      </w:r>
      <w:r>
        <w:rPr>
          <w:rFonts w:ascii="Arial" w:cs="Arial" w:eastAsia="Arial" w:hAnsi="Arial"/>
          <w:sz w:val="16"/>
          <w:szCs w:val="16"/>
          <w:i w:val="1"/>
          <w:iCs w:val="1"/>
          <w:color w:val="auto"/>
        </w:rPr>
        <w:t>Goodwill and Other, Internal-Use Software,</w:t>
      </w:r>
      <w:r>
        <w:rPr>
          <w:rFonts w:ascii="Arial" w:cs="Arial" w:eastAsia="Arial" w:hAnsi="Arial"/>
          <w:sz w:val="16"/>
          <w:szCs w:val="16"/>
          <w:color w:val="auto"/>
        </w:rPr>
        <w:t xml:space="preserve"> to account for development costs incurred for the costs of computer software developed or obtained for internal use. ASC 350-40 requires such costs to be capitalized once certain criteria are met. Internal-use software is included in internal-use software developed in property and equipment in the condensed consolidated balance sheets once available for its intended use and is depreciated over periods between 3 to 5 years. Depreciation expense for internal-use software utilized for cloud-based customer solutions and for software for internal systems and tools is included in cost of revenues,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1" w:name="page12"/>
    <w:bookmarkEnd w:id="1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software subscriptions and depreciation and amortization expense, respectively, in the condensed consolidated statements of comprehensive loss.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Software Developed for Sale</w:t>
      </w:r>
    </w:p>
    <w:p>
      <w:pPr>
        <w:spacing w:after="0" w:line="211"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Amortization of capitalized software development costs begins when the product is available for general release. Amortization is provided on a product-by-product basis using the straight-line method over periods between 3 to 5 years and is included in cost of revenues, software subscriptions in the condensed consolidated statements of comprehensive loss. 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Business Combinations</w:t>
      </w:r>
    </w:p>
    <w:p>
      <w:pPr>
        <w:spacing w:after="0" w:line="215" w:lineRule="exact"/>
        <w:rPr>
          <w:sz w:val="20"/>
          <w:szCs w:val="20"/>
          <w:color w:val="auto"/>
        </w:rPr>
      </w:pPr>
    </w:p>
    <w:p>
      <w:pPr>
        <w:jc w:val="both"/>
        <w:ind w:left="40" w:right="59" w:firstLine="305"/>
        <w:spacing w:after="0" w:line="286" w:lineRule="auto"/>
        <w:rPr>
          <w:sz w:val="20"/>
          <w:szCs w:val="20"/>
          <w:color w:val="auto"/>
        </w:rPr>
      </w:pPr>
      <w:r>
        <w:rPr>
          <w:rFonts w:ascii="Arial" w:cs="Arial" w:eastAsia="Arial" w:hAnsi="Arial"/>
          <w:sz w:val="15"/>
          <w:szCs w:val="15"/>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Goodwill</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Stock-Based Compensation</w:t>
      </w:r>
    </w:p>
    <w:p>
      <w:pPr>
        <w:spacing w:after="0" w:line="215"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The Company’s Registration Statement on Form S-1 with the SEC was declared effective on July 28, 2020, resulting in the Class A common shares being registered and available for trading on the NASDAQ exchange (the “Offering”). On the effective date of the Offering, the Company adopted the 2020 Incentive Award Plan (the “2020 Plan”) and the 2020 Employee Stock Purchase Plan (the “ESPP”), which provide for the award of stock appreciation rights (“SARs”), stock options (“options”), restricted stock awards (“RSAs”), restricted stock units (“RSUs”), and participation in the ESPP (collectively, the "awards").</w:t>
      </w:r>
    </w:p>
    <w:p>
      <w:pPr>
        <w:spacing w:after="0" w:line="153"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 xml:space="preserve">The awards are subject to, and the Company applies, the guidance set forth in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for the award of equity-based instruments.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2" w:name="page13"/>
    <w:bookmarkEnd w:id="1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341" w:lineRule="auto"/>
        <w:rPr>
          <w:sz w:val="20"/>
          <w:szCs w:val="20"/>
          <w:color w:val="auto"/>
        </w:rPr>
      </w:pPr>
      <w:r>
        <w:rPr>
          <w:rFonts w:ascii="Arial" w:cs="Arial" w:eastAsia="Arial" w:hAnsi="Arial"/>
          <w:sz w:val="15"/>
          <w:szCs w:val="15"/>
          <w:color w:val="auto"/>
        </w:rPr>
        <w:t>The provisions of ASC 718 require a company to measure the fair value of stock-based compensation as of the grant date of the award. Stock-based compensation expense reflects the cost of employee services received in exchange for the awards.</w:t>
      </w:r>
    </w:p>
    <w:p>
      <w:pPr>
        <w:spacing w:after="0" w:line="120"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SARs are accounted for as liabilities under ASC 718 and, as such, the Company recognizes stock-based compensation expense by remeasuring the value of the SARs at the end of each reporting period and accruing the portion of the requisite service rendered at that date. Prior to July 2, 2020, the date management determined the Company was considered to have become a public entity, the Company measured SARs at their intrinsic value. After such date, management remeasured outstanding SARs using the fair value-based method under ASC 718.</w:t>
      </w:r>
    </w:p>
    <w:p>
      <w:pPr>
        <w:spacing w:after="0" w:line="181"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Stock-based compensation expense for stock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spacing w:after="0" w:line="175"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Stock-based compensation expense for RSAs and RSUs is based on the fair value of the Company’s underlying common stock on the date of grant. Compensation cost is recognized on a straight-line basis over the requisite service or performance period associated with the award. Stock-based compensation expense for awards subject to performance-based measurement criteria is recognized when achievement of performance targets is deemed probable.</w:t>
      </w:r>
    </w:p>
    <w:p>
      <w:pPr>
        <w:spacing w:after="0" w:line="164"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The ESPP permits participants to purchase Class A common stock through payroll deductions, up to a specified percentage of their eligible compensation or a lump sum contribution amount for the initial offering period. The plan is a compensatory plan as it allows participants to purchase stock at a 15% discount from the lower of the fair value of the Class A common on the first or last day of the ESPP offering period (the “ESPP Discount”).The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has elected to recognize award forfeitures as they occur.</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Revenue Recognition</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Revenue from contracts with customers</w:t>
      </w:r>
    </w:p>
    <w:p>
      <w:pPr>
        <w:spacing w:after="0" w:line="21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Nature of goods and services</w:t>
      </w:r>
    </w:p>
    <w:p>
      <w:pPr>
        <w:spacing w:after="0" w:line="211"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Certain on-premise software subscription prices in the initial subscription year are higher than standard renewal prices. The excess initial year price over the renewal price (“new sale premium”) is a material right that provides customers with</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3" w:name="page14"/>
    <w:bookmarkEnd w:id="1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the right to this reduced renewal price. The Company recognizes revenue associated with this material right over the estimated period of benefit to the customer, which is generally three years.</w:t>
      </w:r>
    </w:p>
    <w:p>
      <w:pPr>
        <w:spacing w:after="0" w:line="165"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8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Revenue from deliverable-based services is recognized as services are delivered. Revenue from fixed fee services is recognized as services are performed using the percentage of completion input method.</w:t>
      </w:r>
    </w:p>
    <w:p>
      <w:pPr>
        <w:spacing w:after="0" w:line="16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Company has elected the “right to invoice” practical expedient for revenue related to services that are billed on an hourly basis, which enables revenue to be recognized as the services are performed.</w:t>
      </w:r>
    </w:p>
    <w:p>
      <w:pPr>
        <w:spacing w:after="0" w:line="16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Significant Judgments</w:t>
      </w:r>
    </w:p>
    <w:p>
      <w:pPr>
        <w:spacing w:after="0" w:line="211"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Payment terms</w:t>
      </w:r>
    </w:p>
    <w:p>
      <w:pPr>
        <w:spacing w:after="0" w:line="21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Payment terms and conditions vary by contract, although the Company’s terms generally include a requirement of payment within 30-days.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Cost of Revenues</w:t>
      </w:r>
    </w:p>
    <w:p>
      <w:pPr>
        <w:spacing w:after="0" w:line="211"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Cost of revenues, software subscriptions includes the direct cost to develop, host and distribute software products, the direct cost to provide customer support, and amortization of costs capitalized for software developed for sale and for internal-use software utilized for cloud-based subscriptions. Cost of revenues, services includes the direct costs of implementation, training, transaction tax returns outsourcing and other tax-related services.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Reimbursable Costs</w:t>
      </w:r>
    </w:p>
    <w:p>
      <w:pPr>
        <w:spacing w:after="0" w:line="211" w:lineRule="exact"/>
        <w:rPr>
          <w:sz w:val="20"/>
          <w:szCs w:val="20"/>
          <w:color w:val="auto"/>
        </w:rPr>
      </w:pPr>
    </w:p>
    <w:p>
      <w:pPr>
        <w:jc w:val="both"/>
        <w:ind w:left="40" w:right="59" w:firstLine="305"/>
        <w:spacing w:after="0" w:line="341" w:lineRule="auto"/>
        <w:rPr>
          <w:sz w:val="20"/>
          <w:szCs w:val="20"/>
          <w:color w:val="auto"/>
        </w:rPr>
      </w:pPr>
      <w:r>
        <w:rPr>
          <w:rFonts w:ascii="Arial" w:cs="Arial" w:eastAsia="Arial" w:hAnsi="Arial"/>
          <w:sz w:val="15"/>
          <w:szCs w:val="15"/>
          <w:color w:val="auto"/>
        </w:rPr>
        <w:t>Reimbursable costs passed through and invoiced to customers of the Company are recorded as services revenues with the associated expenses recorded as cost of revenues, services in the condensed consolidated statements of comprehensive loss.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Income Taxes</w:t>
      </w:r>
    </w:p>
    <w:p>
      <w:pPr>
        <w:spacing w:after="0" w:line="21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On July 27, 2020, the Company’s S-Corporation election (the “S Election”) was terminated by the Company’s stockholders in connection with the Offering. As a result, Vertex became taxable at the corporate level as a C-Corporation for U.S. federal and state income tax purposes. In connection with the S Election termination, the Company entered into an agreement with the S-Corporation stockholders pursuant to which the Company has indemnified them for unpaid income tax liabilities and may be required to make future payments in material amounts to them attributable to incremental income taxes resulting from an adjustment to S-Corporation related taxable income (the “Tax Sharing Agreement”). In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4" w:name="page15"/>
    <w:bookmarkEnd w:id="1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8" w:lineRule="auto"/>
        <w:rPr>
          <w:sz w:val="20"/>
          <w:szCs w:val="20"/>
          <w:color w:val="auto"/>
        </w:rPr>
      </w:pPr>
      <w:r>
        <w:rPr>
          <w:rFonts w:ascii="Arial" w:cs="Arial" w:eastAsia="Arial" w:hAnsi="Arial"/>
          <w:sz w:val="16"/>
          <w:szCs w:val="16"/>
          <w:color w:val="auto"/>
        </w:rPr>
        <w:t>addition, the Tax Sharing Agreement indemnifies the S-Corporation stockholders for any interest, penalties, losses, costs or expenses arising out of any claim under the agreement. Correspondingly, the S-Corporation stockholders have indemnified the Company with respect to unpaid tax liabilities (including interest and penalties) attributable to a decrease in S-Corporation stockholders’ taxable income and a corresponding increase in our taxable income as a C-Corporation for any period.</w:t>
      </w:r>
    </w:p>
    <w:p>
      <w:pPr>
        <w:spacing w:after="0" w:line="164" w:lineRule="exact"/>
        <w:rPr>
          <w:sz w:val="20"/>
          <w:szCs w:val="20"/>
          <w:color w:val="auto"/>
        </w:rPr>
      </w:pPr>
    </w:p>
    <w:p>
      <w:pPr>
        <w:jc w:val="both"/>
        <w:ind w:left="40" w:right="59" w:firstLine="305"/>
        <w:spacing w:after="0" w:line="271" w:lineRule="auto"/>
        <w:rPr>
          <w:sz w:val="20"/>
          <w:szCs w:val="20"/>
          <w:color w:val="auto"/>
        </w:rPr>
      </w:pPr>
      <w:r>
        <w:rPr>
          <w:rFonts w:ascii="Arial" w:cs="Arial" w:eastAsia="Arial" w:hAnsi="Arial"/>
          <w:sz w:val="16"/>
          <w:szCs w:val="16"/>
          <w:color w:val="auto"/>
        </w:rPr>
        <w:t>Prior to July 27, 2020, as Vertex was taxed as an S-Corporation for U.S. federal and certain states income tax purposes, net income or loss was allocated to and included on the income tax returns of the S-Corporation stockholders. Historically, the Company distributed amounts to the S-Corporation stockholders to satisfy their tax liabilities resulting from allocated net income or loss. Vertex was taxed at the corporate level in those states where the S-Corporation status was not recognized or where the state imposed a tax on an S-Corporation. Accordingly, the income tax provision or benefit was based on taxable income allocated to these states. In certain foreign jurisdictions, Vertex subsidiaries were taxed at the corporate level, and the income tax provision or benefit was based on taxable income sourced to these foreign jurisdictions.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Supplemental Cash Flow Disclosures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Supplemental cash flow disclosures are as follows for the respective periods:</w:t>
      </w:r>
    </w:p>
    <w:p>
      <w:pPr>
        <w:spacing w:after="0" w:line="209" w:lineRule="exact"/>
        <w:rPr>
          <w:sz w:val="20"/>
          <w:szCs w:val="20"/>
          <w:color w:val="auto"/>
        </w:rPr>
      </w:pPr>
    </w:p>
    <w:p>
      <w:pPr>
        <w:jc w:val="center"/>
        <w:ind w:left="6120"/>
        <w:spacing w:after="0"/>
        <w:rPr>
          <w:sz w:val="20"/>
          <w:szCs w:val="20"/>
          <w:color w:val="auto"/>
        </w:rPr>
      </w:pPr>
      <w:r>
        <w:rPr>
          <w:rFonts w:ascii="Arial" w:cs="Arial" w:eastAsia="Arial" w:hAnsi="Arial"/>
          <w:sz w:val="14"/>
          <w:szCs w:val="14"/>
          <w:b w:val="1"/>
          <w:bCs w:val="1"/>
          <w:color w:val="auto"/>
        </w:rPr>
        <w:t>For the nine months ended</w:t>
      </w:r>
    </w:p>
    <w:p>
      <w:pPr>
        <w:jc w:val="center"/>
        <w:ind w:left="60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63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59"/>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57"/>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right"/>
              <w:ind w:right="15"/>
              <w:spacing w:after="0" w:line="120" w:lineRule="exact"/>
              <w:rPr>
                <w:sz w:val="20"/>
                <w:szCs w:val="20"/>
                <w:color w:val="auto"/>
              </w:rPr>
            </w:pPr>
            <w:r>
              <w:rPr>
                <w:rFonts w:ascii="Arial" w:cs="Arial" w:eastAsia="Arial" w:hAnsi="Arial"/>
                <w:sz w:val="12"/>
                <w:szCs w:val="12"/>
                <w:b w:val="1"/>
                <w:bCs w:val="1"/>
                <w:color w:val="auto"/>
              </w:rPr>
              <w:t>(unaudited)</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7"/>
                <w:szCs w:val="17"/>
                <w:color w:val="auto"/>
              </w:rPr>
              <w:t>Cash paid for income taxes, net of refunds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1,032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5"/>
              <w:spacing w:after="0" w:line="181"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522</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30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Operating cash flows from operating leases</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4,090</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5"/>
              <w:spacing w:after="0" w:line="181"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Purchase commitment and contingent consideration liabilities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50,653</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14,344</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6300" w:type="dxa"/>
            <w:vAlign w:val="bottom"/>
            <w:tcBorders>
              <w:bottom w:val="single" w:sz="8" w:color="CCEEFF"/>
            </w:tcBorders>
            <w:shd w:val="clear" w:color="auto" w:fill="CCEEFF"/>
          </w:tcPr>
          <w:p>
            <w:pPr>
              <w:ind w:left="100"/>
              <w:spacing w:after="0" w:line="181" w:lineRule="exact"/>
              <w:rPr>
                <w:sz w:val="20"/>
                <w:szCs w:val="20"/>
                <w:color w:val="auto"/>
              </w:rPr>
            </w:pPr>
            <w:r>
              <w:rPr>
                <w:rFonts w:ascii="Arial" w:cs="Arial" w:eastAsia="Arial" w:hAnsi="Arial"/>
                <w:sz w:val="17"/>
                <w:szCs w:val="17"/>
                <w:color w:val="auto"/>
              </w:rPr>
              <w:t>Leased assets obtained in exchange for new finance lease liabilities</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173</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5"/>
              <w:spacing w:after="0" w:line="181"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00"/>
              <w:spacing w:after="0"/>
              <w:rPr>
                <w:sz w:val="20"/>
                <w:szCs w:val="20"/>
                <w:color w:val="auto"/>
              </w:rPr>
            </w:pPr>
            <w:r>
              <w:rPr>
                <w:rFonts w:ascii="Arial" w:cs="Arial" w:eastAsia="Arial" w:hAnsi="Arial"/>
                <w:sz w:val="17"/>
                <w:szCs w:val="17"/>
                <w:color w:val="auto"/>
              </w:rPr>
              <w:t>Equipment acquired through capital leases</w:t>
            </w: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tcBorders>
              <w:bottom w:val="single" w:sz="8" w:color="CCEEFF"/>
            </w:tcBorders>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5"/>
              <w:spacing w:after="0" w:line="181"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826</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300" w:type="dxa"/>
            <w:vAlign w:val="bottom"/>
            <w:tcBorders>
              <w:bottom w:val="single" w:sz="8" w:color="CCEEFF"/>
            </w:tcBorders>
            <w:shd w:val="clear" w:color="auto" w:fill="CCEEFF"/>
          </w:tcPr>
          <w:p>
            <w:pPr>
              <w:ind w:left="100"/>
              <w:spacing w:after="0" w:line="181" w:lineRule="exact"/>
              <w:rPr>
                <w:sz w:val="20"/>
                <w:szCs w:val="20"/>
                <w:color w:val="auto"/>
              </w:rPr>
            </w:pPr>
            <w:r>
              <w:rPr>
                <w:rFonts w:ascii="Arial" w:cs="Arial" w:eastAsia="Arial" w:hAnsi="Arial"/>
                <w:sz w:val="17"/>
                <w:szCs w:val="17"/>
                <w:color w:val="auto"/>
              </w:rPr>
              <w:t>Remeasurement of options for redeemable shares</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5"/>
              <w:spacing w:after="0" w:line="181"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51,833</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00"/>
              <w:spacing w:after="0"/>
              <w:rPr>
                <w:sz w:val="20"/>
                <w:szCs w:val="20"/>
                <w:color w:val="auto"/>
              </w:rPr>
            </w:pPr>
            <w:r>
              <w:rPr>
                <w:rFonts w:ascii="Arial" w:cs="Arial" w:eastAsia="Arial" w:hAnsi="Arial"/>
                <w:sz w:val="17"/>
                <w:szCs w:val="17"/>
                <w:color w:val="auto"/>
              </w:rPr>
              <w:t>Conversion of SARs in connection with the Offering</w:t>
            </w: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tcBorders>
              <w:bottom w:val="single" w:sz="8" w:color="CCEEFF"/>
            </w:tcBorders>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5"/>
              <w:spacing w:after="0" w:line="181"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128,870</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300" w:type="dxa"/>
            <w:vAlign w:val="bottom"/>
            <w:tcBorders>
              <w:bottom w:val="single" w:sz="8" w:color="CCEEFF"/>
            </w:tcBorders>
            <w:shd w:val="clear" w:color="auto" w:fill="CCEEFF"/>
          </w:tcPr>
          <w:p>
            <w:pPr>
              <w:ind w:left="100"/>
              <w:spacing w:after="0" w:line="181" w:lineRule="exact"/>
              <w:rPr>
                <w:sz w:val="20"/>
                <w:szCs w:val="20"/>
                <w:color w:val="auto"/>
              </w:rPr>
            </w:pPr>
            <w:r>
              <w:rPr>
                <w:rFonts w:ascii="Arial" w:cs="Arial" w:eastAsia="Arial" w:hAnsi="Arial"/>
                <w:sz w:val="17"/>
                <w:szCs w:val="17"/>
                <w:color w:val="auto"/>
              </w:rPr>
              <w:t>Exchange of Amended Options in connection with the Offering</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5"/>
              <w:spacing w:after="0" w:line="181"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69,177</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15"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Deferred Revenue</w:t>
      </w:r>
    </w:p>
    <w:p>
      <w:pPr>
        <w:spacing w:after="0" w:line="211"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 xml:space="preserve">In October 2021, the Financial Accounting Standard Board (“FASB”) issued Accounting Standards Update (“ASU”) No. 2021-08, </w:t>
      </w:r>
      <w:r>
        <w:rPr>
          <w:rFonts w:ascii="Arial" w:cs="Arial" w:eastAsia="Arial" w:hAnsi="Arial"/>
          <w:sz w:val="16"/>
          <w:szCs w:val="16"/>
          <w:i w:val="1"/>
          <w:iCs w:val="1"/>
          <w:color w:val="auto"/>
        </w:rPr>
        <w:t>Business Combinations</w:t>
      </w:r>
      <w:r>
        <w:rPr>
          <w:rFonts w:ascii="Arial" w:cs="Arial" w:eastAsia="Arial" w:hAnsi="Arial"/>
          <w:sz w:val="16"/>
          <w:szCs w:val="16"/>
          <w:color w:val="auto"/>
        </w:rPr>
        <w:t>. This standard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The standard is effective for all other entities for fiscal years beginning after December 15, 2022, and interim periods within fiscal years beginning after December 15, 2023, with early adoption permitted. The Company is currently evaluating the impact this guidance will have on the Company’s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5" w:name="page16"/>
    <w:bookmarkEnd w:id="1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Leases</w:t>
      </w:r>
    </w:p>
    <w:p>
      <w:pPr>
        <w:spacing w:after="0" w:line="21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This standard amended several aspects of lease accounting, including requiring lessees to recognize operating leases with a initial term greater than one year on their balance sheet as a right-of-use asset, and a corresponding lease liability, measured at the present value of the future minimum lease payments. The standard is effective for public entities for fiscal years and interim periods beginning after December 15, 2018. The standard is effective for all other entities for fiscal years beginning after December 15, 2021, and interim periods within fiscal years beginning after December 15, 2022, with early adoption permitted.</w:t>
      </w:r>
    </w:p>
    <w:p>
      <w:pPr>
        <w:spacing w:after="0" w:line="167"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The Company adopted ASC 842 on January 1, 2021 using the modified retrospective transition method, which did not require the Company to adjust comparative periods. The Company’s lease assets and lease liabilities are recognized on the lease commencement date in an amount that represents the present value of future lease payments. The Company’s incremental borrowing rate, which is based on information available at the adoption date for existing leases and the commencement date for leases commencing after the adoption date, is used to determine the present value of lease payments.</w:t>
      </w:r>
    </w:p>
    <w:p>
      <w:pPr>
        <w:spacing w:after="0" w:line="153"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The Company elected the “package of three” practical expedients permitted under the transition guidance, which allows (i) a carry forward of the historical lease classification conclusions, (ii) management to assess whether a contract is or contains a lease, and (iii) the retention of initial direct costs for any leases that exist prior to adoption of the new standard.</w:t>
      </w:r>
    </w:p>
    <w:p>
      <w:pPr>
        <w:spacing w:after="0" w:line="158" w:lineRule="exact"/>
        <w:rPr>
          <w:sz w:val="20"/>
          <w:szCs w:val="20"/>
          <w:color w:val="auto"/>
        </w:rPr>
      </w:pPr>
    </w:p>
    <w:p>
      <w:pPr>
        <w:jc w:val="both"/>
        <w:ind w:left="40" w:right="59" w:firstLine="305"/>
        <w:spacing w:after="0" w:line="292" w:lineRule="auto"/>
        <w:rPr>
          <w:sz w:val="20"/>
          <w:szCs w:val="20"/>
          <w:color w:val="auto"/>
        </w:rPr>
      </w:pPr>
      <w:r>
        <w:rPr>
          <w:rFonts w:ascii="Arial" w:cs="Arial" w:eastAsia="Arial" w:hAnsi="Arial"/>
          <w:sz w:val="15"/>
          <w:szCs w:val="15"/>
          <w:color w:val="auto"/>
        </w:rPr>
        <w:t>As a result of the adoption of ASC 842 on January 1, 2021, the Company recorded both operating lease right-of-use assets of $24,004 and operating lease liabilities of $32,562. An adjustment to retained earnings of $508, net of the deferred tax impact, was also recorded. The adoption of ASC 842 had an immaterial impact on the condensed consolidated statement of comprehensive loss and the condensed consolidated cash flow. The adoption of this standard also resulted in a change in the naming convention for leases classified historically as capital leases. These leases are now referred to as finance leases within property and equipment, with corresponding short-term and long-term debt liabilities being presented as “Current portion of finance lease liabilities” and “Finance lease liabilities, net of current portion,” respectively. See Note 7 for further information.</w:t>
      </w:r>
    </w:p>
    <w:p>
      <w:pPr>
        <w:spacing w:after="0" w:line="157"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The Company does not recognize leases with an initial term less than one year (“short-term leases”) on its condensed consolidated balance sheets, and recognizes such lease payments in the condensed consolidated statements of comprehensive loss on a straight-line basis over the lease term. Leases with an option to extend the related lease term or terminate early are reflected in the lease term when it is reasonably certain that the Company will exercise such options.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Credit Losses</w:t>
      </w:r>
    </w:p>
    <w:p>
      <w:pPr>
        <w:spacing w:after="0" w:line="211" w:lineRule="exact"/>
        <w:rPr>
          <w:sz w:val="20"/>
          <w:szCs w:val="20"/>
          <w:color w:val="auto"/>
        </w:rPr>
      </w:pPr>
    </w:p>
    <w:p>
      <w:pPr>
        <w:jc w:val="both"/>
        <w:ind w:left="40" w:right="59" w:firstLine="305"/>
        <w:spacing w:after="0" w:line="292"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Losses on Financial Instruments</w:t>
      </w:r>
      <w:r>
        <w:rPr>
          <w:rFonts w:ascii="Arial" w:cs="Arial" w:eastAsia="Arial" w:hAnsi="Arial"/>
          <w:sz w:val="15"/>
          <w:szCs w:val="15"/>
          <w:color w:val="auto"/>
        </w:rPr>
        <w:t>, (“ASU 2016-13”) which replaces the existing incurred loss impairment model with an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credit loss model and requires financial assets, including trade receivables, to be measured at amortized cost to be presented at the net amount expected to be collected. ASU 2016-13 is effective for annual periods, and interim periods within those years, beginning after December 15, 2019, for business entities that are public and meet the definition of an SEC filer (excluding smaller reporting companies), and after December 15, 2022 for all other entities. The Company adopted this standard effective January 1, 2021, and this guidance did not have a material impact on the Company’s condensed consolidated financial statements.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Income Taxes</w:t>
      </w:r>
    </w:p>
    <w:p>
      <w:pPr>
        <w:spacing w:after="0" w:line="21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which simplifies the accounting for income taxes. The guidance in ASU 2019-12 is required for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periods, including interim periods within those annual periods, beginning after December 15, 2020, for business entities that are public, and after December 15, 2021, including interim periods within those annual periods, for all other entities, with early adoption permitted. The Company adopted this standard effective January 1, 2021, and this guidance did not have a material impact on the Company’s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6" w:name="page17"/>
    <w:bookmarkEnd w:id="1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and Uncertainties</w:t>
      </w:r>
    </w:p>
    <w:p>
      <w:pPr>
        <w:spacing w:after="0" w:line="215" w:lineRule="exact"/>
        <w:rPr>
          <w:sz w:val="20"/>
          <w:szCs w:val="20"/>
          <w:color w:val="auto"/>
        </w:rPr>
      </w:pPr>
    </w:p>
    <w:p>
      <w:pPr>
        <w:jc w:val="both"/>
        <w:ind w:left="40" w:right="59" w:firstLine="305"/>
        <w:spacing w:after="0" w:line="291" w:lineRule="auto"/>
        <w:rPr>
          <w:sz w:val="20"/>
          <w:szCs w:val="20"/>
          <w:color w:val="auto"/>
        </w:rPr>
      </w:pPr>
      <w:r>
        <w:rPr>
          <w:rFonts w:ascii="Arial" w:cs="Arial" w:eastAsia="Arial" w:hAnsi="Arial"/>
          <w:sz w:val="15"/>
          <w:szCs w:val="15"/>
          <w:color w:val="auto"/>
        </w:rPr>
        <w:t>In March 2020, the World Health Organization declared the outbreak of coronavirus disease 2019 (“COVID-19”) to be a pandemic. The COVID-19 pandemic is continuing to have widespread, rapidly evolving and unpredictable impacts on global society, economies, financial markets and business practices. To protect the health and well-being of Company employees and customers, substantial modifications were made to employee travel policies, and our offices were closed, and remained closed through September 30, 2021, with employees directed to work from home. In addition, conferences and other marketing events were cancelled or shifted to virtual-only, and the Company continued to participate virtually through September 30, 2021. The COVID-19 pandemic has impacted, and may continue to impact, Company operations, including employees, customers and partners, and there is substantial uncertainty regarding the nature and degree of its continued effects over time.</w:t>
      </w:r>
    </w:p>
    <w:p>
      <w:pPr>
        <w:spacing w:after="0" w:line="157"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The Company did not experience any significant reductions in sales, revenues or collections through September 30, 2021 as a result of COVID-19. The uncertainty caused by the COVID-19 pandemic could, however, impact Company billings to new customers for the remainder of 2021, and may also negatively impact Company efforts to expand revenues from existing customers as they continue to evaluate certain long-term projects and budget constraints. In addition to the potential impact on sales, the Company may see delays in collections during 2021 as customers adjust their operating protocols to accommodate implementation of new criteria to protect the health and well-being of their employees and customers. However, these delays are not expected to materially impact the business, and thus the Company has not recorded additional credit losses associated with the allowance for doubtful accounts in connection with any delays. The Company believes it has ample liquidity and capital resources to continue to meet its operating needs and to service debt and other financial obligations.</w:t>
      </w:r>
    </w:p>
    <w:p>
      <w:pPr>
        <w:spacing w:after="0" w:line="170" w:lineRule="exact"/>
        <w:rPr>
          <w:sz w:val="20"/>
          <w:szCs w:val="20"/>
          <w:color w:val="auto"/>
        </w:rPr>
      </w:pPr>
    </w:p>
    <w:p>
      <w:pPr>
        <w:jc w:val="both"/>
        <w:ind w:left="40" w:right="59" w:firstLine="305"/>
        <w:spacing w:after="0" w:line="253" w:lineRule="auto"/>
        <w:rPr>
          <w:sz w:val="20"/>
          <w:szCs w:val="20"/>
          <w:color w:val="auto"/>
        </w:rPr>
      </w:pPr>
      <w:r>
        <w:rPr>
          <w:rFonts w:ascii="Arial" w:cs="Arial" w:eastAsia="Arial" w:hAnsi="Arial"/>
          <w:sz w:val="17"/>
          <w:szCs w:val="17"/>
          <w:color w:val="auto"/>
        </w:rPr>
        <w:t>The extent to which the COVID-19 pandemic impacts the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Reclassifications</w:t>
      </w:r>
    </w:p>
    <w:p>
      <w:pPr>
        <w:spacing w:after="0" w:line="211" w:lineRule="exact"/>
        <w:rPr>
          <w:sz w:val="20"/>
          <w:szCs w:val="20"/>
          <w:color w:val="auto"/>
        </w:rPr>
      </w:pPr>
    </w:p>
    <w:p>
      <w:pPr>
        <w:jc w:val="both"/>
        <w:ind w:left="40" w:right="59" w:firstLine="305"/>
        <w:spacing w:after="0" w:line="341" w:lineRule="auto"/>
        <w:rPr>
          <w:sz w:val="20"/>
          <w:szCs w:val="20"/>
          <w:color w:val="auto"/>
        </w:rPr>
      </w:pPr>
      <w:r>
        <w:rPr>
          <w:rFonts w:ascii="Arial" w:cs="Arial" w:eastAsia="Arial" w:hAnsi="Arial"/>
          <w:sz w:val="15"/>
          <w:szCs w:val="15"/>
          <w:color w:val="auto"/>
        </w:rPr>
        <w:t>Certain amounts in the prior period financial statements have been reclassified to conform to the presentation of the current period financial statements. These reclassifications had no effect on previously reported comprehensive income or loss.</w:t>
      </w:r>
    </w:p>
    <w:p>
      <w:pPr>
        <w:spacing w:after="0" w:line="116" w:lineRule="exact"/>
        <w:rPr>
          <w:sz w:val="20"/>
          <w:szCs w:val="20"/>
          <w:color w:val="auto"/>
        </w:rPr>
      </w:pPr>
    </w:p>
    <w:p>
      <w:pPr>
        <w:ind w:left="380" w:hanging="335"/>
        <w:spacing w:after="0"/>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1 for a description of the Company’s revenue recognition accounting policy.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7" w:name="page18"/>
    <w:bookmarkEnd w:id="1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Disaggregation of revenue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reflects revenue by major source for the following periods: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center"/>
              <w:ind w:right="38"/>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Nine months ended</w:t>
            </w:r>
          </w:p>
        </w:tc>
      </w:tr>
      <w:tr>
        <w:trPr>
          <w:trHeight w:val="160"/>
        </w:trPr>
        <w:tc>
          <w:tcPr>
            <w:tcW w:w="3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center"/>
              <w:ind w:right="78"/>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r>
      <w:tr>
        <w:trPr>
          <w:trHeight w:val="132"/>
        </w:trPr>
        <w:tc>
          <w:tcPr>
            <w:tcW w:w="3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3"/>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8"/>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3"/>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8"/>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r>
      <w:tr>
        <w:trPr>
          <w:trHeight w:val="120"/>
        </w:trPr>
        <w:tc>
          <w:tcPr>
            <w:tcW w:w="3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4"/>
          </w:tcPr>
          <w:p>
            <w:pPr>
              <w:jc w:val="center"/>
              <w:ind w:right="38"/>
              <w:spacing w:after="0" w:line="120"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5"/>
          </w:tcPr>
          <w:p>
            <w:pPr>
              <w:jc w:val="center"/>
              <w:ind w:right="38"/>
              <w:spacing w:after="0" w:line="120" w:lineRule="exact"/>
              <w:rPr>
                <w:sz w:val="20"/>
                <w:szCs w:val="20"/>
                <w:color w:val="auto"/>
              </w:rPr>
            </w:pPr>
            <w:r>
              <w:rPr>
                <w:rFonts w:ascii="Arial" w:cs="Arial" w:eastAsia="Arial" w:hAnsi="Arial"/>
                <w:sz w:val="12"/>
                <w:szCs w:val="12"/>
                <w:b w:val="1"/>
                <w:bCs w:val="1"/>
                <w:color w:val="auto"/>
              </w:rPr>
              <w:t>(unaudited)</w:t>
            </w:r>
          </w:p>
        </w:tc>
        <w:tc>
          <w:tcPr>
            <w:tcW w:w="160" w:type="dxa"/>
            <w:vAlign w:val="bottom"/>
          </w:tcPr>
          <w:p>
            <w:pPr>
              <w:spacing w:after="0"/>
              <w:rPr>
                <w:sz w:val="10"/>
                <w:szCs w:val="10"/>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Software subscriptions:</w:t>
            </w: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460" w:type="dxa"/>
            <w:vAlign w:val="bottom"/>
          </w:tcPr>
          <w:p>
            <w:pPr>
              <w:ind w:left="100"/>
              <w:spacing w:after="0"/>
              <w:rPr>
                <w:sz w:val="20"/>
                <w:szCs w:val="20"/>
                <w:color w:val="auto"/>
              </w:rPr>
            </w:pPr>
            <w:r>
              <w:rPr>
                <w:rFonts w:ascii="Arial" w:cs="Arial" w:eastAsia="Arial" w:hAnsi="Arial"/>
                <w:sz w:val="17"/>
                <w:szCs w:val="17"/>
                <w:color w:val="auto"/>
              </w:rPr>
              <w:t>Software licenses</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58,932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56,882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172,807</w:t>
            </w:r>
          </w:p>
        </w:tc>
        <w:tc>
          <w:tcPr>
            <w:tcW w:w="14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170,801</w:t>
            </w:r>
          </w:p>
        </w:tc>
        <w:tc>
          <w:tcPr>
            <w:tcW w:w="160" w:type="dxa"/>
            <w:vAlign w:val="bottom"/>
          </w:tcPr>
          <w:p>
            <w:pPr>
              <w:spacing w:after="0"/>
              <w:rPr>
                <w:sz w:val="17"/>
                <w:szCs w:val="17"/>
                <w:color w:val="auto"/>
              </w:rPr>
            </w:pPr>
          </w:p>
        </w:tc>
      </w:tr>
      <w:tr>
        <w:trPr>
          <w:trHeight w:val="203"/>
        </w:trPr>
        <w:tc>
          <w:tcPr>
            <w:tcW w:w="3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Cloud subscriptions</w:t>
            </w:r>
          </w:p>
        </w:tc>
        <w:tc>
          <w:tcPr>
            <w:tcW w:w="1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33,344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22,896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92,353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62,043</w:t>
            </w:r>
          </w:p>
        </w:tc>
        <w:tc>
          <w:tcPr>
            <w:tcW w:w="160" w:type="dxa"/>
            <w:vAlign w:val="bottom"/>
            <w:shd w:val="clear" w:color="auto" w:fill="CCEEFF"/>
          </w:tcPr>
          <w:p>
            <w:pPr>
              <w:spacing w:after="0"/>
              <w:rPr>
                <w:sz w:val="17"/>
                <w:szCs w:val="17"/>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7"/>
                <w:szCs w:val="17"/>
                <w:color w:val="auto"/>
              </w:rPr>
              <w:t>Software subscriptions</w:t>
            </w: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92,276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79,778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265,160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232,844</w:t>
            </w:r>
          </w:p>
        </w:tc>
        <w:tc>
          <w:tcPr>
            <w:tcW w:w="160" w:type="dxa"/>
            <w:vAlign w:val="bottom"/>
          </w:tcPr>
          <w:p>
            <w:pPr>
              <w:spacing w:after="0"/>
              <w:rPr>
                <w:sz w:val="17"/>
                <w:szCs w:val="17"/>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1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14,827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42,277</w:t>
            </w:r>
          </w:p>
        </w:tc>
        <w:tc>
          <w:tcPr>
            <w:tcW w:w="160" w:type="dxa"/>
            <w:vAlign w:val="bottom"/>
            <w:shd w:val="clear" w:color="auto" w:fill="CCEEFF"/>
          </w:tcPr>
          <w:p>
            <w:pPr>
              <w:spacing w:after="0"/>
              <w:rPr>
                <w:sz w:val="17"/>
                <w:szCs w:val="17"/>
                <w:color w:val="auto"/>
              </w:rPr>
            </w:pPr>
          </w:p>
        </w:tc>
      </w:tr>
      <w:tr>
        <w:trPr>
          <w:trHeight w:val="196"/>
        </w:trPr>
        <w:tc>
          <w:tcPr>
            <w:tcW w:w="3460" w:type="dxa"/>
            <w:vAlign w:val="bottom"/>
          </w:tcPr>
          <w:p>
            <w:pPr>
              <w:ind w:left="100"/>
              <w:spacing w:after="0"/>
              <w:rPr>
                <w:sz w:val="20"/>
                <w:szCs w:val="20"/>
                <w:color w:val="auto"/>
              </w:rPr>
            </w:pPr>
            <w:r>
              <w:rPr>
                <w:rFonts w:ascii="Arial" w:cs="Arial" w:eastAsia="Arial" w:hAnsi="Arial"/>
                <w:sz w:val="17"/>
                <w:szCs w:val="17"/>
                <w:color w:val="auto"/>
              </w:rPr>
              <w:t>Total revenues</w:t>
            </w:r>
          </w:p>
        </w:tc>
        <w:tc>
          <w:tcPr>
            <w:tcW w:w="18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110,718</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94,605</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313,892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275,121</w:t>
            </w:r>
          </w:p>
        </w:tc>
        <w:tc>
          <w:tcPr>
            <w:tcW w:w="16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Contract balances</w:t>
      </w:r>
    </w:p>
    <w:p>
      <w:pPr>
        <w:spacing w:after="0" w:line="211"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$8,845 and $8,592 at September 30, 2021 and December 31, 2020, respectively. The allowance for potentially uncollectible accounts represents future expected credit losses over the life of the receivables based on past experience, current information and forward-looking economic considerations.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beginning and ending balances of accounts receivable, net of allowance, are as follows: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For the nine months ended</w:t>
            </w: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For the year ended</w:t>
            </w:r>
          </w:p>
        </w:tc>
      </w:tr>
      <w:tr>
        <w:trPr>
          <w:trHeight w:val="160"/>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September 30, 2021</w:t>
            </w:r>
          </w:p>
        </w:tc>
        <w:tc>
          <w:tcPr>
            <w:tcW w:w="14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132"/>
        </w:trPr>
        <w:tc>
          <w:tcPr>
            <w:tcW w:w="5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02"/>
              <w:spacing w:after="0" w:line="133" w:lineRule="exact"/>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77,159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70,367</w:t>
            </w:r>
          </w:p>
        </w:tc>
        <w:tc>
          <w:tcPr>
            <w:tcW w:w="160" w:type="dxa"/>
            <w:vAlign w:val="bottom"/>
            <w:shd w:val="clear" w:color="auto" w:fill="CCEEFF"/>
          </w:tcPr>
          <w:p>
            <w:pPr>
              <w:spacing w:after="0"/>
              <w:rPr>
                <w:sz w:val="17"/>
                <w:szCs w:val="17"/>
                <w:color w:val="auto"/>
              </w:rPr>
            </w:pPr>
          </w:p>
        </w:tc>
      </w:tr>
      <w:tr>
        <w:trPr>
          <w:trHeight w:val="203"/>
        </w:trPr>
        <w:tc>
          <w:tcPr>
            <w:tcW w:w="54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end of period</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73,234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77,159</w:t>
            </w:r>
          </w:p>
        </w:tc>
        <w:tc>
          <w:tcPr>
            <w:tcW w:w="160" w:type="dxa"/>
            <w:vAlign w:val="bottom"/>
            <w:tcBorders>
              <w:bottom w:val="single" w:sz="8" w:color="CCEEFF"/>
            </w:tcBorders>
          </w:tcPr>
          <w:p>
            <w:pPr>
              <w:spacing w:after="0"/>
              <w:rPr>
                <w:sz w:val="17"/>
                <w:szCs w:val="17"/>
                <w:color w:val="auto"/>
              </w:rPr>
            </w:pPr>
          </w:p>
        </w:tc>
      </w:tr>
      <w:tr>
        <w:trPr>
          <w:trHeight w:val="196"/>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(Decrease) increase, net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6,792</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$6,284 and $6,432 at September 30, 2021 and December 31, 2020, respectively. The deferred allowance represents the portion of the allowance for subscription cancellations associated with deferred revenue.</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beginning and ending balances of and changes to the allowance and the deferred allowance are as follows: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600"/>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620"/>
              <w:spacing w:after="0" w:line="133"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266"/>
              <w:spacing w:after="0" w:line="133" w:lineRule="exact"/>
              <w:rPr>
                <w:sz w:val="20"/>
                <w:szCs w:val="20"/>
                <w:color w:val="auto"/>
              </w:rPr>
            </w:pPr>
            <w:r>
              <w:rPr>
                <w:rFonts w:ascii="Arial" w:cs="Arial" w:eastAsia="Arial" w:hAnsi="Arial"/>
                <w:sz w:val="14"/>
                <w:szCs w:val="14"/>
                <w:b w:val="1"/>
                <w:bCs w:val="1"/>
                <w:color w:val="auto"/>
                <w:w w:val="81"/>
              </w:rPr>
              <w:t>Balance</w:t>
            </w:r>
          </w:p>
        </w:tc>
        <w:tc>
          <w:tcPr>
            <w:tcW w:w="7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7"/>
              </w:rPr>
              <w:t>Net Change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ind w:right="266"/>
              <w:spacing w:after="0" w:line="133" w:lineRule="exact"/>
              <w:rPr>
                <w:sz w:val="20"/>
                <w:szCs w:val="20"/>
                <w:color w:val="auto"/>
              </w:rPr>
            </w:pPr>
            <w:r>
              <w:rPr>
                <w:rFonts w:ascii="Arial" w:cs="Arial" w:eastAsia="Arial" w:hAnsi="Arial"/>
                <w:sz w:val="14"/>
                <w:szCs w:val="14"/>
                <w:b w:val="1"/>
                <w:bCs w:val="1"/>
                <w:color w:val="auto"/>
                <w:w w:val="85"/>
              </w:rPr>
              <w:t>Balance</w:t>
            </w:r>
          </w:p>
        </w:tc>
        <w:tc>
          <w:tcPr>
            <w:tcW w:w="7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9"/>
              </w:rPr>
              <w:t>Net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Allowance balance, July 1</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Allowance balance, September 30</w:t>
            </w:r>
          </w:p>
        </w:tc>
        <w:tc>
          <w:tcPr>
            <w:tcW w:w="18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Change in allowance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Deferred allowance balance, July 1</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Deferred allowance balance, September 30</w:t>
            </w:r>
          </w:p>
        </w:tc>
        <w:tc>
          <w:tcPr>
            <w:tcW w:w="1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Change in deferred allowance</w:t>
            </w:r>
          </w:p>
        </w:tc>
        <w:tc>
          <w:tcPr>
            <w:tcW w:w="1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amount charged to revenues</w:t>
            </w: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vMerge w:val="restart"/>
          </w:tcPr>
          <w:p>
            <w:pPr>
              <w:jc w:val="right"/>
              <w:ind w:right="79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35" w:right="1440" w:bottom="1440" w:gutter="0" w:footer="0" w:header="0"/>
        </w:sectPr>
      </w:pPr>
    </w:p>
    <w:bookmarkStart w:id="18" w:name="page19"/>
    <w:bookmarkEnd w:id="1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gridSpan w:val="13"/>
          </w:tcPr>
          <w:p>
            <w:pPr>
              <w:ind w:left="40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32"/>
        </w:trPr>
        <w:tc>
          <w:tcPr>
            <w:tcW w:w="55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520" w:type="dxa"/>
            <w:vAlign w:val="bottom"/>
            <w:tcBorders>
              <w:top w:val="single" w:sz="8" w:color="auto"/>
              <w:bottom w:val="single" w:sz="8" w:color="auto"/>
            </w:tcBorders>
            <w:gridSpan w:val="5"/>
          </w:tcPr>
          <w:p>
            <w:pPr>
              <w:jc w:val="right"/>
              <w:ind w:right="580"/>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gridSpan w:val="5"/>
          </w:tcPr>
          <w:p>
            <w:pPr>
              <w:jc w:val="right"/>
              <w:ind w:right="600"/>
              <w:spacing w:after="0" w:line="133"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r>
      <w:tr>
        <w:trPr>
          <w:trHeight w:val="132"/>
        </w:trPr>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jc w:val="right"/>
              <w:ind w:right="340"/>
              <w:spacing w:after="0" w:line="133" w:lineRule="exact"/>
              <w:rPr>
                <w:sz w:val="20"/>
                <w:szCs w:val="20"/>
                <w:color w:val="auto"/>
              </w:rPr>
            </w:pPr>
            <w:r>
              <w:rPr>
                <w:rFonts w:ascii="Arial" w:cs="Arial" w:eastAsia="Arial" w:hAnsi="Arial"/>
                <w:sz w:val="14"/>
                <w:szCs w:val="14"/>
                <w:b w:val="1"/>
                <w:bCs w:val="1"/>
                <w:color w:val="auto"/>
                <w:w w:val="81"/>
              </w:rPr>
              <w:t>Balance</w:t>
            </w:r>
          </w:p>
        </w:tc>
        <w:tc>
          <w:tcPr>
            <w:tcW w:w="7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7"/>
              </w:rPr>
              <w:t>Net Change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right"/>
              <w:ind w:right="340"/>
              <w:spacing w:after="0" w:line="133" w:lineRule="exact"/>
              <w:rPr>
                <w:sz w:val="20"/>
                <w:szCs w:val="20"/>
                <w:color w:val="auto"/>
              </w:rPr>
            </w:pPr>
            <w:r>
              <w:rPr>
                <w:rFonts w:ascii="Arial" w:cs="Arial" w:eastAsia="Arial" w:hAnsi="Arial"/>
                <w:sz w:val="14"/>
                <w:szCs w:val="14"/>
                <w:b w:val="1"/>
                <w:bCs w:val="1"/>
                <w:color w:val="auto"/>
                <w:w w:val="85"/>
              </w:rPr>
              <w:t>Balance</w:t>
            </w:r>
          </w:p>
        </w:tc>
        <w:tc>
          <w:tcPr>
            <w:tcW w:w="7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7"/>
              </w:rPr>
              <w:t>Net Change</w:t>
            </w:r>
          </w:p>
        </w:tc>
        <w:tc>
          <w:tcPr>
            <w:tcW w:w="20" w:type="dxa"/>
            <w:vAlign w:val="bottom"/>
          </w:tcPr>
          <w:p>
            <w:pPr>
              <w:spacing w:after="0"/>
              <w:rPr>
                <w:sz w:val="11"/>
                <w:szCs w:val="11"/>
                <w:color w:val="auto"/>
              </w:rPr>
            </w:pPr>
          </w:p>
        </w:tc>
      </w:tr>
      <w:tr>
        <w:trPr>
          <w:trHeight w:val="196"/>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Allowance balance,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5520" w:type="dxa"/>
            <w:vAlign w:val="bottom"/>
          </w:tcPr>
          <w:p>
            <w:pPr>
              <w:ind w:left="20"/>
              <w:spacing w:after="0"/>
              <w:rPr>
                <w:sz w:val="20"/>
                <w:szCs w:val="20"/>
                <w:color w:val="auto"/>
              </w:rPr>
            </w:pPr>
            <w:r>
              <w:rPr>
                <w:rFonts w:ascii="Arial" w:cs="Arial" w:eastAsia="Arial" w:hAnsi="Arial"/>
                <w:sz w:val="17"/>
                <w:szCs w:val="17"/>
                <w:color w:val="auto"/>
              </w:rPr>
              <w:t>Allowance balance, September 30</w:t>
            </w:r>
          </w:p>
        </w:tc>
        <w:tc>
          <w:tcPr>
            <w:tcW w:w="100" w:type="dxa"/>
            <w:vAlign w:val="bottom"/>
          </w:tcPr>
          <w:p>
            <w:pPr>
              <w:spacing w:after="0"/>
              <w:rPr>
                <w:sz w:val="17"/>
                <w:szCs w:val="17"/>
                <w:color w:val="auto"/>
              </w:rPr>
            </w:pPr>
          </w:p>
        </w:tc>
        <w:tc>
          <w:tcPr>
            <w:tcW w:w="700" w:type="dxa"/>
            <w:vAlign w:val="bottom"/>
            <w:gridSpan w:val="2"/>
          </w:tcPr>
          <w:p>
            <w:pPr>
              <w:jc w:val="right"/>
              <w:ind w:right="55"/>
              <w:spacing w:after="0"/>
              <w:rPr>
                <w:sz w:val="20"/>
                <w:szCs w:val="20"/>
                <w:color w:val="auto"/>
              </w:rPr>
            </w:pPr>
            <w:r>
              <w:rPr>
                <w:rFonts w:ascii="Arial" w:cs="Arial" w:eastAsia="Arial" w:hAnsi="Arial"/>
                <w:sz w:val="17"/>
                <w:szCs w:val="17"/>
                <w:color w:val="auto"/>
              </w:rPr>
              <w:t>(8,845)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55"/>
              <w:spacing w:after="0"/>
              <w:rPr>
                <w:sz w:val="20"/>
                <w:szCs w:val="20"/>
                <w:color w:val="auto"/>
              </w:rPr>
            </w:pPr>
            <w:r>
              <w:rPr>
                <w:rFonts w:ascii="Arial" w:cs="Arial" w:eastAsia="Arial" w:hAnsi="Arial"/>
                <w:sz w:val="17"/>
                <w:szCs w:val="17"/>
                <w:color w:val="auto"/>
              </w:rPr>
              <w:t>(7,567)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Change in allowance</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5520" w:type="dxa"/>
            <w:vAlign w:val="bottom"/>
          </w:tcPr>
          <w:p>
            <w:pPr>
              <w:ind w:left="20"/>
              <w:spacing w:after="0"/>
              <w:rPr>
                <w:sz w:val="20"/>
                <w:szCs w:val="20"/>
                <w:color w:val="auto"/>
              </w:rPr>
            </w:pPr>
            <w:r>
              <w:rPr>
                <w:rFonts w:ascii="Arial" w:cs="Arial" w:eastAsia="Arial" w:hAnsi="Arial"/>
                <w:sz w:val="17"/>
                <w:szCs w:val="17"/>
                <w:color w:val="auto"/>
              </w:rPr>
              <w:t>Deferred allowance balance, January 1</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6,432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5,614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allowance balance, September 30</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Change in deferred allowance</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20" w:type="dxa"/>
            <w:vAlign w:val="bottom"/>
            <w:tcBorders>
              <w:bottom w:val="single" w:sz="8" w:color="CCEEFF"/>
            </w:tcBorders>
          </w:tcPr>
          <w:p>
            <w:pPr>
              <w:spacing w:after="0"/>
              <w:rPr>
                <w:sz w:val="17"/>
                <w:szCs w:val="17"/>
                <w:color w:val="auto"/>
              </w:rPr>
            </w:pPr>
          </w:p>
        </w:tc>
      </w:tr>
      <w:tr>
        <w:trPr>
          <w:trHeight w:val="196"/>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amount charged to revenues</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portion of deferred revenue expected to be recognized in revenue beyond one year is included in deferred revenue, net of current portion in the condensed consolidated balance sheets.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tables provide information about the balances of and changes to deferred revenue for the following periods: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7"/>
              </w:rPr>
              <w:t>As of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ind w:right="362"/>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20" w:type="dxa"/>
            <w:vAlign w:val="bottom"/>
            <w:gridSpan w:val="2"/>
            <w:vMerge w:val="restart"/>
          </w:tcPr>
          <w:p>
            <w:pPr>
              <w:spacing w:after="0"/>
              <w:rPr>
                <w:sz w:val="20"/>
                <w:szCs w:val="20"/>
                <w:color w:val="auto"/>
              </w:rPr>
            </w:pPr>
            <w:r>
              <w:rPr>
                <w:rFonts w:ascii="Arial" w:cs="Arial" w:eastAsia="Arial" w:hAnsi="Arial"/>
                <w:sz w:val="17"/>
                <w:szCs w:val="17"/>
                <w:color w:val="auto"/>
              </w:rPr>
              <w:t>Balances:</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current</w:t>
            </w: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211,036</w:t>
            </w:r>
          </w:p>
        </w:tc>
        <w:tc>
          <w:tcPr>
            <w:tcW w:w="4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revenue, non-current</w:t>
            </w:r>
          </w:p>
        </w:tc>
        <w:tc>
          <w:tcPr>
            <w:tcW w:w="1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11,544</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14,702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 deferred revenue</w:t>
            </w: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222,580</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center"/>
              <w:ind w:right="10"/>
              <w:spacing w:after="0"/>
              <w:rPr>
                <w:sz w:val="20"/>
                <w:szCs w:val="20"/>
                <w:color w:val="auto"/>
              </w:rPr>
            </w:pPr>
            <w:r>
              <w:rPr>
                <w:rFonts w:ascii="Arial" w:cs="Arial" w:eastAsia="Arial" w:hAnsi="Arial"/>
                <w:sz w:val="14"/>
                <w:szCs w:val="14"/>
                <w:b w:val="1"/>
                <w:bCs w:val="1"/>
                <w:color w:val="auto"/>
                <w:w w:val="86"/>
              </w:rPr>
              <w:t>For the 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85"/>
              </w:rPr>
              <w:t>For the 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center"/>
              <w:ind w:right="5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90"/>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9"/>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20" w:type="dxa"/>
            <w:vAlign w:val="bottom"/>
            <w:gridSpan w:val="2"/>
            <w:vMerge w:val="restart"/>
          </w:tcPr>
          <w:p>
            <w:pPr>
              <w:spacing w:after="0"/>
              <w:rPr>
                <w:sz w:val="20"/>
                <w:szCs w:val="20"/>
                <w:color w:val="auto"/>
              </w:rPr>
            </w:pPr>
            <w:r>
              <w:rPr>
                <w:rFonts w:ascii="Arial" w:cs="Arial" w:eastAsia="Arial" w:hAnsi="Arial"/>
                <w:sz w:val="17"/>
                <w:szCs w:val="17"/>
                <w:color w:val="auto"/>
              </w:rPr>
              <w:t>Changes to deferred revenue:</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10"/>
              <w:spacing w:after="0"/>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7"/>
          </w:tcPr>
          <w:p>
            <w:pPr>
              <w:jc w:val="center"/>
              <w:ind w:right="519"/>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198,437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222,262</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205,791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Additional amounts deferred</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110,686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93,708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auto"/>
              </w:rPr>
              <w:t>314,210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266,870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Revenues recognized</w:t>
            </w:r>
          </w:p>
        </w:tc>
        <w:tc>
          <w:tcPr>
            <w:tcW w:w="14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(110,718)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7"/>
              </w:rPr>
              <w:t>(94,605)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8"/>
              </w:rPr>
              <w:t>(313,892)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(275,121)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ind w:left="80"/>
              <w:spacing w:after="0"/>
              <w:rPr>
                <w:sz w:val="20"/>
                <w:szCs w:val="20"/>
                <w:color w:val="auto"/>
              </w:rPr>
            </w:pPr>
            <w:r>
              <w:rPr>
                <w:rFonts w:ascii="Arial" w:cs="Arial" w:eastAsia="Arial" w:hAnsi="Arial"/>
                <w:sz w:val="17"/>
                <w:szCs w:val="17"/>
                <w:color w:val="auto"/>
              </w:rPr>
              <w:t>Ending balance</w:t>
            </w:r>
          </w:p>
        </w:tc>
        <w:tc>
          <w:tcPr>
            <w:tcW w:w="14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222,580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197,540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222,580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197,540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Contract costs</w:t>
      </w:r>
    </w:p>
    <w:p>
      <w:pPr>
        <w:spacing w:after="0" w:line="211"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provides information about the changes to contract cost balances as of and for the following periods: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For the three months ended</w:t>
            </w:r>
          </w:p>
        </w:tc>
        <w:tc>
          <w:tcPr>
            <w:tcW w:w="100" w:type="dxa"/>
            <w:vAlign w:val="bottom"/>
          </w:tcPr>
          <w:p>
            <w:pPr>
              <w:spacing w:after="0"/>
              <w:rPr>
                <w:sz w:val="14"/>
                <w:szCs w:val="14"/>
                <w:color w:val="auto"/>
              </w:rPr>
            </w:pPr>
          </w:p>
        </w:tc>
        <w:tc>
          <w:tcPr>
            <w:tcW w:w="18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For the nine months ended</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3"/>
                <w:szCs w:val="13"/>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5"/>
              <w:spacing w:after="0" w:line="133"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99"/>
              <w:spacing w:after="0" w:line="133" w:lineRule="exact"/>
              <w:rPr>
                <w:sz w:val="20"/>
                <w:szCs w:val="20"/>
                <w:color w:val="auto"/>
              </w:rPr>
            </w:pPr>
            <w:r>
              <w:rPr>
                <w:rFonts w:ascii="Arial" w:cs="Arial" w:eastAsia="Arial" w:hAnsi="Arial"/>
                <w:sz w:val="14"/>
                <w:szCs w:val="14"/>
                <w:b w:val="1"/>
                <w:bCs w:val="1"/>
                <w:color w:val="auto"/>
                <w:w w:val="76"/>
              </w:rPr>
              <w:t>2020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5"/>
              <w:spacing w:after="0" w:line="133"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99"/>
              <w:spacing w:after="0" w:line="133" w:lineRule="exact"/>
              <w:rPr>
                <w:sz w:val="20"/>
                <w:szCs w:val="20"/>
                <w:color w:val="auto"/>
              </w:rPr>
            </w:pPr>
            <w:r>
              <w:rPr>
                <w:rFonts w:ascii="Arial" w:cs="Arial" w:eastAsia="Arial" w:hAnsi="Arial"/>
                <w:sz w:val="14"/>
                <w:szCs w:val="14"/>
                <w:b w:val="1"/>
                <w:bCs w:val="1"/>
                <w:color w:val="auto"/>
                <w:w w:val="76"/>
              </w:rPr>
              <w:t>2020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center"/>
              <w:ind w:left="385"/>
              <w:spacing w:after="0" w:line="120" w:lineRule="exact"/>
              <w:rPr>
                <w:sz w:val="20"/>
                <w:szCs w:val="20"/>
                <w:color w:val="auto"/>
              </w:rPr>
            </w:pPr>
            <w:r>
              <w:rPr>
                <w:rFonts w:ascii="Arial" w:cs="Arial" w:eastAsia="Arial" w:hAnsi="Arial"/>
                <w:sz w:val="12"/>
                <w:szCs w:val="12"/>
                <w:b w:val="1"/>
                <w:bCs w:val="1"/>
                <w:color w:val="auto"/>
              </w:rPr>
              <w:t>(unaudited)</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center"/>
              <w:ind w:left="385"/>
              <w:spacing w:after="0" w:line="120" w:lineRule="exact"/>
              <w:rPr>
                <w:sz w:val="20"/>
                <w:szCs w:val="20"/>
                <w:color w:val="auto"/>
              </w:rPr>
            </w:pPr>
            <w:r>
              <w:rPr>
                <w:rFonts w:ascii="Arial" w:cs="Arial" w:eastAsia="Arial" w:hAnsi="Arial"/>
                <w:sz w:val="12"/>
                <w:szCs w:val="12"/>
                <w:b w:val="1"/>
                <w:bCs w:val="1"/>
                <w:color w:val="auto"/>
              </w:rPr>
              <w:t>(unaudited)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Beginning balance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11,545</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10,390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11,743</w:t>
            </w: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11,196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00"/>
              <w:spacing w:after="0"/>
              <w:rPr>
                <w:sz w:val="20"/>
                <w:szCs w:val="20"/>
                <w:color w:val="auto"/>
              </w:rPr>
            </w:pPr>
            <w:r>
              <w:rPr>
                <w:rFonts w:ascii="Arial" w:cs="Arial" w:eastAsia="Arial" w:hAnsi="Arial"/>
                <w:sz w:val="17"/>
                <w:szCs w:val="17"/>
                <w:color w:val="auto"/>
              </w:rPr>
              <w:t>Additions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8,059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Amortization</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(2,828)</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(1,894)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(7,219)</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(5,394)</w:t>
            </w:r>
          </w:p>
        </w:tc>
        <w:tc>
          <w:tcPr>
            <w:tcW w:w="0" w:type="dxa"/>
            <w:vAlign w:val="bottom"/>
          </w:tcPr>
          <w:p>
            <w:pPr>
              <w:spacing w:after="0"/>
              <w:rPr>
                <w:sz w:val="1"/>
                <w:szCs w:val="1"/>
                <w:color w:val="auto"/>
              </w:rPr>
            </w:pPr>
          </w:p>
        </w:tc>
      </w:tr>
      <w:tr>
        <w:trPr>
          <w:trHeight w:val="196"/>
        </w:trPr>
        <w:tc>
          <w:tcPr>
            <w:tcW w:w="2820" w:type="dxa"/>
            <w:vAlign w:val="bottom"/>
          </w:tcPr>
          <w:p>
            <w:pPr>
              <w:ind w:left="200"/>
              <w:spacing w:after="0"/>
              <w:rPr>
                <w:sz w:val="20"/>
                <w:szCs w:val="20"/>
                <w:color w:val="auto"/>
              </w:rPr>
            </w:pPr>
            <w:r>
              <w:rPr>
                <w:rFonts w:ascii="Arial" w:cs="Arial" w:eastAsia="Arial" w:hAnsi="Arial"/>
                <w:sz w:val="17"/>
                <w:szCs w:val="17"/>
                <w:color w:val="auto"/>
              </w:rPr>
              <w:t>Ending balance</w:t>
            </w:r>
          </w:p>
        </w:tc>
        <w:tc>
          <w:tcPr>
            <w:tcW w:w="2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12,583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10,372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12,583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10,372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20" w:type="dxa"/>
            <w:vAlign w:val="bottom"/>
            <w:vMerge w:val="restart"/>
          </w:tcPr>
          <w:p>
            <w:pPr>
              <w:jc w:val="right"/>
              <w:ind w:right="37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28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8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35" w:right="1440" w:bottom="1440" w:gutter="0" w:footer="0" w:header="0"/>
        </w:sectPr>
      </w:pPr>
    </w:p>
    <w:bookmarkStart w:id="19" w:name="page20"/>
    <w:bookmarkEnd w:id="1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right="6459" w:firstLine="5"/>
        <w:spacing w:after="0" w:line="501" w:lineRule="auto"/>
        <w:tabs>
          <w:tab w:leader="none" w:pos="336"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LCR-Dixon</w:t>
      </w:r>
    </w:p>
    <w:p>
      <w:pPr>
        <w:spacing w:after="0" w:line="1" w:lineRule="exact"/>
        <w:rPr>
          <w:sz w:val="20"/>
          <w:szCs w:val="20"/>
          <w:color w:val="auto"/>
        </w:rPr>
      </w:pPr>
    </w:p>
    <w:p>
      <w:pPr>
        <w:jc w:val="both"/>
        <w:ind w:left="40" w:right="59" w:firstLine="305"/>
        <w:spacing w:after="0" w:line="287" w:lineRule="auto"/>
        <w:rPr>
          <w:sz w:val="20"/>
          <w:szCs w:val="20"/>
          <w:color w:val="auto"/>
        </w:rPr>
      </w:pPr>
      <w:r>
        <w:rPr>
          <w:rFonts w:ascii="Arial" w:cs="Arial" w:eastAsia="Arial" w:hAnsi="Arial"/>
          <w:sz w:val="15"/>
          <w:szCs w:val="15"/>
          <w:color w:val="auto"/>
        </w:rPr>
        <w:t>On September 22, 2021, the Company executed a stock purchase agreement with LCR-Dixon Corporation (“LCR-Dixon”), an expert in SAP technologies and leading provider of tax intelligence solutions. LCR-Dixon’s solutions were specifically developed to improve functionality and performance for SAP indirect tax processes and are integrated with the Company’s tax determination software. The purchase price was $98,744 as of the acquisition date consisting of (i) $59,720 of cash paid at closing, partially offset by $1,899 of LCR-Dixon cash received in the acquisition resulting in net cash consideration at closing of $57,821 and (ii) non-interest bearing deferred payments aggregating $40,000 to be paid in four installments of $10,000 each every six-months beginning March 2022 and ending September 2023 (the “deferred purchase consideration”). Cash consideration was funded from available cash on hand. Management recorded the deferred purchase consideration at a preliminary fair value at the acquisition date of $39,024, net of a discount of $976 which will be recorded as interest expense over the payment period using the effective interest method. The deferred purchase consideration, net of discount, is included in current liabilities and long-term liabilities at $19,705 and $19,319, respectively, in the condensed consolidated balance sheet at September 30, 2021. The preliminary values recorded will be adjusted during the Measurement Period as more detailed analyses are performed and further information becomes available regarding the fair values of these amounts on the acquisition date.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preliminary purchase price for LCR-Dixon:</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22, 2021</w:t>
            </w: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right"/>
              <w:ind w:right="502"/>
              <w:spacing w:after="0" w:line="133"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Cash paid at closing</w:t>
            </w:r>
          </w:p>
        </w:tc>
        <w:tc>
          <w:tcPr>
            <w:tcW w:w="214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59,720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Fair value of deferred purchase consideration</w:t>
            </w:r>
          </w:p>
        </w:tc>
        <w:tc>
          <w:tcPr>
            <w:tcW w:w="1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39,024</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98,744</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68" w:lineRule="auto"/>
        <w:rPr>
          <w:sz w:val="20"/>
          <w:szCs w:val="20"/>
          <w:color w:val="auto"/>
        </w:rPr>
      </w:pPr>
      <w:r>
        <w:rPr>
          <w:rFonts w:ascii="Arial" w:cs="Arial" w:eastAsia="Arial" w:hAnsi="Arial"/>
          <w:sz w:val="16"/>
          <w:szCs w:val="16"/>
          <w:color w:val="auto"/>
        </w:rPr>
        <w:t>The Company’s accounting for the LCR-Dixon acquisition is preliminary. The purchase price is subject to purchase price adjustments related to the final determination of LCR-Dixon’s cash, net working capital, and taxes as of the acquisition date. The LCR-Dixon acquisition was accounted for as a business combination. The total preliminary purchase price was allocated to the net assets acquired based on management’s determination of their estimated fair values using available information as of the acquisition date. The preliminary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 Company expects that goodwill associated with the LCR-Dixon acquisition will not be deductible for tax purposes. The preliminary values recorded, which are reflected in the table below, will be adjusted during the Measurement Period as more detailed analyses are performed and further information becomes available regarding the fair values of these amounts on the acquisition date. The Company does not have a preliminary estimate of identifiable intangible assets as of September 30, 2021. A third-party expert has been engaged to assist in the valuation of identifiable intangible assets and deferred payments as part of the acquisition. Any subsequent adjustments to the preliminary values not associated with determination of their fair values on the acquisition date will be recorded in the condensed consolidated statements of comprehensive loss in the period in which the adjustment is identified. LCR-Dixon’s business and product offerings are being integrated into the Company’s one operating segment.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20" w:name="page21"/>
    <w:bookmarkEnd w:id="2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following table presents the allocation of the purchase price to the assets acquired and liabilities assumed as recorded in the Company’s condensed consolidated balance sheet as of the acquisition date: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22, 2021</w:t>
            </w:r>
          </w:p>
        </w:tc>
      </w:tr>
      <w:tr>
        <w:trPr>
          <w:trHeight w:val="132"/>
        </w:trPr>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right"/>
              <w:ind w:right="498"/>
              <w:spacing w:after="0" w:line="133"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1"/>
                <w:szCs w:val="11"/>
                <w:color w:val="auto"/>
              </w:rPr>
            </w:pPr>
          </w:p>
        </w:tc>
      </w:tr>
      <w:tr>
        <w:trPr>
          <w:trHeight w:val="20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w:t>
            </w:r>
          </w:p>
        </w:tc>
        <w:tc>
          <w:tcPr>
            <w:tcW w:w="160" w:type="dxa"/>
            <w:vAlign w:val="bottom"/>
            <w:shd w:val="clear" w:color="auto" w:fill="CCEEFF"/>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1,002</w:t>
            </w:r>
          </w:p>
        </w:tc>
        <w:tc>
          <w:tcPr>
            <w:tcW w:w="160" w:type="dxa"/>
            <w:vAlign w:val="bottom"/>
          </w:tcPr>
          <w:p>
            <w:pPr>
              <w:spacing w:after="0"/>
              <w:rPr>
                <w:sz w:val="17"/>
                <w:szCs w:val="17"/>
                <w:color w:val="auto"/>
              </w:rPr>
            </w:pPr>
          </w:p>
        </w:tc>
      </w:tr>
      <w:tr>
        <w:trPr>
          <w:trHeight w:val="20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60" w:type="dxa"/>
            <w:vAlign w:val="bottom"/>
            <w:shd w:val="clear" w:color="auto" w:fill="CCEEFF"/>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r>
      <w:tr>
        <w:trPr>
          <w:trHeight w:val="20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97,817</w:t>
            </w:r>
          </w:p>
        </w:tc>
        <w:tc>
          <w:tcPr>
            <w:tcW w:w="160" w:type="dxa"/>
            <w:vAlign w:val="bottom"/>
            <w:shd w:val="clear" w:color="auto" w:fill="CCEEFF"/>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Accounts payable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7"/>
                <w:szCs w:val="17"/>
                <w:color w:val="auto"/>
              </w:rPr>
            </w:pPr>
          </w:p>
        </w:tc>
      </w:tr>
      <w:tr>
        <w:trPr>
          <w:trHeight w:val="20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(438)</w:t>
            </w: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Accrued compensation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(1,796)</w:t>
            </w:r>
          </w:p>
        </w:tc>
      </w:tr>
      <w:tr>
        <w:trPr>
          <w:trHeight w:val="20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7"/>
                <w:szCs w:val="17"/>
                <w:color w:val="auto"/>
              </w:rPr>
            </w:pPr>
          </w:p>
        </w:tc>
      </w:tr>
      <w:tr>
        <w:trPr>
          <w:trHeight w:val="196"/>
        </w:trPr>
        <w:tc>
          <w:tcPr>
            <w:tcW w:w="6920" w:type="dxa"/>
            <w:vAlign w:val="bottom"/>
          </w:tcPr>
          <w:p>
            <w:pPr>
              <w:ind w:left="200"/>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98,744</w:t>
            </w:r>
          </w:p>
        </w:tc>
        <w:tc>
          <w:tcPr>
            <w:tcW w:w="16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transaction costs associated with the acquisition were not significant.</w:t>
      </w:r>
    </w:p>
    <w:p>
      <w:pPr>
        <w:spacing w:after="0" w:line="211" w:lineRule="exact"/>
        <w:rPr>
          <w:sz w:val="20"/>
          <w:szCs w:val="20"/>
          <w:color w:val="auto"/>
        </w:rPr>
      </w:pPr>
    </w:p>
    <w:p>
      <w:pPr>
        <w:jc w:val="both"/>
        <w:ind w:left="40" w:right="59" w:firstLine="305"/>
        <w:spacing w:after="0" w:line="312" w:lineRule="auto"/>
        <w:rPr>
          <w:sz w:val="20"/>
          <w:szCs w:val="20"/>
          <w:color w:val="auto"/>
        </w:rPr>
      </w:pPr>
      <w:r>
        <w:rPr>
          <w:rFonts w:ascii="Arial" w:cs="Arial" w:eastAsia="Arial" w:hAnsi="Arial"/>
          <w:sz w:val="15"/>
          <w:szCs w:val="15"/>
          <w:color w:val="auto"/>
        </w:rPr>
        <w:t>The Company has included the financial results of LCR-Dixon in the condensed consolidated statement of comprehensive loss from the date of acquisition. As the LCR-Dixon acquisition did not have a material impact on the Company’s reported revenue or net loss for the three and nine months ended September 30, 2021, pro forma financial information has not been presented.</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Taxamo</w:t>
      </w:r>
    </w:p>
    <w:p>
      <w:pPr>
        <w:spacing w:after="0" w:line="215"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On May 12, 2021, the Company acquired 95% of the outstanding equity of EVAT and its wholly owned subsidiaries (collectively “Taxamo”), a cloud-based provider of tax and payment automation for global eCommerce and marketplaces. This acquisition supports the Company’s growth strategies across eCommerce platforms and marketplaces in Europe and North America. Included in the acquisition agreement is an option to purchase from and an option for the remaining shareholder to sell the remaining 5% of the outstanding equity of EVAT (the “Option”) at a fixed amount between August and December 2021 for an estimated fair value of $10,034.</w:t>
      </w:r>
    </w:p>
    <w:p>
      <w:pPr>
        <w:spacing w:after="0" w:line="182"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The purchase price for the Taxamo acquisition was $200,689 as of the acquisition date, consisting of (i) $190,153 of cash paid at closing, partially offset by $2,662 of Taxamo’s cash received in the acquisition resulting in net cash consideration at closing of $187,491, (ii) an acquisition holdback with an estimated fair value upon acquisition of $502, and (iii) the Option. The Company recorded the estimated fair value of the Option payment amount in purchase commitment and contingent consideration liabilities, current, on the condensed consolidated balance sheet as of the acquisition date. Cash consideration was funded from available cash on hand.</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purchase price for Taxamo:</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May 12, 2021</w:t>
            </w: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ind w:right="521"/>
              <w:spacing w:after="0" w:line="133" w:lineRule="exact"/>
              <w:rPr>
                <w:sz w:val="20"/>
                <w:szCs w:val="20"/>
                <w:color w:val="auto"/>
              </w:rPr>
            </w:pPr>
            <w:r>
              <w:rPr>
                <w:rFonts w:ascii="Arial" w:cs="Arial" w:eastAsia="Arial" w:hAnsi="Arial"/>
                <w:sz w:val="14"/>
                <w:szCs w:val="14"/>
                <w:b w:val="1"/>
                <w:bCs w:val="1"/>
                <w:color w:val="auto"/>
              </w:rPr>
              <w:t>(unaudited)</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Cash paid at closing</w:t>
            </w:r>
          </w:p>
        </w:tc>
        <w:tc>
          <w:tcPr>
            <w:tcW w:w="320" w:type="dxa"/>
            <w:vAlign w:val="bottom"/>
            <w:gridSpan w:val="2"/>
            <w:shd w:val="clear" w:color="auto" w:fill="CCEEFF"/>
          </w:tcPr>
          <w:p>
            <w:pPr>
              <w:jc w:val="right"/>
              <w:ind w:right="19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190,153</w:t>
            </w:r>
          </w:p>
        </w:tc>
      </w:tr>
      <w:tr>
        <w:trPr>
          <w:trHeight w:val="203"/>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Fair value of acquisition holdback</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502</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the Option</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10,034</w:t>
            </w:r>
          </w:p>
        </w:tc>
      </w:tr>
      <w:tr>
        <w:trPr>
          <w:trHeight w:val="196"/>
        </w:trPr>
        <w:tc>
          <w:tcPr>
            <w:tcW w:w="20" w:type="dxa"/>
            <w:vAlign w:val="bottom"/>
          </w:tcPr>
          <w:p>
            <w:pPr>
              <w:spacing w:after="0"/>
              <w:rPr>
                <w:sz w:val="17"/>
                <w:szCs w:val="17"/>
                <w:color w:val="auto"/>
              </w:rPr>
            </w:pPr>
          </w:p>
        </w:tc>
        <w:tc>
          <w:tcPr>
            <w:tcW w:w="7040" w:type="dxa"/>
            <w:vAlign w:val="bottom"/>
          </w:tcPr>
          <w:p>
            <w:pPr>
              <w:ind w:left="180"/>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200,689</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On August 19, 2021, the Company acquired the remaining 5% equity interest of EVAT for $10,034 through exercise of the Option, giving the Company 100% of the outstanding equity interest of EVAT. The acquisition holdback estimated fair value of $478 is included in purchase commitment and contingent consideration liabilities, current in the condensed consolidated balance sheet as of September 30, 2021.</w:t>
      </w:r>
    </w:p>
    <w:p>
      <w:pPr>
        <w:spacing w:after="0" w:line="179" w:lineRule="exact"/>
        <w:rPr>
          <w:sz w:val="20"/>
          <w:szCs w:val="20"/>
          <w:color w:val="auto"/>
        </w:rPr>
      </w:pPr>
    </w:p>
    <w:p>
      <w:pPr>
        <w:jc w:val="both"/>
        <w:ind w:left="40" w:right="59" w:firstLine="305"/>
        <w:spacing w:after="0" w:line="305" w:lineRule="auto"/>
        <w:rPr>
          <w:sz w:val="20"/>
          <w:szCs w:val="20"/>
          <w:color w:val="auto"/>
        </w:rPr>
      </w:pPr>
      <w:r>
        <w:rPr>
          <w:rFonts w:ascii="Arial" w:cs="Arial" w:eastAsia="Arial" w:hAnsi="Arial"/>
          <w:sz w:val="16"/>
          <w:szCs w:val="16"/>
          <w:color w:val="auto"/>
        </w:rPr>
        <w:t>The Company’s accounting for the Taxamo acquisition is preliminary. The purchase price is subject to purchase price adjustments related to the final determination of Taxamo’s cash, net working capital, and taxes as of May 12, 2021. The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21" w:name="page22"/>
    <w:bookmarkEnd w:id="2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6"/>
          <w:szCs w:val="16"/>
          <w:color w:val="auto"/>
        </w:rPr>
        <w:t>Taxamo acquisition was accounted for as a business combination. The total preliminary purchase price was allocated to the net assets acquired based on management’s determination of their estimated fair values using available information as of the acquisition date. The preliminary value of the excess of purchase consideration over the net assets acquired was recorded as goodwill, which reflects the value of intangible assets not recognized under U.S. GAAP such as the value of expected future synergies, the value of the assembled workforce and other market factors. The Company expects that goodwill associated with the Taxamo acquisition will not be deductible for tax purposes. The preliminary values recorded will be adjusted during the Measurement Period as more detailed analyses are performed and further information becomes available regarding the fair values of these amounts on the acquisition date. Adjustments identified to date during the Measurement Period based on additional information obtained include increases in property and equipment of $40,746 for acquired developed technology and other intangibles of $1,581 for customer relationships and trade name assets (collectively, the “identifiable intangibles”), and various other adjustments resulting in a net reduction to goodwill of $37,131. Subsequent adjustments to the preliminary values of the net assets acquired after the end of the Measurement Period will be recorded in the condensed consolidated statements of comprehensive loss in the period in which the adjustment is identified. Taxamo’s business and product offerings are being integrated into the Company’s one operating segment.</w:t>
      </w:r>
    </w:p>
    <w:p>
      <w:pPr>
        <w:spacing w:after="0" w:line="173"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following table presents the preliminary adjusted purchase price allocation of the assets acquired and liabilities assumed as recorded in the Company’s condensed consolidated balance sheet as of the acquisition date with Measurement Period adjustments through September 30, 2021:</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Preliminary Unadjusted</w:t>
            </w:r>
          </w:p>
        </w:tc>
        <w:tc>
          <w:tcPr>
            <w:tcW w:w="8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Measurement Period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Preliminary Adjusted</w:t>
            </w:r>
          </w:p>
        </w:tc>
      </w:tr>
      <w:tr>
        <w:trPr>
          <w:trHeight w:val="160"/>
        </w:trPr>
        <w:tc>
          <w:tcPr>
            <w:tcW w:w="3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May 12, 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May 12, 2021</w:t>
            </w:r>
          </w:p>
        </w:tc>
      </w:tr>
      <w:tr>
        <w:trPr>
          <w:trHeight w:val="132"/>
        </w:trPr>
        <w:tc>
          <w:tcPr>
            <w:tcW w:w="3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c>
          <w:tcPr>
            <w:tcW w:w="20" w:type="dxa"/>
            <w:vAlign w:val="bottom"/>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7"/>
                <w:szCs w:val="17"/>
                <w:color w:val="auto"/>
              </w:rPr>
              <w:t>Funds held for customers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221</w:t>
            </w:r>
          </w:p>
        </w:tc>
        <w:tc>
          <w:tcPr>
            <w:tcW w:w="20" w:type="dxa"/>
            <w:vAlign w:val="bottom"/>
          </w:tcPr>
          <w:p>
            <w:pPr>
              <w:spacing w:after="0"/>
              <w:rPr>
                <w:sz w:val="17"/>
                <w:szCs w:val="17"/>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(5,278)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2,505</w:t>
            </w:r>
          </w:p>
        </w:tc>
        <w:tc>
          <w:tcPr>
            <w:tcW w:w="20" w:type="dxa"/>
            <w:vAlign w:val="bottom"/>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908</w:t>
            </w:r>
          </w:p>
        </w:tc>
        <w:tc>
          <w:tcPr>
            <w:tcW w:w="20" w:type="dxa"/>
            <w:vAlign w:val="bottom"/>
          </w:tcPr>
          <w:p>
            <w:pPr>
              <w:spacing w:after="0"/>
              <w:rPr>
                <w:sz w:val="17"/>
                <w:szCs w:val="17"/>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40,792</w:t>
            </w:r>
          </w:p>
        </w:tc>
        <w:tc>
          <w:tcPr>
            <w:tcW w:w="20" w:type="dxa"/>
            <w:vAlign w:val="bottom"/>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7"/>
                <w:szCs w:val="17"/>
                <w:color w:val="auto"/>
              </w:rPr>
              <w:t>Goodwill</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201,580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(37,131)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164,449</w:t>
            </w:r>
          </w:p>
        </w:tc>
        <w:tc>
          <w:tcPr>
            <w:tcW w:w="20" w:type="dxa"/>
            <w:vAlign w:val="bottom"/>
          </w:tcPr>
          <w:p>
            <w:pPr>
              <w:spacing w:after="0"/>
              <w:rPr>
                <w:sz w:val="17"/>
                <w:szCs w:val="17"/>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w:t>
            </w:r>
          </w:p>
        </w:tc>
        <w:tc>
          <w:tcPr>
            <w:tcW w:w="20" w:type="dxa"/>
            <w:vAlign w:val="bottom"/>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7"/>
                <w:szCs w:val="17"/>
                <w:color w:val="auto"/>
              </w:rPr>
              <w:t>Accounts payable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(304)</w:t>
            </w:r>
          </w:p>
        </w:tc>
        <w:tc>
          <w:tcPr>
            <w:tcW w:w="20" w:type="dxa"/>
            <w:vAlign w:val="bottom"/>
          </w:tcPr>
          <w:p>
            <w:pPr>
              <w:spacing w:after="0"/>
              <w:rPr>
                <w:sz w:val="17"/>
                <w:szCs w:val="17"/>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20" w:type="dxa"/>
            <w:vAlign w:val="bottom"/>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7"/>
                <w:szCs w:val="17"/>
                <w:color w:val="auto"/>
              </w:rPr>
              <w:t>Accrued compensation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(3,939)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(3,939)</w:t>
            </w:r>
          </w:p>
        </w:tc>
        <w:tc>
          <w:tcPr>
            <w:tcW w:w="20" w:type="dxa"/>
            <w:vAlign w:val="bottom"/>
          </w:tcPr>
          <w:p>
            <w:pPr>
              <w:spacing w:after="0"/>
              <w:rPr>
                <w:sz w:val="17"/>
                <w:szCs w:val="17"/>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(2,196)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20" w:type="dxa"/>
            <w:vAlign w:val="bottom"/>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Arial" w:cs="Arial" w:eastAsia="Arial" w:hAnsi="Arial"/>
                <w:sz w:val="17"/>
                <w:szCs w:val="17"/>
                <w:color w:val="auto"/>
              </w:rPr>
              <w:t>Deferred other income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(1,432)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3"/>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Deferred other liabilities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(4,374)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(4,374)</w:t>
            </w:r>
          </w:p>
        </w:tc>
        <w:tc>
          <w:tcPr>
            <w:tcW w:w="20" w:type="dxa"/>
            <w:vAlign w:val="bottom"/>
          </w:tcPr>
          <w:p>
            <w:pPr>
              <w:spacing w:after="0"/>
              <w:rPr>
                <w:sz w:val="17"/>
                <w:szCs w:val="17"/>
                <w:color w:val="auto"/>
              </w:rPr>
            </w:pPr>
          </w:p>
        </w:tc>
      </w:tr>
      <w:tr>
        <w:trPr>
          <w:trHeight w:val="196"/>
        </w:trPr>
        <w:tc>
          <w:tcPr>
            <w:tcW w:w="3480" w:type="dxa"/>
            <w:vAlign w:val="bottom"/>
          </w:tcPr>
          <w:p>
            <w:pPr>
              <w:ind w:left="200"/>
              <w:spacing w:after="0"/>
              <w:rPr>
                <w:sz w:val="20"/>
                <w:szCs w:val="20"/>
                <w:color w:val="auto"/>
              </w:rPr>
            </w:pPr>
            <w:r>
              <w:rPr>
                <w:rFonts w:ascii="Arial" w:cs="Arial" w:eastAsia="Arial" w:hAnsi="Arial"/>
                <w:sz w:val="17"/>
                <w:szCs w:val="17"/>
                <w:color w:val="auto"/>
              </w:rPr>
              <w:t>Total</w:t>
            </w:r>
          </w:p>
        </w:tc>
        <w:tc>
          <w:tcPr>
            <w:tcW w:w="7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200,689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200,689</w:t>
            </w:r>
          </w:p>
        </w:tc>
        <w:tc>
          <w:tcPr>
            <w:tcW w:w="20" w:type="dxa"/>
            <w:vAlign w:val="bottom"/>
          </w:tcPr>
          <w:p>
            <w:pPr>
              <w:spacing w:after="0"/>
              <w:rPr>
                <w:sz w:val="17"/>
                <w:szCs w:val="17"/>
                <w:color w:val="auto"/>
              </w:rPr>
            </w:pPr>
          </w:p>
        </w:tc>
      </w:tr>
      <w:tr>
        <w:trPr>
          <w:trHeight w:val="20"/>
        </w:trPr>
        <w:tc>
          <w:tcPr>
            <w:tcW w:w="3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preliminary fair value, valuation methodologies, estimated useful lives, and significant assumptions of the identifiable intangibles acquired in the Taxamo acquisition are summarized in the table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May 12, 2021</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rPr>
              <w:t>Fair</w:t>
            </w: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rPr>
              <w:t>Estimated</w:t>
            </w:r>
          </w:p>
        </w:tc>
        <w:tc>
          <w:tcPr>
            <w:tcW w:w="760" w:type="dxa"/>
            <w:vAlign w:val="bottom"/>
          </w:tcPr>
          <w:p>
            <w:pPr>
              <w:jc w:val="right"/>
              <w:ind w:right="143"/>
              <w:spacing w:after="0" w:line="113" w:lineRule="exact"/>
              <w:rPr>
                <w:sz w:val="20"/>
                <w:szCs w:val="20"/>
                <w:color w:val="auto"/>
              </w:rPr>
            </w:pPr>
            <w:r>
              <w:rPr>
                <w:rFonts w:ascii="Arial" w:cs="Arial" w:eastAsia="Arial" w:hAnsi="Arial"/>
                <w:sz w:val="12"/>
                <w:szCs w:val="12"/>
                <w:b w:val="1"/>
                <w:bCs w:val="1"/>
                <w:color w:val="auto"/>
              </w:rPr>
              <w:t>Discount</w:t>
            </w:r>
          </w:p>
        </w:tc>
        <w:tc>
          <w:tcPr>
            <w:tcW w:w="0" w:type="dxa"/>
            <w:vAlign w:val="bottom"/>
          </w:tcPr>
          <w:p>
            <w:pPr>
              <w:spacing w:after="0"/>
              <w:rPr>
                <w:sz w:val="1"/>
                <w:szCs w:val="1"/>
                <w:color w:val="auto"/>
              </w:rPr>
            </w:pPr>
          </w:p>
        </w:tc>
      </w:tr>
      <w:tr>
        <w:trPr>
          <w:trHeight w:val="160"/>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w w:val="99"/>
              </w:rPr>
              <w:t>Taxamo Identifiable Intangibles</w:t>
            </w:r>
          </w:p>
        </w:tc>
        <w:tc>
          <w:tcPr>
            <w:tcW w:w="2200" w:type="dxa"/>
            <w:vAlign w:val="bottom"/>
            <w:gridSpan w:val="2"/>
          </w:tcPr>
          <w:p>
            <w:pPr>
              <w:ind w:left="18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Valuation Methodology</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Useful Life</w:t>
            </w:r>
          </w:p>
        </w:tc>
        <w:tc>
          <w:tcPr>
            <w:tcW w:w="760" w:type="dxa"/>
            <w:vAlign w:val="bottom"/>
          </w:tcPr>
          <w:p>
            <w:pPr>
              <w:jc w:val="right"/>
              <w:ind w:right="263"/>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200" w:type="dxa"/>
            <w:vAlign w:val="bottom"/>
            <w:gridSpan w:val="2"/>
            <w:vMerge w:val="restart"/>
            <w:shd w:val="clear" w:color="auto" w:fill="CCEEFF"/>
          </w:tcPr>
          <w:p>
            <w:pPr>
              <w:ind w:left="180"/>
              <w:spacing w:after="0"/>
              <w:rPr>
                <w:sz w:val="20"/>
                <w:szCs w:val="20"/>
                <w:color w:val="auto"/>
              </w:rPr>
            </w:pPr>
            <w:r>
              <w:rPr>
                <w:rFonts w:ascii="Arial" w:cs="Arial" w:eastAsia="Arial" w:hAnsi="Arial"/>
                <w:sz w:val="17"/>
                <w:szCs w:val="17"/>
                <w:color w:val="auto"/>
                <w:w w:val="93"/>
              </w:rPr>
              <w:t>Property and equipment, net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line="184" w:lineRule="exact"/>
              <w:rPr>
                <w:sz w:val="20"/>
                <w:szCs w:val="20"/>
                <w:color w:val="auto"/>
              </w:rPr>
            </w:pPr>
            <w:r>
              <w:rPr>
                <w:rFonts w:ascii="Arial" w:cs="Arial" w:eastAsia="Arial" w:hAnsi="Arial"/>
                <w:sz w:val="17"/>
                <w:szCs w:val="17"/>
                <w:color w:val="auto"/>
                <w:w w:val="92"/>
              </w:rPr>
              <w:t>Multi-period excess</w:t>
            </w:r>
          </w:p>
        </w:tc>
        <w:tc>
          <w:tcPr>
            <w:tcW w:w="160" w:type="dxa"/>
            <w:vAlign w:val="bottom"/>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2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9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7"/>
                <w:szCs w:val="17"/>
                <w:color w:val="auto"/>
                <w:w w:val="89"/>
              </w:rPr>
              <w:t>earnings method - income</w:t>
            </w: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vMerge w:val="continue"/>
            <w:shd w:val="clear" w:color="auto" w:fill="CCEEFF"/>
          </w:tcPr>
          <w:p>
            <w:pPr>
              <w:spacing w:after="0"/>
              <w:rPr>
                <w:sz w:val="8"/>
                <w:szCs w:val="8"/>
                <w:color w:val="auto"/>
              </w:rPr>
            </w:pPr>
          </w:p>
        </w:tc>
        <w:tc>
          <w:tcPr>
            <w:tcW w:w="2200" w:type="dxa"/>
            <w:vAlign w:val="bottom"/>
            <w:gridSpan w:val="2"/>
            <w:vMerge w:val="restart"/>
            <w:shd w:val="clear" w:color="auto" w:fill="CCEEFF"/>
          </w:tcPr>
          <w:p>
            <w:pPr>
              <w:ind w:left="180"/>
              <w:spacing w:after="0"/>
              <w:rPr>
                <w:sz w:val="20"/>
                <w:szCs w:val="20"/>
                <w:color w:val="auto"/>
              </w:rPr>
            </w:pPr>
            <w:r>
              <w:rPr>
                <w:rFonts w:ascii="Arial" w:cs="Arial" w:eastAsia="Arial" w:hAnsi="Arial"/>
                <w:sz w:val="17"/>
                <w:szCs w:val="17"/>
                <w:color w:val="auto"/>
              </w:rPr>
              <w:t>(Note 5)</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980" w:type="dxa"/>
            <w:vAlign w:val="bottom"/>
            <w:gridSpan w:val="2"/>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2200" w:type="dxa"/>
            <w:vAlign w:val="bottom"/>
            <w:gridSpan w:val="2"/>
            <w:vMerge w:val="continue"/>
            <w:shd w:val="clear" w:color="auto" w:fill="CCEEFF"/>
          </w:tcPr>
          <w:p>
            <w:pPr>
              <w:spacing w:after="0"/>
              <w:rPr>
                <w:sz w:val="9"/>
                <w:szCs w:val="9"/>
                <w:color w:val="auto"/>
              </w:rPr>
            </w:pP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40,746</w:t>
            </w:r>
          </w:p>
        </w:tc>
        <w:tc>
          <w:tcPr>
            <w:tcW w:w="180" w:type="dxa"/>
            <w:vAlign w:val="bottom"/>
            <w:shd w:val="clear" w:color="auto" w:fill="CCEEFF"/>
          </w:tcPr>
          <w:p>
            <w:pPr>
              <w:spacing w:after="0"/>
              <w:rPr>
                <w:sz w:val="9"/>
                <w:szCs w:val="9"/>
                <w:color w:val="auto"/>
              </w:rPr>
            </w:pPr>
          </w:p>
        </w:tc>
        <w:tc>
          <w:tcPr>
            <w:tcW w:w="198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7"/>
                <w:szCs w:val="17"/>
                <w:color w:val="auto"/>
                <w:w w:val="87"/>
              </w:rPr>
              <w:t>approach</w:t>
            </w: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7"/>
                <w:szCs w:val="17"/>
                <w:color w:val="auto"/>
                <w:w w:val="89"/>
              </w:rPr>
              <w:t>3 years</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30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9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0" w:type="dxa"/>
            <w:vAlign w:val="bottom"/>
            <w:gridSpan w:val="2"/>
            <w:vMerge w:val="restart"/>
          </w:tcPr>
          <w:p>
            <w:pPr>
              <w:ind w:left="180"/>
              <w:spacing w:after="0"/>
              <w:rPr>
                <w:sz w:val="20"/>
                <w:szCs w:val="20"/>
                <w:color w:val="auto"/>
              </w:rPr>
            </w:pPr>
            <w:r>
              <w:rPr>
                <w:rFonts w:ascii="Arial" w:cs="Arial" w:eastAsia="Arial" w:hAnsi="Arial"/>
                <w:sz w:val="17"/>
                <w:szCs w:val="17"/>
                <w:color w:val="auto"/>
              </w:rPr>
              <w:t>Goodwill and other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160"/>
              <w:spacing w:after="0" w:line="191" w:lineRule="exact"/>
              <w:rPr>
                <w:sz w:val="20"/>
                <w:szCs w:val="20"/>
                <w:color w:val="auto"/>
              </w:rPr>
            </w:pPr>
            <w:r>
              <w:rPr>
                <w:rFonts w:ascii="Arial" w:cs="Arial" w:eastAsia="Arial" w:hAnsi="Arial"/>
                <w:sz w:val="17"/>
                <w:szCs w:val="17"/>
                <w:color w:val="auto"/>
                <w:w w:val="94"/>
              </w:rPr>
              <w:t>Relief from royalty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100" w:type="dxa"/>
            <w:vAlign w:val="bottom"/>
            <w:gridSpan w:val="2"/>
            <w:vMerge w:val="restart"/>
          </w:tcPr>
          <w:p>
            <w:pPr>
              <w:spacing w:after="0"/>
              <w:rPr>
                <w:sz w:val="20"/>
                <w:szCs w:val="20"/>
                <w:color w:val="auto"/>
              </w:rPr>
            </w:pPr>
            <w:r>
              <w:rPr>
                <w:rFonts w:ascii="Arial" w:cs="Arial" w:eastAsia="Arial" w:hAnsi="Arial"/>
                <w:sz w:val="17"/>
                <w:szCs w:val="17"/>
                <w:color w:val="auto"/>
              </w:rPr>
              <w:t>Trade name</w:t>
            </w:r>
          </w:p>
        </w:tc>
        <w:tc>
          <w:tcPr>
            <w:tcW w:w="2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89"/>
              </w:rPr>
              <w:t>method -</w:t>
            </w: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00" w:type="dxa"/>
            <w:vAlign w:val="bottom"/>
            <w:gridSpan w:val="2"/>
            <w:vMerge w:val="continue"/>
          </w:tcPr>
          <w:p>
            <w:pPr>
              <w:spacing w:after="0"/>
              <w:rPr>
                <w:sz w:val="8"/>
                <w:szCs w:val="8"/>
                <w:color w:val="auto"/>
              </w:rPr>
            </w:pPr>
          </w:p>
        </w:tc>
        <w:tc>
          <w:tcPr>
            <w:tcW w:w="2200" w:type="dxa"/>
            <w:vAlign w:val="bottom"/>
            <w:gridSpan w:val="2"/>
            <w:vMerge w:val="restart"/>
          </w:tcPr>
          <w:p>
            <w:pPr>
              <w:ind w:left="180"/>
              <w:spacing w:after="0"/>
              <w:rPr>
                <w:sz w:val="20"/>
                <w:szCs w:val="20"/>
                <w:color w:val="auto"/>
              </w:rPr>
            </w:pPr>
            <w:r>
              <w:rPr>
                <w:rFonts w:ascii="Arial" w:cs="Arial" w:eastAsia="Arial" w:hAnsi="Arial"/>
                <w:sz w:val="17"/>
                <w:szCs w:val="17"/>
                <w:color w:val="auto"/>
              </w:rPr>
              <w:t>intangible assets (Note 8)</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608</w:t>
            </w:r>
          </w:p>
        </w:tc>
        <w:tc>
          <w:tcPr>
            <w:tcW w:w="180" w:type="dxa"/>
            <w:vAlign w:val="bottom"/>
          </w:tcPr>
          <w:p>
            <w:pPr>
              <w:spacing w:after="0"/>
              <w:rPr>
                <w:sz w:val="9"/>
                <w:szCs w:val="9"/>
                <w:color w:val="auto"/>
              </w:rPr>
            </w:pP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88"/>
              </w:rPr>
              <w:t>income approach</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89"/>
              </w:rPr>
              <w:t>2 years</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20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7"/>
                <w:szCs w:val="17"/>
                <w:color w:val="auto"/>
              </w:rPr>
              <w:t>Goodwill and other</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center"/>
              <w:ind w:right="180"/>
              <w:spacing w:after="0" w:line="191" w:lineRule="exact"/>
              <w:rPr>
                <w:sz w:val="20"/>
                <w:szCs w:val="20"/>
                <w:color w:val="auto"/>
              </w:rPr>
            </w:pPr>
            <w:r>
              <w:rPr>
                <w:rFonts w:ascii="Arial" w:cs="Arial" w:eastAsia="Arial" w:hAnsi="Arial"/>
                <w:sz w:val="17"/>
                <w:szCs w:val="17"/>
                <w:color w:val="auto"/>
                <w:w w:val="93"/>
              </w:rPr>
              <w:t>Distributor method -</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80" w:type="dxa"/>
            <w:vAlign w:val="bottom"/>
            <w:vMerge w:val="continue"/>
            <w:shd w:val="clear" w:color="auto" w:fill="CCEEFF"/>
          </w:tcPr>
          <w:p>
            <w:pPr>
              <w:spacing w:after="0"/>
              <w:rPr>
                <w:sz w:val="9"/>
                <w:szCs w:val="9"/>
                <w:color w:val="auto"/>
              </w:rPr>
            </w:pPr>
          </w:p>
        </w:tc>
        <w:tc>
          <w:tcPr>
            <w:tcW w:w="2200" w:type="dxa"/>
            <w:vAlign w:val="bottom"/>
            <w:gridSpan w:val="2"/>
            <w:vMerge w:val="restart"/>
            <w:shd w:val="clear" w:color="auto" w:fill="CCEEFF"/>
          </w:tcPr>
          <w:p>
            <w:pPr>
              <w:ind w:left="180"/>
              <w:spacing w:after="0"/>
              <w:rPr>
                <w:sz w:val="20"/>
                <w:szCs w:val="20"/>
                <w:color w:val="auto"/>
              </w:rPr>
            </w:pPr>
            <w:r>
              <w:rPr>
                <w:rFonts w:ascii="Arial" w:cs="Arial" w:eastAsia="Arial" w:hAnsi="Arial"/>
                <w:sz w:val="17"/>
                <w:szCs w:val="17"/>
                <w:color w:val="auto"/>
              </w:rPr>
              <w:t>intangible assets (Note 8)</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973</w:t>
            </w:r>
          </w:p>
        </w:tc>
        <w:tc>
          <w:tcPr>
            <w:tcW w:w="180" w:type="dxa"/>
            <w:vAlign w:val="bottom"/>
            <w:shd w:val="clear" w:color="auto" w:fill="CCEEFF"/>
          </w:tcPr>
          <w:p>
            <w:pPr>
              <w:spacing w:after="0"/>
              <w:rPr>
                <w:sz w:val="9"/>
                <w:szCs w:val="9"/>
                <w:color w:val="auto"/>
              </w:rPr>
            </w:pPr>
          </w:p>
        </w:tc>
        <w:tc>
          <w:tcPr>
            <w:tcW w:w="19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7"/>
                <w:szCs w:val="17"/>
                <w:color w:val="auto"/>
                <w:w w:val="88"/>
              </w:rPr>
              <w:t>income approach</w:t>
            </w: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7"/>
                <w:szCs w:val="17"/>
                <w:color w:val="auto"/>
                <w:w w:val="89"/>
              </w:rPr>
              <w:t>2 years</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200" w:type="dxa"/>
            <w:vAlign w:val="bottom"/>
            <w:gridSpan w:val="2"/>
            <w:vMerge w:val="continue"/>
            <w:shd w:val="clear" w:color="auto" w:fill="CCEEFF"/>
          </w:tcPr>
          <w:p>
            <w:pPr>
              <w:spacing w:after="0"/>
              <w:rPr>
                <w:sz w:val="8"/>
                <w:szCs w:val="8"/>
                <w:color w:val="auto"/>
              </w:rPr>
            </w:pPr>
          </w:p>
        </w:tc>
        <w:tc>
          <w:tcPr>
            <w:tcW w:w="30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9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05"/>
        <w:spacing w:after="0" w:line="305" w:lineRule="auto"/>
        <w:rPr>
          <w:sz w:val="20"/>
          <w:szCs w:val="20"/>
          <w:color w:val="auto"/>
        </w:rPr>
      </w:pPr>
      <w:r>
        <w:rPr>
          <w:rFonts w:ascii="Arial" w:cs="Arial" w:eastAsia="Arial" w:hAnsi="Arial"/>
          <w:sz w:val="16"/>
          <w:szCs w:val="16"/>
          <w:color w:val="auto"/>
        </w:rPr>
        <w:t>The Company has included the financial results of Taxamo in the condensed consolidated statement of comprehensive loss from the date of acquisition. Taxamo total revenues and net loss for the three months ended September 30, 2021</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22" w:name="page23"/>
    <w:bookmarkEnd w:id="2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94" w:lineRule="auto"/>
        <w:rPr>
          <w:sz w:val="20"/>
          <w:szCs w:val="20"/>
          <w:color w:val="auto"/>
        </w:rPr>
      </w:pPr>
      <w:r>
        <w:rPr>
          <w:rFonts w:ascii="Arial" w:cs="Arial" w:eastAsia="Arial" w:hAnsi="Arial"/>
          <w:sz w:val="15"/>
          <w:szCs w:val="15"/>
          <w:color w:val="auto"/>
        </w:rPr>
        <w:t>reflected in the condensed consolidated statement of comprehensive loss was $2,166 and $(6,419), respectively. Taxamo total revenues and net loss from the date of the Taxamo acquisition through September 30, 2021, reflected in the consolidated statement of comprehensive loss was $2,727, and $(6,814), respectively. Net loss for Taxamo includes depreciation expense for developed technology and amortization expense for other intangibles of $5,217 for the three and nine months ended September 30, 2021. If the business combination had occurred as of January 1, 2021, Taxamo financial results would have increased the Company’s total revenues and net loss excluding transaction costs by $2,816 and $(3,559), respectively through the acquisition date.</w:t>
      </w:r>
    </w:p>
    <w:p>
      <w:pPr>
        <w:spacing w:after="0" w:line="15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transaction costs associated with the acquisition were $4,522 and are recorded in other operating expense (income), net, for the nine months ended September 30, 2021.</w:t>
      </w:r>
    </w:p>
    <w:p>
      <w:pPr>
        <w:spacing w:after="0" w:line="16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Company assumed certain liabilities in the acquisition of Taxamo, including deferred revenue with a fair value of $2,196 million, using a cost-plus profit approach. The Company is amortizing the acquired deferred revenue at its fair value over the period for which it is incurring costs to support the assumed customer obligations.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Tellutax</w:t>
      </w:r>
    </w:p>
    <w:p>
      <w:pPr>
        <w:spacing w:after="0" w:line="215"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On January 25, 2021, the Company executed an Asset Purchase Agreement with Tellutax LLC, a Portland, Oregon-based edge computing technology startup (“Tellutax”), to acquire substantially all of Tellutax’s assets (the “Tellutax acquisition”). Cash consideration paid for the acquisition was $6,100, funded through cash on hand, and serves to strengthen the Company’s technology roadmap and hybrid cloud strategy enabling it to better serve customers in an increasingly hyper-connected environment. The Tellutax acquisition entitles the sellers to contingent consideration if sales targets are met during a period of time following the acquisition.</w:t>
      </w:r>
    </w:p>
    <w:p>
      <w:pPr>
        <w:spacing w:after="0" w:line="182"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The Tellutax acquisition was accounted for as a business combination. The total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value of expected future synergies, the existence of intangible assets not recognized under U.S. GAAP such as the value of the assembled workforce and other market factors. The Company expects that goodwill associated with the Tellutax acquisition will be deductible for tax purposes. The fair values of these amounts on the acquisition date, which are reflected in the table below, have been finalized. Any subsequent adjustments to these values will be recorded in the condensed consolidated statements of comprehensive loss in the period in which the adjustment is identified.</w:t>
      </w:r>
    </w:p>
    <w:p>
      <w:pPr>
        <w:spacing w:after="0" w:line="174"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The purchase price for the Tellutax acquisition included cash paid at closing plus an estimated fair value of contingent consideration of $2,200 (the “Tellutax Contingent Consideration”) as of January 25, 2021. The following table presents the final purchase price allocation recorded in the condensed consolidated balance sheet as of the acquisition date:</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January 25, 2021</w:t>
            </w: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jc w:val="right"/>
              <w:ind w:right="522"/>
              <w:spacing w:after="0" w:line="133" w:lineRule="exact"/>
              <w:rPr>
                <w:sz w:val="20"/>
                <w:szCs w:val="20"/>
                <w:color w:val="auto"/>
              </w:rPr>
            </w:pPr>
            <w:r>
              <w:rPr>
                <w:rFonts w:ascii="Arial" w:cs="Arial" w:eastAsia="Arial" w:hAnsi="Arial"/>
                <w:sz w:val="14"/>
                <w:szCs w:val="14"/>
                <w:b w:val="1"/>
                <w:bCs w:val="1"/>
                <w:color w:val="auto"/>
              </w:rPr>
              <w:t>(unaudited)</w:t>
            </w: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 - developed technology</w:t>
            </w:r>
          </w:p>
        </w:tc>
        <w:tc>
          <w:tcPr>
            <w:tcW w:w="2280" w:type="dxa"/>
            <w:vAlign w:val="bottom"/>
            <w:gridSpan w:val="2"/>
            <w:shd w:val="clear" w:color="auto" w:fill="CCEEFF"/>
          </w:tcPr>
          <w:p>
            <w:pPr>
              <w:jc w:val="right"/>
              <w:ind w:right="106"/>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2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4,700</w:t>
            </w: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8,300</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312" w:lineRule="auto"/>
        <w:rPr>
          <w:sz w:val="20"/>
          <w:szCs w:val="20"/>
          <w:color w:val="auto"/>
        </w:rPr>
      </w:pPr>
      <w:r>
        <w:rPr>
          <w:rFonts w:ascii="Arial" w:cs="Arial" w:eastAsia="Arial" w:hAnsi="Arial"/>
          <w:sz w:val="15"/>
          <w:szCs w:val="15"/>
          <w:color w:val="auto"/>
        </w:rPr>
        <w:t>The Company has included the financial results of Tellutax in the condensed consolidated statement of comprehensive loss from the date of acquisition. As the Tellutax acquisition did not have a material impact on the Company’s reported revenue or net loss for the three and nine months ended September 30, 2021, pro forma financial information has not been presented.</w:t>
      </w:r>
    </w:p>
    <w:p>
      <w:pPr>
        <w:spacing w:after="0" w:line="140"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The fair value of developed technology was valued using the multi-period excess earnings method, which is a variation of the income approach. This method estimates an intangible asset’s value based on the present value of the incremental after-tax cash flows attributable to the intangible asset. The significant assumptions used in the developed technology valuation included forecasted results and discount rate.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23" w:name="page24"/>
    <w:bookmarkEnd w:id="2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 The estimated fair value of the Tellutax Contingent Consideration recorded as of the acquisition date was $2,200. See Note 4 for information on recurring fair value adjustments after the acquisition date.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Systax</w:t>
      </w:r>
    </w:p>
    <w:p>
      <w:pPr>
        <w:spacing w:after="0" w:line="215"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On January 7, 2020, the Company acquired a 60% controlling interest in Systax, a provider of Brazilian transaction tax content and software. Cash consideration for the purchase was $12,374. This acquisition provided the Company with full access to a sizeable database of Brazilian tax content that is critical to supporting its global multi-national customers’ business expansion into Brazil.</w:t>
      </w:r>
    </w:p>
    <w:p>
      <w:pPr>
        <w:spacing w:after="0" w:line="179" w:lineRule="exact"/>
        <w:rPr>
          <w:sz w:val="20"/>
          <w:szCs w:val="20"/>
          <w:color w:val="auto"/>
        </w:rPr>
      </w:pPr>
    </w:p>
    <w:p>
      <w:pPr>
        <w:jc w:val="both"/>
        <w:ind w:left="40" w:right="59" w:firstLine="305"/>
        <w:spacing w:after="0" w:line="268" w:lineRule="auto"/>
        <w:rPr>
          <w:sz w:val="20"/>
          <w:szCs w:val="20"/>
          <w:color w:val="auto"/>
        </w:rPr>
      </w:pPr>
      <w:r>
        <w:rPr>
          <w:rFonts w:ascii="Arial" w:cs="Arial" w:eastAsia="Arial" w:hAnsi="Arial"/>
          <w:sz w:val="16"/>
          <w:szCs w:val="16"/>
          <w:color w:val="auto"/>
        </w:rPr>
        <w:t>On the acquisition date, the Company had a contractual purchase commitment to acquire the remaining 40% equity interest from the original Systax Quotaholders incrementally between 2021 through 2024. Future purchase commitment payments for these incremental acquisition amounts are based on a multiple of Systax revenue and earnings before interest, depreciation, amortization and income taxes (“EBITDA”) performance at the end of 2020,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income or loss in the condensed consolidated statements of comprehensive loss. The Purchase Commitment Liability was $9,750 at December 31, 2020, reflecting the impacts of such fluctuations in foreign currency exchange rates. Adjustments to the settlement date value that arise as a result of remeasurement at future balance sheet dates will be recorded as interest expense related to financing costs in the consolidated statements of comprehensive income or loss in the period the change is identified. No such adjustments have been recorded through September 30, 2021.</w:t>
      </w:r>
    </w:p>
    <w:p>
      <w:pPr>
        <w:spacing w:after="0" w:line="171"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The Company acquired an additional 5% equity interest of Systax in April 2021 for $788 which is reflected in the activity for the nine months ended September 30, 2021, increasing the Company’s equity interest in Systax to 65%. The remaining Purchase Commitment Liability of $8,549 is included in purchase commitment and contingent consideration liabilities, net of current portion in the condensed consolidated balance sheets at September 30, 2021.</w:t>
      </w:r>
    </w:p>
    <w:p>
      <w:pPr>
        <w:spacing w:after="0" w:line="175" w:lineRule="exact"/>
        <w:rPr>
          <w:sz w:val="20"/>
          <w:szCs w:val="20"/>
          <w:color w:val="auto"/>
        </w:rPr>
      </w:pPr>
    </w:p>
    <w:p>
      <w:pPr>
        <w:ind w:left="360" w:right="3399" w:hanging="315"/>
        <w:spacing w:after="0" w:line="532" w:lineRule="auto"/>
        <w:tabs>
          <w:tab w:leader="none" w:pos="43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AND FAIR VALUE MEASUREMENTS Assets and Liabilities Measured at Fair Value on a Recurring Basis</w:t>
      </w:r>
    </w:p>
    <w:p>
      <w:pPr>
        <w:spacing w:after="0" w:line="2" w:lineRule="exact"/>
        <w:rPr>
          <w:sz w:val="20"/>
          <w:szCs w:val="20"/>
          <w:color w:val="auto"/>
        </w:rPr>
      </w:pPr>
    </w:p>
    <w:p>
      <w:pPr>
        <w:jc w:val="both"/>
        <w:ind w:left="40" w:right="59" w:firstLine="305"/>
        <w:spacing w:after="0" w:line="312" w:lineRule="auto"/>
        <w:rPr>
          <w:sz w:val="20"/>
          <w:szCs w:val="20"/>
          <w:color w:val="auto"/>
        </w:rPr>
      </w:pPr>
      <w:r>
        <w:rPr>
          <w:rFonts w:ascii="Arial" w:cs="Arial" w:eastAsia="Arial" w:hAnsi="Arial"/>
          <w:sz w:val="15"/>
          <w:szCs w:val="15"/>
          <w:color w:val="auto"/>
        </w:rPr>
        <w:t>The Company has investments in money market accounts, which are included in cash and cash equivalents on the condensed consolidated balance sheets. Fair value inputs for these investments are considered Level 1 measurements within the Fair Value Hierarchy since money market account fair values are known and observable through daily published floating net asset values.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24" w:name="page25"/>
    <w:bookmarkEnd w:id="2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following table summarizes the Company’s Fair Value Hierarchy for its financial assets and liabilities measured at fair value on a recurring basis: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Fair Value Measurements Using</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12"/>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Prices in active</w:t>
            </w:r>
          </w:p>
        </w:tc>
        <w:tc>
          <w:tcPr>
            <w:tcW w:w="180" w:type="dxa"/>
            <w:vAlign w:val="bottom"/>
          </w:tcPr>
          <w:p>
            <w:pPr>
              <w:spacing w:after="0"/>
              <w:rPr>
                <w:sz w:val="9"/>
                <w:szCs w:val="9"/>
                <w:color w:val="auto"/>
              </w:rPr>
            </w:pPr>
          </w:p>
        </w:tc>
        <w:tc>
          <w:tcPr>
            <w:tcW w:w="96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Significant other</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9"/>
              <w:spacing w:after="0" w:line="113" w:lineRule="exact"/>
              <w:rPr>
                <w:sz w:val="20"/>
                <w:szCs w:val="20"/>
                <w:color w:val="auto"/>
              </w:rPr>
            </w:pPr>
            <w:r>
              <w:rPr>
                <w:rFonts w:ascii="Arial" w:cs="Arial" w:eastAsia="Arial" w:hAnsi="Arial"/>
                <w:sz w:val="12"/>
                <w:szCs w:val="12"/>
                <w:b w:val="1"/>
                <w:bCs w:val="1"/>
                <w:color w:val="auto"/>
              </w:rPr>
              <w:t>Significant</w:t>
            </w:r>
          </w:p>
        </w:tc>
      </w:tr>
      <w:tr>
        <w:trPr>
          <w:trHeight w:val="140"/>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7"/>
              <w:spacing w:after="0" w:line="140" w:lineRule="exact"/>
              <w:rPr>
                <w:sz w:val="20"/>
                <w:szCs w:val="20"/>
                <w:color w:val="auto"/>
              </w:rPr>
            </w:pPr>
            <w:r>
              <w:rPr>
                <w:rFonts w:ascii="Arial" w:cs="Arial" w:eastAsia="Arial" w:hAnsi="Arial"/>
                <w:sz w:val="14"/>
                <w:szCs w:val="14"/>
                <w:b w:val="1"/>
                <w:bCs w:val="1"/>
                <w:color w:val="auto"/>
                <w:w w:val="89"/>
              </w:rPr>
              <w:t>markets for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7"/>
              <w:spacing w:after="0" w:line="140" w:lineRule="exact"/>
              <w:rPr>
                <w:sz w:val="20"/>
                <w:szCs w:val="20"/>
                <w:color w:val="auto"/>
              </w:rPr>
            </w:pPr>
            <w:r>
              <w:rPr>
                <w:rFonts w:ascii="Arial" w:cs="Arial" w:eastAsia="Arial" w:hAnsi="Arial"/>
                <w:sz w:val="14"/>
                <w:szCs w:val="14"/>
                <w:b w:val="1"/>
                <w:bCs w:val="1"/>
                <w:color w:val="auto"/>
                <w:w w:val="83"/>
              </w:rPr>
              <w:t>observable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9"/>
              <w:spacing w:after="0" w:line="140" w:lineRule="exact"/>
              <w:rPr>
                <w:sz w:val="20"/>
                <w:szCs w:val="20"/>
                <w:color w:val="auto"/>
              </w:rPr>
            </w:pPr>
            <w:r>
              <w:rPr>
                <w:rFonts w:ascii="Arial" w:cs="Arial" w:eastAsia="Arial" w:hAnsi="Arial"/>
                <w:sz w:val="14"/>
                <w:szCs w:val="14"/>
                <w:b w:val="1"/>
                <w:bCs w:val="1"/>
                <w:color w:val="auto"/>
                <w:w w:val="85"/>
              </w:rPr>
              <w:t>unobservable</w:t>
            </w:r>
          </w:p>
        </w:tc>
      </w:tr>
      <w:tr>
        <w:trPr>
          <w:trHeight w:val="140"/>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2"/>
              </w:rPr>
              <w:t>identical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7"/>
              <w:spacing w:after="0" w:line="140"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9"/>
              <w:spacing w:after="0" w:line="140" w:lineRule="exact"/>
              <w:rPr>
                <w:sz w:val="20"/>
                <w:szCs w:val="20"/>
                <w:color w:val="auto"/>
              </w:rPr>
            </w:pPr>
            <w:r>
              <w:rPr>
                <w:rFonts w:ascii="Arial" w:cs="Arial" w:eastAsia="Arial" w:hAnsi="Arial"/>
                <w:sz w:val="14"/>
                <w:szCs w:val="14"/>
                <w:b w:val="1"/>
                <w:bCs w:val="1"/>
                <w:color w:val="auto"/>
                <w:w w:val="85"/>
              </w:rPr>
              <w:t>inputs</w:t>
            </w:r>
          </w:p>
        </w:tc>
      </w:tr>
      <w:tr>
        <w:trPr>
          <w:trHeight w:val="160"/>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02"/>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47"/>
              <w:spacing w:after="0"/>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67"/>
              <w:spacing w:after="0"/>
              <w:rPr>
                <w:sz w:val="20"/>
                <w:szCs w:val="20"/>
                <w:color w:val="auto"/>
              </w:rPr>
            </w:pPr>
            <w:r>
              <w:rPr>
                <w:rFonts w:ascii="Arial" w:cs="Arial" w:eastAsia="Arial" w:hAnsi="Arial"/>
                <w:sz w:val="14"/>
                <w:szCs w:val="14"/>
                <w:b w:val="1"/>
                <w:bCs w:val="1"/>
                <w:color w:val="auto"/>
                <w:w w:val="87"/>
              </w:rPr>
              <w:t>(Level 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20" w:type="dxa"/>
            <w:vAlign w:val="bottom"/>
          </w:tcPr>
          <w:p>
            <w:pPr>
              <w:spacing w:after="0"/>
              <w:rPr>
                <w:sz w:val="17"/>
                <w:szCs w:val="17"/>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Tellutax Contingent Consideration</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(2,500)</w:t>
            </w:r>
          </w:p>
        </w:tc>
      </w:tr>
      <w:tr>
        <w:trPr>
          <w:trHeight w:val="33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Fair Value Measurements Using</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12"/>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Prices in active</w:t>
            </w:r>
          </w:p>
        </w:tc>
        <w:tc>
          <w:tcPr>
            <w:tcW w:w="180" w:type="dxa"/>
            <w:vAlign w:val="bottom"/>
          </w:tcPr>
          <w:p>
            <w:pPr>
              <w:spacing w:after="0"/>
              <w:rPr>
                <w:sz w:val="9"/>
                <w:szCs w:val="9"/>
                <w:color w:val="auto"/>
              </w:rPr>
            </w:pPr>
          </w:p>
        </w:tc>
        <w:tc>
          <w:tcPr>
            <w:tcW w:w="96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Significant other</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9"/>
              <w:spacing w:after="0" w:line="113" w:lineRule="exact"/>
              <w:rPr>
                <w:sz w:val="20"/>
                <w:szCs w:val="20"/>
                <w:color w:val="auto"/>
              </w:rPr>
            </w:pPr>
            <w:r>
              <w:rPr>
                <w:rFonts w:ascii="Arial" w:cs="Arial" w:eastAsia="Arial" w:hAnsi="Arial"/>
                <w:sz w:val="12"/>
                <w:szCs w:val="12"/>
                <w:b w:val="1"/>
                <w:bCs w:val="1"/>
                <w:color w:val="auto"/>
              </w:rPr>
              <w:t>Significant</w:t>
            </w:r>
          </w:p>
        </w:tc>
      </w:tr>
      <w:tr>
        <w:trPr>
          <w:trHeight w:val="140"/>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7"/>
              <w:spacing w:after="0" w:line="140" w:lineRule="exact"/>
              <w:rPr>
                <w:sz w:val="20"/>
                <w:szCs w:val="20"/>
                <w:color w:val="auto"/>
              </w:rPr>
            </w:pPr>
            <w:r>
              <w:rPr>
                <w:rFonts w:ascii="Arial" w:cs="Arial" w:eastAsia="Arial" w:hAnsi="Arial"/>
                <w:sz w:val="14"/>
                <w:szCs w:val="14"/>
                <w:b w:val="1"/>
                <w:bCs w:val="1"/>
                <w:color w:val="auto"/>
                <w:w w:val="89"/>
              </w:rPr>
              <w:t>markets for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7"/>
              <w:spacing w:after="0" w:line="140" w:lineRule="exact"/>
              <w:rPr>
                <w:sz w:val="20"/>
                <w:szCs w:val="20"/>
                <w:color w:val="auto"/>
              </w:rPr>
            </w:pPr>
            <w:r>
              <w:rPr>
                <w:rFonts w:ascii="Arial" w:cs="Arial" w:eastAsia="Arial" w:hAnsi="Arial"/>
                <w:sz w:val="14"/>
                <w:szCs w:val="14"/>
                <w:b w:val="1"/>
                <w:bCs w:val="1"/>
                <w:color w:val="auto"/>
                <w:w w:val="83"/>
              </w:rPr>
              <w:t>observable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9"/>
              <w:spacing w:after="0" w:line="140" w:lineRule="exact"/>
              <w:rPr>
                <w:sz w:val="20"/>
                <w:szCs w:val="20"/>
                <w:color w:val="auto"/>
              </w:rPr>
            </w:pPr>
            <w:r>
              <w:rPr>
                <w:rFonts w:ascii="Arial" w:cs="Arial" w:eastAsia="Arial" w:hAnsi="Arial"/>
                <w:sz w:val="14"/>
                <w:szCs w:val="14"/>
                <w:b w:val="1"/>
                <w:bCs w:val="1"/>
                <w:color w:val="auto"/>
                <w:w w:val="85"/>
              </w:rPr>
              <w:t>unobservable</w:t>
            </w:r>
          </w:p>
        </w:tc>
      </w:tr>
      <w:tr>
        <w:trPr>
          <w:trHeight w:val="140"/>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2"/>
              </w:rPr>
              <w:t>identical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7"/>
              <w:spacing w:after="0" w:line="140"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9"/>
              <w:spacing w:after="0" w:line="140" w:lineRule="exact"/>
              <w:rPr>
                <w:sz w:val="20"/>
                <w:szCs w:val="20"/>
                <w:color w:val="auto"/>
              </w:rPr>
            </w:pPr>
            <w:r>
              <w:rPr>
                <w:rFonts w:ascii="Arial" w:cs="Arial" w:eastAsia="Arial" w:hAnsi="Arial"/>
                <w:sz w:val="14"/>
                <w:szCs w:val="14"/>
                <w:b w:val="1"/>
                <w:bCs w:val="1"/>
                <w:color w:val="auto"/>
                <w:w w:val="85"/>
              </w:rPr>
              <w:t>inputs</w:t>
            </w:r>
          </w:p>
        </w:tc>
      </w:tr>
      <w:tr>
        <w:trPr>
          <w:trHeight w:val="160"/>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02"/>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47"/>
              <w:spacing w:after="0"/>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67"/>
              <w:spacing w:after="0"/>
              <w:rPr>
                <w:sz w:val="20"/>
                <w:szCs w:val="20"/>
                <w:color w:val="auto"/>
              </w:rPr>
            </w:pPr>
            <w:r>
              <w:rPr>
                <w:rFonts w:ascii="Arial" w:cs="Arial" w:eastAsia="Arial" w:hAnsi="Arial"/>
                <w:sz w:val="14"/>
                <w:szCs w:val="14"/>
                <w:b w:val="1"/>
                <w:bCs w:val="1"/>
                <w:color w:val="auto"/>
                <w:w w:val="87"/>
              </w:rPr>
              <w:t>(Level 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20" w:type="dxa"/>
            <w:vAlign w:val="bottom"/>
          </w:tcPr>
          <w:p>
            <w:pPr>
              <w:spacing w:after="0"/>
              <w:rPr>
                <w:sz w:val="17"/>
                <w:szCs w:val="17"/>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265,270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265,270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Tellutax Contingent Consideration</w:t>
      </w:r>
    </w:p>
    <w:p>
      <w:pPr>
        <w:spacing w:after="0" w:line="211"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Tellutax acquisition entitles the sellers to contingent consideration if sales targets are met during a period of time following the acquisition. The estimated fair value of the Tellutax Contingent Consideration as of the acquisition date of January 25, 2021 was $2,200.</w:t>
      </w:r>
    </w:p>
    <w:p>
      <w:pPr>
        <w:spacing w:after="0" w:line="175" w:lineRule="exact"/>
        <w:rPr>
          <w:sz w:val="20"/>
          <w:szCs w:val="20"/>
          <w:color w:val="auto"/>
        </w:rPr>
      </w:pPr>
    </w:p>
    <w:p>
      <w:pPr>
        <w:jc w:val="both"/>
        <w:ind w:left="40" w:right="59" w:firstLine="305"/>
        <w:spacing w:after="0" w:line="291" w:lineRule="auto"/>
        <w:rPr>
          <w:sz w:val="20"/>
          <w:szCs w:val="20"/>
          <w:color w:val="auto"/>
        </w:rPr>
      </w:pPr>
      <w:r>
        <w:rPr>
          <w:rFonts w:ascii="Arial" w:cs="Arial" w:eastAsia="Arial" w:hAnsi="Arial"/>
          <w:sz w:val="15"/>
          <w:szCs w:val="15"/>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w:t>
      </w:r>
    </w:p>
    <w:p>
      <w:pPr>
        <w:spacing w:after="0" w:line="157"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The fair value analysis of the Tellutax Contingent Consideration was updated as of September 30, 2021, resulting in an adjustment to increase the carrying value to $2,500 at September 30, 2021, from $2,276 as of June 30, 2021, and $2,200 as of the acquisition date. Fair value adjustments of $224 and $300 were recorded in other operating expense, net for the three and nine months ended September 30, 2021, respectively. The Tellutax Contingent Consideration fair value of $2,500 is included in purchase commitment and contingent consideration liabilities, net of current portion in the condensed consolidated balance sheet at September 30, 2021.</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25" w:name="page26"/>
    <w:bookmarkEnd w:id="2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ind w:left="40" w:right="59" w:firstLine="305"/>
        <w:spacing w:after="0" w:line="273" w:lineRule="auto"/>
        <w:rPr>
          <w:sz w:val="20"/>
          <w:szCs w:val="20"/>
          <w:color w:val="auto"/>
        </w:rPr>
      </w:pPr>
      <w:r>
        <w:rPr>
          <w:rFonts w:ascii="Arial" w:cs="Arial" w:eastAsia="Arial" w:hAnsi="Arial"/>
          <w:sz w:val="17"/>
          <w:szCs w:val="17"/>
          <w:color w:val="auto"/>
        </w:rPr>
        <w:t>Tellutax Contingent Consideration fair value as of September 30, 2021 and the acquisition date, and unobservable inputs used for the Monte Carlo Simulation valuation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September 30, 2021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44"/>
              <w:spacing w:after="0" w:line="133" w:lineRule="exact"/>
              <w:rPr>
                <w:sz w:val="20"/>
                <w:szCs w:val="20"/>
                <w:color w:val="auto"/>
              </w:rPr>
            </w:pPr>
            <w:r>
              <w:rPr>
                <w:rFonts w:ascii="Arial" w:cs="Arial" w:eastAsia="Arial" w:hAnsi="Arial"/>
                <w:sz w:val="14"/>
                <w:szCs w:val="14"/>
                <w:b w:val="1"/>
                <w:bCs w:val="1"/>
                <w:color w:val="auto"/>
                <w:w w:val="89"/>
              </w:rPr>
              <w:t>Fair Value</w:t>
            </w:r>
          </w:p>
        </w:tc>
        <w:tc>
          <w:tcPr>
            <w:tcW w:w="140" w:type="dxa"/>
            <w:vAlign w:val="bottom"/>
          </w:tcPr>
          <w:p>
            <w:pPr>
              <w:spacing w:after="0"/>
              <w:rPr>
                <w:sz w:val="11"/>
                <w:szCs w:val="11"/>
                <w:color w:val="auto"/>
              </w:rPr>
            </w:pPr>
          </w:p>
        </w:tc>
        <w:tc>
          <w:tcPr>
            <w:tcW w:w="2360" w:type="dxa"/>
            <w:vAlign w:val="bottom"/>
          </w:tcPr>
          <w:p>
            <w:pPr>
              <w:ind w:left="580"/>
              <w:spacing w:after="0" w:line="133" w:lineRule="exact"/>
              <w:rPr>
                <w:sz w:val="20"/>
                <w:szCs w:val="20"/>
                <w:color w:val="auto"/>
              </w:rPr>
            </w:pPr>
            <w:r>
              <w:rPr>
                <w:rFonts w:ascii="Arial" w:cs="Arial" w:eastAsia="Arial" w:hAnsi="Arial"/>
                <w:sz w:val="14"/>
                <w:szCs w:val="14"/>
                <w:b w:val="1"/>
                <w:bCs w:val="1"/>
                <w:color w:val="auto"/>
              </w:rPr>
              <w:t>Valuation Technique</w:t>
            </w:r>
          </w:p>
        </w:tc>
        <w:tc>
          <w:tcPr>
            <w:tcW w:w="140" w:type="dxa"/>
            <w:vAlign w:val="bottom"/>
          </w:tcPr>
          <w:p>
            <w:pPr>
              <w:spacing w:after="0"/>
              <w:rPr>
                <w:sz w:val="11"/>
                <w:szCs w:val="11"/>
                <w:color w:val="auto"/>
              </w:rPr>
            </w:pPr>
          </w:p>
        </w:tc>
        <w:tc>
          <w:tcPr>
            <w:tcW w:w="1980" w:type="dxa"/>
            <w:vAlign w:val="bottom"/>
          </w:tcPr>
          <w:p>
            <w:pPr>
              <w:ind w:left="680"/>
              <w:spacing w:after="0" w:line="133" w:lineRule="exact"/>
              <w:rPr>
                <w:sz w:val="20"/>
                <w:szCs w:val="20"/>
                <w:color w:val="auto"/>
              </w:rPr>
            </w:pPr>
            <w:r>
              <w:rPr>
                <w:rFonts w:ascii="Arial" w:cs="Arial" w:eastAsia="Arial" w:hAnsi="Arial"/>
                <w:sz w:val="14"/>
                <w:szCs w:val="14"/>
                <w:b w:val="1"/>
                <w:bCs w:val="1"/>
                <w:color w:val="auto"/>
                <w:w w:val="92"/>
              </w:rPr>
              <w:t>Unobservable Inputs</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Tellutax Contingent Consideration</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Monte Carlo Simulation</w:t>
            </w:r>
          </w:p>
        </w:tc>
        <w:tc>
          <w:tcPr>
            <w:tcW w:w="14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Revenue volatility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Revenue discount rate</w:t>
            </w:r>
          </w:p>
        </w:tc>
        <w:tc>
          <w:tcPr>
            <w:tcW w:w="600" w:type="dxa"/>
            <w:vAlign w:val="bottom"/>
          </w:tcPr>
          <w:p>
            <w:pPr>
              <w:jc w:val="right"/>
              <w:spacing w:after="0"/>
              <w:rPr>
                <w:sz w:val="20"/>
                <w:szCs w:val="20"/>
                <w:color w:val="auto"/>
              </w:rPr>
            </w:pPr>
            <w:r>
              <w:rPr>
                <w:rFonts w:ascii="Arial" w:cs="Arial" w:eastAsia="Arial" w:hAnsi="Arial"/>
                <w:sz w:val="17"/>
                <w:szCs w:val="17"/>
                <w:color w:val="auto"/>
              </w:rPr>
              <w:t>19.0 %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Term (in years)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356"/>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rPr>
              <w:t>January 25, 2021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44"/>
              <w:spacing w:after="0" w:line="133" w:lineRule="exact"/>
              <w:rPr>
                <w:sz w:val="20"/>
                <w:szCs w:val="20"/>
                <w:color w:val="auto"/>
              </w:rPr>
            </w:pPr>
            <w:r>
              <w:rPr>
                <w:rFonts w:ascii="Arial" w:cs="Arial" w:eastAsia="Arial" w:hAnsi="Arial"/>
                <w:sz w:val="14"/>
                <w:szCs w:val="14"/>
                <w:b w:val="1"/>
                <w:bCs w:val="1"/>
                <w:color w:val="auto"/>
                <w:w w:val="89"/>
              </w:rPr>
              <w:t>Fair Value</w:t>
            </w:r>
          </w:p>
        </w:tc>
        <w:tc>
          <w:tcPr>
            <w:tcW w:w="140" w:type="dxa"/>
            <w:vAlign w:val="bottom"/>
          </w:tcPr>
          <w:p>
            <w:pPr>
              <w:spacing w:after="0"/>
              <w:rPr>
                <w:sz w:val="11"/>
                <w:szCs w:val="11"/>
                <w:color w:val="auto"/>
              </w:rPr>
            </w:pPr>
          </w:p>
        </w:tc>
        <w:tc>
          <w:tcPr>
            <w:tcW w:w="2360" w:type="dxa"/>
            <w:vAlign w:val="bottom"/>
          </w:tcPr>
          <w:p>
            <w:pPr>
              <w:ind w:left="580"/>
              <w:spacing w:after="0" w:line="133" w:lineRule="exact"/>
              <w:rPr>
                <w:sz w:val="20"/>
                <w:szCs w:val="20"/>
                <w:color w:val="auto"/>
              </w:rPr>
            </w:pPr>
            <w:r>
              <w:rPr>
                <w:rFonts w:ascii="Arial" w:cs="Arial" w:eastAsia="Arial" w:hAnsi="Arial"/>
                <w:sz w:val="14"/>
                <w:szCs w:val="14"/>
                <w:b w:val="1"/>
                <w:bCs w:val="1"/>
                <w:color w:val="auto"/>
              </w:rPr>
              <w:t>Valuation Technique</w:t>
            </w:r>
          </w:p>
        </w:tc>
        <w:tc>
          <w:tcPr>
            <w:tcW w:w="140" w:type="dxa"/>
            <w:vAlign w:val="bottom"/>
          </w:tcPr>
          <w:p>
            <w:pPr>
              <w:spacing w:after="0"/>
              <w:rPr>
                <w:sz w:val="11"/>
                <w:szCs w:val="11"/>
                <w:color w:val="auto"/>
              </w:rPr>
            </w:pPr>
          </w:p>
        </w:tc>
        <w:tc>
          <w:tcPr>
            <w:tcW w:w="1980" w:type="dxa"/>
            <w:vAlign w:val="bottom"/>
          </w:tcPr>
          <w:p>
            <w:pPr>
              <w:ind w:left="680"/>
              <w:spacing w:after="0" w:line="133" w:lineRule="exact"/>
              <w:rPr>
                <w:sz w:val="20"/>
                <w:szCs w:val="20"/>
                <w:color w:val="auto"/>
              </w:rPr>
            </w:pPr>
            <w:r>
              <w:rPr>
                <w:rFonts w:ascii="Arial" w:cs="Arial" w:eastAsia="Arial" w:hAnsi="Arial"/>
                <w:sz w:val="14"/>
                <w:szCs w:val="14"/>
                <w:b w:val="1"/>
                <w:bCs w:val="1"/>
                <w:color w:val="auto"/>
                <w:w w:val="92"/>
              </w:rPr>
              <w:t>Unobservable Inputs</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Tellutax Contingent Consideration</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Monte Carlo Simulation</w:t>
            </w:r>
          </w:p>
        </w:tc>
        <w:tc>
          <w:tcPr>
            <w:tcW w:w="14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Revenue volatility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Revenue discount rate</w:t>
            </w:r>
          </w:p>
        </w:tc>
        <w:tc>
          <w:tcPr>
            <w:tcW w:w="600" w:type="dxa"/>
            <w:vAlign w:val="bottom"/>
          </w:tcPr>
          <w:p>
            <w:pPr>
              <w:jc w:val="right"/>
              <w:spacing w:after="0"/>
              <w:rPr>
                <w:sz w:val="20"/>
                <w:szCs w:val="20"/>
                <w:color w:val="auto"/>
              </w:rPr>
            </w:pPr>
            <w:r>
              <w:rPr>
                <w:rFonts w:ascii="Arial" w:cs="Arial" w:eastAsia="Arial" w:hAnsi="Arial"/>
                <w:sz w:val="17"/>
                <w:szCs w:val="17"/>
                <w:color w:val="auto"/>
              </w:rPr>
              <w:t>20.3 %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Term (in years)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Changes in the fair value of Tellutax Contingent Consideration during the nine months ended September 30, 2021 were as follows:</w:t>
      </w:r>
    </w:p>
    <w:p>
      <w:pPr>
        <w:sectPr>
          <w:pgSz w:w="11900" w:h="16838" w:orient="portrait"/>
          <w:cols w:equalWidth="0" w:num="1">
            <w:col w:w="9019"/>
          </w:cols>
          <w:pgMar w:left="1440" w:top="635"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Balance,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-123825</wp:posOffset>
            </wp:positionV>
            <wp:extent cx="565594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5945"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color w:val="auto"/>
        </w:rPr>
        <w:t>Acquisition of Tellutax</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7"/>
          <w:szCs w:val="17"/>
          <w:color w:val="auto"/>
        </w:rPr>
        <w:t>Fair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-123190</wp:posOffset>
            </wp:positionV>
            <wp:extent cx="565594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5945" cy="1289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Balance, September 30, 2021</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Assets and Liabilities for Which Fair Value is Only Disclosed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Tellutax Contingent</w:t>
      </w:r>
    </w:p>
    <w:p>
      <w:pPr>
        <w:jc w:val="center"/>
        <w:ind w:right="59"/>
        <w:spacing w:after="0"/>
        <w:rPr>
          <w:sz w:val="20"/>
          <w:szCs w:val="20"/>
          <w:color w:val="auto"/>
        </w:rPr>
      </w:pPr>
      <w:r>
        <w:rPr>
          <w:rFonts w:ascii="Arial" w:cs="Arial" w:eastAsia="Arial" w:hAnsi="Arial"/>
          <w:sz w:val="14"/>
          <w:szCs w:val="14"/>
          <w:b w:val="1"/>
          <w:bCs w:val="1"/>
          <w:color w:val="auto"/>
        </w:rPr>
        <w:t>Consideration</w:t>
      </w:r>
    </w:p>
    <w:p>
      <w:pPr>
        <w:ind w:left="1200" w:hanging="1193"/>
        <w:spacing w:after="0"/>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p>
    <w:p>
      <w:pPr>
        <w:spacing w:after="0" w:line="5"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5"/>
          <w:szCs w:val="15"/>
          <w:color w:val="auto"/>
        </w:rPr>
        <w:t>(2,200)</w:t>
      </w:r>
    </w:p>
    <w:p>
      <w:pPr>
        <w:spacing w:after="0" w:line="30" w:lineRule="exact"/>
        <w:rPr>
          <w:rFonts w:ascii="Arial" w:cs="Arial" w:eastAsia="Arial" w:hAnsi="Arial"/>
          <w:sz w:val="17"/>
          <w:szCs w:val="17"/>
          <w:color w:val="auto"/>
        </w:rPr>
      </w:pPr>
    </w:p>
    <w:p>
      <w:pPr>
        <w:ind w:left="1060"/>
        <w:spacing w:after="0"/>
        <w:rPr>
          <w:rFonts w:ascii="Arial" w:cs="Arial" w:eastAsia="Arial" w:hAnsi="Arial"/>
          <w:sz w:val="17"/>
          <w:szCs w:val="17"/>
          <w:color w:val="auto"/>
        </w:rPr>
      </w:pPr>
      <w:r>
        <w:rPr>
          <w:rFonts w:ascii="Arial" w:cs="Arial" w:eastAsia="Arial" w:hAnsi="Arial"/>
          <w:sz w:val="15"/>
          <w:szCs w:val="15"/>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8953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12" w:lineRule="exact"/>
        <w:rPr>
          <w:sz w:val="20"/>
          <w:szCs w:val="20"/>
          <w:color w:val="auto"/>
        </w:rPr>
      </w:pPr>
    </w:p>
    <w:p>
      <w:pPr>
        <w:ind w:left="920" w:hanging="913"/>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8953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953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8953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6820" w:space="720"/>
            <w:col w:w="1479"/>
          </w:cols>
          <w:pgMar w:left="1440" w:top="635" w:right="1440" w:bottom="1440" w:gutter="0" w:footer="0" w:header="0"/>
          <w:type w:val="continuous"/>
        </w:sectPr>
      </w:pPr>
    </w:p>
    <w:p>
      <w:pPr>
        <w:spacing w:after="0" w:line="38"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carrying amounts of cash and cash equivalents and funds held for customers were the same as their respective fair values and are considered Level 1 measurements.</w:t>
      </w:r>
    </w:p>
    <w:p>
      <w:pPr>
        <w:spacing w:after="0" w:line="16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carrying amounts for accounts receivable, accounts payable, and accrued expenses approximate their relative fair values due to their short-term nature.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15"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The LCR-Dixon acquisition on September 22, 2021, the Taxamo acquisition on May 12, 2021, and the Tellutax acquisition on January 25, 2021 were accounted for as business combinations and the total purchase price for each acquisiton was allocated to the net assets acquired and liabilities assumed based on their estimated fair values. See Note 3.</w:t>
      </w:r>
    </w:p>
    <w:p>
      <w:pPr>
        <w:spacing w:after="0" w:line="158"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See Note 3 for information on the LCR-Dixon deferred purchase consideration of $39,024 and the Systax Purchase Commitment Liability of $8,549 recorded in the condensed consolidated balance sheet at September 30, 2021. The carrying amounts of both approximated their respective fair values at September 30, 2021 and are considered Level 3 non-recurring fair value measurements.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type w:val="continuous"/>
        </w:sectPr>
      </w:pPr>
    </w:p>
    <w:bookmarkStart w:id="26" w:name="page27"/>
    <w:bookmarkEnd w:id="2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2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5280" w:type="dxa"/>
            <w:vAlign w:val="bottom"/>
          </w:tcPr>
          <w:p>
            <w:pPr>
              <w:ind w:left="160"/>
              <w:spacing w:after="0"/>
              <w:rPr>
                <w:sz w:val="20"/>
                <w:szCs w:val="20"/>
                <w:color w:val="auto"/>
              </w:rPr>
            </w:pPr>
            <w:r>
              <w:rPr>
                <w:rFonts w:ascii="Arial" w:cs="Arial" w:eastAsia="Arial" w:hAnsi="Arial"/>
                <w:sz w:val="17"/>
                <w:szCs w:val="17"/>
                <w:b w:val="1"/>
                <w:bCs w:val="1"/>
                <w:color w:val="auto"/>
              </w:rPr>
              <w:t>PROPERTY AND EQUIPMENT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ind w:left="100"/>
              <w:spacing w:after="0"/>
              <w:rPr>
                <w:sz w:val="20"/>
                <w:szCs w:val="20"/>
                <w:color w:val="auto"/>
              </w:rPr>
            </w:pPr>
            <w:r>
              <w:rPr>
                <w:rFonts w:ascii="Arial" w:cs="Arial" w:eastAsia="Arial" w:hAnsi="Arial"/>
                <w:sz w:val="17"/>
                <w:szCs w:val="17"/>
                <w:color w:val="auto"/>
              </w:rPr>
              <w:t>The major components of property and equipment are as follows: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As of September 30,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9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20,907</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42,218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41,410</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software purchased</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11,620</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Internal-use software developed:</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Cloud-based customer solutions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109,828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65,423</w:t>
            </w: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Arial" w:cs="Arial" w:eastAsia="Arial" w:hAnsi="Arial"/>
                <w:sz w:val="17"/>
                <w:szCs w:val="17"/>
                <w:color w:val="auto"/>
              </w:rPr>
              <w:t>Internal systems and tools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32,000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25,349</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7,674</w:t>
            </w: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In-process internal-use software</w:t>
            </w:r>
          </w:p>
        </w:tc>
        <w:tc>
          <w:tcPr>
            <w:tcW w:w="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12,714</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w:t>
            </w: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237,177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175,687</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Less accumulated depreciation</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(139,308)</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(119,130)</w:t>
            </w: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Property and equipment, net</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56,557</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Depreciation expense for property and equipment, excluding all internal-use software developed and finance leases, was $1,849 and $1,970 for the three months ended September 30, 2021 and 2020, respectively, and $5,658 and $5,918 for the nine months ended September 30, 2021 and 2020, respectively, depreciation for property and equipment, excluding internal-use software developed for cloud-based customer solutions, is reflected in depreciation and amortization in the condensed consolidated statements of comprehensive loss.</w:t>
      </w:r>
    </w:p>
    <w:p>
      <w:pPr>
        <w:spacing w:after="0" w:line="181" w:lineRule="exact"/>
        <w:rPr>
          <w:sz w:val="20"/>
          <w:szCs w:val="20"/>
          <w:color w:val="auto"/>
        </w:rPr>
      </w:pPr>
    </w:p>
    <w:p>
      <w:pPr>
        <w:jc w:val="both"/>
        <w:ind w:left="40" w:right="59" w:firstLine="305"/>
        <w:spacing w:after="0" w:line="292" w:lineRule="auto"/>
        <w:rPr>
          <w:sz w:val="20"/>
          <w:szCs w:val="20"/>
          <w:color w:val="auto"/>
        </w:rPr>
      </w:pPr>
      <w:r>
        <w:rPr>
          <w:rFonts w:ascii="Arial" w:cs="Arial" w:eastAsia="Arial" w:hAnsi="Arial"/>
          <w:sz w:val="15"/>
          <w:szCs w:val="15"/>
          <w:color w:val="auto"/>
        </w:rPr>
        <w:t>Finance lease amortization was $363 and $826 for the three and nine months ended September 30, 2021, respectively, and depreciation expense for assets held under capital leases was $178 and $513 for the three and nine months ended September 30, 2020, respectively. Finance lease amortization and depreciation expense for assets held under capital leases are included in depreciation and amortization expense in the condensed consolidated statements of comprehensive loss. Assets under finance leases of $1,533, net of accumulated amortization of $826, at September 30, 2021 are included in property and equipment in the condensed consolidated balance sheets. Assets under capital leases of $1,360, net of accumulated depreciation of $1,370, at December 31, 2020, are included in property and equipment in the condensed consolidated balance sheets.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internal-use software are as follows: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As of September 30,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r>
      <w:tr>
        <w:trPr>
          <w:trHeight w:val="160"/>
        </w:trPr>
        <w:tc>
          <w:tcPr>
            <w:tcW w:w="4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r>
      <w:tr>
        <w:trPr>
          <w:trHeight w:val="132"/>
        </w:trPr>
        <w:tc>
          <w:tcPr>
            <w:tcW w:w="43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3"/>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Internal-use software developed</w:t>
            </w:r>
          </w:p>
        </w:tc>
        <w:tc>
          <w:tcPr>
            <w:tcW w:w="20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141,828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90,772</w:t>
            </w:r>
          </w:p>
        </w:tc>
      </w:tr>
      <w:tr>
        <w:trPr>
          <w:trHeight w:val="203"/>
        </w:trPr>
        <w:tc>
          <w:tcPr>
            <w:tcW w:w="438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(80,222)</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(65,090)</w:t>
            </w:r>
          </w:p>
        </w:tc>
      </w:tr>
      <w:tr>
        <w:trPr>
          <w:trHeight w:val="196"/>
        </w:trPr>
        <w:tc>
          <w:tcPr>
            <w:tcW w:w="43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61,606</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25,682</w:t>
            </w:r>
          </w:p>
        </w:tc>
      </w:tr>
      <w:tr>
        <w:trPr>
          <w:trHeight w:val="203"/>
        </w:trPr>
        <w:tc>
          <w:tcPr>
            <w:tcW w:w="43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In-process internal-use software</w:t>
            </w:r>
          </w:p>
        </w:tc>
        <w:tc>
          <w:tcPr>
            <w:tcW w:w="1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12,714</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w:t>
            </w:r>
          </w:p>
        </w:tc>
      </w:tr>
      <w:tr>
        <w:trPr>
          <w:trHeight w:val="196"/>
        </w:trPr>
        <w:tc>
          <w:tcPr>
            <w:tcW w:w="4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Internal-use software developed, net</w:t>
            </w:r>
          </w:p>
        </w:tc>
        <w:tc>
          <w:tcPr>
            <w:tcW w:w="1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74,320</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28,986</w:t>
            </w:r>
          </w:p>
        </w:tc>
      </w:tr>
      <w:tr>
        <w:trPr>
          <w:trHeight w:val="20"/>
        </w:trPr>
        <w:tc>
          <w:tcPr>
            <w:tcW w:w="4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Amounts capitalized for internal-use software, excluding acquired technology, and included in property and equipment additions on the condensed consolidated statements of cash flows are as follows: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For the nine months ended September 30,</w:t>
            </w:r>
          </w:p>
        </w:tc>
        <w:tc>
          <w:tcPr>
            <w:tcW w:w="100" w:type="dxa"/>
            <w:vAlign w:val="bottom"/>
          </w:tcPr>
          <w:p>
            <w:pPr>
              <w:spacing w:after="0"/>
              <w:rPr>
                <w:sz w:val="14"/>
                <w:szCs w:val="14"/>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For the nine months ended September 30,</w:t>
            </w:r>
          </w:p>
        </w:tc>
      </w:tr>
      <w:tr>
        <w:trPr>
          <w:trHeight w:val="160"/>
        </w:trPr>
        <w:tc>
          <w:tcPr>
            <w:tcW w:w="3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2021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r>
      <w:tr>
        <w:trPr>
          <w:trHeight w:val="132"/>
        </w:trPr>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jc w:val="center"/>
              <w:ind w:right="23"/>
              <w:spacing w:after="0" w:line="133" w:lineRule="exact"/>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ind w:right="4"/>
              <w:spacing w:after="0" w:line="133"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Cloud-based customer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12,574</w:t>
            </w:r>
          </w:p>
        </w:tc>
        <w:tc>
          <w:tcPr>
            <w:tcW w:w="20" w:type="dxa"/>
            <w:vAlign w:val="bottom"/>
            <w:shd w:val="clear" w:color="auto" w:fill="CCEEFF"/>
          </w:tcPr>
          <w:p>
            <w:pPr>
              <w:spacing w:after="0"/>
              <w:rPr>
                <w:sz w:val="17"/>
                <w:szCs w:val="17"/>
                <w:color w:val="auto"/>
              </w:rPr>
            </w:pPr>
          </w:p>
        </w:tc>
      </w:tr>
      <w:tr>
        <w:trPr>
          <w:trHeight w:val="203"/>
        </w:trPr>
        <w:tc>
          <w:tcPr>
            <w:tcW w:w="34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Internal systems and tools</w:t>
            </w: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w:t>
            </w:r>
          </w:p>
        </w:tc>
        <w:tc>
          <w:tcPr>
            <w:tcW w:w="20" w:type="dxa"/>
            <w:vAlign w:val="bottom"/>
            <w:tcBorders>
              <w:bottom w:val="single" w:sz="8" w:color="CCEEFF"/>
            </w:tcBorders>
          </w:tcPr>
          <w:p>
            <w:pPr>
              <w:spacing w:after="0"/>
              <w:rPr>
                <w:sz w:val="17"/>
                <w:szCs w:val="17"/>
                <w:color w:val="auto"/>
              </w:rPr>
            </w:pPr>
          </w:p>
        </w:tc>
      </w:tr>
      <w:tr>
        <w:trPr>
          <w:trHeight w:val="19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jc w:val="right"/>
              <w:ind w:right="1423"/>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7"/>
        </w:trPr>
        <w:tc>
          <w:tcPr>
            <w:tcW w:w="3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35" w:right="1440" w:bottom="1440" w:gutter="0" w:footer="0" w:header="0"/>
        </w:sectPr>
      </w:pPr>
    </w:p>
    <w:bookmarkStart w:id="27" w:name="page28"/>
    <w:bookmarkEnd w:id="2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88" w:lineRule="auto"/>
        <w:rPr>
          <w:sz w:val="20"/>
          <w:szCs w:val="20"/>
          <w:color w:val="auto"/>
        </w:rPr>
      </w:pPr>
      <w:r>
        <w:rPr>
          <w:rFonts w:ascii="Arial" w:cs="Arial" w:eastAsia="Arial" w:hAnsi="Arial"/>
          <w:sz w:val="15"/>
          <w:szCs w:val="15"/>
          <w:color w:val="auto"/>
        </w:rPr>
        <w:t>In-process internal-use software developed is not depreciated until it is available for its intended use. Depreciation expense for internal-use software developed for cloud-based customer solutions for the three months ended September 30, 2021 and 2020, was $7,561 and $2,183 respectively, and was $12,906 and $6,647 for the nine months ended September 30, 2021 and 2020, respectively, and is included in cost of revenues, software subscriptions in the condensed consolidated statements of comprehensive loss. During the three and nine months ended September 30, 2021, developed technology with an acquisition date fair value of $40,746 was recorded in connection with Measurement Period adjustments to the preliminary values of assets acquired in the Taxamo acquisition and is reflected in property and equipment, net, in the condensed consolidated balance sheet at September 30, 2021. Depreciation expense from the acquisition date through September 30, 2021 associated with this developed technology was $4,930 for the three and nine months ended September 30, 2021 and was reflected in cost of revenues - software subscriptions in the condensed consolidated statement of comprehensive loss at September 30, 2021. Had the preliminary value of the developed technology been determinable at the date of acquisition, the Company would have recorded $1,643 of this depreciation expense in the condensed consolidated statement of comprehensive loss at June 30, 2021.</w:t>
      </w:r>
    </w:p>
    <w:p>
      <w:pPr>
        <w:spacing w:after="0" w:line="159"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Depreciation expense for internal-use software developed for internal systems and tools for the three months ended September 30, 2021 and 2020, was $870 and $587, respectively, and was $2,303 and $1,678 for the nine months ended September 30, 2021 and 2020, respectively, and is included in depreciation and amortization in the condensed consolidated statements of comprehensive loss.</w:t>
      </w:r>
    </w:p>
    <w:p>
      <w:pPr>
        <w:spacing w:after="0" w:line="175" w:lineRule="exact"/>
        <w:rPr>
          <w:sz w:val="20"/>
          <w:szCs w:val="20"/>
          <w:color w:val="auto"/>
        </w:rPr>
      </w:pPr>
    </w:p>
    <w:p>
      <w:pPr>
        <w:ind w:left="340" w:hanging="295"/>
        <w:spacing w:after="0"/>
        <w:tabs>
          <w:tab w:leader="none" w:pos="3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CAPITALIZED SOFTWARE</w:t>
      </w:r>
    </w:p>
    <w:p>
      <w:pPr>
        <w:spacing w:after="0" w:line="21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Capitalized software includes acquired software and direct labor and related expenses for software developed for sale for new products and enhancements to existing products.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capitalized software are as follows: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As of September 30,</w:t>
            </w:r>
          </w:p>
        </w:tc>
        <w:tc>
          <w:tcPr>
            <w:tcW w:w="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w:t>
            </w:r>
          </w:p>
        </w:tc>
      </w:tr>
      <w:tr>
        <w:trPr>
          <w:trHeight w:val="160"/>
        </w:trPr>
        <w:tc>
          <w:tcPr>
            <w:tcW w:w="6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r>
      <w:tr>
        <w:trPr>
          <w:trHeight w:val="132"/>
        </w:trPr>
        <w:tc>
          <w:tcPr>
            <w:tcW w:w="6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71,209</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63,071</w:t>
            </w: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2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(41,690)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(32,217)</w:t>
            </w:r>
          </w:p>
        </w:tc>
      </w:tr>
      <w:tr>
        <w:trPr>
          <w:trHeight w:val="196"/>
        </w:trPr>
        <w:tc>
          <w:tcPr>
            <w:tcW w:w="6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30,854</w:t>
            </w:r>
          </w:p>
        </w:tc>
      </w:tr>
      <w:tr>
        <w:trPr>
          <w:trHeight w:val="203"/>
        </w:trPr>
        <w:tc>
          <w:tcPr>
            <w:tcW w:w="6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In-process capitalized software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w:t>
            </w:r>
          </w:p>
        </w:tc>
      </w:tr>
      <w:tr>
        <w:trPr>
          <w:trHeight w:val="196"/>
        </w:trPr>
        <w:tc>
          <w:tcPr>
            <w:tcW w:w="6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Capitalized software, net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34,018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31,989</w:t>
            </w: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Software development costs capitalized for the three months ended September 30, 2021 and 2020 were $2,777 and $2,591, respectively, and were $7,902 and $9,246 for the nine months ended September 30, 2021 and 2020, respectively. In-process capitalized software at September 30, 2021 reflects the acquisition date fair value of $3,600 for developed technology acquired in the Tellutax acquisition as the Company undertakes necessary enhancements to integrate the technology with the Company’s existing software architecture.</w:t>
      </w:r>
    </w:p>
    <w:p>
      <w:pPr>
        <w:spacing w:after="0" w:line="181"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Capitalized software amortization expense for the three months ended September 30, 2021 and 2020 was $3,123 and $3,124, respectively, and was $9,473 and $8,702 for the nine months ended September 30, 2021 and 2020, respectively, and is included in cost of revenues, software subscriptions in the condensed consolidated statements of comprehensive loss.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7.  LEASES</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Company leases office space, IT equipment and office equipment. Leases with an initial term of 12 months or less are not recorded on the condensed consolidated balance sheets and lease expense is recognized over the term of these leases on a straight-line basis. The Company’s leases have remaining terms of up to 7 years.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28" w:name="page29"/>
    <w:bookmarkEnd w:id="2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Company’s lease assets and liabilities and their balance sheet location as follows: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As of September 30,</w:t>
            </w:r>
          </w:p>
        </w:tc>
        <w:tc>
          <w:tcPr>
            <w:tcW w:w="0" w:type="dxa"/>
            <w:vAlign w:val="bottom"/>
          </w:tcPr>
          <w:p>
            <w:pPr>
              <w:spacing w:after="0"/>
              <w:rPr>
                <w:sz w:val="1"/>
                <w:szCs w:val="1"/>
                <w:color w:val="auto"/>
              </w:rPr>
            </w:pPr>
          </w:p>
        </w:tc>
      </w:tr>
      <w:tr>
        <w:trPr>
          <w:trHeight w:val="160"/>
        </w:trPr>
        <w:tc>
          <w:tcPr>
            <w:tcW w:w="4200" w:type="dxa"/>
            <w:vAlign w:val="bottom"/>
            <w:gridSpan w:val="2"/>
            <w:vMerge w:val="restart"/>
          </w:tcPr>
          <w:p>
            <w:pPr>
              <w:spacing w:after="0"/>
              <w:rPr>
                <w:sz w:val="20"/>
                <w:szCs w:val="20"/>
                <w:color w:val="auto"/>
              </w:rPr>
            </w:pPr>
            <w:r>
              <w:rPr>
                <w:rFonts w:ascii="Arial" w:cs="Arial" w:eastAsia="Arial" w:hAnsi="Arial"/>
                <w:sz w:val="17"/>
                <w:szCs w:val="17"/>
                <w:color w:val="auto"/>
              </w:rPr>
              <w:t>Lease assets:</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Balance Sheet Location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196"/>
        </w:trPr>
        <w:tc>
          <w:tcPr>
            <w:tcW w:w="4200" w:type="dxa"/>
            <w:vAlign w:val="bottom"/>
            <w:gridSpan w:val="2"/>
            <w:vMerge w:val="continue"/>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Arial" w:cs="Arial" w:eastAsia="Arial" w:hAnsi="Arial"/>
                <w:sz w:val="17"/>
                <w:szCs w:val="17"/>
                <w:b w:val="1"/>
                <w:bCs w:val="1"/>
                <w:color w:val="auto"/>
                <w:w w:val="92"/>
              </w:rPr>
              <w:t>(unaudited)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right-of-use assets</w:t>
            </w:r>
          </w:p>
        </w:tc>
        <w:tc>
          <w:tcPr>
            <w:tcW w:w="3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Operating lease right-of-use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Finance lease assets</w:t>
            </w:r>
          </w:p>
        </w:tc>
        <w:tc>
          <w:tcPr>
            <w:tcW w:w="32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0"/>
              </w:rPr>
              <w:t>Property and equipment, net (Note 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lease assets</w:t>
            </w:r>
          </w:p>
        </w:tc>
        <w:tc>
          <w:tcPr>
            <w:tcW w:w="3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9019"/>
          </w:cols>
          <w:pgMar w:left="1440" w:top="635" w:right="1440" w:bottom="1440" w:gutter="0" w:footer="0" w:header="0"/>
        </w:sectPr>
      </w:pPr>
    </w:p>
    <w:p>
      <w:pPr>
        <w:ind w:left="40"/>
        <w:spacing w:after="0"/>
        <w:rPr>
          <w:sz w:val="20"/>
          <w:szCs w:val="20"/>
          <w:color w:val="auto"/>
        </w:rPr>
      </w:pPr>
      <w:r>
        <w:rPr>
          <w:rFonts w:ascii="Arial" w:cs="Arial" w:eastAsia="Arial" w:hAnsi="Arial"/>
          <w:sz w:val="17"/>
          <w:szCs w:val="17"/>
          <w:color w:val="auto"/>
        </w:rPr>
        <w:t>Lease liabilities: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Current:</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lease liabilities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Finance lease liabilities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current lease liabilities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Non-current: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lease liabilities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Finance lease liabilities</w:t>
      </w:r>
    </w:p>
    <w:p>
      <w:pPr>
        <w:spacing w:after="0" w:line="19" w:lineRule="exact"/>
        <w:rPr>
          <w:sz w:val="20"/>
          <w:szCs w:val="20"/>
          <w:color w:val="auto"/>
        </w:rPr>
      </w:pPr>
    </w:p>
    <w:p>
      <w:pPr>
        <w:ind w:left="40" w:right="940" w:firstLine="610"/>
        <w:spacing w:after="0" w:line="290" w:lineRule="auto"/>
        <w:rPr>
          <w:sz w:val="20"/>
          <w:szCs w:val="20"/>
          <w:color w:val="auto"/>
        </w:rPr>
      </w:pPr>
      <w:r>
        <w:rPr>
          <w:rFonts w:ascii="Arial" w:cs="Arial" w:eastAsia="Arial" w:hAnsi="Arial"/>
          <w:sz w:val="17"/>
          <w:szCs w:val="17"/>
          <w:color w:val="auto"/>
        </w:rPr>
        <w:t>Total non-current lease liabilities Total lease liabilities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major components of lease cost are as follows: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jc w:val="center"/>
              <w:ind w:right="175"/>
              <w:spacing w:after="0"/>
              <w:rPr>
                <w:sz w:val="20"/>
                <w:szCs w:val="20"/>
                <w:color w:val="auto"/>
              </w:rPr>
            </w:pPr>
            <w:r>
              <w:rPr>
                <w:rFonts w:ascii="Arial" w:cs="Arial" w:eastAsia="Arial" w:hAnsi="Arial"/>
                <w:sz w:val="17"/>
                <w:szCs w:val="17"/>
                <w:color w:val="auto"/>
                <w:w w:val="91"/>
              </w:rPr>
              <w:t>Current portion of operating lease liabilities</w:t>
            </w:r>
          </w:p>
        </w:tc>
        <w:tc>
          <w:tcPr>
            <w:tcW w:w="440" w:type="dxa"/>
            <w:vAlign w:val="bottom"/>
            <w:gridSpan w:val="2"/>
          </w:tcPr>
          <w:p>
            <w:pPr>
              <w:jc w:val="right"/>
              <w:ind w:right="26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2,480</w:t>
            </w:r>
          </w:p>
        </w:tc>
      </w:tr>
      <w:tr>
        <w:trPr>
          <w:trHeight w:val="215"/>
        </w:trPr>
        <w:tc>
          <w:tcPr>
            <w:tcW w:w="3380" w:type="dxa"/>
            <w:vAlign w:val="bottom"/>
          </w:tcPr>
          <w:p>
            <w:pPr>
              <w:jc w:val="center"/>
              <w:ind w:right="155"/>
              <w:spacing w:after="0"/>
              <w:rPr>
                <w:sz w:val="20"/>
                <w:szCs w:val="20"/>
                <w:color w:val="auto"/>
              </w:rPr>
            </w:pPr>
            <w:r>
              <w:rPr>
                <w:rFonts w:ascii="Arial" w:cs="Arial" w:eastAsia="Arial" w:hAnsi="Arial"/>
                <w:sz w:val="17"/>
                <w:szCs w:val="17"/>
                <w:color w:val="auto"/>
                <w:w w:val="92"/>
              </w:rPr>
              <w:t>Current portion of finance lease liabilities</w:t>
            </w: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r>
      <w:tr>
        <w:trPr>
          <w:trHeight w:val="196"/>
        </w:trPr>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2,756</w:t>
            </w:r>
          </w:p>
        </w:tc>
      </w:tr>
      <w:tr>
        <w:trPr>
          <w:trHeight w:val="387"/>
        </w:trPr>
        <w:tc>
          <w:tcPr>
            <w:tcW w:w="3380" w:type="dxa"/>
            <w:vAlign w:val="bottom"/>
          </w:tcPr>
          <w:p>
            <w:pPr>
              <w:jc w:val="center"/>
              <w:ind w:right="175"/>
              <w:spacing w:after="0"/>
              <w:rPr>
                <w:sz w:val="20"/>
                <w:szCs w:val="20"/>
                <w:color w:val="auto"/>
              </w:rPr>
            </w:pPr>
            <w:r>
              <w:rPr>
                <w:rFonts w:ascii="Arial" w:cs="Arial" w:eastAsia="Arial" w:hAnsi="Arial"/>
                <w:sz w:val="17"/>
                <w:szCs w:val="17"/>
                <w:color w:val="auto"/>
                <w:w w:val="91"/>
              </w:rPr>
              <w:t>Operating lease liabilities, net of current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380" w:type="dxa"/>
            <w:vAlign w:val="bottom"/>
          </w:tcPr>
          <w:p>
            <w:pPr>
              <w:jc w:val="center"/>
              <w:ind w:right="155"/>
              <w:spacing w:after="0"/>
              <w:rPr>
                <w:sz w:val="20"/>
                <w:szCs w:val="20"/>
                <w:color w:val="auto"/>
              </w:rPr>
            </w:pPr>
            <w:r>
              <w:rPr>
                <w:rFonts w:ascii="Arial" w:cs="Arial" w:eastAsia="Arial" w:hAnsi="Arial"/>
                <w:sz w:val="17"/>
                <w:szCs w:val="17"/>
                <w:color w:val="auto"/>
                <w:w w:val="96"/>
              </w:rPr>
              <w:t>portion</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26,707</w:t>
            </w:r>
          </w:p>
        </w:tc>
      </w:tr>
      <w:tr>
        <w:trPr>
          <w:trHeight w:val="215"/>
        </w:trPr>
        <w:tc>
          <w:tcPr>
            <w:tcW w:w="3380" w:type="dxa"/>
            <w:vAlign w:val="bottom"/>
          </w:tcPr>
          <w:p>
            <w:pPr>
              <w:jc w:val="center"/>
              <w:ind w:right="175"/>
              <w:spacing w:after="0"/>
              <w:rPr>
                <w:sz w:val="20"/>
                <w:szCs w:val="20"/>
                <w:color w:val="auto"/>
              </w:rPr>
            </w:pPr>
            <w:r>
              <w:rPr>
                <w:rFonts w:ascii="Arial" w:cs="Arial" w:eastAsia="Arial" w:hAnsi="Arial"/>
                <w:sz w:val="17"/>
                <w:szCs w:val="17"/>
                <w:color w:val="auto"/>
                <w:w w:val="91"/>
              </w:rPr>
              <w:t>Finance lease liabilities, net of current portion</w:t>
            </w: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r>
      <w:tr>
        <w:trPr>
          <w:trHeight w:val="196"/>
        </w:trPr>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27,041</w:t>
            </w:r>
          </w:p>
        </w:tc>
      </w:tr>
      <w:tr>
        <w:trPr>
          <w:trHeight w:val="196"/>
        </w:trPr>
        <w:tc>
          <w:tcPr>
            <w:tcW w:w="3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29,797</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-1475740</wp:posOffset>
            </wp:positionV>
            <wp:extent cx="565594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5945" cy="12890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-1217930</wp:posOffset>
            </wp:positionV>
            <wp:extent cx="565594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5945" cy="12890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-959485</wp:posOffset>
            </wp:positionV>
            <wp:extent cx="565594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5945" cy="13716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-685165</wp:posOffset>
            </wp:positionV>
            <wp:extent cx="5655945" cy="258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5945" cy="25844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-297815</wp:posOffset>
            </wp:positionV>
            <wp:extent cx="565594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5945" cy="137160"/>
                    </a:xfrm>
                    <a:prstGeom prst="rect">
                      <a:avLst/>
                    </a:prstGeom>
                    <a:noFill/>
                  </pic:spPr>
                </pic:pic>
              </a:graphicData>
            </a:graphic>
          </wp:anchor>
        </w:drawing>
      </w:r>
    </w:p>
    <w:p>
      <w:pPr>
        <w:spacing w:after="0" w:line="563" w:lineRule="exact"/>
        <w:rPr>
          <w:sz w:val="20"/>
          <w:szCs w:val="20"/>
          <w:color w:val="auto"/>
        </w:rPr>
      </w:pPr>
    </w:p>
    <w:p>
      <w:pPr>
        <w:sectPr>
          <w:pgSz w:w="11900" w:h="16838" w:orient="portrait"/>
          <w:cols w:equalWidth="0" w:num="2">
            <w:col w:w="3820" w:space="460"/>
            <w:col w:w="4739"/>
          </w:cols>
          <w:pgMar w:left="1440" w:top="635" w:right="1440" w:bottom="1440" w:gutter="0" w:footer="0" w:header="0"/>
          <w:type w:val="continuous"/>
        </w:sectPr>
      </w:pP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380" w:type="dxa"/>
            <w:vAlign w:val="bottom"/>
            <w:gridSpan w:val="3"/>
          </w:tcPr>
          <w:p>
            <w:pPr>
              <w:jc w:val="center"/>
              <w:ind w:left="3041"/>
              <w:spacing w:after="0"/>
              <w:rPr>
                <w:sz w:val="20"/>
                <w:szCs w:val="20"/>
                <w:color w:val="auto"/>
              </w:rPr>
            </w:pPr>
            <w:r>
              <w:rPr>
                <w:rFonts w:ascii="Arial" w:cs="Arial" w:eastAsia="Arial" w:hAnsi="Arial"/>
                <w:sz w:val="14"/>
                <w:szCs w:val="14"/>
                <w:b w:val="1"/>
                <w:bCs w:val="1"/>
                <w:color w:val="auto"/>
                <w:w w:val="87"/>
              </w:rPr>
              <w:t>For the three months</w:t>
            </w:r>
          </w:p>
        </w:tc>
        <w:tc>
          <w:tcPr>
            <w:tcW w:w="1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For the nine months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4"/>
              <w:spacing w:after="0" w:line="140"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Finance lease cost:</w:t>
            </w:r>
          </w:p>
        </w:tc>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Amortization of lease assets</w:t>
            </w: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Interest on lease liabilities</w:t>
            </w:r>
          </w:p>
        </w:tc>
        <w:tc>
          <w:tcPr>
            <w:tcW w:w="3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7"/>
                <w:szCs w:val="17"/>
                <w:color w:val="auto"/>
              </w:rPr>
              <w:t>Total lease cost</w:t>
            </w:r>
          </w:p>
        </w:tc>
        <w:tc>
          <w:tcPr>
            <w:tcW w:w="3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160" w:type="dxa"/>
            <w:vAlign w:val="bottom"/>
            <w:vMerge w:val="restart"/>
          </w:tcPr>
          <w:p>
            <w:pPr>
              <w:jc w:val="right"/>
              <w:ind w:right="1601"/>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35" w:right="1440" w:bottom="1440" w:gutter="0" w:footer="0" w:header="0"/>
          <w:type w:val="continuous"/>
        </w:sectPr>
      </w:pPr>
    </w:p>
    <w:bookmarkStart w:id="29" w:name="page30"/>
    <w:bookmarkEnd w:id="2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weighted-average term and discount rate for leases are as follows: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As of September 30,</w:t>
            </w:r>
          </w:p>
        </w:tc>
      </w:tr>
      <w:tr>
        <w:trPr>
          <w:trHeight w:val="160"/>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remaining lease term (years):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740"/>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discount rate:</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rPr>
                <w:sz w:val="20"/>
                <w:szCs w:val="20"/>
                <w:color w:val="auto"/>
              </w:rPr>
            </w:pPr>
            <w:r>
              <w:rPr>
                <w:rFonts w:ascii="Arial" w:cs="Arial" w:eastAsia="Arial" w:hAnsi="Arial"/>
                <w:sz w:val="17"/>
                <w:szCs w:val="17"/>
                <w:color w:val="auto"/>
              </w:rPr>
              <w:t>Operating leases</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740"/>
              <w:spacing w:after="0"/>
              <w:rPr>
                <w:sz w:val="20"/>
                <w:szCs w:val="20"/>
                <w:color w:val="auto"/>
              </w:rPr>
            </w:pPr>
            <w:r>
              <w:rPr>
                <w:rFonts w:ascii="Arial" w:cs="Arial" w:eastAsia="Arial" w:hAnsi="Arial"/>
                <w:sz w:val="17"/>
                <w:szCs w:val="17"/>
                <w:color w:val="auto"/>
                <w:w w:val="91"/>
              </w:rPr>
              <w:t>2.3 %</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91"/>
              </w:rPr>
              <w:t>2.3 %</w:t>
            </w:r>
          </w:p>
        </w:tc>
      </w:tr>
      <w:tr>
        <w:trPr>
          <w:trHeight w:val="406"/>
        </w:trPr>
        <w:tc>
          <w:tcPr>
            <w:tcW w:w="20" w:type="dxa"/>
            <w:vAlign w:val="bottom"/>
          </w:tcPr>
          <w:p>
            <w:pPr>
              <w:spacing w:after="0"/>
              <w:rPr>
                <w:sz w:val="24"/>
                <w:szCs w:val="24"/>
                <w:color w:val="auto"/>
              </w:rPr>
            </w:pPr>
          </w:p>
        </w:tc>
        <w:tc>
          <w:tcPr>
            <w:tcW w:w="7460" w:type="dxa"/>
            <w:vAlign w:val="bottom"/>
            <w:gridSpan w:val="5"/>
          </w:tcPr>
          <w:p>
            <w:pPr>
              <w:ind w:left="300"/>
              <w:spacing w:after="0"/>
              <w:rPr>
                <w:sz w:val="20"/>
                <w:szCs w:val="20"/>
                <w:color w:val="auto"/>
              </w:rPr>
            </w:pPr>
            <w:r>
              <w:rPr>
                <w:rFonts w:ascii="Arial" w:cs="Arial" w:eastAsia="Arial" w:hAnsi="Arial"/>
                <w:sz w:val="17"/>
                <w:szCs w:val="17"/>
                <w:color w:val="auto"/>
                <w:w w:val="92"/>
              </w:rPr>
              <w:t>Lease liability maturities for the next five years and thereafter are as follows as of September 30, 2021: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8"/>
              </w:rPr>
              <w:t>Operating Leases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Finance Leases</w:t>
            </w:r>
          </w:p>
        </w:tc>
      </w:tr>
      <w:tr>
        <w:trPr>
          <w:trHeight w:val="120"/>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ind w:left="1020"/>
              <w:spacing w:after="0" w:line="120" w:lineRule="exact"/>
              <w:rPr>
                <w:sz w:val="20"/>
                <w:szCs w:val="20"/>
                <w:color w:val="auto"/>
              </w:rPr>
            </w:pPr>
            <w:r>
              <w:rPr>
                <w:rFonts w:ascii="Arial" w:cs="Arial" w:eastAsia="Arial" w:hAnsi="Arial"/>
                <w:sz w:val="12"/>
                <w:szCs w:val="12"/>
                <w:b w:val="1"/>
                <w:bCs w:val="1"/>
                <w:color w:val="auto"/>
              </w:rPr>
              <w:t>(unaudited)</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 (three months remaining)</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w:t>
            </w: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2022</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4,533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289</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w:t>
            </w: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2024</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4,464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13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12,531</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lease payments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31,781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623</w:t>
            </w: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Imputed interest</w:t>
            </w:r>
          </w:p>
        </w:tc>
        <w:tc>
          <w:tcPr>
            <w:tcW w:w="13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w:t>
            </w: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1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29,187</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610</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Lease liability maturities for the next five years and thereafter under the previous lease accounting standard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5"/>
          </w:tcPr>
          <w:p>
            <w:pPr>
              <w:ind w:left="5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79"/>
              <w:spacing w:after="0" w:line="133" w:lineRule="exact"/>
              <w:rPr>
                <w:sz w:val="20"/>
                <w:szCs w:val="20"/>
                <w:color w:val="auto"/>
              </w:rPr>
            </w:pPr>
            <w:r>
              <w:rPr>
                <w:rFonts w:ascii="Arial" w:cs="Arial" w:eastAsia="Arial" w:hAnsi="Arial"/>
                <w:sz w:val="14"/>
                <w:szCs w:val="14"/>
                <w:b w:val="1"/>
                <w:bCs w:val="1"/>
                <w:color w:val="auto"/>
                <w:w w:val="88"/>
              </w:rPr>
              <w:t>Operating Leases</w:t>
            </w:r>
          </w:p>
        </w:tc>
        <w:tc>
          <w:tcPr>
            <w:tcW w:w="2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w w:val="89"/>
              </w:rPr>
              <w:t>Capital Leases</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2022</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2024</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Thereafter</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12,531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 Lease Payments</w:t>
            </w: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7"/>
                <w:szCs w:val="17"/>
                <w:color w:val="auto"/>
              </w:rPr>
              <w:t>Less amount representing interest</w:t>
            </w: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4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Present value of minimum lease payments</w:t>
            </w:r>
          </w:p>
        </w:tc>
        <w:tc>
          <w:tcPr>
            <w:tcW w:w="1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7"/>
                <w:szCs w:val="17"/>
                <w:color w:val="auto"/>
              </w:rPr>
              <w:t>Less current portion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Capital lease obligations, net of current portion</w:t>
            </w: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360" w:right="4859" w:hanging="315"/>
        <w:spacing w:after="0" w:line="536" w:lineRule="auto"/>
        <w:tabs>
          <w:tab w:leader="none" w:pos="351"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Goodwill and other intangible assets are as follows:</w:t>
      </w:r>
    </w:p>
    <w:tbl>
      <w:tblPr>
        <w:tblLayout w:type="fixed"/>
        <w:tblInd w:w="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8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6"/>
              </w:rPr>
              <w:t>As of 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ind w:right="42"/>
              <w:spacing w:after="0" w:line="140" w:lineRule="exact"/>
              <w:rPr>
                <w:sz w:val="20"/>
                <w:szCs w:val="20"/>
                <w:color w:val="auto"/>
              </w:rPr>
            </w:pPr>
            <w:r>
              <w:rPr>
                <w:rFonts w:ascii="Arial" w:cs="Arial" w:eastAsia="Arial" w:hAnsi="Arial"/>
                <w:sz w:val="14"/>
                <w:szCs w:val="14"/>
                <w:b w:val="1"/>
                <w:bCs w:val="1"/>
                <w:color w:val="auto"/>
                <w:w w:val="84"/>
              </w:rPr>
              <w:t>As of 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260" w:type="dxa"/>
            <w:vAlign w:val="bottom"/>
            <w:gridSpan w:val="2"/>
            <w:shd w:val="clear" w:color="auto" w:fill="CCEEFF"/>
          </w:tcPr>
          <w:p>
            <w:pPr>
              <w:jc w:val="right"/>
              <w:ind w:right="29"/>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intangible assets, net</w:t>
            </w:r>
          </w:p>
        </w:tc>
        <w:tc>
          <w:tcPr>
            <w:tcW w:w="30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277,924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80" w:type="dxa"/>
            <w:vAlign w:val="bottom"/>
            <w:vMerge w:val="restart"/>
          </w:tcPr>
          <w:p>
            <w:pPr>
              <w:jc w:val="right"/>
              <w:ind w:right="1475"/>
              <w:spacing w:after="0"/>
              <w:rPr>
                <w:sz w:val="20"/>
                <w:szCs w:val="20"/>
                <w:color w:val="auto"/>
              </w:rPr>
            </w:pPr>
            <w:r>
              <w:rPr>
                <w:rFonts w:ascii="Arial" w:cs="Arial" w:eastAsia="Arial" w:hAnsi="Arial"/>
                <w:sz w:val="17"/>
                <w:szCs w:val="17"/>
                <w:color w:val="auto"/>
              </w:rPr>
              <w:t>-30-</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35" w:right="1440" w:bottom="1440" w:gutter="0" w:footer="0" w:header="0"/>
        </w:sectPr>
      </w:pPr>
    </w:p>
    <w:bookmarkStart w:id="30" w:name="page31"/>
    <w:bookmarkEnd w:id="3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the carrying amount of goodwill for the nine months ended September 30, 2021 are as follows: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1, 2021</w:t>
            </w:r>
          </w:p>
        </w:tc>
        <w:tc>
          <w:tcPr>
            <w:tcW w:w="460" w:type="dxa"/>
            <w:vAlign w:val="bottom"/>
            <w:gridSpan w:val="2"/>
            <w:shd w:val="clear" w:color="auto" w:fill="CCEEFF"/>
          </w:tcPr>
          <w:p>
            <w:pPr>
              <w:jc w:val="right"/>
              <w:ind w:right="28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16,329</w:t>
            </w:r>
          </w:p>
        </w:tc>
      </w:tr>
      <w:tr>
        <w:trPr>
          <w:trHeight w:val="203"/>
        </w:trPr>
        <w:tc>
          <w:tcPr>
            <w:tcW w:w="7480" w:type="dxa"/>
            <w:vAlign w:val="bottom"/>
          </w:tcPr>
          <w:p>
            <w:pPr>
              <w:spacing w:after="0"/>
              <w:rPr>
                <w:sz w:val="20"/>
                <w:szCs w:val="20"/>
                <w:color w:val="auto"/>
              </w:rPr>
            </w:pPr>
            <w:r>
              <w:rPr>
                <w:rFonts w:ascii="Arial" w:cs="Arial" w:eastAsia="Arial" w:hAnsi="Arial"/>
                <w:sz w:val="17"/>
                <w:szCs w:val="17"/>
                <w:color w:val="auto"/>
              </w:rPr>
              <w:t>Acquisition of LCR-Dixon</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97,817</w:t>
            </w:r>
          </w:p>
        </w:tc>
      </w:tr>
      <w:tr>
        <w:trPr>
          <w:trHeight w:val="203"/>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Taxamo</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164,449</w:t>
            </w:r>
          </w:p>
        </w:tc>
      </w:tr>
      <w:tr>
        <w:trPr>
          <w:trHeight w:val="203"/>
        </w:trPr>
        <w:tc>
          <w:tcPr>
            <w:tcW w:w="7480" w:type="dxa"/>
            <w:vAlign w:val="bottom"/>
          </w:tcPr>
          <w:p>
            <w:pPr>
              <w:spacing w:after="0"/>
              <w:rPr>
                <w:sz w:val="20"/>
                <w:szCs w:val="20"/>
                <w:color w:val="auto"/>
              </w:rPr>
            </w:pPr>
            <w:r>
              <w:rPr>
                <w:rFonts w:ascii="Arial" w:cs="Arial" w:eastAsia="Arial" w:hAnsi="Arial"/>
                <w:sz w:val="17"/>
                <w:szCs w:val="17"/>
                <w:color w:val="auto"/>
              </w:rPr>
              <w:t>Acquisition of Tellutax</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4,700</w:t>
            </w:r>
          </w:p>
        </w:tc>
      </w:tr>
      <w:tr>
        <w:trPr>
          <w:trHeight w:val="203"/>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(8,433)</w:t>
            </w:r>
          </w:p>
        </w:tc>
      </w:tr>
      <w:tr>
        <w:trPr>
          <w:trHeight w:val="196"/>
        </w:trPr>
        <w:tc>
          <w:tcPr>
            <w:tcW w:w="7480" w:type="dxa"/>
            <w:vAlign w:val="bottom"/>
          </w:tcPr>
          <w:p>
            <w:pPr>
              <w:spacing w:after="0"/>
              <w:rPr>
                <w:sz w:val="20"/>
                <w:szCs w:val="20"/>
                <w:color w:val="auto"/>
              </w:rPr>
            </w:pPr>
            <w:r>
              <w:rPr>
                <w:rFonts w:ascii="Arial" w:cs="Arial" w:eastAsia="Arial" w:hAnsi="Arial"/>
                <w:sz w:val="17"/>
                <w:szCs w:val="17"/>
                <w:color w:val="auto"/>
              </w:rPr>
              <w:t>Balance, September 30, 2021, gross</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274,862</w:t>
            </w:r>
          </w:p>
        </w:tc>
      </w:tr>
      <w:tr>
        <w:trPr>
          <w:trHeight w:val="203"/>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Accumulated impairment losses</w:t>
            </w: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7480" w:type="dxa"/>
            <w:vAlign w:val="bottom"/>
          </w:tcPr>
          <w:p>
            <w:pPr>
              <w:spacing w:after="0"/>
              <w:rPr>
                <w:sz w:val="20"/>
                <w:szCs w:val="20"/>
                <w:color w:val="auto"/>
              </w:rPr>
            </w:pPr>
            <w:r>
              <w:rPr>
                <w:rFonts w:ascii="Arial" w:cs="Arial" w:eastAsia="Arial" w:hAnsi="Arial"/>
                <w:sz w:val="17"/>
                <w:szCs w:val="17"/>
                <w:color w:val="auto"/>
              </w:rPr>
              <w:t>Balance, September 30, 2021, net</w:t>
            </w: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274,862</w:t>
            </w: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The Company has recognized various amortizable other intangible assets in connection with acquisitions, including related to customer relationships, technology, and tradenames. The following tables provide additional information for other intangible assets, which are individually not material to the condensed consolidated financial statements: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0"/>
              </w:rPr>
              <w:t>As of 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3"/>
          </w:tcPr>
          <w:p>
            <w:pPr>
              <w:jc w:val="right"/>
              <w:ind w:right="269"/>
              <w:spacing w:after="0" w:line="133"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5"/>
                <w:szCs w:val="15"/>
                <w:b w:val="1"/>
                <w:bCs w:val="1"/>
                <w:color w:val="auto"/>
                <w:w w:val="87"/>
              </w:rPr>
              <w:t>Other intangible assets</w:t>
            </w:r>
          </w:p>
        </w:tc>
        <w:tc>
          <w:tcPr>
            <w:tcW w:w="2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Weighted average amortization period (years)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center"/>
              <w:ind w:left="461"/>
              <w:spacing w:after="0"/>
              <w:rPr>
                <w:sz w:val="20"/>
                <w:szCs w:val="20"/>
                <w:color w:val="auto"/>
              </w:rPr>
            </w:pPr>
            <w:r>
              <w:rPr>
                <w:rFonts w:ascii="Arial" w:cs="Arial" w:eastAsia="Arial" w:hAnsi="Arial"/>
                <w:sz w:val="17"/>
                <w:szCs w:val="17"/>
                <w:color w:val="auto"/>
                <w:w w:val="92"/>
              </w:rPr>
              <w:t>4.3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Gross value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9"/>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4,210</w:t>
            </w:r>
          </w:p>
        </w:tc>
        <w:tc>
          <w:tcPr>
            <w:tcW w:w="3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amortization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196"/>
        </w:trPr>
        <w:tc>
          <w:tcPr>
            <w:tcW w:w="4160" w:type="dxa"/>
            <w:vAlign w:val="bottom"/>
            <w:gridSpan w:val="3"/>
          </w:tcPr>
          <w:p>
            <w:pPr>
              <w:spacing w:after="0"/>
              <w:rPr>
                <w:sz w:val="20"/>
                <w:szCs w:val="20"/>
                <w:color w:val="auto"/>
              </w:rPr>
            </w:pPr>
            <w:r>
              <w:rPr>
                <w:rFonts w:ascii="Arial" w:cs="Arial" w:eastAsia="Arial" w:hAnsi="Arial"/>
                <w:sz w:val="17"/>
                <w:szCs w:val="17"/>
                <w:color w:val="auto"/>
              </w:rPr>
              <w:t>Carrying value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3,062</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ind w:right="401"/>
              <w:spacing w:after="0"/>
              <w:rPr>
                <w:sz w:val="20"/>
                <w:szCs w:val="20"/>
                <w:color w:val="auto"/>
              </w:rPr>
            </w:pPr>
            <w:r>
              <w:rPr>
                <w:rFonts w:ascii="Arial" w:cs="Arial" w:eastAsia="Arial" w:hAnsi="Arial"/>
                <w:sz w:val="14"/>
                <w:szCs w:val="14"/>
                <w:b w:val="1"/>
                <w:bCs w:val="1"/>
                <w:color w:val="auto"/>
                <w:w w:val="96"/>
              </w:rPr>
              <w:t>For the three months ended September 30, 2021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gridSpan w:val="3"/>
          </w:tcPr>
          <w:p>
            <w:pPr>
              <w:jc w:val="center"/>
              <w:spacing w:after="0" w:line="113" w:lineRule="exact"/>
              <w:rPr>
                <w:sz w:val="20"/>
                <w:szCs w:val="20"/>
                <w:color w:val="auto"/>
              </w:rPr>
            </w:pPr>
            <w:r>
              <w:rPr>
                <w:rFonts w:ascii="Arial" w:cs="Arial" w:eastAsia="Arial" w:hAnsi="Arial"/>
                <w:sz w:val="12"/>
                <w:szCs w:val="12"/>
                <w:b w:val="1"/>
                <w:bCs w:val="1"/>
                <w:color w:val="auto"/>
                <w:w w:val="97"/>
              </w:rPr>
              <w:t>Cost of Revenues,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5"/>
          </w:tcPr>
          <w:p>
            <w:pPr>
              <w:jc w:val="center"/>
              <w:spacing w:after="0" w:line="113" w:lineRule="exact"/>
              <w:rPr>
                <w:sz w:val="20"/>
                <w:szCs w:val="20"/>
                <w:color w:val="auto"/>
              </w:rPr>
            </w:pPr>
            <w:r>
              <w:rPr>
                <w:rFonts w:ascii="Arial" w:cs="Arial" w:eastAsia="Arial" w:hAnsi="Arial"/>
                <w:sz w:val="12"/>
                <w:szCs w:val="12"/>
                <w:b w:val="1"/>
                <w:bCs w:val="1"/>
                <w:color w:val="auto"/>
                <w:w w:val="99"/>
              </w:rPr>
              <w:t>Selling and</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9"/>
              <w:spacing w:after="0" w:line="140" w:lineRule="exact"/>
              <w:rPr>
                <w:sz w:val="20"/>
                <w:szCs w:val="20"/>
                <w:color w:val="auto"/>
              </w:rPr>
            </w:pPr>
            <w:r>
              <w:rPr>
                <w:rFonts w:ascii="Arial" w:cs="Arial" w:eastAsia="Arial" w:hAnsi="Arial"/>
                <w:sz w:val="14"/>
                <w:szCs w:val="14"/>
                <w:b w:val="1"/>
                <w:bCs w:val="1"/>
                <w:color w:val="auto"/>
                <w:w w:val="87"/>
              </w:rPr>
              <w:t>Software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5"/>
          </w:tcPr>
          <w:p>
            <w:pPr>
              <w:jc w:val="center"/>
              <w:spacing w:after="0" w:line="140" w:lineRule="exact"/>
              <w:rPr>
                <w:sz w:val="20"/>
                <w:szCs w:val="20"/>
                <w:color w:val="auto"/>
              </w:rPr>
            </w:pPr>
            <w:r>
              <w:rPr>
                <w:rFonts w:ascii="Arial" w:cs="Arial" w:eastAsia="Arial" w:hAnsi="Arial"/>
                <w:sz w:val="14"/>
                <w:szCs w:val="14"/>
                <w:b w:val="1"/>
                <w:bCs w:val="1"/>
                <w:color w:val="auto"/>
                <w:w w:val="93"/>
              </w:rPr>
              <w:t>Marketing</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9"/>
              <w:spacing w:after="0"/>
              <w:rPr>
                <w:sz w:val="20"/>
                <w:szCs w:val="20"/>
                <w:color w:val="auto"/>
              </w:rPr>
            </w:pPr>
            <w:r>
              <w:rPr>
                <w:rFonts w:ascii="Arial" w:cs="Arial" w:eastAsia="Arial" w:hAnsi="Arial"/>
                <w:sz w:val="14"/>
                <w:szCs w:val="14"/>
                <w:b w:val="1"/>
                <w:bCs w:val="1"/>
                <w:color w:val="auto"/>
                <w:w w:val="83"/>
              </w:rPr>
              <w:t>Subscriptions</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83"/>
              </w:rPr>
              <w:t>Expense</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gridSpan w:val="4"/>
            <w:shd w:val="clear" w:color="auto" w:fill="CCEEFF"/>
          </w:tcPr>
          <w:p>
            <w:pPr>
              <w:jc w:val="right"/>
              <w:ind w:right="2"/>
              <w:spacing w:after="0"/>
              <w:rPr>
                <w:sz w:val="20"/>
                <w:szCs w:val="20"/>
                <w:color w:val="auto"/>
              </w:rPr>
            </w:pPr>
            <w:r>
              <w:rPr>
                <w:rFonts w:ascii="Arial" w:cs="Arial" w:eastAsia="Arial" w:hAnsi="Arial"/>
                <w:sz w:val="17"/>
                <w:szCs w:val="17"/>
                <w:color w:val="auto"/>
                <w:w w:val="84"/>
              </w:rPr>
              <w:t>375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ind w:right="421"/>
              <w:spacing w:after="0"/>
              <w:rPr>
                <w:sz w:val="20"/>
                <w:szCs w:val="20"/>
                <w:color w:val="auto"/>
              </w:rPr>
            </w:pPr>
            <w:r>
              <w:rPr>
                <w:rFonts w:ascii="Arial" w:cs="Arial" w:eastAsia="Arial" w:hAnsi="Arial"/>
                <w:sz w:val="14"/>
                <w:szCs w:val="14"/>
                <w:b w:val="1"/>
                <w:bCs w:val="1"/>
                <w:color w:val="auto"/>
                <w:w w:val="97"/>
              </w:rPr>
              <w:t>For the nine months ended September 30, 2021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gridSpan w:val="3"/>
          </w:tcPr>
          <w:p>
            <w:pPr>
              <w:jc w:val="center"/>
              <w:spacing w:after="0" w:line="113" w:lineRule="exact"/>
              <w:rPr>
                <w:sz w:val="20"/>
                <w:szCs w:val="20"/>
                <w:color w:val="auto"/>
              </w:rPr>
            </w:pPr>
            <w:r>
              <w:rPr>
                <w:rFonts w:ascii="Arial" w:cs="Arial" w:eastAsia="Arial" w:hAnsi="Arial"/>
                <w:sz w:val="12"/>
                <w:szCs w:val="12"/>
                <w:b w:val="1"/>
                <w:bCs w:val="1"/>
                <w:color w:val="auto"/>
                <w:w w:val="97"/>
              </w:rPr>
              <w:t>Cost of Revenues,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5"/>
          </w:tcPr>
          <w:p>
            <w:pPr>
              <w:jc w:val="center"/>
              <w:spacing w:after="0" w:line="113" w:lineRule="exact"/>
              <w:rPr>
                <w:sz w:val="20"/>
                <w:szCs w:val="20"/>
                <w:color w:val="auto"/>
              </w:rPr>
            </w:pPr>
            <w:r>
              <w:rPr>
                <w:rFonts w:ascii="Arial" w:cs="Arial" w:eastAsia="Arial" w:hAnsi="Arial"/>
                <w:sz w:val="12"/>
                <w:szCs w:val="12"/>
                <w:b w:val="1"/>
                <w:bCs w:val="1"/>
                <w:color w:val="auto"/>
                <w:w w:val="99"/>
              </w:rPr>
              <w:t>Selling and</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9"/>
              <w:spacing w:after="0" w:line="140" w:lineRule="exact"/>
              <w:rPr>
                <w:sz w:val="20"/>
                <w:szCs w:val="20"/>
                <w:color w:val="auto"/>
              </w:rPr>
            </w:pPr>
            <w:r>
              <w:rPr>
                <w:rFonts w:ascii="Arial" w:cs="Arial" w:eastAsia="Arial" w:hAnsi="Arial"/>
                <w:sz w:val="14"/>
                <w:szCs w:val="14"/>
                <w:b w:val="1"/>
                <w:bCs w:val="1"/>
                <w:color w:val="auto"/>
                <w:w w:val="87"/>
              </w:rPr>
              <w:t>Software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5"/>
          </w:tcPr>
          <w:p>
            <w:pPr>
              <w:jc w:val="center"/>
              <w:spacing w:after="0" w:line="140" w:lineRule="exact"/>
              <w:rPr>
                <w:sz w:val="20"/>
                <w:szCs w:val="20"/>
                <w:color w:val="auto"/>
              </w:rPr>
            </w:pPr>
            <w:r>
              <w:rPr>
                <w:rFonts w:ascii="Arial" w:cs="Arial" w:eastAsia="Arial" w:hAnsi="Arial"/>
                <w:sz w:val="14"/>
                <w:szCs w:val="14"/>
                <w:b w:val="1"/>
                <w:bCs w:val="1"/>
                <w:color w:val="auto"/>
                <w:w w:val="93"/>
              </w:rPr>
              <w:t>Marketing</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9"/>
              <w:spacing w:after="0"/>
              <w:rPr>
                <w:sz w:val="20"/>
                <w:szCs w:val="20"/>
                <w:color w:val="auto"/>
              </w:rPr>
            </w:pPr>
            <w:r>
              <w:rPr>
                <w:rFonts w:ascii="Arial" w:cs="Arial" w:eastAsia="Arial" w:hAnsi="Arial"/>
                <w:sz w:val="14"/>
                <w:szCs w:val="14"/>
                <w:b w:val="1"/>
                <w:bCs w:val="1"/>
                <w:color w:val="auto"/>
                <w:w w:val="83"/>
              </w:rPr>
              <w:t>Subscriptions</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83"/>
              </w:rPr>
              <w:t>Expense</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gridSpan w:val="4"/>
            <w:shd w:val="clear" w:color="auto" w:fill="CCEEFF"/>
          </w:tcPr>
          <w:p>
            <w:pPr>
              <w:jc w:val="right"/>
              <w:ind w:right="2"/>
              <w:spacing w:after="0"/>
              <w:rPr>
                <w:sz w:val="20"/>
                <w:szCs w:val="20"/>
                <w:color w:val="auto"/>
              </w:rPr>
            </w:pPr>
            <w:r>
              <w:rPr>
                <w:rFonts w:ascii="Arial" w:cs="Arial" w:eastAsia="Arial" w:hAnsi="Arial"/>
                <w:sz w:val="17"/>
                <w:szCs w:val="17"/>
                <w:color w:val="auto"/>
                <w:w w:val="84"/>
              </w:rPr>
              <w:t>545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60" w:hanging="315"/>
        <w:spacing w:after="0"/>
        <w:tabs>
          <w:tab w:leader="none" w:pos="3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11"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Credit Agreement</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On March 31, 2020, the Company entered into a credit agreement with a bank, which was subsequently amended on April 3, 2020 to permit another bank to be a party to the agreement, consisting of a $175,000 term loan (the “Term Loan”) and a $100,000 committed line of credit (the “Line of Credit”) (collectively, the “Credit Agreement”).</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portion of the Offering proceeds was used to repay the $175,000 Term Loan in full on July 31, 2020.</w:t>
      </w:r>
    </w:p>
    <w:p>
      <w:pPr>
        <w:spacing w:after="0" w:line="211"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The Line of Credit matures in March 2025 and had no outstanding borrowings at September 30, 2021 or December 31, 2020. The Company has the option to select an applicable interest rate at either the bank base rate plus an applicable margin (the “Base Rate Option”) or the LIBOR plus an applicable margin (the “LIBOR Option”). The applicable margins are determined by certain financial covenant performance as defined in the Credit Agreement. At September 30, 2021, the Base Rate Option and LIBOR Option applicable to Line of Credit borrowings were 3.25% and 2.00%, respectively.</w:t>
      </w:r>
    </w:p>
    <w:p>
      <w:pPr>
        <w:spacing w:after="0" w:line="166"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Credit Agreement is collateralized by certain assets of the Company and contains financial and operating covenants. The Company was in compliance with these covenants at September 30, 2021.</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1" w:name="page32"/>
    <w:bookmarkEnd w:id="3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right="6019" w:hanging="315"/>
        <w:spacing w:after="0" w:line="568" w:lineRule="auto"/>
        <w:tabs>
          <w:tab w:leader="none" w:pos="36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Termination of S-Corporation status</w:t>
      </w:r>
    </w:p>
    <w:p>
      <w:pPr>
        <w:spacing w:after="0" w:line="1"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In connection with termination of the Company’s S-Corporation status effective July 27, 2020, the Company had an accumulated deficit of $354,291 pertaining to the S-Corporation shareholders which was reclassified to additional paid in capital upon such termination.</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Recapitalization</w:t>
      </w:r>
    </w:p>
    <w:p>
      <w:pPr>
        <w:spacing w:after="0" w:line="215"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On July 28, 2020, the Company filed its amended and restated certificate of incorporation with the Delaware Secretary of State to: (i) effect a three-for-one forward stock split (the “Stock Split”); (ii) establish a new capital structure for the Company (the “New Capital Structure”); and (iii) effect a share exchange (the “Share Exchange”) (collectively, the “Recapitalization”). The Stock Split resulted in each one share of common stock being exchanged for three shares of common stock, and the number of shares of the Company’s common stock issued and outstanding was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connection with the New Capital Structure. The effect of the Stock Split and Share Exchange are recognized retrospectively in the condensed consolidated financial statements.</w:t>
      </w:r>
    </w:p>
    <w:p>
      <w:pPr>
        <w:spacing w:after="0" w:line="170" w:lineRule="exact"/>
        <w:rPr>
          <w:sz w:val="20"/>
          <w:szCs w:val="20"/>
          <w:color w:val="auto"/>
        </w:rPr>
      </w:pPr>
    </w:p>
    <w:p>
      <w:pPr>
        <w:jc w:val="both"/>
        <w:ind w:left="40" w:right="59" w:firstLine="305"/>
        <w:spacing w:after="0" w:line="341" w:lineRule="auto"/>
        <w:rPr>
          <w:sz w:val="20"/>
          <w:szCs w:val="20"/>
          <w:color w:val="auto"/>
        </w:rPr>
      </w:pPr>
      <w:r>
        <w:rPr>
          <w:rFonts w:ascii="Arial" w:cs="Arial" w:eastAsia="Arial" w:hAnsi="Arial"/>
          <w:sz w:val="15"/>
          <w:szCs w:val="15"/>
          <w:color w:val="auto"/>
        </w:rPr>
        <w:t>In connection with the New Capital Structure, Treasury Stock was retired and amounts associated with the Treasury Stock were reclassified to additional paid in capital. Thus, at September 30, 2021 and December 31, 2020, there was no Treasury Stock.</w:t>
      </w:r>
    </w:p>
    <w:p>
      <w:pPr>
        <w:spacing w:after="0" w:line="120" w:lineRule="exact"/>
        <w:rPr>
          <w:sz w:val="20"/>
          <w:szCs w:val="20"/>
          <w:color w:val="auto"/>
        </w:rPr>
      </w:pPr>
    </w:p>
    <w:p>
      <w:pPr>
        <w:jc w:val="both"/>
        <w:ind w:left="40" w:right="59" w:firstLine="305"/>
        <w:spacing w:after="0" w:line="271" w:lineRule="auto"/>
        <w:rPr>
          <w:sz w:val="20"/>
          <w:szCs w:val="20"/>
          <w:color w:val="auto"/>
        </w:rPr>
      </w:pPr>
      <w:r>
        <w:rPr>
          <w:rFonts w:ascii="Arial" w:cs="Arial" w:eastAsia="Arial" w:hAnsi="Arial"/>
          <w:sz w:val="16"/>
          <w:szCs w:val="16"/>
          <w:color w:val="auto"/>
        </w:rPr>
        <w:t>Prior to the Share Exchange, the Company had 147 shares of former Class A common stock and 120,443 shares of former Class B common stock outstanding. Members of a family (the “Family”) owned all 147 outstanding shares of former Class A common stock and 120,270 shares of the former Class B common stock. The remaining 173 shares of former Class B common stock outstanding were owned by non-Family members in connection with the exercise of stock options in April 2020 for cash of $53. There were no dividend or liquidation preference differences between the former Class A and former Class B shares. There were common stock equivalents outstanding at September 30, 2020 held by non-Family members that entitled such holders to receive an equivalent number of former Class B shares upon exercise.</w:t>
      </w:r>
    </w:p>
    <w:p>
      <w:pPr>
        <w:spacing w:after="0" w:line="172" w:lineRule="exact"/>
        <w:rPr>
          <w:sz w:val="20"/>
          <w:szCs w:val="20"/>
          <w:color w:val="auto"/>
        </w:rPr>
      </w:pPr>
    </w:p>
    <w:p>
      <w:pPr>
        <w:jc w:val="both"/>
        <w:ind w:left="40" w:right="59" w:firstLine="305"/>
        <w:spacing w:after="0" w:line="292" w:lineRule="auto"/>
        <w:rPr>
          <w:sz w:val="20"/>
          <w:szCs w:val="20"/>
          <w:color w:val="auto"/>
        </w:rPr>
      </w:pPr>
      <w:r>
        <w:rPr>
          <w:rFonts w:ascii="Arial" w:cs="Arial" w:eastAsia="Arial" w:hAnsi="Arial"/>
          <w:sz w:val="15"/>
          <w:szCs w:val="15"/>
          <w:color w:val="auto"/>
        </w:rPr>
        <w:t>In connection with establishing the New Capital Structure in July 2020, the stockholders authorized 450,000 shares of common stock, par value $0.001 per share, and 30,000 shares of preferred stock, par value $0.001 per share. In connection with the New Capital Structure, common stock is divided into two classes, Class A with one vote per share, and Class B with ten votes per share. The rights of the holders of Class A and Class B are identical, except with respect to voting and conversion rights. Upon transfer of Class B shares to a non-Family member, such shares will automatically convert to an equivalent number of Class A shares with the respective voting rights attributable to such new shares. Authorized Class A and Class B shares are 300,000 and 150,000 shares, respectively. There are no dividend or liquidation preference differences between Class A and Class B.</w:t>
      </w:r>
    </w:p>
    <w:p>
      <w:pPr>
        <w:spacing w:after="0" w:line="157"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In connection with the Share Exchange in July 2020, the Family members exchanged each share of former Class A and former Class B for the equivalent number of Class B shares established as part of the New Capital Structure. In addition, the non-Family members exchanged their former Class B shares for an equivalent number of Class A shares established as part of the New Capital Structure. No funds were exchanged in connection with the Share Exchange, and the aggregate number of shares outstanding both immediately prior to and after the Share Exchange remained the same at 120,590. In addition, common stock equivalents, all of which were held by non-Family members and which were previously exercisable into former Class B shares, became exercisable into Class A shares established as part of the New Capital Structure. Historical earnings per share information for all periods presented prior to the Offering was retrospectively restated similar to the treatment of a stock split to reflect the Share Exchange as management concluded that there was no economic value attributable to such exchange of shares in connection with the Recapitalization. See Note 11.</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2" w:name="page33"/>
    <w:bookmarkEnd w:id="3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Common Stock (after the Recapitalization)</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During the three and nine months ended September 30, 2021, the Company issued 625 and 1,726 shares of Class A, respectively, related to the exercise of options, net of 128 and 703 shares, respectively, returned to the Company in lieu of payment of the exercise price and taxes due on these exercises.</w:t>
      </w:r>
    </w:p>
    <w:p>
      <w:pPr>
        <w:spacing w:after="0" w:line="17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During the three and nine months ended September 30, 2021 the Company issued 3 and 8 shares of Class A, respectively, in connection with the vesting of RSUs, net of 2 and 3 shares, respectively, returned to the Company in lieu of payment of taxes due on the vesting of these RSUs.</w:t>
      </w:r>
    </w:p>
    <w:p>
      <w:pPr>
        <w:spacing w:after="0" w:line="17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During the three and nine months ended September 30, 2021, 118 and 352 shares of Class A, respectively were issued in connection with the vesting of RSAs, net of 11 and 11 shares, respectively, returned to the Company in lieu of payment of taxes due on the vesting of these RSAs.</w:t>
      </w:r>
    </w:p>
    <w:p>
      <w:pPr>
        <w:spacing w:after="0" w:line="17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During the nine months ended September 30, 2021, a stockholder exchanged 12,100 shares of Class B for an equivalent number of shares of Class A.</w:t>
      </w:r>
    </w:p>
    <w:p>
      <w:pPr>
        <w:spacing w:after="0" w:line="165" w:lineRule="exact"/>
        <w:rPr>
          <w:sz w:val="20"/>
          <w:szCs w:val="20"/>
          <w:color w:val="auto"/>
        </w:rPr>
      </w:pPr>
    </w:p>
    <w:p>
      <w:pPr>
        <w:jc w:val="both"/>
        <w:ind w:left="40" w:right="59" w:firstLine="305"/>
        <w:spacing w:after="0" w:line="252" w:lineRule="auto"/>
        <w:rPr>
          <w:sz w:val="20"/>
          <w:szCs w:val="20"/>
          <w:color w:val="auto"/>
        </w:rPr>
      </w:pPr>
      <w:r>
        <w:rPr>
          <w:rFonts w:ascii="Arial" w:cs="Arial" w:eastAsia="Arial" w:hAnsi="Arial"/>
          <w:sz w:val="17"/>
          <w:szCs w:val="17"/>
          <w:color w:val="auto"/>
        </w:rPr>
        <w:t>On July 28, 2020, the Company sold 23,812 shares of Class A in connection with the Offering for $423,024, net of underwriting fees. Offering costs paid from these proceeds aggregated $6,222 and are reflected as a reduction of additional paid in capital in stockholders’ equity. In addition, the company issued 510 shares of Class A in connection with the exercise of stock options by option holders, net of 381 shares returned to the Company in lieu of payment of the exercise price and taxes due on these exercises. In connection with the Offering, the Company also issued an aggregate 564 shares of Class A related to the conversion of SARs into options and the immediate exercise of these options into shares, net of 860 shares returned to the Company in lieu of payment of the exercise price and taxes due on these exercises. The Company also issued 610 Class A shares in connection with the exercise of outstanding options and 19 Class A shares in connection with RSAs granted at the Offering, which vested immediately.</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Distributions</w:t>
      </w:r>
    </w:p>
    <w:p>
      <w:pPr>
        <w:spacing w:after="0" w:line="215" w:lineRule="exact"/>
        <w:rPr>
          <w:sz w:val="20"/>
          <w:szCs w:val="20"/>
          <w:color w:val="auto"/>
        </w:rPr>
      </w:pPr>
    </w:p>
    <w:p>
      <w:pPr>
        <w:jc w:val="both"/>
        <w:ind w:left="40" w:right="159" w:firstLine="305"/>
        <w:spacing w:after="0" w:line="261" w:lineRule="auto"/>
        <w:rPr>
          <w:sz w:val="20"/>
          <w:szCs w:val="20"/>
          <w:color w:val="auto"/>
        </w:rPr>
      </w:pPr>
      <w:r>
        <w:rPr>
          <w:rFonts w:ascii="Arial" w:cs="Arial" w:eastAsia="Arial" w:hAnsi="Arial"/>
          <w:sz w:val="17"/>
          <w:szCs w:val="17"/>
          <w:color w:val="auto"/>
        </w:rPr>
        <w:t>The board of directors (the “Board”) declared distributions of $4,010 ($0.03 per share) and $123,185 ($1.02 per share) during the three months ended March 31, and June 30, 2020, respectively, and $5,706 ($0.05 per share) through July 25, 2020, pro rata to stockholders of the former Class A and Class B common stock.</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Tax Sharing Agreement Payments</w:t>
      </w:r>
    </w:p>
    <w:p>
      <w:pPr>
        <w:spacing w:after="0" w:line="215" w:lineRule="exact"/>
        <w:rPr>
          <w:sz w:val="20"/>
          <w:szCs w:val="20"/>
          <w:color w:val="auto"/>
        </w:rPr>
      </w:pPr>
    </w:p>
    <w:p>
      <w:pPr>
        <w:jc w:val="both"/>
        <w:ind w:left="40" w:right="59" w:firstLine="305"/>
        <w:spacing w:after="0" w:line="294" w:lineRule="auto"/>
        <w:rPr>
          <w:sz w:val="20"/>
          <w:szCs w:val="20"/>
          <w:color w:val="auto"/>
        </w:rPr>
      </w:pPr>
      <w:r>
        <w:rPr>
          <w:rFonts w:ascii="Arial" w:cs="Arial" w:eastAsia="Arial" w:hAnsi="Arial"/>
          <w:sz w:val="15"/>
          <w:szCs w:val="15"/>
          <w:color w:val="auto"/>
        </w:rPr>
        <w:t>In connection with termination of the Company’s S-Corporation status effective July 27, 2020, the Company entered into a Tax Sharing Agreement with the former S-Corporation shareholders. See Note 1. The Tax Sharing Agreement, as amended on June 30, 2021, requires the Company to finalize the S-Corporation income tax returns for the short period ended July 26, 2020 no later than August 15, 2021 (previously June 30, 2021 prior to the amendment). The Company is required to settle any remaining liability for taxes to the former S-Corporation shareholders within 15 days thereafter under the amended Tax Sharing Agreement. All obligations of the Company under the Tax Sharing Agreement are satisfied by adjustments of additional paid in capital.</w:t>
      </w:r>
    </w:p>
    <w:p>
      <w:pPr>
        <w:spacing w:after="0" w:line="15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Through the three months ended September 30, 2021, the Company distributed $2,700 to the former S-Corporation shareholders under the Tax Sharing Agreement in connection with preliminary estimates of obligations for income taxes related to the allocation of taxable income to the S-Corporation short tax period ended July 26, 2020.</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3" w:name="page34"/>
    <w:bookmarkEnd w:id="3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420" w:hanging="375"/>
        <w:spacing w:after="0"/>
        <w:tabs>
          <w:tab w:leader="none" w:pos="4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15" w:lineRule="exact"/>
        <w:rPr>
          <w:sz w:val="20"/>
          <w:szCs w:val="20"/>
          <w:color w:val="auto"/>
        </w:rPr>
      </w:pPr>
    </w:p>
    <w:p>
      <w:pPr>
        <w:jc w:val="both"/>
        <w:ind w:left="40" w:right="59" w:firstLine="305"/>
        <w:spacing w:after="0" w:line="302" w:lineRule="auto"/>
        <w:rPr>
          <w:sz w:val="20"/>
          <w:szCs w:val="20"/>
          <w:color w:val="auto"/>
        </w:rPr>
      </w:pPr>
      <w:r>
        <w:rPr>
          <w:rFonts w:ascii="Arial" w:cs="Arial" w:eastAsia="Arial" w:hAnsi="Arial"/>
          <w:sz w:val="15"/>
          <w:szCs w:val="15"/>
          <w:color w:val="auto"/>
        </w:rPr>
        <w:t>The table below illustrates the calculation of basic and diluted net loss per common share for the Class A common and Class B common for the periods reflected below. The weighted average shares outstanding have been retrospectively restated to reflect the Share Exchange for all periods prior to the Offering, resulting in the Class A shares representing non-Family-owned shares and Class B representing Family-owned shares for all periods presented. See Note 10 for further information on the Share Exchange.</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For the 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For the nine months ended</w:t>
            </w:r>
          </w:p>
        </w:tc>
        <w:tc>
          <w:tcPr>
            <w:tcW w:w="0" w:type="dxa"/>
            <w:vAlign w:val="bottom"/>
          </w:tcPr>
          <w:p>
            <w:pPr>
              <w:spacing w:after="0"/>
              <w:rPr>
                <w:sz w:val="1"/>
                <w:szCs w:val="1"/>
                <w:color w:val="auto"/>
              </w:rPr>
            </w:pPr>
          </w:p>
        </w:tc>
      </w:tr>
      <w:tr>
        <w:trPr>
          <w:trHeight w:val="160"/>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 common stock:</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32"/>
        </w:trPr>
        <w:tc>
          <w:tcPr>
            <w:tcW w:w="48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80"/>
              <w:spacing w:after="0" w:line="133"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0"/>
              <w:spacing w:after="0" w:line="133"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center"/>
              <w:ind w:left="400"/>
              <w:spacing w:after="0" w:line="120" w:lineRule="exact"/>
              <w:rPr>
                <w:sz w:val="20"/>
                <w:szCs w:val="20"/>
                <w:color w:val="auto"/>
              </w:rPr>
            </w:pPr>
            <w:r>
              <w:rPr>
                <w:rFonts w:ascii="Arial" w:cs="Arial" w:eastAsia="Arial" w:hAnsi="Arial"/>
                <w:sz w:val="12"/>
                <w:szCs w:val="12"/>
                <w:b w:val="1"/>
                <w:bCs w:val="1"/>
                <w:color w:val="auto"/>
              </w:rPr>
              <w:t>(unaudited)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5"/>
          </w:tcPr>
          <w:p>
            <w:pPr>
              <w:jc w:val="center"/>
              <w:ind w:right="17"/>
              <w:spacing w:after="0" w:line="120" w:lineRule="exact"/>
              <w:rPr>
                <w:sz w:val="20"/>
                <w:szCs w:val="20"/>
                <w:color w:val="auto"/>
              </w:rPr>
            </w:pPr>
            <w:r>
              <w:rPr>
                <w:rFonts w:ascii="Arial" w:cs="Arial" w:eastAsia="Arial" w:hAnsi="Arial"/>
                <w:sz w:val="12"/>
                <w:szCs w:val="12"/>
                <w:b w:val="1"/>
                <w:bCs w:val="1"/>
                <w:color w:val="auto"/>
              </w:rPr>
              <w:t>(unaudited)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Numerator, 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tcPr>
          <w:p>
            <w:pPr>
              <w:ind w:left="80"/>
              <w:spacing w:after="0"/>
              <w:rPr>
                <w:sz w:val="20"/>
                <w:szCs w:val="20"/>
                <w:color w:val="auto"/>
              </w:rPr>
            </w:pPr>
            <w:r>
              <w:rPr>
                <w:rFonts w:ascii="Arial" w:cs="Arial" w:eastAsia="Arial" w:hAnsi="Arial"/>
                <w:sz w:val="17"/>
                <w:szCs w:val="17"/>
                <w:color w:val="auto"/>
              </w:rPr>
              <w:t>Net loss attributable to all stockholders</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(3,948)</w:t>
            </w:r>
          </w:p>
        </w:tc>
        <w:tc>
          <w:tcPr>
            <w:tcW w:w="200" w:type="dxa"/>
            <w:vAlign w:val="bottom"/>
          </w:tcPr>
          <w:p>
            <w:pPr>
              <w:spacing w:after="0"/>
              <w:rPr>
                <w:sz w:val="17"/>
                <w:szCs w:val="17"/>
                <w:color w:val="auto"/>
              </w:rPr>
            </w:pPr>
          </w:p>
        </w:tc>
        <w:tc>
          <w:tcPr>
            <w:tcW w:w="26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8"/>
              </w:rPr>
              <w:t>(21,028)</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(852)</w:t>
            </w:r>
          </w:p>
        </w:tc>
        <w:tc>
          <w:tcPr>
            <w:tcW w:w="2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(79,167)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gridSpan w:val="2"/>
            <w:shd w:val="clear" w:color="auto" w:fill="CCEEFF"/>
          </w:tcPr>
          <w:p>
            <w:pPr>
              <w:ind w:left="80"/>
              <w:spacing w:after="0" w:line="191" w:lineRule="exact"/>
              <w:rPr>
                <w:sz w:val="20"/>
                <w:szCs w:val="20"/>
                <w:color w:val="auto"/>
              </w:rPr>
            </w:pPr>
            <w:r>
              <w:rPr>
                <w:rFonts w:ascii="Arial" w:cs="Arial" w:eastAsia="Arial" w:hAnsi="Arial"/>
                <w:sz w:val="17"/>
                <w:szCs w:val="17"/>
                <w:color w:val="auto"/>
                <w:w w:val="92"/>
              </w:rPr>
              <w:t>Class A common stock as a percentage of total shares outstanding,</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27.09 %</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13.08 %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22.91 %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3.07 %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CCEEFF"/>
            </w:tcBorders>
            <w:gridSpan w:val="2"/>
          </w:tcPr>
          <w:p>
            <w:pPr>
              <w:ind w:left="80"/>
              <w:spacing w:after="0"/>
              <w:rPr>
                <w:sz w:val="20"/>
                <w:szCs w:val="20"/>
                <w:color w:val="auto"/>
              </w:rPr>
            </w:pPr>
            <w:r>
              <w:rPr>
                <w:rFonts w:ascii="Arial" w:cs="Arial" w:eastAsia="Arial" w:hAnsi="Arial"/>
                <w:sz w:val="17"/>
                <w:szCs w:val="17"/>
                <w:color w:val="auto"/>
              </w:rPr>
              <w:t>Net loss attributable to Class A stockholders, basic</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(1,070)</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(2,427)</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Numerator, 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Net loss attributable to all stockholders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(3,948)</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(21,028)</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(79,167)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gridSpan w:val="2"/>
          </w:tcPr>
          <w:p>
            <w:pPr>
              <w:ind w:left="80"/>
              <w:spacing w:after="0" w:line="191" w:lineRule="exact"/>
              <w:rPr>
                <w:sz w:val="20"/>
                <w:szCs w:val="20"/>
                <w:color w:val="auto"/>
              </w:rPr>
            </w:pPr>
            <w:r>
              <w:rPr>
                <w:rFonts w:ascii="Arial" w:cs="Arial" w:eastAsia="Arial" w:hAnsi="Arial"/>
                <w:sz w:val="17"/>
                <w:szCs w:val="17"/>
                <w:color w:val="auto"/>
                <w:w w:val="92"/>
              </w:rPr>
              <w:t>Class A common stock as a percentage of total shares outstanding,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gridSpan w:val="2"/>
          </w:tcPr>
          <w:p>
            <w:pPr>
              <w:ind w:left="8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27.09 %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13.08 %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22.91 %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3.07 %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Net loss attributable to Class A stockholders, diluted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Denominator, basic and diluted: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tcPr>
          <w:p>
            <w:pPr>
              <w:ind w:left="80"/>
              <w:spacing w:after="0"/>
              <w:rPr>
                <w:sz w:val="20"/>
                <w:szCs w:val="20"/>
                <w:color w:val="auto"/>
              </w:rPr>
            </w:pPr>
            <w:r>
              <w:rPr>
                <w:rFonts w:ascii="Arial" w:cs="Arial" w:eastAsia="Arial" w:hAnsi="Arial"/>
                <w:sz w:val="17"/>
                <w:szCs w:val="17"/>
                <w:color w:val="auto"/>
              </w:rPr>
              <w:t>Weighted average Class A common stock, basic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40,141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9"/>
              </w:rPr>
              <w:t>18,124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33,775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6,129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6"/>
                <w:szCs w:val="16"/>
                <w:color w:val="auto"/>
              </w:rPr>
              <w:t>Dilutive effect of common stock equivalents</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CCEEFF"/>
            </w:tcBorders>
            <w:gridSpan w:val="2"/>
          </w:tcPr>
          <w:p>
            <w:pPr>
              <w:ind w:left="80"/>
              <w:spacing w:after="0"/>
              <w:rPr>
                <w:sz w:val="20"/>
                <w:szCs w:val="20"/>
                <w:color w:val="auto"/>
              </w:rPr>
            </w:pPr>
            <w:r>
              <w:rPr>
                <w:rFonts w:ascii="Arial" w:cs="Arial" w:eastAsia="Arial" w:hAnsi="Arial"/>
                <w:sz w:val="17"/>
                <w:szCs w:val="17"/>
                <w:color w:val="auto"/>
              </w:rPr>
              <w:t>Weighted average Class A common stock, diluted</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40,141</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18,124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33,775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6,129</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spacing w:after="0"/>
              <w:rPr>
                <w:sz w:val="20"/>
                <w:szCs w:val="20"/>
                <w:color w:val="auto"/>
              </w:rPr>
            </w:pPr>
            <w:r>
              <w:rPr>
                <w:rFonts w:ascii="Arial" w:cs="Arial" w:eastAsia="Arial" w:hAnsi="Arial"/>
                <w:sz w:val="17"/>
                <w:szCs w:val="17"/>
                <w:color w:val="auto"/>
              </w:rPr>
              <w:t>Net loss per Class A share, basic</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21"/>
                <w:szCs w:val="21"/>
                <w:color w:val="auto"/>
              </w:rPr>
            </w:pPr>
          </w:p>
        </w:tc>
        <w:tc>
          <w:tcPr>
            <w:tcW w:w="26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(0.15)</w:t>
            </w:r>
          </w:p>
        </w:tc>
        <w:tc>
          <w:tcPr>
            <w:tcW w:w="14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(0.40)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gridSpan w:val="3"/>
          </w:tcPr>
          <w:p>
            <w:pPr>
              <w:spacing w:after="0"/>
              <w:rPr>
                <w:sz w:val="20"/>
                <w:szCs w:val="20"/>
                <w:color w:val="auto"/>
              </w:rPr>
            </w:pPr>
            <w:r>
              <w:rPr>
                <w:rFonts w:ascii="Arial" w:cs="Arial" w:eastAsia="Arial" w:hAnsi="Arial"/>
                <w:sz w:val="17"/>
                <w:szCs w:val="17"/>
                <w:color w:val="auto"/>
              </w:rPr>
              <w:t>Net loss per Class A share, diluted</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17"/>
                <w:szCs w:val="17"/>
                <w:color w:val="auto"/>
              </w:rPr>
            </w:pPr>
          </w:p>
        </w:tc>
        <w:tc>
          <w:tcPr>
            <w:tcW w:w="26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(0.15)</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(0.40)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360" w:right="59" w:hanging="315"/>
        <w:spacing w:after="0" w:line="226" w:lineRule="auto"/>
        <w:tabs>
          <w:tab w:leader="none" w:pos="472" w:val="left"/>
        </w:tabs>
        <w:numPr>
          <w:ilvl w:val="0"/>
          <w:numId w:val="18"/>
        </w:numPr>
        <w:rPr>
          <w:rFonts w:ascii="Arial" w:cs="Arial" w:eastAsia="Arial" w:hAnsi="Arial"/>
          <w:sz w:val="25"/>
          <w:szCs w:val="25"/>
          <w:b w:val="1"/>
          <w:bCs w:val="1"/>
          <w:color w:val="auto"/>
          <w:vertAlign w:val="superscript"/>
        </w:rPr>
      </w:pPr>
      <w:r>
        <w:rPr>
          <w:rFonts w:ascii="Arial" w:cs="Arial" w:eastAsia="Arial" w:hAnsi="Arial"/>
          <w:sz w:val="17"/>
          <w:szCs w:val="17"/>
          <w:color w:val="auto"/>
        </w:rPr>
        <w:t>The following weighted-average outstanding shares of common stock equivalents were excluded from the computation of diluted net loss per share attributable to Class A stockholders because the impact of including them would have been anti-dilutive: 9,598 and 9,707 for the three months ended September 30, 2021 and 2020, respectively, and 10,488 and 5,654 for the nine months ended September 30, 2021 and 2020, respectively.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4" w:name="page35"/>
    <w:bookmarkEnd w:id="3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For the 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5"/>
              </w:rPr>
              <w:t>For the nine months ended</w:t>
            </w:r>
          </w:p>
        </w:tc>
        <w:tc>
          <w:tcPr>
            <w:tcW w:w="0" w:type="dxa"/>
            <w:vAlign w:val="bottom"/>
          </w:tcPr>
          <w:p>
            <w:pPr>
              <w:spacing w:after="0"/>
              <w:rPr>
                <w:sz w:val="1"/>
                <w:szCs w:val="1"/>
                <w:color w:val="auto"/>
              </w:rPr>
            </w:pPr>
          </w:p>
        </w:tc>
      </w:tr>
      <w:tr>
        <w:trPr>
          <w:trHeight w:val="160"/>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common stock:</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32"/>
        </w:trPr>
        <w:tc>
          <w:tcPr>
            <w:tcW w:w="4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60"/>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0"/>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center"/>
              <w:ind w:right="17"/>
              <w:spacing w:after="0" w:line="120"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5"/>
          </w:tcPr>
          <w:p>
            <w:pPr>
              <w:jc w:val="center"/>
              <w:ind w:right="17"/>
              <w:spacing w:after="0" w:line="120" w:lineRule="exact"/>
              <w:rPr>
                <w:sz w:val="20"/>
                <w:szCs w:val="20"/>
                <w:color w:val="auto"/>
              </w:rPr>
            </w:pPr>
            <w:r>
              <w:rPr>
                <w:rFonts w:ascii="Arial" w:cs="Arial" w:eastAsia="Arial" w:hAnsi="Arial"/>
                <w:sz w:val="12"/>
                <w:szCs w:val="12"/>
                <w:b w:val="1"/>
                <w:bCs w:val="1"/>
                <w:color w:val="auto"/>
              </w:rPr>
              <w:t>(unaudited)</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Numerator, basic:</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rPr>
                <w:sz w:val="20"/>
                <w:szCs w:val="20"/>
                <w:color w:val="auto"/>
              </w:rPr>
            </w:pPr>
            <w:r>
              <w:rPr>
                <w:rFonts w:ascii="Arial" w:cs="Arial" w:eastAsia="Arial" w:hAnsi="Arial"/>
                <w:sz w:val="17"/>
                <w:szCs w:val="17"/>
                <w:color w:val="auto"/>
              </w:rPr>
              <w:t>Net loss attributable to all stockholders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(3,948)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(21,028)</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(852)</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(79,167)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shd w:val="clear" w:color="auto" w:fill="CCEEFF"/>
          </w:tcPr>
          <w:p>
            <w:pPr>
              <w:ind w:left="80"/>
              <w:spacing w:after="0" w:line="191" w:lineRule="exact"/>
              <w:rPr>
                <w:sz w:val="20"/>
                <w:szCs w:val="20"/>
                <w:color w:val="auto"/>
              </w:rPr>
            </w:pPr>
            <w:r>
              <w:rPr>
                <w:rFonts w:ascii="Arial" w:cs="Arial" w:eastAsia="Arial" w:hAnsi="Arial"/>
                <w:sz w:val="17"/>
                <w:szCs w:val="17"/>
                <w:color w:val="auto"/>
                <w:w w:val="92"/>
              </w:rPr>
              <w:t>Class B common stock as a percentage of total shares outstanding,</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72.91 %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86.92 %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77.09 %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96.93 %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Net loss attributable to Class B stockholders, basic</w:t>
            </w:r>
          </w:p>
        </w:tc>
        <w:tc>
          <w:tcPr>
            <w:tcW w:w="2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(2,878)</w:t>
            </w:r>
          </w:p>
        </w:tc>
        <w:tc>
          <w:tcPr>
            <w:tcW w:w="2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(18,277)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(657)</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(76,740)</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Numerator, diluted: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loss attributable to all stockholders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(3,948)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(21,028)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(852)</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(79,167)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tcPr>
          <w:p>
            <w:pPr>
              <w:ind w:left="80"/>
              <w:spacing w:after="0" w:line="191" w:lineRule="exact"/>
              <w:rPr>
                <w:sz w:val="20"/>
                <w:szCs w:val="20"/>
                <w:color w:val="auto"/>
              </w:rPr>
            </w:pPr>
            <w:r>
              <w:rPr>
                <w:rFonts w:ascii="Arial" w:cs="Arial" w:eastAsia="Arial" w:hAnsi="Arial"/>
                <w:sz w:val="17"/>
                <w:szCs w:val="17"/>
                <w:color w:val="auto"/>
                <w:w w:val="92"/>
              </w:rPr>
              <w:t>Class B common stock as a percentage of total shares outstanding,</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72.91 %</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86.92 %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77.09 %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7"/>
                <w:szCs w:val="17"/>
                <w:color w:val="auto"/>
              </w:rPr>
              <w:t>96.93 %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Net loss attributable to Class B stockholders, diluted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(18,277)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(76,740)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Denominator, basic and diluted:</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80"/>
              <w:spacing w:after="0"/>
              <w:rPr>
                <w:sz w:val="20"/>
                <w:szCs w:val="20"/>
                <w:color w:val="auto"/>
              </w:rPr>
            </w:pPr>
            <w:r>
              <w:rPr>
                <w:rFonts w:ascii="Arial" w:cs="Arial" w:eastAsia="Arial" w:hAnsi="Arial"/>
                <w:sz w:val="17"/>
                <w:szCs w:val="17"/>
                <w:color w:val="auto"/>
              </w:rPr>
              <w:t>Weighted average Class B common stock, basic</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108,017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120,417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113,646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120,417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Dilutive effect of common stock equivalents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Weighted average Class B common stock, diluted</w:t>
            </w:r>
          </w:p>
        </w:tc>
        <w:tc>
          <w:tcPr>
            <w:tcW w:w="2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108,017</w:t>
            </w:r>
          </w:p>
        </w:tc>
        <w:tc>
          <w:tcPr>
            <w:tcW w:w="2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120,417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113,646</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120,417</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spacing w:after="0"/>
              <w:rPr>
                <w:sz w:val="20"/>
                <w:szCs w:val="20"/>
                <w:color w:val="auto"/>
              </w:rPr>
            </w:pPr>
            <w:r>
              <w:rPr>
                <w:rFonts w:ascii="Arial" w:cs="Arial" w:eastAsia="Arial" w:hAnsi="Arial"/>
                <w:sz w:val="17"/>
                <w:szCs w:val="17"/>
                <w:color w:val="auto"/>
              </w:rPr>
              <w:t>Net loss per Class B share, basic</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(0.03)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(0.15)</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(0.01)</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(0.64)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rPr>
                <w:sz w:val="20"/>
                <w:szCs w:val="20"/>
                <w:color w:val="auto"/>
              </w:rPr>
            </w:pPr>
            <w:r>
              <w:rPr>
                <w:rFonts w:ascii="Arial" w:cs="Arial" w:eastAsia="Arial" w:hAnsi="Arial"/>
                <w:sz w:val="17"/>
                <w:szCs w:val="17"/>
                <w:color w:val="auto"/>
              </w:rPr>
              <w:t>Net loss per Class B share, diluted</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(0.03)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(0.15)</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(0.01)</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(0.64)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STOCK-BASED AWARD PLANS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the effective date of the Offering, the Company adopted the 2020 Plan and the ESPP.</w:t>
      </w:r>
    </w:p>
    <w:p>
      <w:pPr>
        <w:spacing w:after="0" w:line="211"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SARs and other cash compensation.</w:t>
      </w:r>
    </w:p>
    <w:p>
      <w:pPr>
        <w:spacing w:after="0" w:line="175"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The ESPP provides eligible employees with rights during each six-month ESPP offering period to purchase shares of the Company’s Class A common at the ESPP Discount through payroll deductions, except for the initial offering period (July 28 to November 30, 2020) whereby the participants were permitted to make lump sum contributions to the ESPP for such period. Amounts withheld or received from participants are reflected in accrued salaries and benefits in the condensed consolidated balance sheets until such shares are purchased. Amounts withheld from participants for the offering period ending November 30, 2021 aggregated $867 as of September 30, 2021.</w:t>
      </w:r>
    </w:p>
    <w:p>
      <w:pPr>
        <w:spacing w:after="0" w:line="182"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Prior to the adoption of the 2020 Plan, the Company had a SAR plan for the purpose of providing incentives to key members of management and consultants to contribute to the growth and financial success of the Company. As a result of the Offering, SAR participants were offered the option to either redeem their SARs upon the occurrence of the Offering or amend their SARs pursuant to which, upon effectiveness of the 2020 Plan, such SARs would become options to purchase shares of Class A common stock under the 2020 Plan (the “SAR Exchange Offer”). All SAR participants eligible to receive the SAR Exchange Offer accepted and had their outstanding SARs converted to stock options with equivalent terms under the 2020 Plan at the Offering effective date (the “Converted SARs”) of July 28, 2020. This was considered a modification of these SAR awards which was recorded in the respective quarter this occurred. The SAR plan was subsequently retired (“Retired SAR Plan”) and any SARs issued after such date will be granted under the 2020 Plan.</w:t>
      </w:r>
    </w:p>
    <w:p>
      <w:pPr>
        <w:spacing w:after="0" w:line="170"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Prior to the adoption of the 2020 Plan, the Company had options outstanding to purchase shares of former Class B common stock. Upon the effectiveness of the Offering these options were amended and exchanged for options to purchase an equivalent number of Class A shares under the 2020 Plan at the same exercise price and vesting, subject to the terms of the 2020 Plan except with regard to certain terms of the original option agreements primarily with respect to expiration in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5" w:name="page36"/>
    <w:bookmarkEnd w:id="3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connection with a Triggering Event (the “Amended Options”). Any new options issued subsequent to this exchange will be granted under the 2020 Plan.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2020 Plan</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September 30, 2021, 6,526 shares of Class A common were available for issuance under the 2020 Plan.</w:t>
      </w:r>
    </w:p>
    <w:p>
      <w:pPr>
        <w:spacing w:after="0" w:line="21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Awards issued under the 2020 Plan vest based on service criteria established by the Board. The Company has elected to account for forfeitures as they occur rather than estimate forfeitures at date of grant.</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Retired SAR Plan</w:t>
      </w:r>
    </w:p>
    <w:p>
      <w:pPr>
        <w:spacing w:after="0" w:line="211"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Prior to the Offering, the fair value of the common stock underlying the SAR Awards was determined by the Board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during 2020 which exceeded historical results.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Amended Options</w:t>
      </w:r>
    </w:p>
    <w:p>
      <w:pPr>
        <w:spacing w:after="0" w:line="211" w:lineRule="exact"/>
        <w:rPr>
          <w:sz w:val="20"/>
          <w:szCs w:val="20"/>
          <w:color w:val="auto"/>
        </w:rPr>
      </w:pPr>
    </w:p>
    <w:p>
      <w:pPr>
        <w:jc w:val="both"/>
        <w:ind w:left="40" w:right="59" w:firstLine="305"/>
        <w:spacing w:after="0" w:line="253" w:lineRule="auto"/>
        <w:rPr>
          <w:sz w:val="20"/>
          <w:szCs w:val="20"/>
          <w:color w:val="auto"/>
        </w:rPr>
      </w:pPr>
      <w:r>
        <w:rPr>
          <w:rFonts w:ascii="Arial" w:cs="Arial" w:eastAsia="Arial" w:hAnsi="Arial"/>
          <w:sz w:val="17"/>
          <w:szCs w:val="17"/>
          <w:color w:val="auto"/>
        </w:rPr>
        <w:t>Prior to the amendment of the options in connection with the Offering in July 2020, the options permitted holders to put their exercised shares back to the Company, thus the options were classified as temporary equity and included in “Options for Redeemable Shares” on the condensed consolidated statements of changes in equity (deficit) through the Offering date. The Company recorded an increase in the value of Options for Redeemable Shares of $21,954 and $51,833 during the three and nine months ended September 30, 2020, respectively, pertaining to the options outstanding through the Offering date. As all options outstanding were fully vested, no related compensation expense was recorded for the three or nine months ended September 30, 2020.</w:t>
      </w:r>
    </w:p>
    <w:p>
      <w:pPr>
        <w:spacing w:after="0" w:line="184" w:lineRule="exact"/>
        <w:rPr>
          <w:sz w:val="20"/>
          <w:szCs w:val="20"/>
          <w:color w:val="auto"/>
        </w:rPr>
      </w:pPr>
    </w:p>
    <w:p>
      <w:pPr>
        <w:jc w:val="both"/>
        <w:ind w:left="40" w:right="59" w:firstLine="305"/>
        <w:spacing w:after="0" w:line="302" w:lineRule="auto"/>
        <w:rPr>
          <w:sz w:val="20"/>
          <w:szCs w:val="20"/>
          <w:color w:val="auto"/>
        </w:rPr>
      </w:pPr>
      <w:r>
        <w:rPr>
          <w:rFonts w:ascii="Arial" w:cs="Arial" w:eastAsia="Arial" w:hAnsi="Arial"/>
          <w:sz w:val="15"/>
          <w:szCs w:val="15"/>
          <w:color w:val="auto"/>
        </w:rPr>
        <w:t>In connection with the amendment, the option holders’ ability to put the exercised Amended Option shares to the Company in order to attain liquidity was exchanged for the right by the holders to exercise these options under the terms of the 2020 Plan and sell the related shares on the NASDAQ exchange. As a result of the put right no longer being applicable, the options were no longer considered temporary equity and were reclassified to stockholders’ equity at the time of the exchange.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6" w:name="page37"/>
    <w:bookmarkEnd w:id="3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Options under 2020 Plan</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activity for options outstanding under the 2020 Plan, including the Amended Options: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Weighted</w:t>
            </w:r>
          </w:p>
        </w:tc>
        <w:tc>
          <w:tcPr>
            <w:tcW w:w="7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4"/>
              <w:spacing w:after="0" w:line="140"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7"/>
        </w:trPr>
        <w:tc>
          <w:tcPr>
            <w:tcW w:w="52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2020 Plan Option Activity</w:t>
            </w:r>
          </w:p>
        </w:tc>
        <w:tc>
          <w:tcPr>
            <w:tcW w:w="700" w:type="dxa"/>
            <w:vAlign w:val="bottom"/>
          </w:tcPr>
          <w:p>
            <w:pPr>
              <w:jc w:val="right"/>
              <w:ind w:right="118"/>
              <w:spacing w:after="0" w:line="147" w:lineRule="exact"/>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Life (Years)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4"/>
              <w:spacing w:after="0" w:line="147"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January 1, 2021</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11,876</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2.44</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ind w:left="80"/>
              <w:spacing w:after="0"/>
              <w:rPr>
                <w:sz w:val="20"/>
                <w:szCs w:val="20"/>
                <w:color w:val="auto"/>
              </w:rPr>
            </w:pPr>
            <w:r>
              <w:rPr>
                <w:rFonts w:ascii="Arial" w:cs="Arial" w:eastAsia="Arial" w:hAnsi="Arial"/>
                <w:sz w:val="17"/>
                <w:szCs w:val="17"/>
                <w:color w:val="auto"/>
              </w:rPr>
              <w:t>Granted</w:t>
            </w:r>
          </w:p>
        </w:tc>
        <w:tc>
          <w:tcPr>
            <w:tcW w:w="700" w:type="dxa"/>
            <w:vAlign w:val="bottom"/>
          </w:tcPr>
          <w:p>
            <w:pPr>
              <w:jc w:val="right"/>
              <w:spacing w:after="0"/>
              <w:rPr>
                <w:sz w:val="20"/>
                <w:szCs w:val="20"/>
                <w:color w:val="auto"/>
              </w:rPr>
            </w:pPr>
            <w:r>
              <w:rPr>
                <w:rFonts w:ascii="Arial" w:cs="Arial" w:eastAsia="Arial" w:hAnsi="Arial"/>
                <w:sz w:val="17"/>
                <w:szCs w:val="17"/>
                <w:color w:val="auto"/>
              </w:rPr>
              <w:t>566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24.78</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Forfeited</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Borders>
              <w:bottom w:val="single" w:sz="8" w:color="CCEEFF"/>
            </w:tcBorders>
            <w:gridSpan w:val="2"/>
          </w:tcPr>
          <w:p>
            <w:pPr>
              <w:ind w:left="80"/>
              <w:spacing w:after="0"/>
              <w:rPr>
                <w:sz w:val="20"/>
                <w:szCs w:val="20"/>
                <w:color w:val="auto"/>
              </w:rPr>
            </w:pPr>
            <w:r>
              <w:rPr>
                <w:rFonts w:ascii="Arial" w:cs="Arial" w:eastAsia="Arial" w:hAnsi="Arial"/>
                <w:sz w:val="17"/>
                <w:szCs w:val="17"/>
                <w:color w:val="auto"/>
              </w:rPr>
              <w:t>Exercised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(2,429)</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2.13</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49,205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2020 Plan options outstanding at September 30, 2021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7"/>
                <w:szCs w:val="17"/>
                <w:color w:val="auto"/>
              </w:rPr>
              <w:t>5.14</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150,182</w:t>
            </w: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7"/>
                <w:szCs w:val="17"/>
                <w:color w:val="auto"/>
              </w:rPr>
              <w:t>2020 Plan options exercisable at September 30, 2021</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2.12</w:t>
            </w:r>
          </w:p>
        </w:tc>
        <w:tc>
          <w:tcPr>
            <w:tcW w:w="180" w:type="dxa"/>
            <w:vAlign w:val="bottom"/>
          </w:tcPr>
          <w:p>
            <w:pPr>
              <w:spacing w:after="0" w:line="20" w:lineRule="exact"/>
              <w:rPr>
                <w:sz w:val="1"/>
                <w:szCs w:val="1"/>
                <w:color w:val="auto"/>
              </w:rPr>
            </w:pPr>
          </w:p>
        </w:tc>
        <w:tc>
          <w:tcPr>
            <w:tcW w:w="760" w:type="dxa"/>
            <w:vAlign w:val="bottom"/>
            <w:vMerge w:val="restart"/>
          </w:tcPr>
          <w:p>
            <w:pPr>
              <w:jc w:val="right"/>
              <w:ind w:right="87"/>
              <w:spacing w:after="0"/>
              <w:rPr>
                <w:sz w:val="20"/>
                <w:szCs w:val="20"/>
                <w:color w:val="auto"/>
              </w:rPr>
            </w:pPr>
            <w:r>
              <w:rPr>
                <w:rFonts w:ascii="Arial" w:cs="Arial" w:eastAsia="Arial" w:hAnsi="Arial"/>
                <w:sz w:val="17"/>
                <w:szCs w:val="17"/>
                <w:color w:val="auto"/>
              </w:rPr>
              <w:t>3.24</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89,924</w:t>
            </w:r>
          </w:p>
        </w:tc>
        <w:tc>
          <w:tcPr>
            <w:tcW w:w="0" w:type="dxa"/>
            <w:vAlign w:val="bottom"/>
          </w:tcPr>
          <w:p>
            <w:pPr>
              <w:spacing w:after="0" w:line="20" w:lineRule="exact"/>
              <w:rPr>
                <w:sz w:val="1"/>
                <w:szCs w:val="1"/>
                <w:color w:val="auto"/>
              </w:rPr>
            </w:pPr>
          </w:p>
        </w:tc>
      </w:tr>
      <w:tr>
        <w:trPr>
          <w:trHeight w:val="181"/>
        </w:trPr>
        <w:tc>
          <w:tcPr>
            <w:tcW w:w="5200" w:type="dxa"/>
            <w:vAlign w:val="bottom"/>
            <w:gridSpan w:val="3"/>
            <w:vMerge w:val="continue"/>
          </w:tcPr>
          <w:p>
            <w:pPr>
              <w:spacing w:after="0"/>
              <w:rPr>
                <w:sz w:val="15"/>
                <w:szCs w:val="15"/>
                <w:color w:val="auto"/>
              </w:rPr>
            </w:pPr>
          </w:p>
        </w:tc>
        <w:tc>
          <w:tcPr>
            <w:tcW w:w="7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5,258</w:t>
            </w:r>
          </w:p>
        </w:tc>
        <w:tc>
          <w:tcPr>
            <w:tcW w:w="3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detail of options outstanding, vested and exercisable under the 2020 Plan (including the Amended Options) as of</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September 30, 2021 is as follows: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4"/>
          </w:tcPr>
          <w:p>
            <w:pPr>
              <w:ind w:left="360"/>
              <w:spacing w:after="0"/>
              <w:rPr>
                <w:sz w:val="20"/>
                <w:szCs w:val="20"/>
                <w:color w:val="auto"/>
              </w:rPr>
            </w:pPr>
            <w:r>
              <w:rPr>
                <w:rFonts w:ascii="Arial" w:cs="Arial" w:eastAsia="Arial" w:hAnsi="Arial"/>
                <w:sz w:val="14"/>
                <w:szCs w:val="14"/>
                <w:b w:val="1"/>
                <w:bCs w:val="1"/>
                <w:color w:val="auto"/>
              </w:rPr>
              <w:t>Options Outstanding</w:t>
            </w:r>
          </w:p>
        </w:tc>
        <w:tc>
          <w:tcPr>
            <w:tcW w:w="202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w w:val="89"/>
              </w:rPr>
              <w:t>Options Vested and Exercisable</w:t>
            </w:r>
          </w:p>
        </w:tc>
      </w:tr>
      <w:tr>
        <w:trPr>
          <w:trHeight w:val="112"/>
        </w:trPr>
        <w:tc>
          <w:tcPr>
            <w:tcW w:w="4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ind w:right="89"/>
              <w:spacing w:after="0" w:line="113" w:lineRule="exact"/>
              <w:rPr>
                <w:sz w:val="20"/>
                <w:szCs w:val="20"/>
                <w:color w:val="auto"/>
              </w:rPr>
            </w:pPr>
            <w:r>
              <w:rPr>
                <w:rFonts w:ascii="Arial" w:cs="Arial" w:eastAsia="Arial" w:hAnsi="Arial"/>
                <w:sz w:val="12"/>
                <w:szCs w:val="12"/>
                <w:b w:val="1"/>
                <w:bCs w:val="1"/>
                <w:color w:val="auto"/>
              </w:rPr>
              <w:t>Weighted</w:t>
            </w: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Weighted</w:t>
            </w:r>
          </w:p>
        </w:tc>
      </w:tr>
      <w:tr>
        <w:trPr>
          <w:trHeight w:val="140"/>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3"/>
              </w:rPr>
              <w:t>Average</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Average</w:t>
            </w:r>
          </w:p>
        </w:tc>
      </w:tr>
      <w:tr>
        <w:trPr>
          <w:trHeight w:val="160"/>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880" w:type="dxa"/>
            <w:vAlign w:val="bottom"/>
          </w:tcPr>
          <w:p>
            <w:pPr>
              <w:jc w:val="right"/>
              <w:ind w:right="198"/>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Life (Years)</w:t>
            </w: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Life (Years)</w:t>
            </w:r>
          </w:p>
        </w:tc>
      </w:tr>
      <w:tr>
        <w:trPr>
          <w:trHeight w:val="196"/>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$0.15 to $0.71</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472</w:t>
            </w:r>
          </w:p>
        </w:tc>
        <w:tc>
          <w:tcPr>
            <w:tcW w:w="1060" w:type="dxa"/>
            <w:vAlign w:val="bottom"/>
            <w:gridSpan w:val="2"/>
          </w:tcPr>
          <w:p>
            <w:pPr>
              <w:jc w:val="right"/>
              <w:ind w:right="89"/>
              <w:spacing w:after="0"/>
              <w:rPr>
                <w:sz w:val="20"/>
                <w:szCs w:val="20"/>
                <w:color w:val="auto"/>
              </w:rPr>
            </w:pPr>
            <w:r>
              <w:rPr>
                <w:rFonts w:ascii="Arial" w:cs="Arial" w:eastAsia="Arial" w:hAnsi="Arial"/>
                <w:sz w:val="17"/>
                <w:szCs w:val="17"/>
                <w:color w:val="auto"/>
              </w:rPr>
              <w:t>3.35</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472</w:t>
            </w:r>
          </w:p>
        </w:tc>
        <w:tc>
          <w:tcPr>
            <w:tcW w:w="1100" w:type="dxa"/>
            <w:vAlign w:val="bottom"/>
            <w:gridSpan w:val="2"/>
          </w:tcPr>
          <w:p>
            <w:pPr>
              <w:jc w:val="right"/>
              <w:ind w:right="89"/>
              <w:spacing w:after="0"/>
              <w:rPr>
                <w:sz w:val="20"/>
                <w:szCs w:val="20"/>
                <w:color w:val="auto"/>
              </w:rPr>
            </w:pPr>
            <w:r>
              <w:rPr>
                <w:rFonts w:ascii="Arial" w:cs="Arial" w:eastAsia="Arial" w:hAnsi="Arial"/>
                <w:sz w:val="17"/>
                <w:szCs w:val="17"/>
                <w:color w:val="auto"/>
              </w:rPr>
              <w:t>3.35</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$2.50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w:t>
            </w:r>
          </w:p>
        </w:tc>
        <w:tc>
          <w:tcPr>
            <w:tcW w:w="106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4.78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110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4.65</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$2.67</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506</w:t>
            </w:r>
          </w:p>
        </w:tc>
        <w:tc>
          <w:tcPr>
            <w:tcW w:w="1060" w:type="dxa"/>
            <w:vAlign w:val="bottom"/>
            <w:gridSpan w:val="2"/>
          </w:tcPr>
          <w:p>
            <w:pPr>
              <w:jc w:val="right"/>
              <w:ind w:right="89"/>
              <w:spacing w:after="0"/>
              <w:rPr>
                <w:sz w:val="20"/>
                <w:szCs w:val="20"/>
                <w:color w:val="auto"/>
              </w:rPr>
            </w:pPr>
            <w:r>
              <w:rPr>
                <w:rFonts w:ascii="Arial" w:cs="Arial" w:eastAsia="Arial" w:hAnsi="Arial"/>
                <w:sz w:val="17"/>
                <w:szCs w:val="17"/>
                <w:color w:val="auto"/>
              </w:rPr>
              <w:t>5.43</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128</w:t>
            </w:r>
          </w:p>
        </w:tc>
        <w:tc>
          <w:tcPr>
            <w:tcW w:w="1100" w:type="dxa"/>
            <w:vAlign w:val="bottom"/>
            <w:gridSpan w:val="2"/>
          </w:tcPr>
          <w:p>
            <w:pPr>
              <w:jc w:val="right"/>
              <w:ind w:right="89"/>
              <w:spacing w:after="0"/>
              <w:rPr>
                <w:sz w:val="20"/>
                <w:szCs w:val="20"/>
                <w:color w:val="auto"/>
              </w:rPr>
            </w:pPr>
            <w:r>
              <w:rPr>
                <w:rFonts w:ascii="Arial" w:cs="Arial" w:eastAsia="Arial" w:hAnsi="Arial"/>
                <w:sz w:val="17"/>
                <w:szCs w:val="17"/>
                <w:color w:val="auto"/>
              </w:rPr>
              <w:t>5.44</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$3.17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06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6.54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10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6.54</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1,957</w:t>
            </w:r>
          </w:p>
        </w:tc>
        <w:tc>
          <w:tcPr>
            <w:tcW w:w="1060" w:type="dxa"/>
            <w:vAlign w:val="bottom"/>
            <w:gridSpan w:val="2"/>
          </w:tcPr>
          <w:p>
            <w:pPr>
              <w:jc w:val="right"/>
              <w:ind w:right="89"/>
              <w:spacing w:after="0"/>
              <w:rPr>
                <w:sz w:val="20"/>
                <w:szCs w:val="20"/>
                <w:color w:val="auto"/>
              </w:rPr>
            </w:pPr>
            <w:r>
              <w:rPr>
                <w:rFonts w:ascii="Arial" w:cs="Arial" w:eastAsia="Arial" w:hAnsi="Arial"/>
                <w:sz w:val="17"/>
                <w:szCs w:val="17"/>
                <w:color w:val="auto"/>
              </w:rPr>
              <w:t>8.05</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371</w:t>
            </w:r>
          </w:p>
        </w:tc>
        <w:tc>
          <w:tcPr>
            <w:tcW w:w="1100" w:type="dxa"/>
            <w:vAlign w:val="bottom"/>
            <w:gridSpan w:val="2"/>
          </w:tcPr>
          <w:p>
            <w:pPr>
              <w:jc w:val="right"/>
              <w:ind w:right="89"/>
              <w:spacing w:after="0"/>
              <w:rPr>
                <w:sz w:val="20"/>
                <w:szCs w:val="20"/>
                <w:color w:val="auto"/>
              </w:rPr>
            </w:pPr>
            <w:r>
              <w:rPr>
                <w:rFonts w:ascii="Arial" w:cs="Arial" w:eastAsia="Arial" w:hAnsi="Arial"/>
                <w:sz w:val="17"/>
                <w:szCs w:val="17"/>
                <w:color w:val="auto"/>
              </w:rPr>
              <w:t>7.75</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$4.70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6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8.36</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$18.96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235</w:t>
            </w:r>
          </w:p>
        </w:tc>
        <w:tc>
          <w:tcPr>
            <w:tcW w:w="1060" w:type="dxa"/>
            <w:vAlign w:val="bottom"/>
            <w:gridSpan w:val="2"/>
          </w:tcPr>
          <w:p>
            <w:pPr>
              <w:jc w:val="right"/>
              <w:ind w:right="89"/>
              <w:spacing w:after="0"/>
              <w:rPr>
                <w:sz w:val="20"/>
                <w:szCs w:val="20"/>
                <w:color w:val="auto"/>
              </w:rPr>
            </w:pPr>
            <w:r>
              <w:rPr>
                <w:rFonts w:ascii="Arial" w:cs="Arial" w:eastAsia="Arial" w:hAnsi="Arial"/>
                <w:sz w:val="17"/>
                <w:szCs w:val="17"/>
                <w:color w:val="auto"/>
              </w:rPr>
              <w:t>9.88</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w:t>
            </w:r>
          </w:p>
        </w:tc>
        <w:tc>
          <w:tcPr>
            <w:tcW w:w="1100" w:type="dxa"/>
            <w:vAlign w:val="bottom"/>
            <w:gridSpan w:val="2"/>
          </w:tcPr>
          <w:p>
            <w:pPr>
              <w:jc w:val="right"/>
              <w:ind w:right="89"/>
              <w:spacing w:after="0"/>
              <w:rPr>
                <w:sz w:val="20"/>
                <w:szCs w:val="20"/>
                <w:color w:val="auto"/>
              </w:rPr>
            </w:pPr>
            <w:r>
              <w:rPr>
                <w:rFonts w:ascii="Arial" w:cs="Arial" w:eastAsia="Arial" w:hAnsi="Arial"/>
                <w:sz w:val="17"/>
                <w:szCs w:val="17"/>
                <w:color w:val="auto"/>
              </w:rPr>
              <w:t>9.88</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$19.00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6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9.99</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$32.16</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6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7"/>
                <w:szCs w:val="17"/>
                <w:color w:val="auto"/>
              </w:rPr>
              <w:t>9.42</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10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7"/>
                <w:szCs w:val="17"/>
                <w:color w:val="auto"/>
              </w:rPr>
              <w:t>9.42</w:t>
            </w:r>
          </w:p>
        </w:tc>
      </w:tr>
      <w:tr>
        <w:trPr>
          <w:trHeight w:val="196"/>
        </w:trPr>
        <w:tc>
          <w:tcPr>
            <w:tcW w:w="4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9,720</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5,258</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*Amended Options have indefinite contractual lives</w:t>
      </w:r>
    </w:p>
    <w:p>
      <w:pPr>
        <w:spacing w:after="0" w:line="211"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The Board intends all options granted to be exercisable at a price per share not less than the per share fair market value of the Company’s Class A common stock underlying the options on the date of grant. Compensation expense for new option awards issued subsequent to the Offering to participants under the 2020 Plan are measured based on the grant date fair value of the awards and recognized in the condensed consolidated statements of comprehensive loss over the period during which the participant is required to perform the requisite services. The vesting period is generally one to four years. The grant date fair value of options is estimated using the Black-Scholes model.</w:t>
      </w:r>
    </w:p>
    <w:p>
      <w:pPr>
        <w:spacing w:after="0" w:line="182"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Company issued 303 options and 566 options under the 2020 Plan during the three months and nine months September 30, 2021, respectively. The assumptions used in the Black-Scholes model to determine the value of the options issued during these periods are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Option Valuation Period</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6"/>
              </w:rPr>
              <w:t>Q1 2021</w:t>
            </w:r>
          </w:p>
        </w:tc>
        <w:tc>
          <w:tcPr>
            <w:tcW w:w="14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3"/>
              </w:rPr>
              <w:t>Q2 2021</w:t>
            </w:r>
          </w:p>
        </w:tc>
        <w:tc>
          <w:tcPr>
            <w:tcW w:w="120" w:type="dxa"/>
            <w:vAlign w:val="bottom"/>
          </w:tcPr>
          <w:p>
            <w:pPr>
              <w:spacing w:after="0"/>
              <w:rPr>
                <w:sz w:val="11"/>
                <w:szCs w:val="11"/>
                <w:color w:val="auto"/>
              </w:rPr>
            </w:pPr>
          </w:p>
        </w:tc>
        <w:tc>
          <w:tcPr>
            <w:tcW w:w="94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6"/>
              </w:rPr>
              <w:t>Q3 2021</w:t>
            </w:r>
          </w:p>
        </w:tc>
        <w:tc>
          <w:tcPr>
            <w:tcW w:w="140" w:type="dxa"/>
            <w:vAlign w:val="bottom"/>
          </w:tcPr>
          <w:p>
            <w:pPr>
              <w:spacing w:after="0"/>
              <w:rPr>
                <w:sz w:val="11"/>
                <w:szCs w:val="11"/>
                <w:color w:val="auto"/>
              </w:rPr>
            </w:pPr>
          </w:p>
        </w:tc>
        <w:tc>
          <w:tcPr>
            <w:tcW w:w="92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6"/>
              </w:rPr>
              <w:t>Q3 2021</w:t>
            </w: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market value of common stock</w:t>
            </w:r>
          </w:p>
        </w:tc>
        <w:tc>
          <w:tcPr>
            <w:tcW w:w="1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Volatility</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36.8 %</w:t>
            </w:r>
          </w:p>
        </w:tc>
        <w:tc>
          <w:tcPr>
            <w:tcW w:w="1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36.8 %</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37.1 %</w:t>
            </w: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37.1 %</w:t>
            </w: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 %</w:t>
            </w: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0.4 %</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0.4 %</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0.8 %</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0.9 %</w:t>
            </w:r>
          </w:p>
        </w:tc>
      </w:tr>
      <w:tr>
        <w:trPr>
          <w:trHeight w:val="81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35" w:right="1440" w:bottom="1440" w:gutter="0" w:footer="0" w:header="0"/>
        </w:sectPr>
      </w:pPr>
    </w:p>
    <w:bookmarkStart w:id="37" w:name="page38"/>
    <w:bookmarkEnd w:id="3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53" w:lineRule="auto"/>
        <w:rPr>
          <w:sz w:val="20"/>
          <w:szCs w:val="20"/>
          <w:color w:val="auto"/>
        </w:rPr>
      </w:pPr>
      <w:r>
        <w:rPr>
          <w:rFonts w:ascii="Arial" w:cs="Arial" w:eastAsia="Arial" w:hAnsi="Arial"/>
          <w:sz w:val="17"/>
          <w:szCs w:val="17"/>
          <w:color w:val="auto"/>
        </w:rPr>
        <w:t>The fair market value of common stock reflects the market closing price on NASDAQ on the respective option grant date. As of the valuation dates,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84"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At September 30, 2021, $21,530 of unrecognized compensation expense associated with options and Converted SARs is expected to be recognized over a weighted average period of approximately 2.8 years.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Restricted Stock Units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RSU activity for the nine months ended September 30, 2021:</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63"/>
              <w:spacing w:after="0"/>
              <w:rPr>
                <w:sz w:val="20"/>
                <w:szCs w:val="20"/>
                <w:color w:val="auto"/>
              </w:rPr>
            </w:pPr>
            <w:r>
              <w:rPr>
                <w:rFonts w:ascii="Arial" w:cs="Arial" w:eastAsia="Arial" w:hAnsi="Arial"/>
                <w:sz w:val="14"/>
                <w:szCs w:val="14"/>
                <w:b w:val="1"/>
                <w:bCs w:val="1"/>
                <w:color w:val="auto"/>
                <w:w w:val="88"/>
              </w:rPr>
              <w:t>Weighted</w:t>
            </w:r>
          </w:p>
        </w:tc>
      </w:tr>
      <w:tr>
        <w:trPr>
          <w:trHeight w:val="140"/>
        </w:trPr>
        <w:tc>
          <w:tcPr>
            <w:tcW w:w="6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3"/>
              <w:spacing w:after="0" w:line="140" w:lineRule="exact"/>
              <w:rPr>
                <w:sz w:val="20"/>
                <w:szCs w:val="20"/>
                <w:color w:val="auto"/>
              </w:rPr>
            </w:pPr>
            <w:r>
              <w:rPr>
                <w:rFonts w:ascii="Arial" w:cs="Arial" w:eastAsia="Arial" w:hAnsi="Arial"/>
                <w:sz w:val="14"/>
                <w:szCs w:val="14"/>
                <w:b w:val="1"/>
                <w:bCs w:val="1"/>
                <w:color w:val="auto"/>
                <w:w w:val="86"/>
              </w:rPr>
              <w:t>Average</w:t>
            </w:r>
          </w:p>
        </w:tc>
      </w:tr>
      <w:tr>
        <w:trPr>
          <w:trHeight w:val="140"/>
        </w:trPr>
        <w:tc>
          <w:tcPr>
            <w:tcW w:w="6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3"/>
              <w:spacing w:after="0" w:line="140" w:lineRule="exact"/>
              <w:rPr>
                <w:sz w:val="20"/>
                <w:szCs w:val="20"/>
                <w:color w:val="auto"/>
              </w:rPr>
            </w:pPr>
            <w:r>
              <w:rPr>
                <w:rFonts w:ascii="Arial" w:cs="Arial" w:eastAsia="Arial" w:hAnsi="Arial"/>
                <w:sz w:val="14"/>
                <w:szCs w:val="14"/>
                <w:b w:val="1"/>
                <w:bCs w:val="1"/>
                <w:color w:val="auto"/>
                <w:w w:val="92"/>
              </w:rPr>
              <w:t>Grant Date Fair</w:t>
            </w:r>
          </w:p>
        </w:tc>
      </w:tr>
      <w:tr>
        <w:trPr>
          <w:trHeight w:val="160"/>
        </w:trPr>
        <w:tc>
          <w:tcPr>
            <w:tcW w:w="62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7"/>
              </w:rPr>
              <w:t>Units</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6"/>
              </w:rPr>
              <w:t>Value Per Share</w:t>
            </w: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2021</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r>
      <w:tr>
        <w:trPr>
          <w:trHeight w:val="203"/>
        </w:trPr>
        <w:tc>
          <w:tcPr>
            <w:tcW w:w="7040" w:type="dxa"/>
            <w:vAlign w:val="bottom"/>
            <w:gridSpan w:val="2"/>
          </w:tcPr>
          <w:p>
            <w:pPr>
              <w:ind w:left="100"/>
              <w:spacing w:after="0"/>
              <w:rPr>
                <w:sz w:val="20"/>
                <w:szCs w:val="20"/>
                <w:color w:val="auto"/>
              </w:rPr>
            </w:pPr>
            <w:r>
              <w:rPr>
                <w:rFonts w:ascii="Arial" w:cs="Arial" w:eastAsia="Arial" w:hAnsi="Arial"/>
                <w:sz w:val="17"/>
                <w:szCs w:val="17"/>
                <w:color w:val="auto"/>
              </w:rPr>
              <w:t>Granted</w:t>
            </w:r>
          </w:p>
        </w:tc>
        <w:tc>
          <w:tcPr>
            <w:tcW w:w="360" w:type="dxa"/>
            <w:vAlign w:val="bottom"/>
          </w:tcPr>
          <w:p>
            <w:pPr>
              <w:jc w:val="right"/>
              <w:spacing w:after="0"/>
              <w:rPr>
                <w:sz w:val="20"/>
                <w:szCs w:val="20"/>
                <w:color w:val="auto"/>
              </w:rPr>
            </w:pPr>
            <w:r>
              <w:rPr>
                <w:rFonts w:ascii="Arial" w:cs="Arial" w:eastAsia="Arial" w:hAnsi="Arial"/>
                <w:sz w:val="17"/>
                <w:szCs w:val="17"/>
                <w:color w:val="auto"/>
                <w:w w:val="98"/>
              </w:rPr>
              <w:t>408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28.58</w:t>
            </w:r>
          </w:p>
        </w:tc>
      </w:tr>
      <w:tr>
        <w:trPr>
          <w:trHeight w:val="203"/>
        </w:trPr>
        <w:tc>
          <w:tcPr>
            <w:tcW w:w="7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Vested</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r>
      <w:tr>
        <w:trPr>
          <w:trHeight w:val="203"/>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Forfeited</w:t>
            </w: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24.96</w:t>
            </w:r>
          </w:p>
        </w:tc>
      </w:tr>
      <w:tr>
        <w:trPr>
          <w:trHeight w:val="196"/>
        </w:trPr>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September 30, 2021</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Stock-based compensation cost for RSUs is measured based on the fair value of the Company’s underlying common stock on the date of grant and is recognized on a straight-line basis in the condensed consolidated statements of comprehensive loss over the period during which the participant is required to perform services in exchange for the award, which is generally one to four years. Vested RSUs are settled by issuing Class A shares or the equivalent value in cash at the Board’s discretion. At September 30, 2021, $10,990 of unrecognized compensation cost for RSUs is expected to be recognized over a weighted average period of approximately 3.4 years.</w:t>
      </w:r>
    </w:p>
    <w:p>
      <w:pPr>
        <w:spacing w:after="0" w:line="182"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In connection with the Taxamo acquisition, certain continuing employees of Taxamo received RSUs with service and performance conditions covering up to 1,230 shares of our Class A common stock (“PSUs”) with an aggregate grant date fair value of $21,729 that will be accounted for as post-acquisition compensation expense over the vesting period. The performance-based condition will be satisfied upon meeting certain performance targets for the year ended 2023. As of September 30, 2021, it is not probable that these targets will be met, thus no compensation expense has been recorded to date related to these PSUs.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Restricted Stock Awards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RSA activity for the nine months ended September 30, 2021:</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63"/>
              <w:spacing w:after="0"/>
              <w:rPr>
                <w:sz w:val="20"/>
                <w:szCs w:val="20"/>
                <w:color w:val="auto"/>
              </w:rPr>
            </w:pPr>
            <w:r>
              <w:rPr>
                <w:rFonts w:ascii="Arial" w:cs="Arial" w:eastAsia="Arial" w:hAnsi="Arial"/>
                <w:sz w:val="14"/>
                <w:szCs w:val="14"/>
                <w:b w:val="1"/>
                <w:bCs w:val="1"/>
                <w:color w:val="auto"/>
                <w:w w:val="88"/>
              </w:rPr>
              <w:t>Weighted</w:t>
            </w:r>
          </w:p>
        </w:tc>
      </w:tr>
      <w:tr>
        <w:trPr>
          <w:trHeight w:val="140"/>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3"/>
              <w:spacing w:after="0" w:line="140" w:lineRule="exact"/>
              <w:rPr>
                <w:sz w:val="20"/>
                <w:szCs w:val="20"/>
                <w:color w:val="auto"/>
              </w:rPr>
            </w:pPr>
            <w:r>
              <w:rPr>
                <w:rFonts w:ascii="Arial" w:cs="Arial" w:eastAsia="Arial" w:hAnsi="Arial"/>
                <w:sz w:val="14"/>
                <w:szCs w:val="14"/>
                <w:b w:val="1"/>
                <w:bCs w:val="1"/>
                <w:color w:val="auto"/>
                <w:w w:val="86"/>
              </w:rPr>
              <w:t>Average</w:t>
            </w:r>
          </w:p>
        </w:tc>
      </w:tr>
      <w:tr>
        <w:trPr>
          <w:trHeight w:val="140"/>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0" w:lineRule="exact"/>
              <w:rPr>
                <w:sz w:val="20"/>
                <w:szCs w:val="20"/>
                <w:color w:val="auto"/>
              </w:rPr>
            </w:pPr>
            <w:r>
              <w:rPr>
                <w:rFonts w:ascii="Arial" w:cs="Arial" w:eastAsia="Arial" w:hAnsi="Arial"/>
                <w:sz w:val="14"/>
                <w:szCs w:val="14"/>
                <w:b w:val="1"/>
                <w:bCs w:val="1"/>
                <w:color w:val="auto"/>
                <w:w w:val="92"/>
              </w:rPr>
              <w:t>Grant Date Fair</w:t>
            </w:r>
          </w:p>
        </w:tc>
      </w:tr>
      <w:tr>
        <w:trPr>
          <w:trHeight w:val="160"/>
        </w:trPr>
        <w:tc>
          <w:tcPr>
            <w:tcW w:w="20" w:type="dxa"/>
            <w:vAlign w:val="bottom"/>
          </w:tcPr>
          <w:p>
            <w:pPr>
              <w:spacing w:after="0"/>
              <w:rPr>
                <w:sz w:val="13"/>
                <w:szCs w:val="13"/>
                <w:color w:val="auto"/>
              </w:rPr>
            </w:pPr>
          </w:p>
        </w:tc>
        <w:tc>
          <w:tcPr>
            <w:tcW w:w="65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Units</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6"/>
              </w:rPr>
              <w:t>Value Per Share</w:t>
            </w: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2021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r>
      <w:tr>
        <w:trPr>
          <w:trHeight w:val="203"/>
        </w:trPr>
        <w:tc>
          <w:tcPr>
            <w:tcW w:w="20" w:type="dxa"/>
            <w:vAlign w:val="bottom"/>
          </w:tcPr>
          <w:p>
            <w:pPr>
              <w:spacing w:after="0"/>
              <w:rPr>
                <w:sz w:val="17"/>
                <w:szCs w:val="17"/>
                <w:color w:val="auto"/>
              </w:rPr>
            </w:pPr>
          </w:p>
        </w:tc>
        <w:tc>
          <w:tcPr>
            <w:tcW w:w="6500" w:type="dxa"/>
            <w:vAlign w:val="bottom"/>
          </w:tcPr>
          <w:p>
            <w:pPr>
              <w:ind w:left="80"/>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17.66</w:t>
            </w: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80"/>
              <w:spacing w:after="0"/>
              <w:rPr>
                <w:sz w:val="20"/>
                <w:szCs w:val="20"/>
                <w:color w:val="auto"/>
              </w:rPr>
            </w:pPr>
            <w:r>
              <w:rPr>
                <w:rFonts w:ascii="Arial" w:cs="Arial" w:eastAsia="Arial" w:hAnsi="Arial"/>
                <w:sz w:val="17"/>
                <w:szCs w:val="17"/>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19.00</w:t>
            </w: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September 30,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18.77</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Stock-based compensation cost for RSAs is measured based on the fair value of the Company’s underlying common stock on the date of grant and is recognized on a straight-line basis in the condensed consolidated statements of comprehensive loss over the period during which the participants are required to perform services in exchange for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8" w:name="page39"/>
    <w:bookmarkEnd w:id="3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61" w:lineRule="auto"/>
        <w:rPr>
          <w:sz w:val="20"/>
          <w:szCs w:val="20"/>
          <w:color w:val="auto"/>
        </w:rPr>
      </w:pPr>
      <w:r>
        <w:rPr>
          <w:rFonts w:ascii="Arial" w:cs="Arial" w:eastAsia="Arial" w:hAnsi="Arial"/>
          <w:sz w:val="17"/>
          <w:szCs w:val="17"/>
          <w:color w:val="auto"/>
        </w:rPr>
        <w:t>award, which is generally one to four years. Vested RSAs are settled by issuing Class A shares upon vesting. At September 30, 2021, $4,955 of unrecognized compensation cost for RSAs is expected to be recognized over a weighted average period of approximately 2.1 years.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Employee Stock Purchase Plan</w:t>
      </w:r>
    </w:p>
    <w:p>
      <w:pPr>
        <w:spacing w:after="0" w:line="211"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The ESPP permits participants to purchase Class A common stock through payroll deductions of up to a specified percentage of their eligible compensation. The maximum number of shares that may be purchased by a participant during any offering period is determined by the plan administrator in advance of each offering period.</w:t>
      </w:r>
    </w:p>
    <w:p>
      <w:pPr>
        <w:spacing w:after="0" w:line="175"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On the first trading day of each offering period, each participant will automatically be granted an option to purchase shares of Class A common.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15% of the lower of the fair value of the Class A common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If a participant withdraws from the plan during an offering period, the participant cannot rejoin until the next offering period. Participation ends automatically upon a participant’s termination of employment.</w:t>
      </w:r>
    </w:p>
    <w:p>
      <w:pPr>
        <w:spacing w:after="0" w:line="170" w:lineRule="exact"/>
        <w:rPr>
          <w:sz w:val="20"/>
          <w:szCs w:val="20"/>
          <w:color w:val="auto"/>
        </w:rPr>
      </w:pPr>
    </w:p>
    <w:p>
      <w:pPr>
        <w:ind w:left="40" w:right="119" w:firstLine="305"/>
        <w:spacing w:after="0" w:line="254" w:lineRule="auto"/>
        <w:rPr>
          <w:sz w:val="20"/>
          <w:szCs w:val="20"/>
          <w:color w:val="auto"/>
        </w:rPr>
      </w:pPr>
      <w:r>
        <w:rPr>
          <w:rFonts w:ascii="Arial" w:cs="Arial" w:eastAsia="Arial" w:hAnsi="Arial"/>
          <w:sz w:val="17"/>
          <w:szCs w:val="17"/>
          <w:color w:val="auto"/>
        </w:rPr>
        <w:t>A total of 1,000 shares of Class A common were initially reserved for issuance under the ESPP. The number of shares available for issuance under the ESPP will be increased annually on January 1 of each calendar year beginning in 2021 and ending in and including 2030, by an amount equal to the lesser of (i) 1% of the shares of Class A and Class B common stock outstanding on the final day of the immediately preceding calendar year and (ii) such smaller number of shares as is determined by the Board, provided that no more than 16,000 shares of Class A common stock may be issued. The ESPP is administered by a committee of the Board.</w:t>
      </w:r>
    </w:p>
    <w:p>
      <w:pPr>
        <w:spacing w:after="0" w:line="182" w:lineRule="exact"/>
        <w:rPr>
          <w:sz w:val="20"/>
          <w:szCs w:val="20"/>
          <w:color w:val="auto"/>
        </w:rPr>
      </w:pPr>
    </w:p>
    <w:p>
      <w:pPr>
        <w:ind w:left="40" w:right="439" w:firstLine="305"/>
        <w:spacing w:after="0" w:line="257" w:lineRule="auto"/>
        <w:rPr>
          <w:sz w:val="20"/>
          <w:szCs w:val="20"/>
          <w:color w:val="auto"/>
        </w:rPr>
      </w:pPr>
      <w:r>
        <w:rPr>
          <w:rFonts w:ascii="Arial" w:cs="Arial" w:eastAsia="Arial" w:hAnsi="Arial"/>
          <w:sz w:val="17"/>
          <w:szCs w:val="17"/>
          <w:color w:val="auto"/>
        </w:rPr>
        <w:t>Class A common stock purchased under the ESPP for the six-month offering period ended May 31, 2021 aggregated 60 shares. As of September 30, 2021, there was approximately $90 of unrecognized ESPP stock-based compensation cost that is expected to be recognized on a straight-line basis over the remaining term of the six-month offering period that started June 1, 2021.</w:t>
      </w:r>
    </w:p>
    <w:p>
      <w:pPr>
        <w:spacing w:after="0" w:line="179" w:lineRule="exact"/>
        <w:rPr>
          <w:sz w:val="20"/>
          <w:szCs w:val="20"/>
          <w:color w:val="auto"/>
        </w:rPr>
      </w:pPr>
    </w:p>
    <w:p>
      <w:pPr>
        <w:jc w:val="both"/>
        <w:ind w:left="40" w:right="139" w:firstLine="305"/>
        <w:spacing w:after="0" w:line="257" w:lineRule="auto"/>
        <w:rPr>
          <w:sz w:val="20"/>
          <w:szCs w:val="20"/>
          <w:color w:val="auto"/>
        </w:rPr>
      </w:pPr>
      <w:r>
        <w:rPr>
          <w:rFonts w:ascii="Arial" w:cs="Arial" w:eastAsia="Arial" w:hAnsi="Arial"/>
          <w:sz w:val="17"/>
          <w:szCs w:val="17"/>
          <w:color w:val="auto"/>
        </w:rPr>
        <w:t>The fair value of ESPP purchase rights is comprised of the value of the 15% ESPP Discount and the value associated with the Call/Put over the respective ESPP offering period. The value of the Call/Put for the previous offering period (December 1, 2020 – May 31, 2021) and the current offering period (June 1, 2021 – November 30, 2021) was estimated using the Black-Scholes model with the following assumptions: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Previous</w:t>
            </w:r>
          </w:p>
        </w:tc>
        <w:tc>
          <w:tcPr>
            <w:tcW w:w="1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Current</w:t>
            </w:r>
          </w:p>
        </w:tc>
      </w:tr>
      <w:tr>
        <w:trPr>
          <w:trHeight w:val="160"/>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Offering Period</w:t>
            </w:r>
          </w:p>
        </w:tc>
        <w:tc>
          <w:tcPr>
            <w:tcW w:w="120" w:type="dxa"/>
            <w:vAlign w:val="bottom"/>
          </w:tcPr>
          <w:p>
            <w:pPr>
              <w:spacing w:after="0"/>
              <w:rPr>
                <w:sz w:val="13"/>
                <w:szCs w:val="1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Offering Period</w:t>
            </w:r>
          </w:p>
        </w:tc>
      </w:tr>
      <w:tr>
        <w:trPr>
          <w:trHeight w:val="196"/>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market value of common stock</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Volatility</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35.10 %</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35.10 %</w:t>
            </w: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6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 %</w:t>
            </w: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0.12 %</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0.12 %</w:t>
            </w:r>
          </w:p>
        </w:tc>
      </w:tr>
    </w:tbl>
    <w:p>
      <w:pPr>
        <w:spacing w:after="0" w:line="191"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ESPP offering period, which is generally six months. The Company does not expect to pay dividends. The risk-free interest rate was based on the rate for a U.S. Treasury zero-coupon issue with a term that closely approximates the expected term of the award at the date nearest the offering term.</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39" w:name="page40"/>
    <w:bookmarkEnd w:id="3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Stock-Based Compensation</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recognized total stock-based compensation cost related to incentive awards, net of forfeitures, as follows: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For the 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For the nine months ended</w:t>
            </w:r>
          </w:p>
        </w:tc>
      </w:tr>
      <w:tr>
        <w:trPr>
          <w:trHeight w:val="160"/>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4"/>
          </w:tcPr>
          <w:p>
            <w:pPr>
              <w:jc w:val="right"/>
              <w:ind w:right="398"/>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32"/>
        </w:trPr>
        <w:tc>
          <w:tcPr>
            <w:tcW w:w="20" w:type="dxa"/>
            <w:vAlign w:val="bottom"/>
          </w:tcPr>
          <w:p>
            <w:pPr>
              <w:spacing w:after="0"/>
              <w:rPr>
                <w:sz w:val="11"/>
                <w:szCs w:val="11"/>
                <w:color w:val="auto"/>
              </w:rPr>
            </w:pPr>
          </w:p>
        </w:tc>
        <w:tc>
          <w:tcPr>
            <w:tcW w:w="406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80"/>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8"/>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61"/>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8"/>
              <w:spacing w:after="0" w:line="133"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SARs and Converted SARs</w:t>
            </w:r>
          </w:p>
        </w:tc>
        <w:tc>
          <w:tcPr>
            <w:tcW w:w="1380" w:type="dxa"/>
            <w:vAlign w:val="bottom"/>
            <w:gridSpan w:val="2"/>
          </w:tcPr>
          <w:p>
            <w:pPr>
              <w:jc w:val="right"/>
              <w:ind w:right="9"/>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4,364</w:t>
            </w:r>
          </w:p>
        </w:tc>
        <w:tc>
          <w:tcPr>
            <w:tcW w:w="32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62,141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11,275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138,737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RSUs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RSAs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ESPP</w:t>
            </w:r>
          </w:p>
        </w:tc>
        <w:tc>
          <w:tcPr>
            <w:tcW w:w="1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2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 stock-based compensation expense</w:t>
            </w:r>
          </w:p>
        </w:tc>
        <w:tc>
          <w:tcPr>
            <w:tcW w:w="1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64,294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20,250</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140,890</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Company recognized stock-based compensation cost in the condensed consolidated statements of comprehensive loss as follows: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For the three months ended</w:t>
            </w:r>
          </w:p>
        </w:tc>
        <w:tc>
          <w:tcPr>
            <w:tcW w:w="10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For the nine months ended</w:t>
            </w:r>
          </w:p>
        </w:tc>
      </w:tr>
      <w:tr>
        <w:trPr>
          <w:trHeight w:val="160"/>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3"/>
                <w:szCs w:val="13"/>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r>
      <w:tr>
        <w:trPr>
          <w:trHeight w:val="132"/>
        </w:trPr>
        <w:tc>
          <w:tcPr>
            <w:tcW w:w="52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60"/>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61"/>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8"/>
              <w:spacing w:after="0" w:line="133"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1"/>
                <w:szCs w:val="11"/>
                <w:color w:val="auto"/>
              </w:rPr>
            </w:pPr>
          </w:p>
        </w:tc>
      </w:tr>
      <w:tr>
        <w:trPr>
          <w:trHeight w:val="183"/>
        </w:trPr>
        <w:tc>
          <w:tcPr>
            <w:tcW w:w="528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Stock-based compensation expense:</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Cost of revenues, software subscriptions</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656</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6,342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1,788</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14,002</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 services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20,719</w:t>
            </w:r>
          </w:p>
        </w:tc>
        <w:tc>
          <w:tcPr>
            <w:tcW w:w="2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6,340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14,000</w:t>
            </w:r>
          </w:p>
        </w:tc>
        <w:tc>
          <w:tcPr>
            <w:tcW w:w="2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28,140</w:t>
            </w:r>
          </w:p>
        </w:tc>
        <w:tc>
          <w:tcPr>
            <w:tcW w:w="20" w:type="dxa"/>
            <w:vAlign w:val="bottom"/>
            <w:shd w:val="clear" w:color="auto" w:fill="CCEEFF"/>
          </w:tcPr>
          <w:p>
            <w:pPr>
              <w:spacing w:after="0"/>
              <w:rPr>
                <w:sz w:val="17"/>
                <w:szCs w:val="17"/>
                <w:color w:val="auto"/>
              </w:rPr>
            </w:pPr>
          </w:p>
        </w:tc>
      </w:tr>
      <w:tr>
        <w:trPr>
          <w:trHeight w:val="203"/>
        </w:trPr>
        <w:tc>
          <w:tcPr>
            <w:tcW w:w="5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29,561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64,029</w:t>
            </w:r>
          </w:p>
        </w:tc>
        <w:tc>
          <w:tcPr>
            <w:tcW w:w="20" w:type="dxa"/>
            <w:vAlign w:val="bottom"/>
            <w:tcBorders>
              <w:bottom w:val="single" w:sz="8" w:color="CCEEFF"/>
            </w:tcBorders>
          </w:tcPr>
          <w:p>
            <w:pPr>
              <w:spacing w:after="0"/>
              <w:rPr>
                <w:sz w:val="17"/>
                <w:szCs w:val="17"/>
                <w:color w:val="auto"/>
              </w:rPr>
            </w:pPr>
          </w:p>
        </w:tc>
      </w:tr>
      <w:tr>
        <w:trPr>
          <w:trHeight w:val="196"/>
        </w:trPr>
        <w:tc>
          <w:tcPr>
            <w:tcW w:w="5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stock-based compensation expense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64,294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20,250</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140,890</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13.  LEGAL PROCEEDINGS</w:t>
      </w:r>
    </w:p>
    <w:p>
      <w:pPr>
        <w:spacing w:after="0" w:line="215"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40" w:name="page41"/>
    <w:bookmarkEnd w:id="4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660" w:right="759" w:hanging="609"/>
        <w:spacing w:after="0" w:line="278"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1" w:lineRule="exact"/>
        <w:rPr>
          <w:sz w:val="20"/>
          <w:szCs w:val="20"/>
          <w:color w:val="auto"/>
        </w:rPr>
      </w:pPr>
    </w:p>
    <w:p>
      <w:pPr>
        <w:jc w:val="both"/>
        <w:ind w:left="40" w:right="59" w:firstLine="305"/>
        <w:spacing w:after="0" w:line="27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215"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1,200 professionals and serves companies across the globe.</w:t>
      </w:r>
    </w:p>
    <w:p>
      <w:pPr>
        <w:spacing w:after="0" w:line="181" w:lineRule="exact"/>
        <w:rPr>
          <w:sz w:val="20"/>
          <w:szCs w:val="20"/>
          <w:color w:val="auto"/>
        </w:rPr>
      </w:pPr>
    </w:p>
    <w:p>
      <w:pPr>
        <w:jc w:val="both"/>
        <w:ind w:left="40" w:right="59" w:firstLine="305"/>
        <w:spacing w:after="0" w:line="302" w:lineRule="auto"/>
        <w:rPr>
          <w:sz w:val="20"/>
          <w:szCs w:val="20"/>
          <w:color w:val="auto"/>
        </w:rPr>
      </w:pPr>
      <w:r>
        <w:rPr>
          <w:rFonts w:ascii="Arial" w:cs="Arial" w:eastAsia="Arial" w:hAnsi="Arial"/>
          <w:sz w:val="15"/>
          <w:szCs w:val="15"/>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almost all of our customers annually in advance of the subscription period.</w:t>
      </w:r>
    </w:p>
    <w:p>
      <w:pPr>
        <w:spacing w:after="0" w:line="148"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67"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significantly faster rate than on-premise software subscription sales, which is a trend that we expect to continue over time. We generated 36% and 29% of software subscription revenue from cloud-based subscriptions during the three months ended September 30, 2021 and 2020, respectively, and 35% and 27% for the nine months ended September 30, 2021 and 2020, respectively. While our on-premise software subscription revenue comprised 64% and 71% of our software subscription revenues during the three months ended September 30, 2021 and 2020, respectively, and 65% and 73% for the nine months ended September 30, 2021 and 2020, respectively, it continues to decrease as a percentage of total software subscriptions revenues as cloud-based subscriptions accelerate.</w:t>
      </w:r>
    </w:p>
    <w:p>
      <w:pPr>
        <w:spacing w:after="0" w:line="174"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5"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1" w:name="page42"/>
    <w:bookmarkEnd w:id="4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94" w:lineRule="auto"/>
        <w:rPr>
          <w:sz w:val="20"/>
          <w:szCs w:val="20"/>
          <w:color w:val="auto"/>
        </w:rPr>
      </w:pPr>
      <w:r>
        <w:rPr>
          <w:rFonts w:ascii="Arial" w:cs="Arial" w:eastAsia="Arial" w:hAnsi="Arial"/>
          <w:sz w:val="15"/>
          <w:szCs w:val="15"/>
          <w:color w:val="auto"/>
        </w:rPr>
        <w:t>We believe that global commerce and the compliance environment provides durable and accelerating growth opportunities for our business. We generated revenue of $110.7 million and $94.6 million for the three months ended September 30, 2021 and 2020, respectively. We generated revenue of $313.9 million and $275.1 million for the nine months ended September 30, 2021 and 2020, respectively. We had a net loss of $(3.9) million and $(21.0) million for the three months ended September 30, 2021 and 2020, respectively. We had net loss of $(0.9) million and $(79.2) million for the nine months ended September 30, 2021 and 2020, respectively. These amounts are presented in accordance with generally accepted accounting principles in the U.S. (“GAAP”).</w:t>
      </w:r>
    </w:p>
    <w:p>
      <w:pPr>
        <w:spacing w:after="0" w:line="155" w:lineRule="exact"/>
        <w:rPr>
          <w:sz w:val="20"/>
          <w:szCs w:val="20"/>
          <w:color w:val="auto"/>
        </w:rPr>
      </w:pPr>
    </w:p>
    <w:p>
      <w:pPr>
        <w:jc w:val="both"/>
        <w:ind w:left="40" w:right="59" w:firstLine="305"/>
        <w:spacing w:after="0" w:line="253" w:lineRule="auto"/>
        <w:rPr>
          <w:sz w:val="20"/>
          <w:szCs w:val="20"/>
          <w:color w:val="auto"/>
        </w:rPr>
      </w:pPr>
      <w:r>
        <w:rPr>
          <w:rFonts w:ascii="Arial" w:cs="Arial" w:eastAsia="Arial" w:hAnsi="Arial"/>
          <w:sz w:val="17"/>
          <w:szCs w:val="17"/>
          <w:color w:val="auto"/>
        </w:rPr>
        <w:t>We define Adjusted EBITDA as net income or loss before interest, taxes, depreciation, and amortization, as adjusted to exclude charges for asset impairments, stock-based compensation expense, severance expense and transaction costs. Adjusted EBITDA was $21.4 million and $22.5 million for the three months ended September 30, 2021 and 2020, respectively. Adjusted EBITDA was $58.7 million and $59.3 million for the nine months ended September 30, 2021 and 2020, respectively. Adjusted EBITDA is a non-GAAP financial measure. Refer to “Key Business Metrics” and “Use and Reconciliation of Non-GAAP Financial Measures” for further discussion of key business metrics and non-GAAP financial measures and their comparison to GAAP financial measures.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Developments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LCR-Dixon Acquisition</w:t>
      </w:r>
    </w:p>
    <w:p>
      <w:pPr>
        <w:spacing w:after="0" w:line="211" w:lineRule="exact"/>
        <w:rPr>
          <w:sz w:val="20"/>
          <w:szCs w:val="20"/>
          <w:color w:val="auto"/>
        </w:rPr>
      </w:pPr>
    </w:p>
    <w:p>
      <w:pPr>
        <w:jc w:val="both"/>
        <w:ind w:left="40" w:right="59" w:firstLine="305"/>
        <w:spacing w:after="0" w:line="292" w:lineRule="auto"/>
        <w:rPr>
          <w:sz w:val="20"/>
          <w:szCs w:val="20"/>
          <w:color w:val="auto"/>
        </w:rPr>
      </w:pPr>
      <w:r>
        <w:rPr>
          <w:rFonts w:ascii="Arial" w:cs="Arial" w:eastAsia="Arial" w:hAnsi="Arial"/>
          <w:sz w:val="15"/>
          <w:szCs w:val="15"/>
          <w:color w:val="auto"/>
        </w:rPr>
        <w:t>On September 22, 2021, we acquired LCR-Dixon Corporation (“LCR-Dixon”), an expert in SAP technologies and leading provider of tax intelligence solutions. LCR-Dixon’s solutions were specifically developed to improve functionality and performance for SAP indirect tax processes and are integrated with our tax determination software. The purchase price was $98.7 million as of the acquisition date consisting of (i) $59.7 million of cash paid at closing, partially offset by $1.9 million of cash received in the acquisition resulting in net cash consideration at closing of $57.8 million, and (ii) non-interest bearing deferred payments aggregating $40.0 million to be paid in four installments of $10.0 million each every six-months beginning March 2022 and ending September 2023 (the “deferred purchase consideration”). Cash consideration was funded from available cash on hand.</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Taxamo Acquisition</w:t>
      </w:r>
    </w:p>
    <w:p>
      <w:pPr>
        <w:spacing w:after="0" w:line="211" w:lineRule="exact"/>
        <w:rPr>
          <w:sz w:val="20"/>
          <w:szCs w:val="20"/>
          <w:color w:val="auto"/>
        </w:rPr>
      </w:pPr>
    </w:p>
    <w:p>
      <w:pPr>
        <w:jc w:val="both"/>
        <w:ind w:left="40" w:right="59" w:firstLine="305"/>
        <w:spacing w:after="0" w:line="252" w:lineRule="auto"/>
        <w:rPr>
          <w:sz w:val="20"/>
          <w:szCs w:val="20"/>
          <w:color w:val="auto"/>
        </w:rPr>
      </w:pPr>
      <w:r>
        <w:rPr>
          <w:rFonts w:ascii="Arial" w:cs="Arial" w:eastAsia="Arial" w:hAnsi="Arial"/>
          <w:sz w:val="17"/>
          <w:szCs w:val="17"/>
          <w:color w:val="auto"/>
        </w:rPr>
        <w:t>On May 12, 2021, we acquired 95% of the outstanding equity of EVAT Solutions Limited (“EVAT”) and its wholly owned subsidiaries (collectively “Taxamo”), a cloud-based provider of tax and payment automation for global eCommerce and marketplaces. This acquisition supports our growth strategies across eCommerce platforms and marketplaces in Europe and North America. The purchase price for the Taxamo acquisition was $200.7 million as of the acquisition date, consisting of (i) $190.2 million of cash paid at closing, partially offset by $2.7 million of cash received in the acquisition resulting in net cash consideration at closing of $187.5 million, (ii) an acquisition holdback of $0.5 million, and (iii) an option to purchase from and an option for the remaining shareholder to sell the remaining 5% of the outstanding equity of EVAT at a fixed amount between August and December 2021 for $10.0 million (the “Taxamo Option”). This option was exercised on August 20, 2021 for $10.0 million in cash on hand.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11"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During 2020 and for the nine months ended September 30, 2021, the COVID-19 pandemic had minimal impact on our revenues and results of operations,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2020 or for the nine months ended September 30, 2021,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flows. During 2020 and through the nine months ended September 30, 2021, we have seen some delays in signing deals due to prospects ongoing adjustments to working remotely for extended periods of time, and some due to economic uncertainty. We expect that the uncertainty caused by the COVID-19 pandemic could impact our billings to new customers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bookmarkStart w:id="42" w:name="page43"/>
    <w:bookmarkEnd w:id="4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6"/>
          <w:szCs w:val="16"/>
          <w:color w:val="auto"/>
        </w:rPr>
        <w:t>beyond 2020 and the nine months ended September 30, 2021 as the pandemic continues to generate economic uncertainty. In addition, it may also negatively impact our efforts to maintain or expand revenues from our existing customers as they continue to evaluate certain long-term projects and budget constraints. However, we do not anticipate that overall demand for our software and solutions, our ability to deliver such software and solutions, or our growth strategies will be materially impacted by the COVID-19 pandemic, as companies continue to rely on us for their indirect tax solutions.</w:t>
      </w:r>
    </w:p>
    <w:p>
      <w:pPr>
        <w:spacing w:after="0" w:line="166"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Our cash collections for 2020 were consistent with our expectations as some of the procedural disruptions that customers experienced as they shifted to remote work early in the year stabilized by the end of 2020. We believe that we may see delays in collections in 2021 as the resurgence of COVID-19 globally continues to generate economic uncertainty. However, we do not believe that these delays will materially impact our business; we continue to expect that we will be able to collect amounts due under subscription contracts from customers experiencing issues as a result of the COVID-19 pandemic, and we have not recorded additional credit losses associated with the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71" w:lineRule="exact"/>
        <w:rPr>
          <w:sz w:val="20"/>
          <w:szCs w:val="20"/>
          <w:color w:val="auto"/>
        </w:rPr>
      </w:pPr>
    </w:p>
    <w:p>
      <w:pPr>
        <w:jc w:val="both"/>
        <w:ind w:left="40" w:right="59" w:firstLine="305"/>
        <w:spacing w:after="0" w:line="291" w:lineRule="auto"/>
        <w:rPr>
          <w:sz w:val="20"/>
          <w:szCs w:val="20"/>
          <w:color w:val="auto"/>
        </w:rPr>
      </w:pPr>
      <w:r>
        <w:rPr>
          <w:rFonts w:ascii="Arial" w:cs="Arial" w:eastAsia="Arial" w:hAnsi="Arial"/>
          <w:sz w:val="15"/>
          <w:szCs w:val="15"/>
          <w:color w:val="auto"/>
        </w:rPr>
        <w:t>The extent to which the COVID-19 pandemic impacts our business going forward will depend on numerous evolving factors that cannot reliably be predicted, including the duration and scope of the pandemic; governmental, business, and individuals’ actions in response to the pandemic; and the impact on global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estimated useful lives and potential impairment of long-lived assets and intangible assets, and potential impairment of goodwill.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Revenue</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generate revenue from software subscriptions and services.</w:t>
      </w:r>
    </w:p>
    <w:p>
      <w:pPr>
        <w:spacing w:after="0" w:line="211"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Software Subscriptions</w:t>
      </w:r>
    </w:p>
    <w:p>
      <w:pPr>
        <w:spacing w:after="0" w:line="215"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Certain on-premise software subscription prices in the initial subscription year are higher than standard renewal prices. The excess initial year price over the renewal price is a material right that provides customers with the right to this reduced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3" w:name="page44"/>
    <w:bookmarkEnd w:id="4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renewal price. We recognize revenue associated with this material right over the estimated period of benefit to the customer, which is generally three years.</w:t>
      </w:r>
    </w:p>
    <w:p>
      <w:pPr>
        <w:spacing w:after="0" w:line="165" w:lineRule="exact"/>
        <w:rPr>
          <w:sz w:val="20"/>
          <w:szCs w:val="20"/>
          <w:color w:val="auto"/>
        </w:rPr>
      </w:pPr>
    </w:p>
    <w:p>
      <w:pPr>
        <w:jc w:val="both"/>
        <w:ind w:left="40" w:right="59" w:firstLine="305"/>
        <w:spacing w:after="0" w:line="254" w:lineRule="auto"/>
        <w:rPr>
          <w:sz w:val="20"/>
          <w:szCs w:val="20"/>
          <w:color w:val="auto"/>
        </w:rPr>
      </w:pPr>
      <w:r>
        <w:rPr>
          <w:rFonts w:ascii="Arial" w:cs="Arial" w:eastAsia="Arial" w:hAnsi="Arial"/>
          <w:sz w:val="17"/>
          <w:szCs w:val="17"/>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82"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Services Revenue</w:t>
      </w:r>
    </w:p>
    <w:p>
      <w:pPr>
        <w:spacing w:after="0" w:line="215" w:lineRule="exact"/>
        <w:rPr>
          <w:sz w:val="20"/>
          <w:szCs w:val="20"/>
          <w:color w:val="auto"/>
        </w:rPr>
      </w:pPr>
    </w:p>
    <w:p>
      <w:pPr>
        <w:jc w:val="both"/>
        <w:ind w:left="40" w:right="59" w:firstLine="305"/>
        <w:spacing w:after="0" w:line="294" w:lineRule="auto"/>
        <w:rPr>
          <w:sz w:val="20"/>
          <w:szCs w:val="20"/>
          <w:color w:val="auto"/>
        </w:rPr>
      </w:pPr>
      <w:r>
        <w:rPr>
          <w:rFonts w:ascii="Arial" w:cs="Arial" w:eastAsia="Arial" w:hAnsi="Arial"/>
          <w:sz w:val="15"/>
          <w:szCs w:val="15"/>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5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However, demand for services in 2020 exceeded historical levels as certain customers migrated to a newer version of the software which is not expected to be a significant driver of our services revenues growth in 2021.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Cost of Revenue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Software Subscriptions</w:t>
      </w:r>
    </w:p>
    <w:p>
      <w:pPr>
        <w:spacing w:after="0" w:line="215"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4" w:name="page45"/>
    <w:bookmarkEnd w:id="4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Services</w:t>
      </w:r>
    </w:p>
    <w:p>
      <w:pPr>
        <w:spacing w:after="0" w:line="215"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 but may decrease as a percentage of revenues as we scale our operations.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Research and Development</w:t>
      </w:r>
    </w:p>
    <w:p>
      <w:pPr>
        <w:spacing w:after="0" w:line="215"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79"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Selling and Marketing Expenses</w:t>
      </w:r>
    </w:p>
    <w:p>
      <w:pPr>
        <w:spacing w:after="0" w:line="215"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In addition, travel restrictions due to COVID-19 continue to result in reductions in travel and external marketing events. These costs are expected to increase once travel and conference restrictions are lifted, although it is uncertain whether they will return to historical levels experienced pre-COVID-19.</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General and Administrative</w:t>
      </w:r>
    </w:p>
    <w:p>
      <w:pPr>
        <w:spacing w:after="0" w:line="215"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58"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We expect our general and administrative expenses to increase in absolute dollars as we continue to expand our operations, hire additional personnel, integrate future acquisitions and incur additional costs associated with becoming a 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5" w:name="page46"/>
    <w:bookmarkEnd w:id="4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Depreciation and Amortization</w:t>
      </w:r>
    </w:p>
    <w:p>
      <w:pPr>
        <w:spacing w:after="0" w:line="215"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Other Operating Expense, net</w:t>
      </w:r>
    </w:p>
    <w:p>
      <w:pPr>
        <w:spacing w:after="0" w:line="215"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Other operating expense, net consists primarily of transactions costs associated with merger and acquisition activities, quarterly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Interest (Income) Expense, net</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Interest (income) expense, net reflects the amount of our interest expense that exceeds interest income over the same period.</w:t>
      </w:r>
    </w:p>
    <w:p>
      <w:pPr>
        <w:spacing w:after="0" w:line="234"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Interest expense consists primarily of interest payments and other financing costs on our bank credit facility.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and amortization of the discount on deferred purchase consideration associated with the LCR-Dixon acquisition will be recorded as interest expense.</w:t>
      </w:r>
    </w:p>
    <w:p>
      <w:pPr>
        <w:spacing w:after="0" w:line="174"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Provision for Income Taxes</w:t>
      </w:r>
    </w:p>
    <w:p>
      <w:pPr>
        <w:spacing w:after="0" w:line="21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6"/>
          <w:szCs w:val="16"/>
          <w:color w:val="auto"/>
        </w:rPr>
        <w:t>Prior to July 27, 2020, Vertex was taxed as an S-Corporation for U.S. federal and certain state income tax purposes. As a result, net income or loss prior to this date has been allocated to and included on the income tax returns of the S-Corporation stockholders. Vertex was taxed at the corporate level in certain states where the S-Corporation status was not recognized or where the state imposed a tax on S-Corporations. Accordingly, the income tax provision or benefit for such periods was based on taxable income allocated to those states. In certain foreign jurisdictions, our subsidiaries were taxed at the corporate level, and the income tax provision or benefit is based on taxable income sourced to these foreign jurisdictions.</w:t>
      </w:r>
    </w:p>
    <w:p>
      <w:pPr>
        <w:spacing w:after="0" w:line="167"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Effective as of July 27, 2020, Vertex converted to a C-Corporation, which resulted in our net income being taxed at the corporate level. As such, our provision for income taxes has increased since we are now subject to U.S. federal and state corporate income taxes.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Results of Operations</w:t>
      </w:r>
    </w:p>
    <w:p>
      <w:pPr>
        <w:spacing w:after="0" w:line="177"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in conjunction with our condensed consolidated financial statements and the notes thereto included elsewhere in this Quarterly Report on Form 10-Q, our consolidated financial statements and the notes thereto included in our Annual Report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6" w:name="page47"/>
    <w:bookmarkEnd w:id="4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color w:val="auto"/>
        </w:rPr>
        <w:t>on Form 10-K for the year ended December 31, 2020 filed with the SEC on March 15, 2021. The period-to-period comparison of financial results is not necessarily indicative of financial results to be achieved in future periods.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our consolidated statements of comprehensive loss for the periods indicated.</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87"/>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184"/>
              <w:spacing w:after="0"/>
              <w:rPr>
                <w:sz w:val="20"/>
                <w:szCs w:val="20"/>
                <w:color w:val="auto"/>
              </w:rPr>
            </w:pPr>
            <w:r>
              <w:rPr>
                <w:rFonts w:ascii="Arial" w:cs="Arial" w:eastAsia="Arial" w:hAnsi="Arial"/>
                <w:sz w:val="14"/>
                <w:szCs w:val="14"/>
                <w:b w:val="1"/>
                <w:bCs w:val="1"/>
                <w:color w:val="auto"/>
                <w:w w:val="95"/>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(Dollars in thousands)</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20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1"/>
              </w:rPr>
              <w:t>Period-Over-Period Change</w:t>
            </w: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7"/>
              </w:rPr>
              <w:t>Period-Over-Period Change</w:t>
            </w:r>
          </w:p>
        </w:tc>
        <w:tc>
          <w:tcPr>
            <w:tcW w:w="0" w:type="dxa"/>
            <w:vAlign w:val="bottom"/>
          </w:tcPr>
          <w:p>
            <w:pPr>
              <w:spacing w:after="0"/>
              <w:rPr>
                <w:sz w:val="1"/>
                <w:szCs w:val="1"/>
                <w:color w:val="auto"/>
              </w:rPr>
            </w:pPr>
          </w:p>
        </w:tc>
      </w:tr>
      <w:tr>
        <w:trPr>
          <w:trHeight w:val="132"/>
        </w:trPr>
        <w:tc>
          <w:tcPr>
            <w:tcW w:w="14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205"/>
              <w:spacing w:after="0" w:line="133"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24"/>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20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45"/>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84"/>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Revenues:</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5"/>
                <w:szCs w:val="15"/>
                <w:color w:val="auto"/>
              </w:rPr>
              <w:t>Software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Pr>
          <w:p>
            <w:pPr>
              <w:ind w:left="80"/>
              <w:spacing w:after="0"/>
              <w:rPr>
                <w:sz w:val="20"/>
                <w:szCs w:val="20"/>
                <w:color w:val="auto"/>
              </w:rPr>
            </w:pPr>
            <w:r>
              <w:rPr>
                <w:rFonts w:ascii="Arial" w:cs="Arial" w:eastAsia="Arial" w:hAnsi="Arial"/>
                <w:sz w:val="15"/>
                <w:szCs w:val="15"/>
                <w:color w:val="auto"/>
              </w:rPr>
              <w:t>subscriptions</w:t>
            </w: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92,276</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79,778</w:t>
            </w:r>
          </w:p>
        </w:tc>
        <w:tc>
          <w:tcPr>
            <w:tcW w:w="34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12,498</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15.7 %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95"/>
              </w:rPr>
              <w:t>265,160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232,844</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32,316</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13.9 %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5"/>
                <w:szCs w:val="15"/>
                <w:color w:val="auto"/>
              </w:rPr>
              <w:t>Services</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18,442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14,827</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3,615</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24.4 %</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48,732</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42,277</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15.3 %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Total revenues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2"/>
              </w:rPr>
              <w:t>110,718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94,605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16,113</w:t>
            </w: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17.0 %</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313,892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275,121</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38,771</w:t>
            </w: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14.1 %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80" w:type="dxa"/>
            <w:vAlign w:val="bottom"/>
          </w:tcPr>
          <w:p>
            <w:pPr>
              <w:ind w:left="80"/>
              <w:spacing w:after="0" w:line="166" w:lineRule="exact"/>
              <w:rPr>
                <w:sz w:val="20"/>
                <w:szCs w:val="20"/>
                <w:color w:val="auto"/>
              </w:rPr>
            </w:pPr>
            <w:r>
              <w:rPr>
                <w:rFonts w:ascii="Arial" w:cs="Arial" w:eastAsia="Arial" w:hAnsi="Arial"/>
                <w:sz w:val="15"/>
                <w:szCs w:val="15"/>
                <w:color w:val="auto"/>
              </w:rPr>
              <w:t>Software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80"/>
              <w:spacing w:after="0" w:line="216" w:lineRule="exact"/>
              <w:rPr>
                <w:sz w:val="20"/>
                <w:szCs w:val="20"/>
                <w:color w:val="auto"/>
              </w:rPr>
            </w:pPr>
            <w:r>
              <w:rPr>
                <w:rFonts w:ascii="Arial" w:cs="Arial" w:eastAsia="Arial" w:hAnsi="Arial"/>
                <w:sz w:val="15"/>
                <w:szCs w:val="15"/>
                <w:color w:val="auto"/>
              </w:rPr>
              <w:t>subscriptions</w:t>
            </w:r>
            <w:r>
              <w:rPr>
                <w:rFonts w:ascii="Arial" w:cs="Arial" w:eastAsia="Arial" w:hAnsi="Arial"/>
                <w:sz w:val="22"/>
                <w:szCs w:val="22"/>
                <w:b w:val="1"/>
                <w:bCs w:val="1"/>
                <w:color w:val="auto"/>
                <w:vertAlign w:val="superscript"/>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32,000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29,161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2,839</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9.7 %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84,419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79,846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4,573</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5.7 %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80" w:type="dxa"/>
            <w:vAlign w:val="bottom"/>
            <w:shd w:val="clear" w:color="auto" w:fill="CCEEFF"/>
          </w:tcPr>
          <w:p>
            <w:pPr>
              <w:ind w:left="80"/>
              <w:spacing w:after="0" w:line="190" w:lineRule="exact"/>
              <w:rPr>
                <w:sz w:val="20"/>
                <w:szCs w:val="20"/>
                <w:color w:val="auto"/>
              </w:rPr>
            </w:pPr>
            <w:r>
              <w:rPr>
                <w:rFonts w:ascii="Arial" w:cs="Arial" w:eastAsia="Arial" w:hAnsi="Arial"/>
                <w:sz w:val="15"/>
                <w:szCs w:val="15"/>
                <w:color w:val="auto"/>
              </w:rPr>
              <w:t>Services</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11,938</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18,807</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(6,869)</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(36.5)%</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33,831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49,329</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(15,498)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80" w:type="dxa"/>
            <w:vAlign w:val="bottom"/>
          </w:tcPr>
          <w:p>
            <w:pPr>
              <w:ind w:left="80"/>
              <w:spacing w:after="0" w:line="163" w:lineRule="exact"/>
              <w:rPr>
                <w:sz w:val="20"/>
                <w:szCs w:val="20"/>
                <w:color w:val="auto"/>
              </w:rPr>
            </w:pPr>
            <w:r>
              <w:rPr>
                <w:rFonts w:ascii="Arial" w:cs="Arial" w:eastAsia="Arial" w:hAnsi="Arial"/>
                <w:sz w:val="15"/>
                <w:szCs w:val="15"/>
                <w:color w:val="auto"/>
              </w:rPr>
              <w:t>Total cost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revenues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43,938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47,968</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(4,030)</w:t>
            </w: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(8.4)%</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118,250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129,175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(10,925)</w:t>
            </w: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66,780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46,637</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20,143</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43.2 %</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195,642</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145,946</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49,696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34.1 %</w:t>
            </w:r>
          </w:p>
        </w:tc>
        <w:tc>
          <w:tcPr>
            <w:tcW w:w="0" w:type="dxa"/>
            <w:vAlign w:val="bottom"/>
          </w:tcPr>
          <w:p>
            <w:pPr>
              <w:spacing w:after="0"/>
              <w:rPr>
                <w:sz w:val="1"/>
                <w:szCs w:val="1"/>
                <w:color w:val="auto"/>
              </w:rPr>
            </w:pPr>
          </w:p>
        </w:tc>
      </w:tr>
      <w:tr>
        <w:trPr>
          <w:trHeight w:val="181"/>
        </w:trPr>
        <w:tc>
          <w:tcPr>
            <w:tcW w:w="1400" w:type="dxa"/>
            <w:vAlign w:val="bottom"/>
            <w:gridSpan w:val="2"/>
          </w:tcPr>
          <w:p>
            <w:pPr>
              <w:spacing w:after="0"/>
              <w:rPr>
                <w:sz w:val="20"/>
                <w:szCs w:val="20"/>
                <w:color w:val="auto"/>
              </w:rPr>
            </w:pPr>
            <w:r>
              <w:rPr>
                <w:rFonts w:ascii="Arial" w:cs="Arial" w:eastAsia="Arial" w:hAnsi="Arial"/>
                <w:sz w:val="15"/>
                <w:szCs w:val="15"/>
                <w:color w:val="auto"/>
                <w:w w:val="99"/>
              </w:rPr>
              <w:t>Operating expenses: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Research and</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80"/>
              <w:spacing w:after="0" w:line="216" w:lineRule="exact"/>
              <w:rPr>
                <w:sz w:val="20"/>
                <w:szCs w:val="20"/>
                <w:color w:val="auto"/>
              </w:rPr>
            </w:pPr>
            <w:r>
              <w:rPr>
                <w:rFonts w:ascii="Arial" w:cs="Arial" w:eastAsia="Arial" w:hAnsi="Arial"/>
                <w:sz w:val="15"/>
                <w:szCs w:val="15"/>
                <w:color w:val="auto"/>
              </w:rPr>
              <w:t>development</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(6,622)</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80" w:type="dxa"/>
            <w:vAlign w:val="bottom"/>
          </w:tcPr>
          <w:p>
            <w:pPr>
              <w:ind w:left="80"/>
              <w:spacing w:after="0" w:line="166" w:lineRule="exact"/>
              <w:rPr>
                <w:sz w:val="20"/>
                <w:szCs w:val="20"/>
                <w:color w:val="auto"/>
              </w:rPr>
            </w:pPr>
            <w:r>
              <w:rPr>
                <w:rFonts w:ascii="Arial" w:cs="Arial" w:eastAsia="Arial" w:hAnsi="Arial"/>
                <w:sz w:val="15"/>
                <w:szCs w:val="15"/>
                <w:color w:val="auto"/>
              </w:rPr>
              <w:t>Selling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80"/>
              <w:spacing w:after="0" w:line="216" w:lineRule="exact"/>
              <w:rPr>
                <w:sz w:val="20"/>
                <w:szCs w:val="20"/>
                <w:color w:val="auto"/>
              </w:rPr>
            </w:pPr>
            <w:r>
              <w:rPr>
                <w:rFonts w:ascii="Arial" w:cs="Arial" w:eastAsia="Arial" w:hAnsi="Arial"/>
                <w:sz w:val="15"/>
                <w:szCs w:val="15"/>
                <w:color w:val="auto"/>
              </w:rPr>
              <w:t>marketing</w:t>
            </w:r>
            <w:r>
              <w:rPr>
                <w:rFonts w:ascii="Arial" w:cs="Arial" w:eastAsia="Arial" w:hAnsi="Arial"/>
                <w:sz w:val="22"/>
                <w:szCs w:val="22"/>
                <w:b w:val="1"/>
                <w:bCs w:val="1"/>
                <w:color w:val="auto"/>
                <w:vertAlign w:val="superscript"/>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25,658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29,423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(3,765)</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70,673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78,300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(7,627)</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80" w:type="dxa"/>
            <w:vAlign w:val="bottom"/>
            <w:shd w:val="clear" w:color="auto" w:fill="CCEEFF"/>
          </w:tcPr>
          <w:p>
            <w:pPr>
              <w:ind w:left="80"/>
              <w:spacing w:after="0" w:line="166" w:lineRule="exact"/>
              <w:rPr>
                <w:sz w:val="20"/>
                <w:szCs w:val="20"/>
                <w:color w:val="auto"/>
              </w:rPr>
            </w:pPr>
            <w:r>
              <w:rPr>
                <w:rFonts w:ascii="Arial" w:cs="Arial" w:eastAsia="Arial" w:hAnsi="Arial"/>
                <w:sz w:val="15"/>
                <w:szCs w:val="15"/>
                <w:color w:val="auto"/>
              </w:rPr>
              <w:t>General and</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80"/>
              <w:spacing w:after="0" w:line="216" w:lineRule="exact"/>
              <w:rPr>
                <w:sz w:val="20"/>
                <w:szCs w:val="20"/>
                <w:color w:val="auto"/>
              </w:rPr>
            </w:pPr>
            <w:r>
              <w:rPr>
                <w:rFonts w:ascii="Arial" w:cs="Arial" w:eastAsia="Arial" w:hAnsi="Arial"/>
                <w:sz w:val="15"/>
                <w:szCs w:val="15"/>
                <w:color w:val="auto"/>
              </w:rPr>
              <w:t>administrative</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31,237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(16,806)</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123,437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(42,483)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5"/>
                <w:szCs w:val="15"/>
                <w:color w:val="auto"/>
              </w:rPr>
              <w:t>Depreciation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Pr>
          <w:p>
            <w:pPr>
              <w:ind w:left="80"/>
              <w:spacing w:after="0"/>
              <w:rPr>
                <w:sz w:val="20"/>
                <w:szCs w:val="20"/>
                <w:color w:val="auto"/>
              </w:rPr>
            </w:pPr>
            <w:r>
              <w:rPr>
                <w:rFonts w:ascii="Arial" w:cs="Arial" w:eastAsia="Arial" w:hAnsi="Arial"/>
                <w:sz w:val="15"/>
                <w:szCs w:val="15"/>
                <w:color w:val="auto"/>
              </w:rPr>
              <w:t>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3,082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2,735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347</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12.7 %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8,787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8,109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678</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8.4 %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operating</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5"/>
                <w:szCs w:val="15"/>
                <w:color w:val="auto"/>
              </w:rPr>
              <w:t>expense, net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538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(996.7)%</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4,892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3,076.6 %</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80" w:type="dxa"/>
            <w:vAlign w:val="bottom"/>
          </w:tcPr>
          <w:p>
            <w:pPr>
              <w:ind w:left="80"/>
              <w:spacing w:after="0" w:line="163" w:lineRule="exact"/>
              <w:rPr>
                <w:sz w:val="20"/>
                <w:szCs w:val="20"/>
                <w:color w:val="auto"/>
              </w:rPr>
            </w:pPr>
            <w:r>
              <w:rPr>
                <w:rFonts w:ascii="Arial" w:cs="Arial" w:eastAsia="Arial" w:hAnsi="Arial"/>
                <w:sz w:val="15"/>
                <w:szCs w:val="15"/>
                <w:color w:val="auto"/>
              </w:rPr>
              <w:t>Total operating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expenses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70,394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96,642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(26,248)</w:t>
            </w: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(27.2)%</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198,570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253,197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(54,627)</w:t>
            </w: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80" w:type="dxa"/>
            <w:vAlign w:val="bottom"/>
            <w:shd w:val="clear" w:color="auto" w:fill="CCEEFF"/>
          </w:tcPr>
          <w:p>
            <w:pPr>
              <w:ind w:left="180"/>
              <w:spacing w:after="0" w:line="165" w:lineRule="exact"/>
              <w:rPr>
                <w:sz w:val="20"/>
                <w:szCs w:val="20"/>
                <w:color w:val="auto"/>
              </w:rPr>
            </w:pPr>
            <w:r>
              <w:rPr>
                <w:rFonts w:ascii="Arial" w:cs="Arial" w:eastAsia="Arial" w:hAnsi="Arial"/>
                <w:sz w:val="15"/>
                <w:szCs w:val="15"/>
                <w:color w:val="auto"/>
              </w:rPr>
              <w:t>Loss from</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operations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(50,005)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46,391</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(107,251)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104,323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97.3 %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w w:val="97"/>
              </w:rPr>
              <w:t>Interest expense, net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1,796</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(1,275)</w:t>
            </w: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(71.0)%</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3,424</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(2,753)</w:t>
            </w: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80.4 %</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80" w:type="dxa"/>
            <w:vAlign w:val="bottom"/>
            <w:shd w:val="clear" w:color="auto" w:fill="CCEEFF"/>
          </w:tcPr>
          <w:p>
            <w:pPr>
              <w:ind w:left="180"/>
              <w:spacing w:after="0" w:line="163" w:lineRule="exact"/>
              <w:rPr>
                <w:sz w:val="20"/>
                <w:szCs w:val="20"/>
                <w:color w:val="auto"/>
              </w:rPr>
            </w:pPr>
            <w:r>
              <w:rPr>
                <w:rFonts w:ascii="Arial" w:cs="Arial" w:eastAsia="Arial" w:hAnsi="Arial"/>
                <w:sz w:val="15"/>
                <w:szCs w:val="15"/>
                <w:color w:val="auto"/>
              </w:rPr>
              <w:t>Loss before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taxes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(51,801)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47,666</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(110,675)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107,076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96.7 %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Income tax benefit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(30,773)</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30,586</w:t>
            </w: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(99.4)%</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(2,747)</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(31,508)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28,761</w:t>
            </w: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(3,948)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(21,028)</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17,080</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81.2 %</w:t>
            </w: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(79,167)</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78,315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98.9 %</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80" w:type="dxa"/>
            <w:vAlign w:val="bottom"/>
          </w:tcPr>
          <w:p>
            <w:pPr>
              <w:spacing w:after="0" w:line="163" w:lineRule="exact"/>
              <w:rPr>
                <w:sz w:val="20"/>
                <w:szCs w:val="20"/>
                <w:color w:val="auto"/>
              </w:rPr>
            </w:pPr>
            <w:r>
              <w:rPr>
                <w:rFonts w:ascii="Arial" w:cs="Arial" w:eastAsia="Arial" w:hAnsi="Arial"/>
                <w:sz w:val="15"/>
                <w:szCs w:val="15"/>
                <w:color w:val="auto"/>
                <w:w w:val="94"/>
              </w:rPr>
              <w:t>Other 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spacing w:after="0"/>
              <w:rPr>
                <w:sz w:val="20"/>
                <w:szCs w:val="20"/>
                <w:color w:val="auto"/>
              </w:rPr>
            </w:pPr>
            <w:r>
              <w:rPr>
                <w:rFonts w:ascii="Arial" w:cs="Arial" w:eastAsia="Arial" w:hAnsi="Arial"/>
                <w:sz w:val="15"/>
                <w:szCs w:val="15"/>
                <w:color w:val="auto"/>
              </w:rPr>
              <w:t>loss from foreign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spacing w:after="0"/>
              <w:rPr>
                <w:sz w:val="20"/>
                <w:szCs w:val="20"/>
                <w:color w:val="auto"/>
              </w:rPr>
            </w:pPr>
            <w:r>
              <w:rPr>
                <w:rFonts w:ascii="Arial" w:cs="Arial" w:eastAsia="Arial" w:hAnsi="Arial"/>
                <w:sz w:val="15"/>
                <w:szCs w:val="15"/>
                <w:color w:val="auto"/>
                <w:w w:val="99"/>
              </w:rPr>
              <w:t>currency translations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spacing w:after="0"/>
              <w:rPr>
                <w:sz w:val="20"/>
                <w:szCs w:val="20"/>
                <w:color w:val="auto"/>
              </w:rPr>
            </w:pPr>
            <w:r>
              <w:rPr>
                <w:rFonts w:ascii="Arial" w:cs="Arial" w:eastAsia="Arial" w:hAnsi="Arial"/>
                <w:sz w:val="15"/>
                <w:szCs w:val="15"/>
                <w:color w:val="auto"/>
                <w:w w:val="99"/>
              </w:rPr>
              <w:t>and revaluations, net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gridSpan w:val="2"/>
          </w:tcPr>
          <w:p>
            <w:pPr>
              <w:spacing w:after="0"/>
              <w:rPr>
                <w:sz w:val="20"/>
                <w:szCs w:val="20"/>
                <w:color w:val="auto"/>
              </w:rPr>
            </w:pPr>
            <w:r>
              <w:rPr>
                <w:rFonts w:ascii="Arial" w:cs="Arial" w:eastAsia="Arial" w:hAnsi="Arial"/>
                <w:sz w:val="15"/>
                <w:szCs w:val="15"/>
                <w:color w:val="auto"/>
              </w:rPr>
              <w:t>of tax</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5,704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238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5,466</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2,296.6 %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10,040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6,528</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185.9 %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vMerge w:val="restart"/>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(9,652)</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6"/>
              </w:rPr>
              <w:t>(21,266)</w:t>
            </w:r>
          </w:p>
        </w:tc>
        <w:tc>
          <w:tcPr>
            <w:tcW w:w="340" w:type="dxa"/>
            <w:vAlign w:val="bottom"/>
            <w:gridSpan w:val="2"/>
            <w:vMerge w:val="restart"/>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11,614</w:t>
            </w: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(10,892)</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(82,679)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71,787</w:t>
            </w: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96"/>
              </w:rPr>
              <w:t>comprehensive loss</w:t>
            </w:r>
          </w:p>
        </w:tc>
        <w:tc>
          <w:tcPr>
            <w:tcW w:w="200" w:type="dxa"/>
            <w:vAlign w:val="bottom"/>
            <w:gridSpan w:val="2"/>
            <w:vMerge w:val="continue"/>
            <w:shd w:val="clear" w:color="auto" w:fill="CCEEFF"/>
          </w:tcPr>
          <w:p>
            <w:pPr>
              <w:spacing w:after="0"/>
              <w:rPr>
                <w:sz w:val="16"/>
                <w:szCs w:val="16"/>
                <w:color w:val="auto"/>
              </w:rPr>
            </w:pPr>
          </w:p>
        </w:tc>
        <w:tc>
          <w:tcPr>
            <w:tcW w:w="64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54.6 %</w:t>
            </w: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86.8 %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15"/>
        <w:spacing w:after="0"/>
        <w:tabs>
          <w:tab w:leader="none" w:pos="36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Includes stock-based compensation expenses as shown on the following table.</w:t>
      </w: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10" w:lineRule="exact"/>
        <w:rPr>
          <w:rFonts w:ascii="Arial" w:cs="Arial" w:eastAsia="Arial" w:hAnsi="Arial"/>
          <w:sz w:val="15"/>
          <w:szCs w:val="15"/>
          <w:b w:val="1"/>
          <w:bCs w:val="1"/>
          <w:color w:val="auto"/>
        </w:rPr>
      </w:pPr>
    </w:p>
    <w:p>
      <w:pPr>
        <w:ind w:left="4360"/>
        <w:spacing w:after="0"/>
        <w:rPr>
          <w:rFonts w:ascii="Arial" w:cs="Arial" w:eastAsia="Arial" w:hAnsi="Arial"/>
          <w:sz w:val="15"/>
          <w:szCs w:val="15"/>
          <w:b w:val="1"/>
          <w:bCs w:val="1"/>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7" w:name="page48"/>
    <w:bookmarkEnd w:id="4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88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1"/>
              <w:spacing w:after="0" w:line="133"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98"/>
              <w:spacing w:after="0" w:line="133"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1"/>
              <w:spacing w:after="0" w:line="133"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8"/>
              <w:spacing w:after="0" w:line="133"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Stock-based compensation expense: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7"/>
                <w:szCs w:val="17"/>
                <w:color w:val="auto"/>
              </w:rPr>
              <w:t>Cost of revenues, software subscriptions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656</w:t>
            </w:r>
          </w:p>
        </w:tc>
        <w:tc>
          <w:tcPr>
            <w:tcW w:w="200" w:type="dxa"/>
            <w:vAlign w:val="bottom"/>
          </w:tcPr>
          <w:p>
            <w:pPr>
              <w:spacing w:after="0"/>
              <w:rPr>
                <w:sz w:val="17"/>
                <w:szCs w:val="17"/>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6,342</w:t>
            </w:r>
          </w:p>
        </w:tc>
        <w:tc>
          <w:tcPr>
            <w:tcW w:w="22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1,788</w:t>
            </w:r>
          </w:p>
        </w:tc>
        <w:tc>
          <w:tcPr>
            <w:tcW w:w="56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14,002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 services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876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2,973</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29,561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9,601</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64,029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stock-based compensation expense</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7,422</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64,294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20,250</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140,890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96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w w:val="98"/>
              </w:rPr>
              <w:t>Three months ended</w:t>
            </w:r>
          </w:p>
        </w:tc>
        <w:tc>
          <w:tcPr>
            <w:tcW w:w="1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196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2"/>
        </w:trPr>
        <w:tc>
          <w:tcPr>
            <w:tcW w:w="518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98"/>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6"/>
              <w:spacing w:after="0" w:line="133"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8"/>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6"/>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83.3 %</w:t>
            </w:r>
          </w:p>
        </w:tc>
        <w:tc>
          <w:tcPr>
            <w:tcW w:w="1060" w:type="dxa"/>
            <w:vAlign w:val="bottom"/>
            <w:gridSpan w:val="2"/>
          </w:tcPr>
          <w:p>
            <w:pPr>
              <w:jc w:val="right"/>
              <w:ind w:right="155"/>
              <w:spacing w:after="0"/>
              <w:rPr>
                <w:sz w:val="20"/>
                <w:szCs w:val="20"/>
                <w:color w:val="auto"/>
              </w:rPr>
            </w:pPr>
            <w:r>
              <w:rPr>
                <w:rFonts w:ascii="Arial" w:cs="Arial" w:eastAsia="Arial" w:hAnsi="Arial"/>
                <w:sz w:val="17"/>
                <w:szCs w:val="17"/>
                <w:color w:val="auto"/>
              </w:rPr>
              <w:t>84.3 %</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84.5 %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84.6 %</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16.7 %</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15.7 %</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15.5 %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15.4 %</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revenues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ind w:right="15"/>
              <w:spacing w:after="0"/>
              <w:rPr>
                <w:sz w:val="20"/>
                <w:szCs w:val="20"/>
                <w:color w:val="auto"/>
              </w:rPr>
            </w:pPr>
            <w:r>
              <w:rPr>
                <w:rFonts w:ascii="Arial" w:cs="Arial" w:eastAsia="Arial" w:hAnsi="Arial"/>
                <w:sz w:val="17"/>
                <w:szCs w:val="17"/>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380" w:type="dxa"/>
            <w:vAlign w:val="bottom"/>
            <w:tcBorders>
              <w:bottom w:val="single" w:sz="8" w:color="CCEEFF"/>
            </w:tcBorders>
          </w:tcPr>
          <w:p>
            <w:pPr>
              <w:jc w:val="right"/>
              <w:ind w:right="15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CEEFF"/>
            </w:tcBorders>
          </w:tcPr>
          <w:p>
            <w:pPr>
              <w:jc w:val="right"/>
              <w:ind w:right="1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28.9 %</w:t>
            </w:r>
          </w:p>
        </w:tc>
        <w:tc>
          <w:tcPr>
            <w:tcW w:w="1060" w:type="dxa"/>
            <w:vAlign w:val="bottom"/>
            <w:gridSpan w:val="2"/>
          </w:tcPr>
          <w:p>
            <w:pPr>
              <w:jc w:val="right"/>
              <w:ind w:right="155"/>
              <w:spacing w:after="0"/>
              <w:rPr>
                <w:sz w:val="20"/>
                <w:szCs w:val="20"/>
                <w:color w:val="auto"/>
              </w:rPr>
            </w:pPr>
            <w:r>
              <w:rPr>
                <w:rFonts w:ascii="Arial" w:cs="Arial" w:eastAsia="Arial" w:hAnsi="Arial"/>
                <w:sz w:val="17"/>
                <w:szCs w:val="17"/>
                <w:color w:val="auto"/>
              </w:rPr>
              <w:t>30.8 %</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26.9 %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29.0 %</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10.8 %</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19.9 %</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10.8 %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17.9 %</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cost of revenues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240" w:type="dxa"/>
            <w:vAlign w:val="bottom"/>
            <w:tcBorders>
              <w:bottom w:val="single" w:sz="8" w:color="CCEEFF"/>
            </w:tcBorders>
          </w:tcPr>
          <w:p>
            <w:pPr>
              <w:jc w:val="right"/>
              <w:ind w:right="15"/>
              <w:spacing w:after="0"/>
              <w:rPr>
                <w:sz w:val="20"/>
                <w:szCs w:val="20"/>
                <w:color w:val="auto"/>
              </w:rPr>
            </w:pPr>
            <w:r>
              <w:rPr>
                <w:rFonts w:ascii="Arial" w:cs="Arial" w:eastAsia="Arial" w:hAnsi="Arial"/>
                <w:sz w:val="17"/>
                <w:szCs w:val="17"/>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380" w:type="dxa"/>
            <w:vAlign w:val="bottom"/>
            <w:tcBorders>
              <w:bottom w:val="single" w:sz="8" w:color="CCEEFF"/>
            </w:tcBorders>
          </w:tcPr>
          <w:p>
            <w:pPr>
              <w:jc w:val="right"/>
              <w:ind w:right="15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240" w:type="dxa"/>
            <w:vAlign w:val="bottom"/>
            <w:tcBorders>
              <w:bottom w:val="single" w:sz="8" w:color="CCEEFF"/>
            </w:tcBorders>
          </w:tcPr>
          <w:p>
            <w:pPr>
              <w:jc w:val="right"/>
              <w:ind w:right="1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3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7"/>
                <w:szCs w:val="17"/>
                <w:color w:val="auto"/>
              </w:rPr>
              <w:t>Operating expenses: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8.9 %</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17.4 %</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10.6 %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15.7 %</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rPr>
                <w:sz w:val="20"/>
                <w:szCs w:val="20"/>
                <w:color w:val="auto"/>
              </w:rPr>
            </w:pPr>
            <w:r>
              <w:rPr>
                <w:rFonts w:ascii="Arial" w:cs="Arial" w:eastAsia="Arial" w:hAnsi="Arial"/>
                <w:sz w:val="17"/>
                <w:szCs w:val="17"/>
                <w:color w:val="auto"/>
              </w:rPr>
              <w:t>Selling and marketing</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23.2 %</w:t>
            </w:r>
          </w:p>
        </w:tc>
        <w:tc>
          <w:tcPr>
            <w:tcW w:w="1060" w:type="dxa"/>
            <w:vAlign w:val="bottom"/>
            <w:gridSpan w:val="2"/>
          </w:tcPr>
          <w:p>
            <w:pPr>
              <w:jc w:val="right"/>
              <w:ind w:right="155"/>
              <w:spacing w:after="0"/>
              <w:rPr>
                <w:sz w:val="20"/>
                <w:szCs w:val="20"/>
                <w:color w:val="auto"/>
              </w:rPr>
            </w:pPr>
            <w:r>
              <w:rPr>
                <w:rFonts w:ascii="Arial" w:cs="Arial" w:eastAsia="Arial" w:hAnsi="Arial"/>
                <w:sz w:val="17"/>
                <w:szCs w:val="17"/>
                <w:color w:val="auto"/>
              </w:rPr>
              <w:t>31.1 %</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22.5 %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28.5 %</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28.2 %</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50.8 %</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25.8 %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44.9 %</w:t>
            </w:r>
          </w:p>
        </w:tc>
        <w:tc>
          <w:tcPr>
            <w:tcW w:w="0" w:type="dxa"/>
            <w:vAlign w:val="bottom"/>
          </w:tcPr>
          <w:p>
            <w:pPr>
              <w:spacing w:after="0"/>
              <w:rPr>
                <w:sz w:val="1"/>
                <w:szCs w:val="1"/>
                <w:color w:val="auto"/>
              </w:rPr>
            </w:pPr>
          </w:p>
        </w:tc>
      </w:tr>
      <w:tr>
        <w:trPr>
          <w:trHeight w:val="203"/>
        </w:trPr>
        <w:tc>
          <w:tcPr>
            <w:tcW w:w="518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2.8 %</w:t>
            </w:r>
          </w:p>
        </w:tc>
        <w:tc>
          <w:tcPr>
            <w:tcW w:w="1060" w:type="dxa"/>
            <w:vAlign w:val="bottom"/>
            <w:gridSpan w:val="2"/>
          </w:tcPr>
          <w:p>
            <w:pPr>
              <w:jc w:val="right"/>
              <w:ind w:right="155"/>
              <w:spacing w:after="0"/>
              <w:rPr>
                <w:sz w:val="20"/>
                <w:szCs w:val="20"/>
                <w:color w:val="auto"/>
              </w:rPr>
            </w:pPr>
            <w:r>
              <w:rPr>
                <w:rFonts w:ascii="Arial" w:cs="Arial" w:eastAsia="Arial" w:hAnsi="Arial"/>
                <w:sz w:val="17"/>
                <w:szCs w:val="17"/>
                <w:color w:val="auto"/>
              </w:rPr>
              <w:t>2.9 %</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2.8 %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operating expense, net</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0.5 %</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(0.1)%</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1.6 %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operating expenses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63.6</w:t>
            </w:r>
          </w:p>
        </w:tc>
        <w:tc>
          <w:tcPr>
            <w:tcW w:w="240" w:type="dxa"/>
            <w:vAlign w:val="bottom"/>
            <w:tcBorders>
              <w:bottom w:val="single" w:sz="8" w:color="CCEEFF"/>
            </w:tcBorders>
          </w:tcPr>
          <w:p>
            <w:pPr>
              <w:jc w:val="right"/>
              <w:ind w:right="15"/>
              <w:spacing w:after="0"/>
              <w:rPr>
                <w:sz w:val="20"/>
                <w:szCs w:val="20"/>
                <w:color w:val="auto"/>
              </w:rPr>
            </w:pPr>
            <w:r>
              <w:rPr>
                <w:rFonts w:ascii="Arial" w:cs="Arial" w:eastAsia="Arial" w:hAnsi="Arial"/>
                <w:sz w:val="17"/>
                <w:szCs w:val="17"/>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102.1</w:t>
            </w:r>
          </w:p>
        </w:tc>
        <w:tc>
          <w:tcPr>
            <w:tcW w:w="380" w:type="dxa"/>
            <w:vAlign w:val="bottom"/>
            <w:tcBorders>
              <w:bottom w:val="single" w:sz="8" w:color="CCEEFF"/>
            </w:tcBorders>
          </w:tcPr>
          <w:p>
            <w:pPr>
              <w:jc w:val="right"/>
              <w:ind w:right="15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63.3</w:t>
            </w:r>
          </w:p>
        </w:tc>
        <w:tc>
          <w:tcPr>
            <w:tcW w:w="240" w:type="dxa"/>
            <w:vAlign w:val="bottom"/>
            <w:tcBorders>
              <w:bottom w:val="single" w:sz="8" w:color="CCEEFF"/>
            </w:tcBorders>
          </w:tcPr>
          <w:p>
            <w:pPr>
              <w:jc w:val="right"/>
              <w:ind w:right="1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92.1</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from operations</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(52.8)%</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rPr>
              <w:t>Interest expense, net</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0.5 %</w:t>
            </w:r>
          </w:p>
        </w:tc>
        <w:tc>
          <w:tcPr>
            <w:tcW w:w="1060" w:type="dxa"/>
            <w:vAlign w:val="bottom"/>
            <w:gridSpan w:val="2"/>
          </w:tcPr>
          <w:p>
            <w:pPr>
              <w:jc w:val="right"/>
              <w:ind w:right="155"/>
              <w:spacing w:after="0"/>
              <w:rPr>
                <w:sz w:val="20"/>
                <w:szCs w:val="20"/>
                <w:color w:val="auto"/>
              </w:rPr>
            </w:pPr>
            <w:r>
              <w:rPr>
                <w:rFonts w:ascii="Arial" w:cs="Arial" w:eastAsia="Arial" w:hAnsi="Arial"/>
                <w:sz w:val="17"/>
                <w:szCs w:val="17"/>
                <w:color w:val="auto"/>
              </w:rPr>
              <w:t>1.9 %</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0.2 %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rPr>
              <w:t>Loss before income taxes</w:t>
            </w: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(54.7)%</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rPr>
              <w:t>Income tax benefit</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(0.2)%</w:t>
            </w:r>
          </w:p>
        </w:tc>
        <w:tc>
          <w:tcPr>
            <w:tcW w:w="1060" w:type="dxa"/>
            <w:vAlign w:val="bottom"/>
            <w:gridSpan w:val="2"/>
          </w:tcPr>
          <w:p>
            <w:pPr>
              <w:jc w:val="right"/>
              <w:ind w:right="155"/>
              <w:spacing w:after="0"/>
              <w:rPr>
                <w:sz w:val="20"/>
                <w:szCs w:val="20"/>
                <w:color w:val="auto"/>
              </w:rPr>
            </w:pPr>
            <w:r>
              <w:rPr>
                <w:rFonts w:ascii="Arial" w:cs="Arial" w:eastAsia="Arial" w:hAnsi="Arial"/>
                <w:sz w:val="17"/>
                <w:szCs w:val="17"/>
                <w:color w:val="auto"/>
              </w:rPr>
              <w:t>(32.5)%</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(0.9)%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Net loss</w:t>
            </w: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(3.6)%</w:t>
            </w:r>
          </w:p>
        </w:tc>
        <w:tc>
          <w:tcPr>
            <w:tcW w:w="10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(22.2)%</w:t>
            </w: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w w:val="96"/>
              </w:rPr>
              <w:t>Other comprehensive loss from foreign currency translations, net of tax</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5.2 %</w:t>
            </w:r>
          </w:p>
        </w:tc>
        <w:tc>
          <w:tcPr>
            <w:tcW w:w="1060" w:type="dxa"/>
            <w:vAlign w:val="bottom"/>
            <w:gridSpan w:val="2"/>
          </w:tcPr>
          <w:p>
            <w:pPr>
              <w:jc w:val="right"/>
              <w:ind w:right="155"/>
              <w:spacing w:after="0"/>
              <w:rPr>
                <w:sz w:val="20"/>
                <w:szCs w:val="20"/>
                <w:color w:val="auto"/>
              </w:rPr>
            </w:pPr>
            <w:r>
              <w:rPr>
                <w:rFonts w:ascii="Arial" w:cs="Arial" w:eastAsia="Arial" w:hAnsi="Arial"/>
                <w:sz w:val="17"/>
                <w:szCs w:val="17"/>
                <w:color w:val="auto"/>
              </w:rPr>
              <w:t>0.3 %</w:t>
            </w:r>
          </w:p>
        </w:tc>
        <w:tc>
          <w:tcPr>
            <w:tcW w:w="900" w:type="dxa"/>
            <w:vAlign w:val="bottom"/>
            <w:gridSpan w:val="2"/>
          </w:tcPr>
          <w:p>
            <w:pPr>
              <w:jc w:val="right"/>
              <w:ind w:right="15"/>
              <w:spacing w:after="0"/>
              <w:rPr>
                <w:sz w:val="20"/>
                <w:szCs w:val="20"/>
                <w:color w:val="auto"/>
              </w:rPr>
            </w:pPr>
            <w:r>
              <w:rPr>
                <w:rFonts w:ascii="Arial" w:cs="Arial" w:eastAsia="Arial" w:hAnsi="Arial"/>
                <w:sz w:val="17"/>
                <w:szCs w:val="17"/>
                <w:color w:val="auto"/>
              </w:rPr>
              <w:t>3.2 %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comprehensive loss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40" w:type="dxa"/>
            <w:vAlign w:val="bottom"/>
            <w:tcBorders>
              <w:top w:val="single" w:sz="8" w:color="CCEEFF"/>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380" w:type="dxa"/>
            <w:vAlign w:val="bottom"/>
            <w:tcBorders>
              <w:top w:val="single" w:sz="8" w:color="CCEEFF"/>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40" w:type="dxa"/>
            <w:vAlign w:val="bottom"/>
            <w:tcBorders>
              <w:top w:val="single" w:sz="8" w:color="CCEEFF"/>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300"/>
              <w:spacing w:after="0"/>
              <w:rPr>
                <w:sz w:val="20"/>
                <w:szCs w:val="20"/>
                <w:color w:val="auto"/>
              </w:rPr>
            </w:pPr>
            <w:r>
              <w:rPr>
                <w:rFonts w:ascii="Arial" w:cs="Arial" w:eastAsia="Arial" w:hAnsi="Arial"/>
                <w:sz w:val="17"/>
                <w:szCs w:val="17"/>
                <w:color w:val="auto"/>
              </w:rPr>
              <w:t>-48-</w:t>
            </w: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1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48" w:name="page49"/>
    <w:bookmarkEnd w:id="4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Three Months Ended September 30, 2021 Compared to Three Months Ended September 30, 2020</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Revenues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3"/>
                <w:szCs w:val="13"/>
                <w:color w:val="auto"/>
              </w:rPr>
            </w:pPr>
          </w:p>
        </w:tc>
        <w:tc>
          <w:tcPr>
            <w:tcW w:w="1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87"/>
              </w:rPr>
              <w:t>Period-over-Period change</w:t>
            </w:r>
          </w:p>
        </w:tc>
        <w:tc>
          <w:tcPr>
            <w:tcW w:w="0" w:type="dxa"/>
            <w:vAlign w:val="bottom"/>
          </w:tcPr>
          <w:p>
            <w:pPr>
              <w:spacing w:after="0"/>
              <w:rPr>
                <w:sz w:val="1"/>
                <w:szCs w:val="1"/>
                <w:color w:val="auto"/>
              </w:rPr>
            </w:pPr>
          </w:p>
        </w:tc>
      </w:tr>
      <w:tr>
        <w:trPr>
          <w:trHeight w:val="132"/>
        </w:trPr>
        <w:tc>
          <w:tcPr>
            <w:tcW w:w="330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Revenues:</w:t>
            </w:r>
          </w:p>
        </w:tc>
        <w:tc>
          <w:tcPr>
            <w:tcW w:w="17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20"/>
                <w:szCs w:val="20"/>
                <w:color w:val="auto"/>
              </w:rPr>
            </w:pPr>
            <w:r>
              <w:rPr>
                <w:rFonts w:ascii="Arial" w:cs="Arial" w:eastAsia="Arial" w:hAnsi="Arial"/>
                <w:sz w:val="17"/>
                <w:szCs w:val="17"/>
                <w:color w:val="auto"/>
              </w:rPr>
              <w:t>Software subscriptions</w:t>
            </w:r>
          </w:p>
        </w:tc>
        <w:tc>
          <w:tcPr>
            <w:tcW w:w="192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92,276</w:t>
            </w:r>
          </w:p>
        </w:tc>
        <w:tc>
          <w:tcPr>
            <w:tcW w:w="16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60"/>
              <w:spacing w:after="0"/>
              <w:rPr>
                <w:sz w:val="20"/>
                <w:szCs w:val="20"/>
                <w:color w:val="auto"/>
              </w:rPr>
            </w:pPr>
            <w:r>
              <w:rPr>
                <w:rFonts w:ascii="Arial" w:cs="Arial" w:eastAsia="Arial" w:hAnsi="Arial"/>
                <w:sz w:val="17"/>
                <w:szCs w:val="17"/>
                <w:color w:val="auto"/>
                <w:w w:val="96"/>
              </w:rPr>
              <w:t>79,778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12,498</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15.7 %</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17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96"/>
              </w:rPr>
              <w:t>14,827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24.4 %</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20"/>
                <w:szCs w:val="20"/>
                <w:color w:val="auto"/>
              </w:rPr>
            </w:pPr>
            <w:r>
              <w:rPr>
                <w:rFonts w:ascii="Arial" w:cs="Arial" w:eastAsia="Arial" w:hAnsi="Arial"/>
                <w:sz w:val="17"/>
                <w:szCs w:val="17"/>
                <w:color w:val="auto"/>
              </w:rPr>
              <w:t>Total revenues</w:t>
            </w:r>
          </w:p>
        </w:tc>
        <w:tc>
          <w:tcPr>
            <w:tcW w:w="176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110,718</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6"/>
              </w:rPr>
              <w:t>94,605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16,113</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17.0 %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Revenues increased $16.1 million, or 17.0%, to $110.7 million for the three months ended September 30, 2021 compared to $94.6 million for the three months ended September 30, 2020. The increase in software subscriptions revenues of $12.5 million, or 15.7%, was primarily driven by an increase of $10.4 million in revenues derived from our existing customers and a period over period increase of $2.1 million in revenues derived from new customers. Software subscriptions revenues derived from new customers averaged 9.4% and 8.3% of total software subscriptions revenues in 2021 and 2020, respectively.</w:t>
      </w:r>
    </w:p>
    <w:p>
      <w:pPr>
        <w:spacing w:after="0" w:line="166"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The $3.6 million increase in services revenues was primarily driven by an increase of $2.3 million in software subscription related services associated with the growth in subscription revenues, which includes new customers implementing our solutions and existing customers upgrading to newer versions of our solutions, and acquisitions. In addition, our managed services offering experienced a $1.3 million increase in recurring services revenues over the prior year due to returns processing volume increases related to regulatory changes as customers expanded their tax filings into more jurisdictions.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Cost of Software Subscriptions Revenues</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Three months ended</w:t>
      </w:r>
    </w:p>
    <w:p>
      <w:pPr>
        <w:ind w:left="55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5040" w:type="dxa"/>
            <w:vAlign w:val="bottom"/>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Borders>
              <w:top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3"/>
          </w:tcPr>
          <w:p>
            <w:pPr>
              <w:jc w:val="right"/>
              <w:ind w:right="155"/>
              <w:spacing w:after="0" w:line="133" w:lineRule="exact"/>
              <w:rPr>
                <w:sz w:val="20"/>
                <w:szCs w:val="20"/>
                <w:color w:val="auto"/>
              </w:rPr>
            </w:pPr>
            <w:r>
              <w:rPr>
                <w:rFonts w:ascii="Arial" w:cs="Arial" w:eastAsia="Arial" w:hAnsi="Arial"/>
                <w:sz w:val="14"/>
                <w:szCs w:val="14"/>
                <w:b w:val="1"/>
                <w:bCs w:val="1"/>
                <w:color w:val="auto"/>
                <w:w w:val="86"/>
              </w:rPr>
              <w:t>Period-over-Period change</w:t>
            </w:r>
          </w:p>
        </w:tc>
      </w:tr>
      <w:tr>
        <w:trPr>
          <w:trHeight w:val="196"/>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software subscriptions 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32,000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7"/>
                <w:szCs w:val="17"/>
                <w:color w:val="auto"/>
              </w:rPr>
              <w:t>2,839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204" w:lineRule="exact"/>
        <w:rPr>
          <w:sz w:val="20"/>
          <w:szCs w:val="20"/>
          <w:color w:val="auto"/>
        </w:rPr>
      </w:pPr>
    </w:p>
    <w:p>
      <w:pPr>
        <w:jc w:val="both"/>
        <w:ind w:left="40" w:right="59" w:firstLine="305"/>
        <w:spacing w:after="0" w:line="288" w:lineRule="auto"/>
        <w:rPr>
          <w:sz w:val="20"/>
          <w:szCs w:val="20"/>
          <w:color w:val="auto"/>
        </w:rPr>
      </w:pPr>
      <w:r>
        <w:rPr>
          <w:rFonts w:ascii="Arial" w:cs="Arial" w:eastAsia="Arial" w:hAnsi="Arial"/>
          <w:sz w:val="15"/>
          <w:szCs w:val="15"/>
          <w:color w:val="auto"/>
        </w:rPr>
        <w:t>Cost of software subscriptions revenues increased $2.8 million, or 9.7%, to $32.0 million for the three months ended September 30, 2021 compared to $29.2 million for the three months ended September 30, 2020. This included a $3.1 million increase in costs of personnel supporting period over period growth of sales and customers and ongoing infrastructure investments to support expansion of customer transaction volumes for our cloud-based subscription customers. In addition, this included an increase in depreciation and amortization of capitalized software and acquired intangibles of $5.4 million associated with our ongoing investments in internal-use software for cloud-based subscription solutions, software developed for sale for new products and enhancements to existing products, and costs associated with the amortization of acquired intangible assets. These increases were partially offset by a $5.7 million decrease in stock-based compensation for the three months ended September 30, 2021 compared to the same period in 2020. As a percentage of software subscriptions revenues, the cost of software subscriptions revenues decreased to 34.7% for the three months ended September 30, 2021 compared to 36.6% for the same period in 2020. After excluding stock-based compensation expense, as a percentage of software subscriptions revenues, cost of software subscriptions revenues increased to 34.0% in 2021 compared to 28.6% in 2020.</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Cost of Services Revenues</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Three months ended</w:t>
      </w:r>
    </w:p>
    <w:p>
      <w:pPr>
        <w:ind w:left="55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504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Borders>
              <w:top w:val="single" w:sz="8" w:color="auto"/>
              <w:bottom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0"/>
              </w:rPr>
              <w:t>Period-over-Period change</w:t>
            </w:r>
          </w:p>
        </w:tc>
        <w:tc>
          <w:tcPr>
            <w:tcW w:w="160" w:type="dxa"/>
            <w:vAlign w:val="bottom"/>
            <w:tcBorders>
              <w:bottom w:val="single" w:sz="8" w:color="CCEEFF"/>
            </w:tcBorders>
          </w:tcPr>
          <w:p>
            <w:pPr>
              <w:spacing w:after="0"/>
              <w:rPr>
                <w:sz w:val="11"/>
                <w:szCs w:val="11"/>
                <w:color w:val="auto"/>
              </w:rPr>
            </w:pPr>
          </w:p>
        </w:tc>
      </w:tr>
      <w:tr>
        <w:trPr>
          <w:trHeight w:val="19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11,938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18,807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rPr>
              <w:t>(6,869)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(36.5)%</w:t>
            </w: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9" w:name="page50"/>
    <w:bookmarkEnd w:id="4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91" w:lineRule="auto"/>
        <w:rPr>
          <w:sz w:val="20"/>
          <w:szCs w:val="20"/>
          <w:color w:val="auto"/>
        </w:rPr>
      </w:pPr>
      <w:r>
        <w:rPr>
          <w:rFonts w:ascii="Arial" w:cs="Arial" w:eastAsia="Arial" w:hAnsi="Arial"/>
          <w:sz w:val="15"/>
          <w:szCs w:val="15"/>
          <w:color w:val="auto"/>
        </w:rPr>
        <w:t>Cost of services revenue decreased $6.9 million, or 36.5%, to $11.9 million for the three months ended September 30, 2021 compared to $18.8 million for the three months ended September 30, 2020. This decline was primarily driven by a stock-based compensation decrease of $8.5 million for the three months ended September 30, 2021 compared to the same period in 2020. After adjusting for the decline in stock-based compensation expense, cost of services revenues increased $1.6 million primarily driven by an increase in costs of service delivery personnel to support revenue growth in software subscription related services and our managed services offering. As a percentage of services revenues, cost of services revenues decreased to 64.7% in 2021 compared to 126.8% for the same period in 2020. After excluding stock-based compensation expense, as a percentage of services revenues, cost of services revenues decreased to 60.6% in 2021 compared to 64.6% for the same period in 2020.</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Research and Development</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Three months ended</w:t>
      </w:r>
    </w:p>
    <w:p>
      <w:pPr>
        <w:ind w:left="534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472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4"/>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24"/>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w w:val="93"/>
              </w:rPr>
              <w:t>Period-over-Period change</w:t>
            </w:r>
          </w:p>
        </w:tc>
        <w:tc>
          <w:tcPr>
            <w:tcW w:w="160" w:type="dxa"/>
            <w:vAlign w:val="bottom"/>
            <w:tcBorders>
              <w:bottom w:val="single" w:sz="8" w:color="CCEEFF"/>
            </w:tcBorders>
          </w:tcPr>
          <w:p>
            <w:pPr>
              <w:spacing w:after="0"/>
              <w:rPr>
                <w:sz w:val="11"/>
                <w:szCs w:val="11"/>
                <w:color w:val="auto"/>
              </w:rPr>
            </w:pPr>
          </w:p>
        </w:tc>
      </w:tr>
      <w:tr>
        <w:trPr>
          <w:trHeight w:val="19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24"/>
              <w:spacing w:after="0"/>
              <w:rPr>
                <w:sz w:val="20"/>
                <w:szCs w:val="20"/>
                <w:color w:val="auto"/>
              </w:rPr>
            </w:pPr>
            <w:r>
              <w:rPr>
                <w:rFonts w:ascii="Arial" w:cs="Arial" w:eastAsia="Arial" w:hAnsi="Arial"/>
                <w:sz w:val="17"/>
                <w:szCs w:val="17"/>
                <w:color w:val="auto"/>
              </w:rPr>
              <w:t>(6,622)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(40.1)%</w:t>
            </w:r>
          </w:p>
        </w:tc>
      </w:tr>
    </w:tbl>
    <w:p>
      <w:pPr>
        <w:spacing w:after="0" w:line="191" w:lineRule="exact"/>
        <w:rPr>
          <w:sz w:val="20"/>
          <w:szCs w:val="20"/>
          <w:color w:val="auto"/>
        </w:rPr>
      </w:pPr>
    </w:p>
    <w:p>
      <w:pPr>
        <w:jc w:val="both"/>
        <w:ind w:left="40" w:right="59" w:firstLine="305"/>
        <w:spacing w:after="0" w:line="289" w:lineRule="auto"/>
        <w:rPr>
          <w:sz w:val="20"/>
          <w:szCs w:val="20"/>
          <w:color w:val="auto"/>
        </w:rPr>
      </w:pPr>
      <w:r>
        <w:rPr>
          <w:rFonts w:ascii="Arial" w:cs="Arial" w:eastAsia="Arial" w:hAnsi="Arial"/>
          <w:sz w:val="15"/>
          <w:szCs w:val="15"/>
          <w:color w:val="auto"/>
        </w:rPr>
        <w:t>Research and development expenses decreased $6.6 million, or 40.1%, to $9.9 million for the three months ended September 30, 2021 compared to $16.5 million for the three months ended September 30, 2020. However, this decline was driven by a stock-based compensation decrease of $5.5 million for the three months ended September 30, 2021 compared to the same period in 2020. After adjusting for the decline in stock-based compensation expense, research and development expenses net of capitalization decreased $1.1 million primarily driven by an increase in development work capitalized associated with new solutions to address end-to-end data analysis and compliance needs of our customers and continued expansion of connectors and application program interfaces (“APIs”) to customer ERP and other software platforms. As a percentage of total revenues, research and development expenses decreased to 8.9% for the three months ended September 30, 2021 compared to 17.4% for the three months ended September 30, 2020. After excluding stock-based compensation expense, as a percentage of total revenues, research and development expenses decreased to 8.1% in 2021 compared to 10.7% in 2020.</w:t>
      </w:r>
    </w:p>
    <w:p>
      <w:pPr>
        <w:spacing w:after="0" w:line="159"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Research and development expense excludes those costs that have been capitalized for solutions that have met our capitalization policy.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Selling and Marketing</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Three months ended</w:t>
      </w:r>
    </w:p>
    <w:p>
      <w:pPr>
        <w:ind w:left="536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31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1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4"/>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4"/>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87"/>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vMerge w:val="continue"/>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25,658</w:t>
            </w:r>
          </w:p>
        </w:tc>
        <w:tc>
          <w:tcPr>
            <w:tcW w:w="1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29,423</w:t>
            </w: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204"/>
              <w:spacing w:after="0"/>
              <w:rPr>
                <w:sz w:val="20"/>
                <w:szCs w:val="20"/>
                <w:color w:val="auto"/>
              </w:rPr>
            </w:pPr>
            <w:r>
              <w:rPr>
                <w:rFonts w:ascii="Arial" w:cs="Arial" w:eastAsia="Arial" w:hAnsi="Arial"/>
                <w:sz w:val="17"/>
                <w:szCs w:val="17"/>
                <w:color w:val="auto"/>
              </w:rPr>
              <w:t>(3,765)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Selling and marketing expenses decreased $3.8 million, or 12.8%, to $25.7 million for the three months ended September 30, 2021 compared to $29.4 million for the same period in 2020. However, this decline was driven by a stock-based compensation decrease of $10.7 million for the three months ended September 30, 2021 over the same period in 2020. After adjusting for the decline in stock-based compensation expense, selling and marketing expenses increased $6.9 million primarily driven by a $4.5 million increase in payroll and related expenses associated with the growth in period over period subscription sales and services revenues and expansion of our partner and channel management programs. In addition, this included an increase of $2.4 million in advertising and promotional spending and expanded brand awareness efforts. As a percentage of total revenues, selling and marketing expenses decreased to 23.2% for the three months ended September 30, 2021 compared to 31.1% for the same period in 2020. After excluding stock-based compensation expense, as a percentage of total revenues, selling and marketing expenses increased to 21.2% in 2021 compared to 17.5% in 2020.</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0" w:name="page51"/>
    <w:bookmarkEnd w:id="5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General and Administrative</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Three months ended</w:t>
      </w:r>
    </w:p>
    <w:p>
      <w:pPr>
        <w:ind w:left="55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504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Borders>
              <w:top w:val="single" w:sz="8" w:color="auto"/>
              <w:bottom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04"/>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w w:val="90"/>
              </w:rPr>
              <w:t>Period-over-Period change</w:t>
            </w:r>
          </w:p>
        </w:tc>
        <w:tc>
          <w:tcPr>
            <w:tcW w:w="160" w:type="dxa"/>
            <w:vAlign w:val="bottom"/>
            <w:tcBorders>
              <w:bottom w:val="single" w:sz="8" w:color="CCEEFF"/>
            </w:tcBorders>
          </w:tcPr>
          <w:p>
            <w:pPr>
              <w:spacing w:after="0"/>
              <w:rPr>
                <w:sz w:val="11"/>
                <w:szCs w:val="11"/>
                <w:color w:val="auto"/>
              </w:rPr>
            </w:pPr>
          </w:p>
        </w:tc>
      </w:tr>
      <w:tr>
        <w:trPr>
          <w:trHeight w:val="19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31,237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48,043</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w w:val="99"/>
              </w:rPr>
              <w:t>$  (16,806)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r>
    </w:tbl>
    <w:p>
      <w:pPr>
        <w:spacing w:after="0" w:line="204"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General and administrative expenses decreased $16.8 million, or 35.0%, to $31.2 million for the three months ended September 30, 2021 compared to $48.0 million for the same period in 2020. However, this decline was driven by a stock-based compensation decrease of $26.6 million for the three months ended September 30, 2021 over the same period in 2020. After adjusting for the decline in stock-based compensation expense, general and administrative expenses increased $9.8 million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As a percentage of total revenues, general and administrative expenses decreased to 28.2% for the three months ended September 30, 2021 compared to 50.8% for the same period in 2020. After excluding stock-based compensation expense, as a percentage of total revenues, general and administrative expenses increased to 25.5% in 2021 compared to 19.5% in 2020.</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Depreciation and Amortization</w:t>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Three months ended</w:t>
      </w:r>
    </w:p>
    <w:p>
      <w:pPr>
        <w:ind w:left="556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5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tcPr>
          <w:p>
            <w:pPr>
              <w:jc w:val="right"/>
              <w:ind w:right="175"/>
              <w:spacing w:after="0" w:line="133" w:lineRule="exact"/>
              <w:rPr>
                <w:sz w:val="20"/>
                <w:szCs w:val="20"/>
                <w:color w:val="auto"/>
              </w:rPr>
            </w:pPr>
            <w:r>
              <w:rPr>
                <w:rFonts w:ascii="Arial" w:cs="Arial" w:eastAsia="Arial" w:hAnsi="Arial"/>
                <w:sz w:val="14"/>
                <w:szCs w:val="14"/>
                <w:b w:val="1"/>
                <w:bCs w:val="1"/>
                <w:color w:val="auto"/>
                <w:w w:val="86"/>
              </w:rPr>
              <w:t>Period-over-Period change</w:t>
            </w: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3,082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7"/>
                <w:szCs w:val="17"/>
                <w:color w:val="auto"/>
              </w:rPr>
              <w:t>347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Depreciation and amortization increased $0.3 million, or 12.7%, to $3.1 million for the three months ended September 30, 2021 compared to $2.7 million for the same period in 2020. The increase was primarily due to the impact of infrastructure and technology purchases placed in service in late 2020 and 2021 and other capitalized infrastructure costs to support our growth. As a percentage of revenues, depreciation expense was relatively consistent at 2.8% for the three months ended September 30, 2021 compared to 2.9% for the same period in 2020.</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Other Operating Expense, Net</w:t>
      </w:r>
    </w:p>
    <w:p>
      <w:pPr>
        <w:spacing w:after="0" w:line="213" w:lineRule="exact"/>
        <w:rPr>
          <w:sz w:val="20"/>
          <w:szCs w:val="20"/>
          <w:color w:val="auto"/>
        </w:rPr>
      </w:pPr>
    </w:p>
    <w:p>
      <w:pPr>
        <w:jc w:val="center"/>
        <w:ind w:left="2960"/>
        <w:spacing w:after="0"/>
        <w:rPr>
          <w:sz w:val="20"/>
          <w:szCs w:val="20"/>
          <w:color w:val="auto"/>
        </w:rPr>
      </w:pPr>
      <w:r>
        <w:rPr>
          <w:rFonts w:ascii="Arial" w:cs="Arial" w:eastAsia="Arial" w:hAnsi="Arial"/>
          <w:sz w:val="14"/>
          <w:szCs w:val="14"/>
          <w:b w:val="1"/>
          <w:bCs w:val="1"/>
          <w:color w:val="auto"/>
        </w:rPr>
        <w:t>Three months ended</w:t>
      </w:r>
    </w:p>
    <w:p>
      <w:pPr>
        <w:jc w:val="center"/>
        <w:ind w:left="296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35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1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87"/>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Other operating expense, net</w:t>
            </w:r>
          </w:p>
        </w:tc>
        <w:tc>
          <w:tcPr>
            <w:tcW w:w="15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84"/>
              <w:spacing w:after="0"/>
              <w:rPr>
                <w:sz w:val="20"/>
                <w:szCs w:val="20"/>
                <w:color w:val="auto"/>
              </w:rPr>
            </w:pPr>
            <w:r>
              <w:rPr>
                <w:rFonts w:ascii="Arial" w:cs="Arial" w:eastAsia="Arial" w:hAnsi="Arial"/>
                <w:sz w:val="17"/>
                <w:szCs w:val="17"/>
                <w:color w:val="auto"/>
              </w:rPr>
              <w:t>598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(996.7)%</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Other operating expense, net, increased $0.6 million, or 996.7%, to $0.5 million of expense for the three months ended September 30, 2021 compared to $0.1 million of income for the same period in 2020. This increase included a $0.2 million increase in the Tellutax Contingent Consideration liability and foreign currency transaction losses incurred during the three months ended September 30, 2021. As a percentage of total revenues, other operating expense, net increased to 0.5% in 2021 compared to (0.1)% in 2020.</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Interest (Income) Expense, Net</w:t>
      </w: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w:t>
      </w:r>
    </w:p>
    <w:p>
      <w:pPr>
        <w:ind w:left="56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33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19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4"/>
              <w:spacing w:after="0" w:line="133"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gridSpan w:val="2"/>
          </w:tcPr>
          <w:p>
            <w:pPr>
              <w:jc w:val="right"/>
              <w:ind w:right="135"/>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860" w:type="dxa"/>
            <w:vAlign w:val="bottom"/>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9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8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1,796</w:t>
            </w:r>
          </w:p>
        </w:tc>
        <w:tc>
          <w:tcPr>
            <w:tcW w:w="18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rPr>
              <w:t>$   (1,275)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1" w:name="page52"/>
    <w:bookmarkEnd w:id="5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Interest (income) expense, net decreased $1.3 million, or 71%, to $0.5 million in interest expense for the three months ended September 30, 2021 compared to $1.8 million of interest expense for the same period in 2020. This change was primarily attributable to the writedown of $1.2 million in deferred financing costs during the three months ended September 30, 2020 due to the term loan repayment in July 2020.</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Income Tax Benefit</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Three months ended</w:t>
      </w:r>
    </w:p>
    <w:p>
      <w:pPr>
        <w:ind w:left="5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1089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580" w:type="dxa"/>
            <w:vAlign w:val="bottom"/>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0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(30,773)</w:t>
            </w: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44"/>
              <w:spacing w:after="0"/>
              <w:rPr>
                <w:sz w:val="20"/>
                <w:szCs w:val="20"/>
                <w:color w:val="auto"/>
              </w:rPr>
            </w:pPr>
            <w:r>
              <w:rPr>
                <w:rFonts w:ascii="Arial" w:cs="Arial" w:eastAsia="Arial" w:hAnsi="Arial"/>
                <w:sz w:val="17"/>
                <w:szCs w:val="17"/>
                <w:color w:val="auto"/>
              </w:rPr>
              <w:t>30,586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Income tax benefit decreased $30.6 million, or 99.4%, to $0.2 million for the three months ended September 30, 2021 compared to $30.8 million for the same period in 2020. This decrease was primarily due to a pre-tax loss resulting from an increase in stock-based compensation in 2020. The income tax benefit in the three months ended September 30, 2021 was primarily driven by exercises and vestings of stock awards partially offset by the unfavorable impact of limitations on deductions of certain employees’ compensation under Internal Revenue Code Section 162(m) and acquisition costs.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Nine Months Ended September 30, 2021 Compared to Nine Months Ended September 30, 2020</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Revenues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18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3"/>
                <w:szCs w:val="13"/>
                <w:color w:val="auto"/>
              </w:rPr>
            </w:pPr>
          </w:p>
        </w:tc>
        <w:tc>
          <w:tcPr>
            <w:tcW w:w="1800" w:type="dxa"/>
            <w:vAlign w:val="bottom"/>
            <w:gridSpan w:val="4"/>
            <w:vMerge w:val="restart"/>
          </w:tcPr>
          <w:p>
            <w:pPr>
              <w:jc w:val="right"/>
              <w:ind w:right="175"/>
              <w:spacing w:after="0"/>
              <w:rPr>
                <w:sz w:val="20"/>
                <w:szCs w:val="20"/>
                <w:color w:val="auto"/>
              </w:rPr>
            </w:pPr>
            <w:r>
              <w:rPr>
                <w:rFonts w:ascii="Arial" w:cs="Arial" w:eastAsia="Arial" w:hAnsi="Arial"/>
                <w:sz w:val="14"/>
                <w:szCs w:val="14"/>
                <w:b w:val="1"/>
                <w:bCs w:val="1"/>
                <w:color w:val="auto"/>
                <w:w w:val="84"/>
              </w:rPr>
              <w:t>Period-over-Period change</w:t>
            </w:r>
          </w:p>
        </w:tc>
        <w:tc>
          <w:tcPr>
            <w:tcW w:w="0" w:type="dxa"/>
            <w:vAlign w:val="bottom"/>
          </w:tcPr>
          <w:p>
            <w:pPr>
              <w:spacing w:after="0"/>
              <w:rPr>
                <w:sz w:val="1"/>
                <w:szCs w:val="1"/>
                <w:color w:val="auto"/>
              </w:rPr>
            </w:pPr>
          </w:p>
        </w:tc>
      </w:tr>
      <w:tr>
        <w:trPr>
          <w:trHeight w:val="132"/>
        </w:trPr>
        <w:tc>
          <w:tcPr>
            <w:tcW w:w="502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0"/>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20"/>
                <w:szCs w:val="20"/>
                <w:color w:val="auto"/>
              </w:rPr>
            </w:pPr>
            <w:r>
              <w:rPr>
                <w:rFonts w:ascii="Arial" w:cs="Arial" w:eastAsia="Arial" w:hAnsi="Arial"/>
                <w:sz w:val="17"/>
                <w:szCs w:val="17"/>
                <w:color w:val="auto"/>
              </w:rPr>
              <w:t>Software subscriptions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4"/>
              </w:rPr>
              <w:t>265,160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7"/>
              </w:rPr>
              <w:t>232,844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32,316</w:t>
            </w:r>
          </w:p>
        </w:tc>
        <w:tc>
          <w:tcPr>
            <w:tcW w:w="1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13.9 %</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48,732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15.3 %</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313,892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275,121</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38,771</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Revenues increased $38.8 million, or 14.1%, to $313.9 million for the nine months ended September 30, 2021 compared to $275.1 million for the nine months ended September 30, 2020. The increase in software subscriptions revenues of $32.3 million, or 13.9%, was primarily driven by an increase of $28.0 million in revenues derived from our existing customers and a period over period increase of $4.3 million of revenues from new customers. Software subscriptions revenues derived from new customers averaged 8.6% and 8.0% of total software subscriptions revenues in 2021 and 2020, respectively.</w:t>
      </w:r>
    </w:p>
    <w:p>
      <w:pPr>
        <w:spacing w:after="0" w:line="166" w:lineRule="exact"/>
        <w:rPr>
          <w:sz w:val="20"/>
          <w:szCs w:val="20"/>
          <w:color w:val="auto"/>
        </w:rPr>
      </w:pPr>
    </w:p>
    <w:p>
      <w:pPr>
        <w:jc w:val="both"/>
        <w:ind w:left="40" w:right="59" w:firstLine="366"/>
        <w:spacing w:after="0" w:line="275" w:lineRule="auto"/>
        <w:rPr>
          <w:sz w:val="20"/>
          <w:szCs w:val="20"/>
          <w:color w:val="auto"/>
        </w:rPr>
      </w:pPr>
      <w:r>
        <w:rPr>
          <w:rFonts w:ascii="Arial" w:cs="Arial" w:eastAsia="Arial" w:hAnsi="Arial"/>
          <w:sz w:val="16"/>
          <w:szCs w:val="16"/>
          <w:color w:val="auto"/>
        </w:rPr>
        <w:t>The $6.5 million increase in services revenues was driven by an increase of $3.7 million in software subscription-related services associated with the growth in subscription revenues, which includes new customers implementing our solutions and upgrading existing customers to newer versions of our solutions, and acquisitions. In addition, our managed services offering experienced a $2.8 million increase in recurring services revenues over the prior year period due to returns processing volume increases related to regulatory changes as customers expanded their tax filings into more jurisdictions.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Cost of Software Subscriptions Revenues</w:t>
      </w: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Nine months ended</w:t>
      </w:r>
    </w:p>
    <w:p>
      <w:pPr>
        <w:ind w:left="556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50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tcBorders>
            <w:gridSpan w:val="2"/>
          </w:tcPr>
          <w:p>
            <w:pPr>
              <w:jc w:val="right"/>
              <w:ind w:right="175"/>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3"/>
          </w:tcPr>
          <w:p>
            <w:pPr>
              <w:jc w:val="right"/>
              <w:ind w:right="186"/>
              <w:spacing w:after="0" w:line="133" w:lineRule="exact"/>
              <w:rPr>
                <w:sz w:val="20"/>
                <w:szCs w:val="20"/>
                <w:color w:val="auto"/>
              </w:rPr>
            </w:pPr>
            <w:r>
              <w:rPr>
                <w:rFonts w:ascii="Arial" w:cs="Arial" w:eastAsia="Arial" w:hAnsi="Arial"/>
                <w:sz w:val="14"/>
                <w:szCs w:val="14"/>
                <w:b w:val="1"/>
                <w:bCs w:val="1"/>
                <w:color w:val="auto"/>
                <w:w w:val="86"/>
              </w:rPr>
              <w:t>Period-over-Period change</w:t>
            </w: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software subscriptions revenues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84,419</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79,846</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7"/>
                <w:szCs w:val="17"/>
                <w:color w:val="auto"/>
              </w:rPr>
              <w:t>4,573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Cost of software subscriptions revenues increased $4.6 million, or 5.7%, to $84.4 million for the nine months ended September 30, 2021 compared to $79.8 million for the nine months ended September 30, 2020. This included a $9.6 million increase in costs of personnel supporting period over period growth of sales and customers and ongoing infrastructure investments to support expansion of customer transaction volumes for our cloud-based subscription customers. In addition, this included an increase in depreciation and amortization of capitalized software and acquired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2" w:name="page53"/>
    <w:bookmarkEnd w:id="5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5"/>
          <w:szCs w:val="15"/>
          <w:color w:val="auto"/>
        </w:rPr>
        <w:t>intangibles of $7.2 million associated with our ongoing investments in internal-use software for cloud-based subscription solutions, software developed for sale for new products and enhancements to existing products, and costs associated with the amortization of acquired intangible assets. These increases were partially offset by a $12.2 million decrease in stock-based compensation for the nine months ended September 30, 2021 compared to the same period in 2020. As a percentage of software subscriptions revenues, the cost of software subscriptions revenues decreased to 31.8% for the nine months ended September 30, 2021 compared to 34.3% in the prior year period. After excluding stock-based compensation expense, as a percentage of software subscriptions revenues, cost of software subscriptions revenues increased to 31.2% in 2021 compared to 28.3% in 2020.</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Cost of Services Revenues</w:t>
      </w: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Nine months ended</w:t>
      </w:r>
    </w:p>
    <w:p>
      <w:pPr>
        <w:ind w:left="55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50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tcBorders>
            <w:gridSpan w:val="2"/>
          </w:tcPr>
          <w:p>
            <w:pPr>
              <w:jc w:val="right"/>
              <w:ind w:right="195"/>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88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89"/>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Cost of services revenues</w:t>
            </w: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33,831</w:t>
            </w:r>
          </w:p>
        </w:tc>
        <w:tc>
          <w:tcPr>
            <w:tcW w:w="1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49,329</w:t>
            </w:r>
          </w:p>
        </w:tc>
        <w:tc>
          <w:tcPr>
            <w:tcW w:w="18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jc w:val="right"/>
              <w:ind w:right="184"/>
              <w:spacing w:after="0"/>
              <w:rPr>
                <w:sz w:val="20"/>
                <w:szCs w:val="20"/>
                <w:color w:val="auto"/>
              </w:rPr>
            </w:pPr>
            <w:r>
              <w:rPr>
                <w:rFonts w:ascii="Arial" w:cs="Arial" w:eastAsia="Arial" w:hAnsi="Arial"/>
                <w:sz w:val="17"/>
                <w:szCs w:val="17"/>
                <w:color w:val="auto"/>
                <w:w w:val="94"/>
              </w:rPr>
              <w:t>$  (15,498)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05"/>
        <w:spacing w:after="0" w:line="291" w:lineRule="auto"/>
        <w:rPr>
          <w:sz w:val="20"/>
          <w:szCs w:val="20"/>
          <w:color w:val="auto"/>
        </w:rPr>
      </w:pPr>
      <w:r>
        <w:rPr>
          <w:rFonts w:ascii="Arial" w:cs="Arial" w:eastAsia="Arial" w:hAnsi="Arial"/>
          <w:sz w:val="15"/>
          <w:szCs w:val="15"/>
          <w:color w:val="auto"/>
        </w:rPr>
        <w:t>Cost of services revenues decreased $15.5 million, or 31.4%, to $33.8 million for the nine months ended September 30, 2021 compared to $49.3 million for the nine months ended September 30, 2020. However, this decline was driven by a stock-based compensation decrease of $18.7 million for the nine months ended September 30, 2021 compared to the same period in 2020. After adjusting for the decline in stock-based compensation expense, cost of services revenues increased $3.2 million primarily driven by an increase in costs of service delivery personnel to support revenue growth in software subscription related services and our managed services offering. As a percentage of services revenues, cost of services revenues decreased to 69.4% in the nine months ended September 30, 2021 compared to 116.7% in the prior year. After excluding stock-based compensation expense, as a percentage of services revenues, cost of services revenues decreased to 65.4% in 2021 compared to 67.7% in 2020.</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Research and Development</w:t>
      </w:r>
    </w:p>
    <w:p>
      <w:pPr>
        <w:spacing w:after="0" w:line="213"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Nine months ended</w:t>
      </w:r>
    </w:p>
    <w:p>
      <w:pPr>
        <w:ind w:left="522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32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64"/>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4"/>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3"/>
          </w:tcPr>
          <w:p>
            <w:pPr>
              <w:jc w:val="right"/>
              <w:ind w:right="380"/>
              <w:spacing w:after="0" w:line="133" w:lineRule="exact"/>
              <w:rPr>
                <w:sz w:val="20"/>
                <w:szCs w:val="20"/>
                <w:color w:val="auto"/>
              </w:rPr>
            </w:pPr>
            <w:r>
              <w:rPr>
                <w:rFonts w:ascii="Arial" w:cs="Arial" w:eastAsia="Arial" w:hAnsi="Arial"/>
                <w:sz w:val="14"/>
                <w:szCs w:val="14"/>
                <w:b w:val="1"/>
                <w:bCs w:val="1"/>
                <w:color w:val="auto"/>
                <w:w w:val="88"/>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3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33,264</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43,197</w:t>
            </w: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24"/>
              <w:spacing w:after="0"/>
              <w:rPr>
                <w:sz w:val="20"/>
                <w:szCs w:val="20"/>
                <w:color w:val="auto"/>
              </w:rPr>
            </w:pPr>
            <w:r>
              <w:rPr>
                <w:rFonts w:ascii="Arial" w:cs="Arial" w:eastAsia="Arial" w:hAnsi="Arial"/>
                <w:sz w:val="17"/>
                <w:szCs w:val="17"/>
                <w:color w:val="auto"/>
              </w:rPr>
              <w:t>(9,933)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66"/>
        <w:spacing w:after="0" w:line="289" w:lineRule="auto"/>
        <w:rPr>
          <w:sz w:val="20"/>
          <w:szCs w:val="20"/>
          <w:color w:val="auto"/>
        </w:rPr>
      </w:pPr>
      <w:r>
        <w:rPr>
          <w:rFonts w:ascii="Arial" w:cs="Arial" w:eastAsia="Arial" w:hAnsi="Arial"/>
          <w:sz w:val="15"/>
          <w:szCs w:val="15"/>
          <w:color w:val="auto"/>
        </w:rPr>
        <w:t>Research and development expenses decreased $9.9 million, or 23.0%, to $33.3 million for the nine months ended September 30, 2021 compared to $43.2 million for the nine months ended September 30, 2020. However, this decline was primarily driven by a stock-based compensation decrease of $12.0 million for the nine months ended September 30, 2021 compared to the same period in 2020. After adjusting for the decline in stock-based compensation expense, research and development expenses, net of capitalization, increased $2.1 million, net of capitalized development costs, driven by an increase in costs associated with increased development activity associated with nascent technologies, new solutions to address end-to-end data analysis and compliance needs of our customers, and continued expansion of connectors and APIs to customer ERP and other software platforms. As a percentage of total revenues, research and development expenses decreased to 10.6% for the nine months ended September 30, 2021 compared to 15.7% for the nine months ended September 30, 2020. After excluding stock-based compensation expense, as a percentage of total revenues, research and development expenses decreased to 10.0% in 2021 compared to 10.6% in 2020.</w:t>
      </w:r>
    </w:p>
    <w:p>
      <w:pPr>
        <w:spacing w:after="0" w:line="159" w:lineRule="exact"/>
        <w:rPr>
          <w:sz w:val="20"/>
          <w:szCs w:val="20"/>
          <w:color w:val="auto"/>
        </w:rPr>
      </w:pPr>
    </w:p>
    <w:p>
      <w:pPr>
        <w:jc w:val="both"/>
        <w:ind w:left="40" w:right="59" w:firstLine="366"/>
        <w:spacing w:after="0" w:line="273" w:lineRule="auto"/>
        <w:rPr>
          <w:sz w:val="20"/>
          <w:szCs w:val="20"/>
          <w:color w:val="auto"/>
        </w:rPr>
      </w:pPr>
      <w:r>
        <w:rPr>
          <w:rFonts w:ascii="Arial" w:cs="Arial" w:eastAsia="Arial" w:hAnsi="Arial"/>
          <w:sz w:val="17"/>
          <w:szCs w:val="17"/>
          <w:color w:val="auto"/>
        </w:rPr>
        <w:t>Research and development expense excludes those costs that have been capitalized for solutions that have met our capitalization policy.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Selling and Marketing</w:t>
      </w:r>
    </w:p>
    <w:p>
      <w:pPr>
        <w:spacing w:after="0" w:line="213"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Nine months ended</w:t>
      </w:r>
    </w:p>
    <w:p>
      <w:pPr>
        <w:ind w:left="530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3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16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24"/>
              <w:spacing w:after="0" w:line="133"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4"/>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3"/>
          </w:tcPr>
          <w:p>
            <w:pPr>
              <w:jc w:val="right"/>
              <w:ind w:right="340"/>
              <w:spacing w:after="0" w:line="133" w:lineRule="exact"/>
              <w:rPr>
                <w:sz w:val="20"/>
                <w:szCs w:val="20"/>
                <w:color w:val="auto"/>
              </w:rPr>
            </w:pPr>
            <w:r>
              <w:rPr>
                <w:rFonts w:ascii="Arial" w:cs="Arial" w:eastAsia="Arial" w:hAnsi="Arial"/>
                <w:sz w:val="14"/>
                <w:szCs w:val="14"/>
                <w:b w:val="1"/>
                <w:bCs w:val="1"/>
                <w:color w:val="auto"/>
                <w:w w:val="87"/>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6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70,673</w:t>
            </w:r>
          </w:p>
        </w:tc>
        <w:tc>
          <w:tcPr>
            <w:tcW w:w="2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78,300</w:t>
            </w: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64"/>
              <w:spacing w:after="0"/>
              <w:rPr>
                <w:sz w:val="20"/>
                <w:szCs w:val="20"/>
                <w:color w:val="auto"/>
              </w:rPr>
            </w:pPr>
            <w:r>
              <w:rPr>
                <w:rFonts w:ascii="Arial" w:cs="Arial" w:eastAsia="Arial" w:hAnsi="Arial"/>
                <w:sz w:val="17"/>
                <w:szCs w:val="17"/>
                <w:color w:val="auto"/>
              </w:rPr>
              <w:t>(7,627)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3" w:name="page54"/>
    <w:bookmarkEnd w:id="5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88" w:lineRule="auto"/>
        <w:rPr>
          <w:sz w:val="20"/>
          <w:szCs w:val="20"/>
          <w:color w:val="auto"/>
        </w:rPr>
      </w:pPr>
      <w:r>
        <w:rPr>
          <w:rFonts w:ascii="Arial" w:cs="Arial" w:eastAsia="Arial" w:hAnsi="Arial"/>
          <w:sz w:val="15"/>
          <w:szCs w:val="15"/>
          <w:color w:val="auto"/>
        </w:rPr>
        <w:t>Selling and marketing expenses decreased $7.6 million, or 9.7%, to $70.7 million for the nine months ended September 30, 2021 compared to $78.3 million for the same period in 2020. However, this decline was primarily driven by a stock-based compensation decrease of $23.3 million for the nine months ended September 30, 2021 over the same period in 2020. After adjusting for the decline in stock-based compensation expense, selling and marketing expenses increased $15.7 million. Of this $15.7 million increase, $10.7 million was primarily driven by an increase in payroll and related expenses associated with the growth in period over period subscription sales and services revenues and expansion of our partner and channel management programs. In addition, this increase included $6.1 million in advertising and promotional spending and expanded brand awareness efforts period over period. These increases were offset by decreases in travel period over period due to continued 2021 COVID-19 travel restrictions. As a percentage of total revenues, selling and marketing expenses decreased to 22.5% for the nine months ended September 30, 2021 compared to 28.5% for the same period in 2020. After excluding stock-based compensation expense, as a percentage of total revenues, selling and marketing expenses increased to 21.0% in 2021 compared to 18.2% in 2020.</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General and Administrative</w:t>
      </w:r>
    </w:p>
    <w:p>
      <w:pPr>
        <w:spacing w:after="0" w:line="213"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Nine months ended</w:t>
      </w:r>
    </w:p>
    <w:p>
      <w:pPr>
        <w:ind w:left="55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506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bottom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w w:val="90"/>
              </w:rPr>
              <w:t>Period-over-Period change</w:t>
            </w:r>
          </w:p>
        </w:tc>
        <w:tc>
          <w:tcPr>
            <w:tcW w:w="160" w:type="dxa"/>
            <w:vAlign w:val="bottom"/>
            <w:tcBorders>
              <w:bottom w:val="single" w:sz="8" w:color="CCEEFF"/>
            </w:tcBorders>
          </w:tcPr>
          <w:p>
            <w:pPr>
              <w:spacing w:after="0"/>
              <w:rPr>
                <w:sz w:val="11"/>
                <w:szCs w:val="11"/>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80,954</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123,437</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w w:val="97"/>
              </w:rPr>
              <w:t>$  (42,483)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(34.4)%</w:t>
            </w:r>
          </w:p>
        </w:tc>
      </w:tr>
    </w:tbl>
    <w:p>
      <w:pPr>
        <w:spacing w:after="0" w:line="191" w:lineRule="exact"/>
        <w:rPr>
          <w:sz w:val="20"/>
          <w:szCs w:val="20"/>
          <w:color w:val="auto"/>
        </w:rPr>
      </w:pPr>
    </w:p>
    <w:p>
      <w:pPr>
        <w:jc w:val="both"/>
        <w:ind w:left="40" w:right="59" w:firstLine="305"/>
        <w:spacing w:after="0" w:line="269" w:lineRule="auto"/>
        <w:rPr>
          <w:sz w:val="20"/>
          <w:szCs w:val="20"/>
          <w:color w:val="auto"/>
        </w:rPr>
      </w:pPr>
      <w:r>
        <w:rPr>
          <w:rFonts w:ascii="Arial" w:cs="Arial" w:eastAsia="Arial" w:hAnsi="Arial"/>
          <w:sz w:val="16"/>
          <w:szCs w:val="16"/>
          <w:color w:val="auto"/>
        </w:rPr>
        <w:t>General and administrative expenses decreased $42.5 million, or 34.4%, to $81.0 million for the nine months ended September 30, 2021 compared to $123.4 million for the same period in 2020. However, this decline was primarily driven by a stock-based compensation decrease of $54.4 million for the nine months ended September 30, 2021 compared to the same period in 2020. After adjusting for the decline in stock-based compensation expense, general and administrative expenses increased $11.9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Due to these factors, as a percentage of total revenues, general and administrative expenses decreased to 25.8% for the nine months ended September 30, 2021 compared to 44.9% for the same period in 2020. After excluding stock-based compensation expense, as a percentage of total revenues, general and administrative expenses increased to 22.7% in 2021 compared to 21.6% in 2020.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Depreciation and Amortization</w:t>
      </w: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Nine months ended</w:t>
      </w:r>
    </w:p>
    <w:p>
      <w:pPr>
        <w:ind w:left="556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5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tcPr>
          <w:p>
            <w:pPr>
              <w:jc w:val="right"/>
              <w:ind w:right="175"/>
              <w:spacing w:after="0" w:line="133" w:lineRule="exact"/>
              <w:rPr>
                <w:sz w:val="20"/>
                <w:szCs w:val="20"/>
                <w:color w:val="auto"/>
              </w:rPr>
            </w:pPr>
            <w:r>
              <w:rPr>
                <w:rFonts w:ascii="Arial" w:cs="Arial" w:eastAsia="Arial" w:hAnsi="Arial"/>
                <w:sz w:val="14"/>
                <w:szCs w:val="14"/>
                <w:b w:val="1"/>
                <w:bCs w:val="1"/>
                <w:color w:val="auto"/>
                <w:w w:val="86"/>
              </w:rPr>
              <w:t>Period-over-Period change</w:t>
            </w: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8,787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7"/>
                <w:szCs w:val="17"/>
                <w:color w:val="auto"/>
              </w:rPr>
              <w:t>678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Depreciation and amortization increased $0.7 million, or 8.4%, to $8.8 million for the nine months ended September 30, 2021 compared to $8.1 million for the same period in 2020. The increase was primarily due to the impact of infrastructure and technology purchases placed in service in 2020 and 2021 and other capitalized infrastructure costs to support our growth. As a percentage of revenues, depreciation expense was relatively consistent at 2.8% for the nine months ended September 30, 2021 compared to 2.9% for the same period in 2020.</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Other Operating Expense, Net</w:t>
      </w:r>
    </w:p>
    <w:p>
      <w:pPr>
        <w:spacing w:after="0" w:line="213"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Nine months ended</w:t>
      </w:r>
    </w:p>
    <w:p>
      <w:pPr>
        <w:jc w:val="center"/>
        <w:ind w:left="292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35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3"/>
          </w:tcPr>
          <w:p>
            <w:pPr>
              <w:jc w:val="right"/>
              <w:ind w:right="175"/>
              <w:spacing w:after="0" w:line="133" w:lineRule="exact"/>
              <w:rPr>
                <w:sz w:val="20"/>
                <w:szCs w:val="20"/>
                <w:color w:val="auto"/>
              </w:rPr>
            </w:pPr>
            <w:r>
              <w:rPr>
                <w:rFonts w:ascii="Arial" w:cs="Arial" w:eastAsia="Arial" w:hAnsi="Arial"/>
                <w:sz w:val="14"/>
                <w:szCs w:val="14"/>
                <w:b w:val="1"/>
                <w:bCs w:val="1"/>
                <w:color w:val="auto"/>
                <w:w w:val="87"/>
              </w:rPr>
              <w:t>Period-Over-Period Change</w:t>
            </w: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operating expense, net</w:t>
            </w:r>
          </w:p>
        </w:tc>
        <w:tc>
          <w:tcPr>
            <w:tcW w:w="1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7"/>
                <w:szCs w:val="17"/>
                <w:color w:val="auto"/>
              </w:rPr>
              <w:t>4,738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1"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Other operating expense, net increased $4.7 million, or 3,076.6%, to $4.9 million of expense for the nine months ended September 30, 2021 compared to $0.2 million of expense for the same period in 2020. This increase was primarily due to $4.7 million in transaction costs, which included $4.5 million associated with the Taxamo acquisition for the nine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4" w:name="page55"/>
    <w:bookmarkEnd w:id="5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months ended September 30, 2021. As a percentage of total revenues, other operating expense,net increased to 1.6% in 2021 compared to 0.1% in 2020.</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 Expense, Net</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Nine months ended</w:t>
      </w:r>
    </w:p>
    <w:p>
      <w:pPr>
        <w:ind w:left="56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33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19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4"/>
              <w:spacing w:after="0" w:line="133"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gridSpan w:val="2"/>
          </w:tcPr>
          <w:p>
            <w:pPr>
              <w:jc w:val="right"/>
              <w:ind w:right="135"/>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860" w:type="dxa"/>
            <w:vAlign w:val="bottom"/>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9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18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3,424</w:t>
            </w:r>
          </w:p>
        </w:tc>
        <w:tc>
          <w:tcPr>
            <w:tcW w:w="18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rPr>
              <w:t>$   (2,753)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05"/>
        <w:spacing w:after="0" w:line="294" w:lineRule="auto"/>
        <w:rPr>
          <w:sz w:val="20"/>
          <w:szCs w:val="20"/>
          <w:color w:val="auto"/>
        </w:rPr>
      </w:pPr>
      <w:r>
        <w:rPr>
          <w:rFonts w:ascii="Arial" w:cs="Arial" w:eastAsia="Arial" w:hAnsi="Arial"/>
          <w:sz w:val="15"/>
          <w:szCs w:val="15"/>
          <w:color w:val="auto"/>
        </w:rPr>
        <w:t>Interest expense, net decreased $2.8 million, or 80.4%, to $0.7 million of expense for the nine months ended September 30, 2021 compared to $3.4 million of expense for the same period in 2020. This decrease was primarily attributable to a decrease of $3.7 million in interest expense during the nine months ended September 30, 2021 compared to the same period in 2020 due to the term loan repayment in July 2020. This was partially offset during the nine months ended September 30, 2021 by an increase in interest expense of $0.4 million due to a decrease in the valuation of foreign currency forward contracts and lower interest income in the current period of $0.4 million due to a decline in investment balances and yields in 2021 as compared to 2020.</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Income Tax Benefit</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Nine months ended</w:t>
      </w:r>
    </w:p>
    <w:p>
      <w:pPr>
        <w:ind w:left="5680"/>
        <w:spacing w:after="0" w:line="21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52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tcPr>
          <w:p>
            <w:pPr>
              <w:jc w:val="right"/>
              <w:ind w:right="124"/>
              <w:spacing w:after="0" w:line="133"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tcBorders>
            <w:gridSpan w:val="2"/>
          </w:tcPr>
          <w:p>
            <w:pPr>
              <w:jc w:val="right"/>
              <w:ind w:right="175"/>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188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89"/>
              </w:rPr>
              <w:t>Period-over-Period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(2,747)</w:t>
            </w:r>
          </w:p>
        </w:tc>
        <w:tc>
          <w:tcPr>
            <w:tcW w:w="18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(31,508)</w:t>
            </w:r>
          </w:p>
        </w:tc>
        <w:tc>
          <w:tcPr>
            <w:tcW w:w="160" w:type="dxa"/>
            <w:vAlign w:val="bottom"/>
            <w:vMerge w:val="continue"/>
            <w:shd w:val="clear" w:color="auto" w:fill="CCEEFF"/>
          </w:tcPr>
          <w:p>
            <w:pPr>
              <w:spacing w:after="0"/>
              <w:rPr>
                <w:sz w:val="17"/>
                <w:szCs w:val="17"/>
                <w:color w:val="auto"/>
              </w:rPr>
            </w:pPr>
          </w:p>
        </w:tc>
        <w:tc>
          <w:tcPr>
            <w:tcW w:w="1020" w:type="dxa"/>
            <w:vAlign w:val="bottom"/>
            <w:shd w:val="clear" w:color="auto" w:fill="CCEEFF"/>
          </w:tcPr>
          <w:p>
            <w:pPr>
              <w:jc w:val="right"/>
              <w:ind w:right="184"/>
              <w:spacing w:after="0"/>
              <w:rPr>
                <w:sz w:val="20"/>
                <w:szCs w:val="20"/>
                <w:color w:val="auto"/>
              </w:rPr>
            </w:pPr>
            <w:r>
              <w:rPr>
                <w:rFonts w:ascii="Arial" w:cs="Arial" w:eastAsia="Arial" w:hAnsi="Arial"/>
                <w:sz w:val="17"/>
                <w:szCs w:val="17"/>
                <w:color w:val="auto"/>
                <w:w w:val="97"/>
              </w:rPr>
              <w:t>$   28,761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Income tax benefit decreased $28.8 million, or 91.3%, to $2.7 million for the nine months ended September 30, 2021 compared to $31.5 million for the same period in 2020. This decrease was primarily due to a pre-tax loss resulting from an increase in stock-based compensation in 2020. The income tax benefit in the nine months ended September 30, 2021 was primarily driven by exercises and vestings of stock-based awards, partially offset by the unfavorable impact of limitations on deductions of certain employees’ compensation under Internal Revenue Code Section 162(m) and acquisition costs.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Liquidity and Capital Resources</w:t>
      </w:r>
    </w:p>
    <w:p>
      <w:pPr>
        <w:spacing w:after="0" w:line="215" w:lineRule="exact"/>
        <w:rPr>
          <w:sz w:val="20"/>
          <w:szCs w:val="20"/>
          <w:color w:val="auto"/>
        </w:rPr>
      </w:pPr>
    </w:p>
    <w:p>
      <w:pPr>
        <w:jc w:val="both"/>
        <w:ind w:left="40" w:right="59" w:firstLine="305"/>
        <w:spacing w:after="0" w:line="312" w:lineRule="auto"/>
        <w:rPr>
          <w:sz w:val="20"/>
          <w:szCs w:val="20"/>
          <w:color w:val="auto"/>
        </w:rPr>
      </w:pPr>
      <w:r>
        <w:rPr>
          <w:rFonts w:ascii="Arial" w:cs="Arial" w:eastAsia="Arial" w:hAnsi="Arial"/>
          <w:sz w:val="15"/>
          <w:szCs w:val="15"/>
          <w:color w:val="auto"/>
        </w:rPr>
        <w:t>As of September 30, 2021, we had cash and cash equivalents of $47.5 million and retained earnings of $21.6 million. Our primary sources of capital to date have been from sales of our solutions, proceeds from bank lending facilities and the initial public offering of our Class A common stock in July 2020 (the “Offering”). We have no outstanding bank debt at September 30, 2021.</w:t>
      </w:r>
    </w:p>
    <w:p>
      <w:pPr>
        <w:spacing w:after="0" w:line="140"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On September 22, 2021, we executed a stock purchase agreement with LCR-Dixon. The purchase price was $98.7 million as of the acquisition date consisting of (i) $59.7 million in cash, partially offset by $1.9 million in cash received in the acquisition resulting in $57.8 million of net cash paid at closing, and (ii) the non-interest bearing deferred purchase consideration aggregating $40.0 million before consideration of related discount on this amount of $1.0 million. Cash consideration was funded from our available cash on hand.</w:t>
      </w:r>
    </w:p>
    <w:p>
      <w:pPr>
        <w:spacing w:after="0" w:line="143"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On May 12, 2021, we used approximately $190.2 million of our cash and cash equivalents to acquire Taxamo. The preliminary purchase price for the Taxamo acquisition was $200.7 million as of the acquisition date, consisting of (i) $190.2 million of cash paid at closing, (ii) an acquisition holdback of $0.5 million, and (iii) the Taxamo Option aggregating $10.0 million. The Taxamo Option was exercised on August 20, 2021 for $10.0 million funded through cash on hand.</w:t>
      </w:r>
    </w:p>
    <w:p>
      <w:pPr>
        <w:spacing w:after="0" w:line="126"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bookmarkStart w:id="55" w:name="page56"/>
    <w:bookmarkEnd w:id="5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contain terms that are not favorable to us or our stockholders. Additional financing may not be available at all, or in amounts or on terms unacceptable to us.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a summary of our cash flows for the periods indicated: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880" w:type="dxa"/>
            <w:vAlign w:val="bottom"/>
            <w:gridSpan w:val="4"/>
            <w:vMerge w:val="restart"/>
          </w:tcPr>
          <w:p>
            <w:pPr>
              <w:jc w:val="right"/>
              <w:ind w:right="175"/>
              <w:spacing w:after="0"/>
              <w:rPr>
                <w:sz w:val="20"/>
                <w:szCs w:val="20"/>
                <w:color w:val="auto"/>
              </w:rPr>
            </w:pPr>
            <w:r>
              <w:rPr>
                <w:rFonts w:ascii="Arial" w:cs="Arial" w:eastAsia="Arial" w:hAnsi="Arial"/>
                <w:sz w:val="14"/>
                <w:szCs w:val="14"/>
                <w:b w:val="1"/>
                <w:bCs w:val="1"/>
                <w:color w:val="auto"/>
                <w:w w:val="87"/>
              </w:rPr>
              <w:t>Period-Over-Period Change</w:t>
            </w:r>
          </w:p>
        </w:tc>
        <w:tc>
          <w:tcPr>
            <w:tcW w:w="0" w:type="dxa"/>
            <w:vAlign w:val="bottom"/>
          </w:tcPr>
          <w:p>
            <w:pPr>
              <w:spacing w:after="0"/>
              <w:rPr>
                <w:sz w:val="1"/>
                <w:szCs w:val="1"/>
                <w:color w:val="auto"/>
              </w:rPr>
            </w:pPr>
          </w:p>
        </w:tc>
      </w:tr>
      <w:tr>
        <w:trPr>
          <w:trHeight w:val="132"/>
        </w:trPr>
        <w:tc>
          <w:tcPr>
            <w:tcW w:w="496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02"/>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52,668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20,044</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32,624</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(283,213)</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(36,546)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(246,667)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674.9 %</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212,435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(218,388)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0" w:type="dxa"/>
            <w:vAlign w:val="bottom"/>
          </w:tcPr>
          <w:p>
            <w:pPr>
              <w:spacing w:after="0"/>
              <w:rPr>
                <w:sz w:val="1"/>
                <w:szCs w:val="1"/>
                <w:color w:val="auto"/>
              </w:rPr>
            </w:pPr>
          </w:p>
        </w:tc>
      </w:tr>
      <w:tr>
        <w:trPr>
          <w:trHeight w:val="191"/>
        </w:trPr>
        <w:tc>
          <w:tcPr>
            <w:tcW w:w="4960" w:type="dxa"/>
            <w:vAlign w:val="bottom"/>
          </w:tcPr>
          <w:p>
            <w:pPr>
              <w:spacing w:after="0" w:line="191" w:lineRule="exact"/>
              <w:rPr>
                <w:sz w:val="20"/>
                <w:szCs w:val="20"/>
                <w:color w:val="auto"/>
              </w:rPr>
            </w:pPr>
            <w:r>
              <w:rPr>
                <w:rFonts w:ascii="Arial" w:cs="Arial" w:eastAsia="Arial" w:hAnsi="Arial"/>
                <w:sz w:val="17"/>
                <w:szCs w:val="17"/>
                <w:color w:val="auto"/>
              </w:rPr>
              <w:t>Effect of exchange rate changes on cash, cash equivalents and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(434)</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(412)</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(22)</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5.3 %</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decrease in cash, cash equivalents and restricted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(236,932)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195,521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(432,453)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(221.2)%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$52.7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compared to $20.0 million for the same period in 2020, an increase of $32.6 million. The increase in cash provided by operating activities in 2021 was driven primarily by the $22.9 million nonrecurring payment in 2020 for redemption of converted stock appreciation rights (“SARs”) in connection with the Offering, combined with a net increase in changes in operating assets and liabilities of $12.9 million period over period.</w:t>
      </w:r>
    </w:p>
    <w:p>
      <w:pPr>
        <w:spacing w:after="0" w:line="181" w:lineRule="exact"/>
        <w:rPr>
          <w:sz w:val="20"/>
          <w:szCs w:val="20"/>
          <w:color w:val="auto"/>
        </w:rPr>
      </w:pPr>
    </w:p>
    <w:p>
      <w:pPr>
        <w:jc w:val="both"/>
        <w:ind w:left="40" w:right="59" w:firstLine="305"/>
        <w:spacing w:after="0" w:line="253"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was $(283.2) million for the nine months ended September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$(36.5) million for the same period in 2020, an increase in use of funds for investing activities of $246.7 million. This increase was primarily due to a net increase in cash paid for acquisitions of $239.1 million period over period. During the nine months ended September 30, 2021, we acquired Taxamo for approximately $187.5 million in net cash, LCR-Dixon for approximately $57.8 million in net cash, and Tellutax, LLC (“Tellutax”) for cash paid of $6.1 million. During the nine months ended September 30, 2020, we acquired a controlling interest in Systax Sistemas Fiscais LTDA (“Systax”) for approximately $12.3 million in cash. For additional information on acquisitions, see Note 3, “Business Combinations” to our condensed consolidated financial statements.</w:t>
      </w:r>
    </w:p>
    <w:p>
      <w:pPr>
        <w:spacing w:after="0" w:line="181" w:lineRule="exact"/>
        <w:rPr>
          <w:sz w:val="20"/>
          <w:szCs w:val="20"/>
          <w:color w:val="auto"/>
        </w:rPr>
      </w:pPr>
    </w:p>
    <w:p>
      <w:pPr>
        <w:jc w:val="both"/>
        <w:ind w:left="40" w:right="59" w:firstLine="305"/>
        <w:spacing w:after="0" w:line="290"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was $(6.0) million for the nine months ended September 30,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net cash provided by financing activities of $212.4 million for the same period in 2020, a decrease in cash provided by financing activities of $218.4 million. Net cash used in financing activities of $(6.0) million for the nine months ended September 30, 2021 was primarily driven by a decrease of $12.7 million in payments for taxes in connection with the exercise of stock options whereby the award holders returned shares to us to satisfy their tax obligations and payments for acquisition purchase commitment liabilities of $10.8 million, partially offset by an increase in customer funds obligations of $18.7 million due primarily to timing differences between receipt of funds from customers and taxing jurisdiction withdrawls of these funds. The net cash provided by financing activities for the nine months ended September 30, 2020 of $212.4 million was primarily driven by the $423.0 million in proceeds received from the Offering, offset by the payoff of the $175.0 million term loan.</w:t>
      </w:r>
    </w:p>
    <w:p>
      <w:pPr>
        <w:spacing w:after="0" w:line="157"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b w:val="1"/>
          <w:bCs w:val="1"/>
          <w:i w:val="1"/>
          <w:iCs w:val="1"/>
          <w:color w:val="auto"/>
        </w:rPr>
        <w:t>Debt</w:t>
      </w:r>
      <w:r>
        <w:rPr>
          <w:rFonts w:ascii="Arial" w:cs="Arial" w:eastAsia="Arial" w:hAnsi="Arial"/>
          <w:sz w:val="17"/>
          <w:szCs w:val="17"/>
          <w:color w:val="auto"/>
        </w:rPr>
        <w:t>. As of September 30, 2021, we had a $100 million line of credit with no outstanding borrowings. Interest on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borrowings accrue at a base rate plus an applicable margin (3.25% as of September 30, 2021) or the London Interbank Offered Rate (“LIBOR”) plus an applicable margin (2.00% as of September 30, 2021). We have no outstanding bank debt at September 30, 2021.</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Funds Held for Customers and Customer Funds Obligations</w:t>
      </w:r>
    </w:p>
    <w:p>
      <w:pPr>
        <w:spacing w:after="0" w:line="215"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6" w:name="page57"/>
    <w:bookmarkEnd w:id="5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Off-Balance Sheet Arrangements</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Other than the redemption of our outstanding debt through use of a portion of the Offering proceeds, there have been no material updates or changes to our contractual obligations and commitments compared to contractual obligations and commitments described in our Annual Report on Form 10-K for the year ended December 31,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Key Business Metrics</w:t>
      </w:r>
    </w:p>
    <w:p>
      <w:pPr>
        <w:spacing w:after="0" w:line="21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We regularly review the metrics identified below to evaluate growth trends, measure our performance, formulate financial projections and make strategic decisions.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Annual Recurring Revenue (“ARR”) and Average Annual Revenue Per Customer (“AARPC”).</w:t>
      </w:r>
    </w:p>
    <w:p>
      <w:pPr>
        <w:spacing w:after="0" w:line="211" w:lineRule="exact"/>
        <w:rPr>
          <w:sz w:val="20"/>
          <w:szCs w:val="20"/>
          <w:color w:val="auto"/>
        </w:rPr>
      </w:pPr>
    </w:p>
    <w:p>
      <w:pPr>
        <w:jc w:val="both"/>
        <w:ind w:left="40" w:right="59" w:firstLine="305"/>
        <w:spacing w:after="0" w:line="271" w:lineRule="auto"/>
        <w:rPr>
          <w:sz w:val="20"/>
          <w:szCs w:val="20"/>
          <w:color w:val="auto"/>
        </w:rPr>
      </w:pPr>
      <w:r>
        <w:rPr>
          <w:rFonts w:ascii="Arial" w:cs="Arial" w:eastAsia="Arial" w:hAnsi="Arial"/>
          <w:sz w:val="16"/>
          <w:szCs w:val="16"/>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72"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We also calculate AARPC, which is determined by dividing ARR by the number of software subscription customers as of the end of the respective period.</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vMerge w:val="restart"/>
          </w:tcPr>
          <w:p>
            <w:pPr>
              <w:jc w:val="right"/>
              <w:ind w:right="135"/>
              <w:spacing w:after="0"/>
              <w:rPr>
                <w:sz w:val="20"/>
                <w:szCs w:val="20"/>
                <w:color w:val="auto"/>
              </w:rPr>
            </w:pPr>
            <w:r>
              <w:rPr>
                <w:rFonts w:ascii="Arial" w:cs="Arial" w:eastAsia="Arial" w:hAnsi="Arial"/>
                <w:sz w:val="14"/>
                <w:szCs w:val="14"/>
                <w:b w:val="1"/>
                <w:bCs w:val="1"/>
                <w:color w:val="auto"/>
                <w:w w:val="90"/>
              </w:rPr>
              <w:t>Period-over-Period Change</w:t>
            </w:r>
          </w:p>
        </w:tc>
        <w:tc>
          <w:tcPr>
            <w:tcW w:w="0" w:type="dxa"/>
            <w:vAlign w:val="bottom"/>
          </w:tcPr>
          <w:p>
            <w:pPr>
              <w:spacing w:after="0"/>
              <w:rPr>
                <w:sz w:val="1"/>
                <w:szCs w:val="1"/>
                <w:color w:val="auto"/>
              </w:rPr>
            </w:pPr>
          </w:p>
        </w:tc>
      </w:tr>
      <w:tr>
        <w:trPr>
          <w:trHeight w:val="132"/>
        </w:trPr>
        <w:tc>
          <w:tcPr>
            <w:tcW w:w="3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ind w:right="107"/>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4"/>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Annual Recurring Revenue</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$ 352.9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$ 306.5</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46.4</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ARR increased by $46.4 million or 15.1% at September 30, 2021, as compared to September 30, 2020. The increase included $1.9 million related to the LCR-Dixon acquisition during the three months ended September 30, 2021. The increase was primarily driven by $19.6 million of growth in revenues from existing customers through their expanded use of our solutions as well as price increases, and $26.8 million of on-premise and cloud-based subscriptions of our tax solutions to new customers. Of the $26.8 million from new customers, $6.0 million was related to 2021 acquisitions.</w:t>
      </w:r>
    </w:p>
    <w:p>
      <w:pPr>
        <w:spacing w:after="0" w:line="166"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The number of customers and AARPC increased to 4,258 customers and approximately $82,900, respectively, at September 30, 2021, from 4,040 and approximately $75,900, respectively, at September 30, 2020. The increase in customers included 72 net new customers due to the LCR-Dixon acquisition. The increase in customers and AARPC was due to expansion of usage by existing customers, adding new customers through organic growth, and acquisitions.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Net Revenue Retention Rate.</w:t>
      </w:r>
    </w:p>
    <w:p>
      <w:pPr>
        <w:spacing w:after="0" w:line="211" w:lineRule="exact"/>
        <w:rPr>
          <w:sz w:val="20"/>
          <w:szCs w:val="20"/>
          <w:color w:val="auto"/>
        </w:rPr>
      </w:pPr>
    </w:p>
    <w:p>
      <w:pPr>
        <w:jc w:val="both"/>
        <w:ind w:left="40" w:right="59" w:firstLine="305"/>
        <w:spacing w:after="0" w:line="305" w:lineRule="auto"/>
        <w:rPr>
          <w:sz w:val="20"/>
          <w:szCs w:val="20"/>
          <w:color w:val="auto"/>
        </w:rPr>
      </w:pPr>
      <w:r>
        <w:rPr>
          <w:rFonts w:ascii="Arial" w:cs="Arial" w:eastAsia="Arial" w:hAnsi="Arial"/>
          <w:sz w:val="16"/>
          <w:szCs w:val="16"/>
          <w:color w:val="auto"/>
        </w:rPr>
        <w:t>We believe that our Net Revenue Retention Rate (“NRR”) provides insight into our ability to retain and grow revenue from our customers, as well as their potential long-term value to us. We also believe it demonstrates to investors our ability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bookmarkStart w:id="57" w:name="page58"/>
    <w:bookmarkEnd w:id="5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7"/>
          <w:szCs w:val="17"/>
          <w:color w:val="auto"/>
        </w:rPr>
        <w:t>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 usage, as well as any revenue expansion from migrations, new licenses for additional products or contractual and usage-based price changes.</w:t>
      </w:r>
    </w:p>
    <w:p>
      <w:pPr>
        <w:spacing w:after="0" w:line="186"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0</wp:posOffset>
            </wp:positionV>
            <wp:extent cx="1073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ind w:left="6360"/>
        <w:spacing w:after="0" w:line="225" w:lineRule="auto"/>
        <w:tabs>
          <w:tab w:leader="none" w:pos="7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1"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5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76"/>
        </w:trPr>
        <w:tc>
          <w:tcPr>
            <w:tcW w:w="52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Revenue Retention Rate</w:t>
            </w: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106 %</w:t>
            </w:r>
          </w:p>
        </w:tc>
        <w:tc>
          <w:tcPr>
            <w:tcW w:w="9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108 %</w:t>
            </w:r>
          </w:p>
        </w:tc>
      </w:tr>
    </w:tbl>
    <w:p>
      <w:pPr>
        <w:spacing w:after="0" w:line="191"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The 200 basis point decline in NRR to 106% at September 30, 2021 from 108% for the same period in 2020 was primarily attributable to a reduction in sales growth to existing customers as compared to the prior year related to delays in signing deals due to their focus shifting to working remotely, and economic uncertainty in connection with the impact of the COVID-19 pandemic on their businesses.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11" w:lineRule="exact"/>
        <w:rPr>
          <w:sz w:val="20"/>
          <w:szCs w:val="20"/>
          <w:color w:val="auto"/>
        </w:rPr>
      </w:pPr>
    </w:p>
    <w:p>
      <w:pPr>
        <w:jc w:val="both"/>
        <w:ind w:left="40" w:right="59" w:firstLine="305"/>
        <w:spacing w:after="0" w:line="289" w:lineRule="auto"/>
        <w:rPr>
          <w:sz w:val="20"/>
          <w:szCs w:val="20"/>
          <w:color w:val="auto"/>
        </w:rPr>
      </w:pPr>
      <w:r>
        <w:rPr>
          <w:rFonts w:ascii="Arial" w:cs="Arial" w:eastAsia="Arial" w:hAnsi="Arial"/>
          <w:sz w:val="15"/>
          <w:szCs w:val="15"/>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income or loss before interest, taxes, depreciation, and amortization, as adjusted to exclude charges for asset impairments, stock-based compensation expense, severance expense and transaction costs. Adjusted EBITDA margin represents Adjusted EBITDA divided by total revenues for the same period. For purposes of comparison, our net loss was $(3.9) million and $(21.0) million for the three months ended September 30, 2021 and 2020, respectively, while our net loss margin was (3.6)% and (22.2)% over the same periods, respectively. Additionally, our net loss was $(0.9) million and $(79.2) million for the nine months ended September 30, 2021 and 2020, respectively, while our net income margin loss was (0.3)% and (28.8)% over the same periods, respectively.</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center"/>
              <w:ind w:right="235"/>
              <w:spacing w:after="0"/>
              <w:rPr>
                <w:sz w:val="20"/>
                <w:szCs w:val="20"/>
                <w:color w:val="auto"/>
              </w:rPr>
            </w:pPr>
            <w:r>
              <w:rPr>
                <w:rFonts w:ascii="Arial" w:cs="Arial" w:eastAsia="Arial" w:hAnsi="Arial"/>
                <w:sz w:val="14"/>
                <w:szCs w:val="14"/>
                <w:b w:val="1"/>
                <w:bCs w:val="1"/>
                <w:color w:val="auto"/>
                <w:w w:val="85"/>
              </w:rPr>
              <w:t>Three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35"/>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0"/>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1820" w:type="dxa"/>
            <w:vAlign w:val="bottom"/>
            <w:gridSpan w:val="6"/>
          </w:tcPr>
          <w:p>
            <w:pPr>
              <w:jc w:val="center"/>
              <w:ind w:right="235"/>
              <w:spacing w:after="0"/>
              <w:rPr>
                <w:sz w:val="20"/>
                <w:szCs w:val="20"/>
                <w:color w:val="auto"/>
              </w:rPr>
            </w:pPr>
            <w:r>
              <w:rPr>
                <w:rFonts w:ascii="Arial" w:cs="Arial" w:eastAsia="Arial" w:hAnsi="Arial"/>
                <w:sz w:val="14"/>
                <w:szCs w:val="14"/>
                <w:b w:val="1"/>
                <w:bCs w:val="1"/>
                <w:color w:val="auto"/>
                <w:w w:val="84"/>
              </w:rPr>
              <w:t>September 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6"/>
          </w:tcPr>
          <w:p>
            <w:pPr>
              <w:jc w:val="center"/>
              <w:ind w:right="235"/>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32"/>
        </w:trPr>
        <w:tc>
          <w:tcPr>
            <w:tcW w:w="4880" w:type="dxa"/>
            <w:vAlign w:val="bottom"/>
            <w:tcBorders>
              <w:bottom w:val="single" w:sz="8" w:color="CCEEFF"/>
            </w:tcBorders>
            <w:vMerge w:val="continue"/>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95"/>
              <w:spacing w:after="0"/>
              <w:rPr>
                <w:sz w:val="20"/>
                <w:szCs w:val="20"/>
                <w:color w:val="auto"/>
              </w:rPr>
            </w:pPr>
            <w:r>
              <w:rPr>
                <w:rFonts w:ascii="Arial" w:cs="Arial" w:eastAsia="Arial" w:hAnsi="Arial"/>
                <w:sz w:val="17"/>
                <w:szCs w:val="17"/>
                <w:color w:val="auto"/>
              </w:rPr>
              <w:t>(3,948)</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4"/>
              </w:rPr>
              <w:t>(21,028)</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95"/>
              <w:spacing w:after="0"/>
              <w:rPr>
                <w:sz w:val="20"/>
                <w:szCs w:val="20"/>
                <w:color w:val="auto"/>
              </w:rPr>
            </w:pPr>
            <w:r>
              <w:rPr>
                <w:rFonts w:ascii="Arial" w:cs="Arial" w:eastAsia="Arial" w:hAnsi="Arial"/>
                <w:sz w:val="17"/>
                <w:szCs w:val="17"/>
                <w:color w:val="auto"/>
              </w:rPr>
              <w:t>(852)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(79,167)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7"/>
                <w:szCs w:val="17"/>
                <w:color w:val="auto"/>
              </w:rPr>
              <w:t>Income tax benefit</w:t>
            </w:r>
          </w:p>
        </w:tc>
        <w:tc>
          <w:tcPr>
            <w:tcW w:w="140" w:type="dxa"/>
            <w:vAlign w:val="bottom"/>
          </w:tcPr>
          <w:p>
            <w:pPr>
              <w:spacing w:after="0"/>
              <w:rPr>
                <w:sz w:val="17"/>
                <w:szCs w:val="17"/>
                <w:color w:val="auto"/>
              </w:rPr>
            </w:pPr>
          </w:p>
        </w:tc>
        <w:tc>
          <w:tcPr>
            <w:tcW w:w="820" w:type="dxa"/>
            <w:vAlign w:val="bottom"/>
            <w:gridSpan w:val="2"/>
          </w:tcPr>
          <w:p>
            <w:pPr>
              <w:jc w:val="right"/>
              <w:ind w:right="95"/>
              <w:spacing w:after="0"/>
              <w:rPr>
                <w:sz w:val="20"/>
                <w:szCs w:val="20"/>
                <w:color w:val="auto"/>
              </w:rPr>
            </w:pPr>
            <w:r>
              <w:rPr>
                <w:rFonts w:ascii="Arial" w:cs="Arial" w:eastAsia="Arial" w:hAnsi="Arial"/>
                <w:sz w:val="17"/>
                <w:szCs w:val="17"/>
                <w:color w:val="auto"/>
              </w:rPr>
              <w:t>(187)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(30,773)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95"/>
              <w:spacing w:after="0"/>
              <w:rPr>
                <w:sz w:val="20"/>
                <w:szCs w:val="20"/>
                <w:color w:val="auto"/>
              </w:rPr>
            </w:pPr>
            <w:r>
              <w:rPr>
                <w:rFonts w:ascii="Arial" w:cs="Arial" w:eastAsia="Arial" w:hAnsi="Arial"/>
                <w:sz w:val="17"/>
                <w:szCs w:val="17"/>
                <w:color w:val="auto"/>
              </w:rPr>
              <w:t>(2,747)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(31,508)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 property and equipment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line="191" w:lineRule="exact"/>
              <w:rPr>
                <w:sz w:val="20"/>
                <w:szCs w:val="20"/>
                <w:color w:val="auto"/>
              </w:rPr>
            </w:pPr>
            <w:r>
              <w:rPr>
                <w:rFonts w:ascii="Arial" w:cs="Arial" w:eastAsia="Arial" w:hAnsi="Arial"/>
                <w:sz w:val="17"/>
                <w:szCs w:val="17"/>
                <w:color w:val="auto"/>
                <w:w w:val="96"/>
              </w:rPr>
              <w:t>Depreciation and amortization of capitalized software and acquired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7"/>
                <w:szCs w:val="17"/>
                <w:color w:val="auto"/>
              </w:rPr>
              <w:t>intangible assets - cost of subscription revenues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10,749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5,307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22,571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15,349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9"/>
              </w:rPr>
              <w:t>Amortization of acquired intangible assets - selling and marketing</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7,422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64,294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20,250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140,890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Severance expense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7"/>
                <w:szCs w:val="17"/>
                <w:color w:val="auto"/>
              </w:rPr>
              <w:t>Transaction costs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4,693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21,355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59,339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Margin: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7"/>
                <w:szCs w:val="17"/>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110,718</w:t>
            </w:r>
          </w:p>
        </w:tc>
        <w:tc>
          <w:tcPr>
            <w:tcW w:w="1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94,605</w:t>
            </w: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313,892</w:t>
            </w:r>
          </w:p>
        </w:tc>
        <w:tc>
          <w:tcPr>
            <w:tcW w:w="1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4"/>
              </w:rPr>
              <w:t>275,121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88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Adjusted EBITDA margin</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19.3</w:t>
            </w:r>
          </w:p>
        </w:tc>
        <w:tc>
          <w:tcPr>
            <w:tcW w:w="180" w:type="dxa"/>
            <w:vAlign w:val="bottom"/>
            <w:tcBorders>
              <w:top w:val="single" w:sz="8" w:color="CCEEFF"/>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7"/>
                <w:szCs w:val="17"/>
                <w:color w:val="auto"/>
                <w:w w:val="7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23.8</w:t>
            </w:r>
          </w:p>
        </w:tc>
        <w:tc>
          <w:tcPr>
            <w:tcW w:w="200" w:type="dxa"/>
            <w:vAlign w:val="bottom"/>
            <w:tcBorders>
              <w:top w:val="single" w:sz="8" w:color="CCEEFF"/>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7"/>
                <w:szCs w:val="17"/>
                <w:color w:val="auto"/>
                <w:w w:val="79"/>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18.7</w:t>
            </w:r>
          </w:p>
        </w:tc>
        <w:tc>
          <w:tcPr>
            <w:tcW w:w="180" w:type="dxa"/>
            <w:vAlign w:val="bottom"/>
            <w:tcBorders>
              <w:top w:val="single" w:sz="8" w:color="CCEEFF"/>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7"/>
                <w:szCs w:val="17"/>
                <w:color w:val="auto"/>
                <w:w w:val="7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21.6</w:t>
            </w:r>
          </w:p>
        </w:tc>
        <w:tc>
          <w:tcPr>
            <w:tcW w:w="200" w:type="dxa"/>
            <w:vAlign w:val="bottom"/>
            <w:tcBorders>
              <w:top w:val="single" w:sz="8" w:color="CCEEFF"/>
              <w:bottom w:val="single" w:sz="8" w:color="CCEEFF"/>
            </w:tcBorders>
            <w:shd w:val="clear" w:color="auto" w:fill="CCEEFF"/>
          </w:tcPr>
          <w:p>
            <w:pPr>
              <w:jc w:val="right"/>
              <w:spacing w:after="0" w:line="181"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The decrease in Adjusted EBITDA for the three months ended September 30, 2021 of $1.2 million over the comparable period in 2020 is primarily driven by an increase in gross profit, partially offset by an increase in operating expenses including additional sales and marketing and research and development investments. Adjusted EBITDA margin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8" w:name="page59"/>
    <w:bookmarkEnd w:id="5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decreased to 19.3% for the three months ended September 30, 2021 compared to 23.8% for the comparable period in 2020 primarily due to increased investments in sales and marketing and research and development activities in 2021.</w:t>
      </w:r>
    </w:p>
    <w:p>
      <w:pPr>
        <w:spacing w:after="0" w:line="165"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The decrease in Adjusted EBITDA for the nine months ended September 30, 2021 of $0.6 million over the comparable period in 2020 is primarily driven by an increase in gross profit, partially offset by an increase in operating expenses including additional sales and marketing and research and development investments. Adjusted EBITDA margin declined to 18.7% for the nine months ended September 30, 2021 compared to 21.6% for the comparable period in 2020 primarily due to increased investments in sales and marketing and research and development activities in 2021.</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Free Cash Flow and Free Cash Flow Margin.</w:t>
      </w:r>
    </w:p>
    <w:p>
      <w:pPr>
        <w:spacing w:after="0" w:line="211" w:lineRule="exact"/>
        <w:rPr>
          <w:sz w:val="20"/>
          <w:szCs w:val="20"/>
          <w:color w:val="auto"/>
        </w:rPr>
      </w:pPr>
    </w:p>
    <w:p>
      <w:pPr>
        <w:jc w:val="both"/>
        <w:ind w:left="40" w:right="59" w:firstLine="305"/>
        <w:spacing w:after="0" w:line="289" w:lineRule="auto"/>
        <w:rPr>
          <w:sz w:val="20"/>
          <w:szCs w:val="20"/>
          <w:color w:val="auto"/>
        </w:rPr>
      </w:pPr>
      <w:r>
        <w:rPr>
          <w:rFonts w:ascii="Arial" w:cs="Arial" w:eastAsia="Arial" w:hAnsi="Arial"/>
          <w:sz w:val="15"/>
          <w:szCs w:val="15"/>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adjusted for the add back of cash used for the converted SARs redeemed in connection with the Offering reflected as a reduction of cash provided by operating activities, less purchases of property and equipment and capitalized software. We define free cash flow margin as free cash flow divided by total revenues for the same period. Our net cash provided in operating activities was $52.7 million and $20.0 million for the nine months ended September 30, 2021 and 2020, respectively, while our operating cash flow margin was 16.8% and 7.3% over the same periods, respectively.</w:t>
      </w:r>
    </w:p>
    <w:p>
      <w:pPr>
        <w:spacing w:after="0" w:line="14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295"/>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960" w:type="dxa"/>
            <w:vAlign w:val="bottom"/>
            <w:gridSpan w:val="5"/>
          </w:tcPr>
          <w:p>
            <w:pPr>
              <w:jc w:val="center"/>
              <w:ind w:right="315"/>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0"/>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center"/>
              <w:ind w:right="335"/>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3"/>
                <w:szCs w:val="13"/>
                <w:color w:val="auto"/>
              </w:rPr>
            </w:pPr>
          </w:p>
        </w:tc>
        <w:tc>
          <w:tcPr>
            <w:tcW w:w="1960" w:type="dxa"/>
            <w:vAlign w:val="bottom"/>
            <w:gridSpan w:val="5"/>
          </w:tcPr>
          <w:p>
            <w:pPr>
              <w:jc w:val="center"/>
              <w:ind w:right="335"/>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32"/>
        </w:trPr>
        <w:tc>
          <w:tcPr>
            <w:tcW w:w="2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0"/>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0"/>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Free Cash Flow:</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00" w:type="dxa"/>
            <w:vAlign w:val="bottom"/>
          </w:tcPr>
          <w:p>
            <w:pPr>
              <w:spacing w:after="0" w:line="191" w:lineRule="exact"/>
              <w:rPr>
                <w:sz w:val="20"/>
                <w:szCs w:val="20"/>
                <w:color w:val="auto"/>
              </w:rPr>
            </w:pPr>
            <w:r>
              <w:rPr>
                <w:rFonts w:ascii="Arial" w:cs="Arial" w:eastAsia="Arial" w:hAnsi="Arial"/>
                <w:sz w:val="17"/>
                <w:szCs w:val="17"/>
                <w:color w:val="auto"/>
                <w:w w:val="94"/>
              </w:rPr>
              <w:t>Net cash provided by (used in) operating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7"/>
                <w:szCs w:val="17"/>
                <w:color w:val="auto"/>
              </w:rPr>
              <w:t>activities</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26,203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52,668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20,044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additions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(4,417)</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(23,899)</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Capitalized software additions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(1,982)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(9,246)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Redemption of Converted SARs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22,889</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gridSpan w:val="2"/>
          </w:tcPr>
          <w:p>
            <w:pPr>
              <w:spacing w:after="0"/>
              <w:rPr>
                <w:sz w:val="20"/>
                <w:szCs w:val="20"/>
                <w:color w:val="auto"/>
              </w:rPr>
            </w:pPr>
            <w:r>
              <w:rPr>
                <w:rFonts w:ascii="Arial" w:cs="Arial" w:eastAsia="Arial" w:hAnsi="Arial"/>
                <w:sz w:val="17"/>
                <w:szCs w:val="17"/>
                <w:color w:val="auto"/>
              </w:rPr>
              <w:t>Free cash flow</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15,415</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15,778</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20,867</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18,705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7"/>
                <w:szCs w:val="17"/>
                <w:b w:val="1"/>
                <w:bCs w:val="1"/>
                <w:color w:val="auto"/>
              </w:rPr>
              <w:t>Free Cash Flow Margin: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110,718</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94,605</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313,892</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275,121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7"/>
                <w:szCs w:val="17"/>
                <w:color w:val="auto"/>
              </w:rPr>
              <w:t>Free cash flow margin</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13.9</w:t>
            </w:r>
          </w:p>
        </w:tc>
        <w:tc>
          <w:tcPr>
            <w:tcW w:w="240" w:type="dxa"/>
            <w:vAlign w:val="bottom"/>
          </w:tcPr>
          <w:p>
            <w:pPr>
              <w:jc w:val="center"/>
              <w:ind w:right="15"/>
              <w:spacing w:after="0" w:line="181" w:lineRule="exact"/>
              <w:rPr>
                <w:sz w:val="20"/>
                <w:szCs w:val="20"/>
                <w:color w:val="auto"/>
              </w:rPr>
            </w:pPr>
            <w:r>
              <w:rPr>
                <w:rFonts w:ascii="Arial" w:cs="Arial" w:eastAsia="Arial" w:hAnsi="Arial"/>
                <w:sz w:val="17"/>
                <w:szCs w:val="17"/>
                <w:color w:val="auto"/>
                <w:w w:val="92"/>
              </w:rPr>
              <w:t>%</w:t>
            </w: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16.7</w:t>
            </w:r>
          </w:p>
        </w:tc>
        <w:tc>
          <w:tcPr>
            <w:tcW w:w="240" w:type="dxa"/>
            <w:vAlign w:val="bottom"/>
          </w:tcPr>
          <w:p>
            <w:pPr>
              <w:jc w:val="right"/>
              <w:ind w:right="15"/>
              <w:spacing w:after="0" w:line="181" w:lineRule="exact"/>
              <w:rPr>
                <w:sz w:val="20"/>
                <w:szCs w:val="20"/>
                <w:color w:val="auto"/>
              </w:rPr>
            </w:pPr>
            <w:r>
              <w:rPr>
                <w:rFonts w:ascii="Arial" w:cs="Arial" w:eastAsia="Arial" w:hAnsi="Arial"/>
                <w:sz w:val="17"/>
                <w:szCs w:val="17"/>
                <w:color w:val="auto"/>
                <w:w w:val="79"/>
              </w:rPr>
              <w:t>%</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6.6</w:t>
            </w:r>
          </w:p>
        </w:tc>
        <w:tc>
          <w:tcPr>
            <w:tcW w:w="240" w:type="dxa"/>
            <w:vAlign w:val="bottom"/>
          </w:tcPr>
          <w:p>
            <w:pPr>
              <w:jc w:val="right"/>
              <w:ind w:right="15"/>
              <w:spacing w:after="0" w:line="181" w:lineRule="exact"/>
              <w:rPr>
                <w:sz w:val="20"/>
                <w:szCs w:val="20"/>
                <w:color w:val="auto"/>
              </w:rPr>
            </w:pPr>
            <w:r>
              <w:rPr>
                <w:rFonts w:ascii="Arial" w:cs="Arial" w:eastAsia="Arial" w:hAnsi="Arial"/>
                <w:sz w:val="17"/>
                <w:szCs w:val="17"/>
                <w:color w:val="auto"/>
                <w:w w:val="79"/>
              </w:rPr>
              <w:t>%</w:t>
            </w: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6.8</w:t>
            </w:r>
          </w:p>
        </w:tc>
        <w:tc>
          <w:tcPr>
            <w:tcW w:w="260" w:type="dxa"/>
            <w:vAlign w:val="bottom"/>
          </w:tcPr>
          <w:p>
            <w:pPr>
              <w:jc w:val="right"/>
              <w:ind w:right="35"/>
              <w:spacing w:after="0" w:line="181"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Free cash flow decreased by $0.4 million for the three months ended September 30, 2021 as compared to the same period in 2020. This decrease was primarily driven by a non-recurring $22.9 million payment for redemption of converted SARs in connection with the Offering in Q3 2020, combined with an increase of $4.4 million in investments in property and equipment and capitalized software additions. Free cash flow margin decreased to 13.9% for the three months ended September 30, 2021, compared to 16.7% for the same period in 2020.</w:t>
      </w:r>
    </w:p>
    <w:p>
      <w:pPr>
        <w:spacing w:after="0" w:line="181"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Free cash flow increased by $2.2 million for the nine months ended September 30, 2021 as compared to the same period in 2020. This increase was primarily driven by an increase in net cash provided by operating activities of $32.6 million, partially offset by $22.9 million payment for redemption of converted SARs in connection with the Offering. Free cash flow margin decreased to 6.6% for the nine months ended September 30, 2021, compared to 6.8% for the same period in 2020.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and Reconciliation of Non-GAAP Financial Measures</w:t>
      </w:r>
    </w:p>
    <w:p>
      <w:pPr>
        <w:spacing w:after="0" w:line="215" w:lineRule="exact"/>
        <w:rPr>
          <w:sz w:val="20"/>
          <w:szCs w:val="20"/>
          <w:color w:val="auto"/>
        </w:rPr>
      </w:pPr>
    </w:p>
    <w:p>
      <w:pPr>
        <w:jc w:val="both"/>
        <w:ind w:left="40" w:right="59" w:firstLine="305"/>
        <w:spacing w:after="0" w:line="305" w:lineRule="auto"/>
        <w:rPr>
          <w:sz w:val="20"/>
          <w:szCs w:val="20"/>
          <w:color w:val="auto"/>
        </w:rPr>
      </w:pPr>
      <w:r>
        <w:rPr>
          <w:rFonts w:ascii="Arial" w:cs="Arial" w:eastAsia="Arial" w:hAnsi="Arial"/>
          <w:sz w:val="16"/>
          <w:szCs w:val="16"/>
          <w:color w:val="auto"/>
        </w:rPr>
        <w:t>In addition to our results determined in accordance with GAAP, we have calculated Adjusted EBITDA, Adjusted EBITDA margin, free cash flow, free cash flow margin, non-GAAP cost of revenues, non-GAAP gross profit, non-GAAP</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59" w:name="page60"/>
    <w:bookmarkEnd w:id="5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7"/>
          <w:szCs w:val="17"/>
          <w:color w:val="auto"/>
        </w:rPr>
        <w:t>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79" w:lineRule="exact"/>
        <w:rPr>
          <w:sz w:val="20"/>
          <w:szCs w:val="20"/>
          <w:color w:val="auto"/>
        </w:rPr>
      </w:pPr>
    </w:p>
    <w:p>
      <w:pPr>
        <w:jc w:val="both"/>
        <w:ind w:left="40" w:right="59" w:firstLine="305"/>
        <w:spacing w:after="0" w:line="268" w:lineRule="auto"/>
        <w:rPr>
          <w:sz w:val="20"/>
          <w:szCs w:val="20"/>
          <w:color w:val="auto"/>
        </w:rPr>
      </w:pPr>
      <w:r>
        <w:rPr>
          <w:rFonts w:ascii="Arial" w:cs="Arial" w:eastAsia="Arial" w:hAnsi="Arial"/>
          <w:sz w:val="16"/>
          <w:szCs w:val="16"/>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liquiditiy.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215"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75" w:lineRule="exact"/>
        <w:rPr>
          <w:sz w:val="20"/>
          <w:szCs w:val="20"/>
          <w:color w:val="auto"/>
        </w:rPr>
      </w:pPr>
    </w:p>
    <w:p>
      <w:pPr>
        <w:jc w:val="both"/>
        <w:ind w:left="980" w:right="79" w:hanging="299"/>
        <w:spacing w:after="0" w:line="312" w:lineRule="auto"/>
        <w:tabs>
          <w:tab w:leader="none" w:pos="9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40" w:lineRule="exact"/>
        <w:rPr>
          <w:rFonts w:ascii="Arial" w:cs="Arial" w:eastAsia="Arial" w:hAnsi="Arial"/>
          <w:sz w:val="15"/>
          <w:szCs w:val="15"/>
          <w:color w:val="auto"/>
        </w:rPr>
      </w:pPr>
    </w:p>
    <w:p>
      <w:pPr>
        <w:ind w:left="980" w:right="79" w:hanging="299"/>
        <w:spacing w:after="0" w:line="273"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cost of revenues, services is determined by adding back to GAAP cost of revenues, services, the stock-based compensation expense included in cost of revenues, services for the respective periods.</w:t>
      </w:r>
    </w:p>
    <w:p>
      <w:pPr>
        <w:spacing w:after="0" w:line="165" w:lineRule="exact"/>
        <w:rPr>
          <w:rFonts w:ascii="Arial" w:cs="Arial" w:eastAsia="Arial" w:hAnsi="Arial"/>
          <w:sz w:val="17"/>
          <w:szCs w:val="17"/>
          <w:color w:val="auto"/>
        </w:rPr>
      </w:pPr>
    </w:p>
    <w:p>
      <w:pPr>
        <w:jc w:val="both"/>
        <w:ind w:left="980" w:right="59" w:hanging="299"/>
        <w:spacing w:after="0" w:line="261"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75" w:lineRule="exact"/>
        <w:rPr>
          <w:rFonts w:ascii="Arial" w:cs="Arial" w:eastAsia="Arial" w:hAnsi="Arial"/>
          <w:sz w:val="17"/>
          <w:szCs w:val="17"/>
          <w:color w:val="auto"/>
        </w:rPr>
      </w:pPr>
    </w:p>
    <w:p>
      <w:pPr>
        <w:ind w:left="980" w:right="79" w:hanging="299"/>
        <w:spacing w:after="0" w:line="273"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gross margin is determined by dividing non-GAAP gross profit by total revenues for the respective periods.</w:t>
      </w:r>
    </w:p>
    <w:p>
      <w:pPr>
        <w:spacing w:after="0" w:line="165" w:lineRule="exact"/>
        <w:rPr>
          <w:rFonts w:ascii="Arial" w:cs="Arial" w:eastAsia="Arial" w:hAnsi="Arial"/>
          <w:sz w:val="17"/>
          <w:szCs w:val="17"/>
          <w:color w:val="auto"/>
        </w:rPr>
      </w:pPr>
    </w:p>
    <w:p>
      <w:pPr>
        <w:jc w:val="both"/>
        <w:ind w:left="980" w:right="59" w:hanging="299"/>
        <w:spacing w:after="0" w:line="261"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75" w:lineRule="exact"/>
        <w:rPr>
          <w:rFonts w:ascii="Arial" w:cs="Arial" w:eastAsia="Arial" w:hAnsi="Arial"/>
          <w:sz w:val="17"/>
          <w:szCs w:val="17"/>
          <w:color w:val="auto"/>
        </w:rPr>
      </w:pPr>
    </w:p>
    <w:p>
      <w:pPr>
        <w:jc w:val="both"/>
        <w:ind w:left="980" w:right="59" w:hanging="299"/>
        <w:spacing w:after="0" w:line="261"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75" w:lineRule="exact"/>
        <w:rPr>
          <w:rFonts w:ascii="Arial" w:cs="Arial" w:eastAsia="Arial" w:hAnsi="Arial"/>
          <w:sz w:val="17"/>
          <w:szCs w:val="17"/>
          <w:color w:val="auto"/>
        </w:rPr>
      </w:pPr>
    </w:p>
    <w:p>
      <w:pPr>
        <w:jc w:val="both"/>
        <w:ind w:left="980" w:right="59" w:hanging="299"/>
        <w:spacing w:after="0" w:line="261"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general and administrative expense is determined by adding back to GAAP general and administrative expense the stock-based compensation expense and severance expense included in general and administrative expense for the respective periods.</w:t>
      </w:r>
    </w:p>
    <w:p>
      <w:pPr>
        <w:spacing w:after="0" w:line="175" w:lineRule="exact"/>
        <w:rPr>
          <w:rFonts w:ascii="Arial" w:cs="Arial" w:eastAsia="Arial" w:hAnsi="Arial"/>
          <w:sz w:val="17"/>
          <w:szCs w:val="17"/>
          <w:color w:val="auto"/>
        </w:rPr>
      </w:pPr>
    </w:p>
    <w:p>
      <w:pPr>
        <w:ind w:left="980" w:right="79" w:hanging="299"/>
        <w:spacing w:after="0" w:line="273"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operating income is determined by adding back to GAAP income or loss from operations the stock-based compensation expense, depreciation and amortization of capitalized software and acquired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0" w:name="page61"/>
    <w:bookmarkEnd w:id="6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980" w:right="59"/>
        <w:spacing w:after="0" w:line="261" w:lineRule="auto"/>
        <w:rPr>
          <w:sz w:val="20"/>
          <w:szCs w:val="20"/>
          <w:color w:val="auto"/>
        </w:rPr>
      </w:pPr>
      <w:r>
        <w:rPr>
          <w:rFonts w:ascii="Arial" w:cs="Arial" w:eastAsia="Arial" w:hAnsi="Arial"/>
          <w:sz w:val="17"/>
          <w:szCs w:val="17"/>
          <w:color w:val="auto"/>
        </w:rPr>
        <w:t>intangible assets – cost of subscription revenues, amortization of acquired intangible assets – selling and marketing expense, severance expense and transaction costs included in GAAP income or loss from operations for the respective periods.</w:t>
      </w:r>
    </w:p>
    <w:p>
      <w:pPr>
        <w:spacing w:after="0" w:line="175" w:lineRule="exact"/>
        <w:rPr>
          <w:sz w:val="20"/>
          <w:szCs w:val="20"/>
          <w:color w:val="auto"/>
        </w:rPr>
      </w:pPr>
    </w:p>
    <w:p>
      <w:pPr>
        <w:jc w:val="both"/>
        <w:ind w:left="980" w:right="79" w:hanging="299"/>
        <w:spacing w:after="0" w:line="271"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Non-GAAP net income is determined by adding back to GAAP net income or loss the income tax benefit or expense, stock-based compensation expense, depreciation and amortization of capitalized software and acquired intangible assets – cost of subscription revenues, amortization of acquired intangible assets – selling and marketing expense, severance expense and transaction costs included in GAAP net income or loss for the respective periods to determine non-GAAP income or loss before income taxes. Non-GAAP income before income taxes is then adjusted for income taxes calculated using the respective statutory tax rates for applicable jurisdictions, which for purposes of this determination were assumed to be 25.5%.</w:t>
      </w:r>
    </w:p>
    <w:p>
      <w:pPr>
        <w:spacing w:after="0" w:line="172" w:lineRule="exact"/>
        <w:rPr>
          <w:sz w:val="20"/>
          <w:szCs w:val="20"/>
          <w:color w:val="auto"/>
        </w:rPr>
      </w:pPr>
    </w:p>
    <w:p>
      <w:pPr>
        <w:jc w:val="both"/>
        <w:ind w:left="40" w:right="59" w:firstLine="305"/>
        <w:spacing w:after="0" w:line="305"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42"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The following schedules reflect our additional non-GAAP financial measures and reconcile our additional non-GAAP financial measures to the related GAAP financial measures.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0"/>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2"/>
        </w:trPr>
        <w:tc>
          <w:tcPr>
            <w:tcW w:w="4440" w:type="dxa"/>
            <w:vAlign w:val="bottom"/>
            <w:gridSpan w:val="3"/>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0"/>
              <w:spacing w:after="0" w:line="133"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Non-GAAP cost of revenues, software subscriptions</w:t>
            </w: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20,595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17,512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60,060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50,495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Non-GAAP cost of revenues, services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11,178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9,577</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31,855</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28,610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Non-GAAP gross profit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78,945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67,516</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221,977</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196,016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Non-GAAP gross margin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71.3 %</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71.4 %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70.7 %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71.2 %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Non-GAAP research and development expense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10,161</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31,256</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Non-GAAP selling and marketing expense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23,126</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16,474</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65,251</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50,032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6"/>
                <w:szCs w:val="16"/>
                <w:color w:val="auto"/>
              </w:rPr>
              <w:t>Non-GAAP general and administrative expense</w:t>
            </w:r>
            <w:r>
              <w:rPr>
                <w:rFonts w:ascii="Arial" w:cs="Arial" w:eastAsia="Arial" w:hAnsi="Arial"/>
                <w:sz w:val="23"/>
                <w:szCs w:val="23"/>
                <w:color w:val="auto"/>
                <w:vertAlign w:val="superscript"/>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24,944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18,410</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66,545</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Non-GAAP operating income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18,273</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19,796</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49,939</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51,230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6"/>
                <w:szCs w:val="16"/>
                <w:color w:val="auto"/>
              </w:rPr>
              <w:t>Non-GAAP net income</w:t>
            </w:r>
            <w:r>
              <w:rPr>
                <w:rFonts w:ascii="Arial" w:cs="Arial" w:eastAsia="Arial" w:hAnsi="Arial"/>
                <w:sz w:val="23"/>
                <w:szCs w:val="23"/>
                <w:color w:val="auto"/>
                <w:vertAlign w:val="superscript"/>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13,225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13,410</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36,705</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4"/>
          <w:szCs w:val="14"/>
          <w:color w:val="auto"/>
        </w:rPr>
        <w:t>The nine month period ended September 30, 2021 includes $150 of transaction costs previously presented as a component of general and administrative expenses that was reclassified to other operating expense, net, in the condensed consolidated statement of comprehensive loss.</w:t>
      </w:r>
    </w:p>
    <w:p>
      <w:pPr>
        <w:spacing w:after="0" w:line="72"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20"/>
          <w:szCs w:val="20"/>
          <w:color w:val="auto"/>
          <w:vertAlign w:val="superscript"/>
        </w:rPr>
        <w:t>2</w:t>
      </w:r>
      <w:r>
        <w:rPr>
          <w:rFonts w:ascii="Arial" w:cs="Arial" w:eastAsia="Arial" w:hAnsi="Arial"/>
          <w:sz w:val="14"/>
          <w:szCs w:val="14"/>
          <w:color w:val="auto"/>
        </w:rPr>
        <w:t>2020 non-GAAP net income presentation adjusted to conform to 2021 presentation. The presentation was modified in the fourth quarter 2020 to tax effect, at the statutory income tax rate, the related non-GAAP adjustments to GAAP net loss. Thus, the income tax benefit for 2020 was removed and a statutory tax rate applied to non-GAAP income before income taxes after the non-GAAP adjustments. This reduced non-GAAP net income by $8,229 and $16,565 for the three and nine months ended September 30, 2020, respectively.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1" w:name="page62"/>
    <w:bookmarkEnd w:id="6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jc w:val="center"/>
              <w:ind w:right="101"/>
              <w:spacing w:after="0"/>
              <w:rPr>
                <w:sz w:val="20"/>
                <w:szCs w:val="20"/>
                <w:color w:val="auto"/>
              </w:rPr>
            </w:pPr>
            <w:r>
              <w:rPr>
                <w:rFonts w:ascii="Arial" w:cs="Arial" w:eastAsia="Arial" w:hAnsi="Arial"/>
                <w:sz w:val="12"/>
                <w:szCs w:val="12"/>
                <w:b w:val="1"/>
                <w:bCs w:val="1"/>
                <w:color w:val="auto"/>
                <w:w w:val="88"/>
              </w:rPr>
              <w:t>Three months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221"/>
              <w:spacing w:after="0"/>
              <w:rPr>
                <w:sz w:val="20"/>
                <w:szCs w:val="20"/>
                <w:color w:val="auto"/>
              </w:rPr>
            </w:pPr>
            <w:r>
              <w:rPr>
                <w:rFonts w:ascii="Arial" w:cs="Arial" w:eastAsia="Arial" w:hAnsi="Arial"/>
                <w:sz w:val="12"/>
                <w:szCs w:val="12"/>
                <w:b w:val="1"/>
                <w:bCs w:val="1"/>
                <w:color w:val="auto"/>
                <w:w w:val="95"/>
              </w:rPr>
              <w:t>Nine months ended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(Dollars in thousands)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center"/>
              <w:ind w:right="81"/>
              <w:spacing w:after="0"/>
              <w:rPr>
                <w:sz w:val="20"/>
                <w:szCs w:val="20"/>
                <w:color w:val="auto"/>
              </w:rPr>
            </w:pPr>
            <w:r>
              <w:rPr>
                <w:rFonts w:ascii="Arial" w:cs="Arial" w:eastAsia="Arial" w:hAnsi="Arial"/>
                <w:sz w:val="12"/>
                <w:szCs w:val="12"/>
                <w:b w:val="1"/>
                <w:bCs w:val="1"/>
                <w:color w:val="auto"/>
                <w:w w:val="88"/>
              </w:rPr>
              <w:t>September 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640" w:type="dxa"/>
            <w:vAlign w:val="bottom"/>
            <w:tcBorders>
              <w:bottom w:val="single" w:sz="8" w:color="CCEEFF"/>
            </w:tcBorders>
            <w:gridSpan w:val="2"/>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1"/>
              <w:spacing w:after="0" w:line="120"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61"/>
              <w:spacing w:after="0" w:line="120"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61"/>
              <w:spacing w:after="0" w:line="120"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1"/>
              <w:spacing w:after="0" w:line="120"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64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Non-GAAP Cost of Revenues, Software Subscriptions: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Cost of revenues, software subscriptions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32,000</w:t>
            </w:r>
          </w:p>
        </w:tc>
        <w:tc>
          <w:tcPr>
            <w:tcW w:w="10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29,161</w:t>
            </w:r>
          </w:p>
        </w:tc>
        <w:tc>
          <w:tcPr>
            <w:tcW w:w="12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84,419</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79,846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1"/>
              <w:spacing w:after="0" w:line="127" w:lineRule="exact"/>
              <w:rPr>
                <w:sz w:val="20"/>
                <w:szCs w:val="20"/>
                <w:color w:val="auto"/>
              </w:rPr>
            </w:pPr>
            <w:r>
              <w:rPr>
                <w:rFonts w:ascii="Arial" w:cs="Arial" w:eastAsia="Arial" w:hAnsi="Arial"/>
                <w:sz w:val="12"/>
                <w:szCs w:val="12"/>
                <w:color w:val="auto"/>
              </w:rPr>
              <w:t>(656)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(6,342)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(1,788)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(14,002)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w w:val="91"/>
              </w:rPr>
              <w:t>Depreciation and amortization of capitalized software and acquired intangible assets – cost of subscription revenues</w:t>
            </w:r>
          </w:p>
        </w:tc>
        <w:tc>
          <w:tcPr>
            <w:tcW w:w="140" w:type="dxa"/>
            <w:vAlign w:val="bottom"/>
          </w:tcPr>
          <w:p>
            <w:pPr>
              <w:spacing w:after="0"/>
              <w:rPr>
                <w:sz w:val="11"/>
                <w:szCs w:val="11"/>
                <w:color w:val="auto"/>
              </w:rPr>
            </w:pPr>
          </w:p>
        </w:tc>
        <w:tc>
          <w:tcPr>
            <w:tcW w:w="660" w:type="dxa"/>
            <w:vAlign w:val="bottom"/>
            <w:gridSpan w:val="2"/>
          </w:tcPr>
          <w:p>
            <w:pPr>
              <w:jc w:val="right"/>
              <w:ind w:right="41"/>
              <w:spacing w:after="0" w:line="127" w:lineRule="exact"/>
              <w:rPr>
                <w:sz w:val="20"/>
                <w:szCs w:val="20"/>
                <w:color w:val="auto"/>
              </w:rPr>
            </w:pPr>
            <w:r>
              <w:rPr>
                <w:rFonts w:ascii="Arial" w:cs="Arial" w:eastAsia="Arial" w:hAnsi="Arial"/>
                <w:sz w:val="12"/>
                <w:szCs w:val="12"/>
                <w:color w:val="auto"/>
              </w:rPr>
              <w:t>(10,749)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(5,307)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(22,571)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(15,349)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640" w:type="dxa"/>
            <w:vAlign w:val="bottom"/>
            <w:tcBorders>
              <w:top w:val="single" w:sz="8" w:color="CCEEFF"/>
              <w:bottom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Non-GAAP cost of revenues, software subscriptions</w:t>
            </w: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20,595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17,512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60,060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50,495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Non-GAAP Cost of Revenues, Services: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Cost of revenues, services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11,938</w:t>
            </w:r>
          </w:p>
        </w:tc>
        <w:tc>
          <w:tcPr>
            <w:tcW w:w="10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18,807</w:t>
            </w:r>
          </w:p>
        </w:tc>
        <w:tc>
          <w:tcPr>
            <w:tcW w:w="12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33,831</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49,329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1"/>
              <w:spacing w:after="0" w:line="127" w:lineRule="exact"/>
              <w:rPr>
                <w:sz w:val="20"/>
                <w:szCs w:val="20"/>
                <w:color w:val="auto"/>
              </w:rPr>
            </w:pPr>
            <w:r>
              <w:rPr>
                <w:rFonts w:ascii="Arial" w:cs="Arial" w:eastAsia="Arial" w:hAnsi="Arial"/>
                <w:sz w:val="12"/>
                <w:szCs w:val="12"/>
                <w:color w:val="auto"/>
              </w:rPr>
              <w:t>(760)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(9,230)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(1,976)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(20,719)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40" w:type="dxa"/>
            <w:vAlign w:val="bottom"/>
            <w:tcBorders>
              <w:bottom w:val="single" w:sz="8" w:color="CCEEFF"/>
            </w:tcBorders>
            <w:gridSpan w:val="2"/>
          </w:tcPr>
          <w:p>
            <w:pPr>
              <w:spacing w:after="0" w:line="120" w:lineRule="exact"/>
              <w:rPr>
                <w:sz w:val="20"/>
                <w:szCs w:val="20"/>
                <w:color w:val="auto"/>
              </w:rPr>
            </w:pPr>
            <w:r>
              <w:rPr>
                <w:rFonts w:ascii="Arial" w:cs="Arial" w:eastAsia="Arial" w:hAnsi="Arial"/>
                <w:sz w:val="12"/>
                <w:szCs w:val="12"/>
                <w:color w:val="auto"/>
              </w:rPr>
              <w:t>Non-GAAP cost of revenues, services</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11,178</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9,577</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31,855</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28,610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20" w:type="dxa"/>
            <w:vAlign w:val="bottom"/>
            <w:shd w:val="clear" w:color="auto" w:fill="CCEEFF"/>
          </w:tcPr>
          <w:p>
            <w:pPr>
              <w:spacing w:after="0"/>
              <w:rPr>
                <w:sz w:val="9"/>
                <w:szCs w:val="9"/>
                <w:color w:val="auto"/>
              </w:rPr>
            </w:pPr>
          </w:p>
        </w:tc>
        <w:tc>
          <w:tcPr>
            <w:tcW w:w="3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Non-GAAP Gross Profit:</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Gross profit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66,780</w:t>
            </w: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46,637</w:t>
            </w:r>
          </w:p>
        </w:tc>
        <w:tc>
          <w:tcPr>
            <w:tcW w:w="1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195,642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145,946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1,416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15,572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3,764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34,721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w w:val="91"/>
              </w:rPr>
              <w:t>Depreciation and amortization of capitalized software and acquired intangible assets - cost of subscription revenues</w:t>
            </w: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10,749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5,307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22,571</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15,349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40" w:type="dxa"/>
            <w:vAlign w:val="bottom"/>
            <w:tcBorders>
              <w:bottom w:val="single" w:sz="8" w:color="CCEEFF"/>
            </w:tcBorders>
            <w:gridSpan w:val="2"/>
          </w:tcPr>
          <w:p>
            <w:pPr>
              <w:spacing w:after="0" w:line="120" w:lineRule="exact"/>
              <w:rPr>
                <w:sz w:val="20"/>
                <w:szCs w:val="20"/>
                <w:color w:val="auto"/>
              </w:rPr>
            </w:pPr>
            <w:r>
              <w:rPr>
                <w:rFonts w:ascii="Arial" w:cs="Arial" w:eastAsia="Arial" w:hAnsi="Arial"/>
                <w:sz w:val="12"/>
                <w:szCs w:val="12"/>
                <w:color w:val="auto"/>
              </w:rPr>
              <w:t>Non-GAAP gross profit</w:t>
            </w: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78,945</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67,516</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221,977</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196,016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20" w:type="dxa"/>
            <w:vAlign w:val="bottom"/>
            <w:shd w:val="clear" w:color="auto" w:fill="CCEEFF"/>
          </w:tcPr>
          <w:p>
            <w:pPr>
              <w:spacing w:after="0"/>
              <w:rPr>
                <w:sz w:val="9"/>
                <w:szCs w:val="9"/>
                <w:color w:val="auto"/>
              </w:rPr>
            </w:pPr>
          </w:p>
        </w:tc>
        <w:tc>
          <w:tcPr>
            <w:tcW w:w="3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tcBorders>
              <w:bottom w:val="single" w:sz="8" w:color="CCEEFF"/>
            </w:tcBorders>
            <w:gridSpan w:val="2"/>
          </w:tcPr>
          <w:p>
            <w:pPr>
              <w:spacing w:after="0" w:line="127" w:lineRule="exact"/>
              <w:rPr>
                <w:sz w:val="20"/>
                <w:szCs w:val="20"/>
                <w:color w:val="auto"/>
              </w:rPr>
            </w:pPr>
            <w:r>
              <w:rPr>
                <w:rFonts w:ascii="Arial" w:cs="Arial" w:eastAsia="Arial" w:hAnsi="Arial"/>
                <w:sz w:val="12"/>
                <w:szCs w:val="12"/>
                <w:b w:val="1"/>
                <w:bCs w:val="1"/>
                <w:color w:val="auto"/>
              </w:rPr>
              <w:t>Non-GAAP Gross Margin:</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640" w:type="dxa"/>
            <w:vAlign w:val="bottom"/>
            <w:tcBorders>
              <w:bottom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Total revenues</w:t>
            </w: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110,718</w:t>
            </w: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94,605</w:t>
            </w: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313,892</w:t>
            </w: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275,121</w:t>
            </w: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2"/>
                <w:szCs w:val="12"/>
                <w:color w:val="auto"/>
              </w:rPr>
              <w:t>Non-GAAP gross margin</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center"/>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auto"/>
                <w:w w:val="93"/>
              </w:rPr>
              <w: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auto"/>
                <w:w w:val="93"/>
              </w:rPr>
              <w:t>%</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line="20" w:lineRule="exact"/>
              <w:rPr>
                <w:sz w:val="1"/>
                <w:szCs w:val="1"/>
                <w:color w:val="auto"/>
              </w:rPr>
            </w:pPr>
          </w:p>
        </w:tc>
      </w:tr>
      <w:tr>
        <w:trPr>
          <w:trHeight w:val="145"/>
        </w:trPr>
        <w:tc>
          <w:tcPr>
            <w:tcW w:w="5640" w:type="dxa"/>
            <w:vAlign w:val="bottom"/>
            <w:tcBorders>
              <w:bottom w:val="single" w:sz="8" w:color="CCEEFF"/>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2"/>
                <w:szCs w:val="12"/>
                <w:color w:val="auto"/>
              </w:rPr>
              <w:t>71.3</w:t>
            </w:r>
          </w:p>
        </w:tc>
        <w:tc>
          <w:tcPr>
            <w:tcW w:w="1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2"/>
                <w:szCs w:val="12"/>
                <w:color w:val="auto"/>
              </w:rPr>
              <w:t>71.4</w:t>
            </w:r>
          </w:p>
        </w:tc>
        <w:tc>
          <w:tcPr>
            <w:tcW w:w="1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2"/>
                <w:szCs w:val="12"/>
                <w:color w:val="auto"/>
              </w:rPr>
              <w:t>70.7</w:t>
            </w:r>
          </w:p>
        </w:tc>
        <w:tc>
          <w:tcPr>
            <w:tcW w:w="1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2"/>
                <w:szCs w:val="12"/>
                <w:color w:val="auto"/>
              </w:rPr>
              <w:t>71.2</w:t>
            </w:r>
          </w:p>
        </w:tc>
        <w:tc>
          <w:tcPr>
            <w:tcW w:w="1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220" w:type="dxa"/>
            <w:vAlign w:val="bottom"/>
            <w:shd w:val="clear" w:color="auto" w:fill="CCEEFF"/>
          </w:tcPr>
          <w:p>
            <w:pPr>
              <w:spacing w:after="0"/>
              <w:rPr>
                <w:sz w:val="9"/>
                <w:szCs w:val="9"/>
                <w:color w:val="auto"/>
              </w:rPr>
            </w:pPr>
          </w:p>
        </w:tc>
        <w:tc>
          <w:tcPr>
            <w:tcW w:w="3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Non-GAAP Research and Development Expense: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Research and development expense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9,879</w:t>
            </w: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16,501</w:t>
            </w:r>
          </w:p>
        </w:tc>
        <w:tc>
          <w:tcPr>
            <w:tcW w:w="1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33,264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43,197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tcPr>
          <w:p>
            <w:pPr>
              <w:spacing w:after="0"/>
              <w:rPr>
                <w:sz w:val="11"/>
                <w:szCs w:val="11"/>
                <w:color w:val="auto"/>
              </w:rPr>
            </w:pPr>
          </w:p>
        </w:tc>
        <w:tc>
          <w:tcPr>
            <w:tcW w:w="660" w:type="dxa"/>
            <w:vAlign w:val="bottom"/>
            <w:gridSpan w:val="2"/>
          </w:tcPr>
          <w:p>
            <w:pPr>
              <w:jc w:val="right"/>
              <w:ind w:right="41"/>
              <w:spacing w:after="0" w:line="127" w:lineRule="exact"/>
              <w:rPr>
                <w:sz w:val="20"/>
                <w:szCs w:val="20"/>
                <w:color w:val="auto"/>
              </w:rPr>
            </w:pPr>
            <w:r>
              <w:rPr>
                <w:rFonts w:ascii="Arial" w:cs="Arial" w:eastAsia="Arial" w:hAnsi="Arial"/>
                <w:sz w:val="12"/>
                <w:szCs w:val="12"/>
                <w:color w:val="auto"/>
              </w:rPr>
              <w:t>(876)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(6,340)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(2,008)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(14,000)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640" w:type="dxa"/>
            <w:vAlign w:val="bottom"/>
            <w:tcBorders>
              <w:top w:val="single" w:sz="8" w:color="CCEEFF"/>
              <w:bottom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Non-GAAP research and development expense</w:t>
            </w: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9,003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10,161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31,256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29,197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Non-GAAP Selling and Marketing Expense: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Selling and marketing expense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25,658</w:t>
            </w:r>
          </w:p>
        </w:tc>
        <w:tc>
          <w:tcPr>
            <w:tcW w:w="10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29,423</w:t>
            </w:r>
          </w:p>
        </w:tc>
        <w:tc>
          <w:tcPr>
            <w:tcW w:w="12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70,673</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78,300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(2,157)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(12,821)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(4,877)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(28,140)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Amortization of acquired intangible assets – selling and marketing expense</w:t>
            </w:r>
          </w:p>
        </w:tc>
        <w:tc>
          <w:tcPr>
            <w:tcW w:w="140" w:type="dxa"/>
            <w:vAlign w:val="bottom"/>
          </w:tcPr>
          <w:p>
            <w:pPr>
              <w:spacing w:after="0"/>
              <w:rPr>
                <w:sz w:val="11"/>
                <w:szCs w:val="11"/>
                <w:color w:val="auto"/>
              </w:rPr>
            </w:pPr>
          </w:p>
        </w:tc>
        <w:tc>
          <w:tcPr>
            <w:tcW w:w="660" w:type="dxa"/>
            <w:vAlign w:val="bottom"/>
            <w:gridSpan w:val="2"/>
          </w:tcPr>
          <w:p>
            <w:pPr>
              <w:jc w:val="right"/>
              <w:ind w:right="41"/>
              <w:spacing w:after="0" w:line="127" w:lineRule="exact"/>
              <w:rPr>
                <w:sz w:val="20"/>
                <w:szCs w:val="20"/>
                <w:color w:val="auto"/>
              </w:rPr>
            </w:pPr>
            <w:r>
              <w:rPr>
                <w:rFonts w:ascii="Arial" w:cs="Arial" w:eastAsia="Arial" w:hAnsi="Arial"/>
                <w:sz w:val="12"/>
                <w:szCs w:val="12"/>
                <w:color w:val="auto"/>
              </w:rPr>
              <w:t>(375)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(545)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640" w:type="dxa"/>
            <w:vAlign w:val="bottom"/>
            <w:tcBorders>
              <w:top w:val="single" w:sz="8" w:color="CCEEFF"/>
              <w:bottom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Non-GAAP selling and marketing expense</w:t>
            </w: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23,126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16,474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65,251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50,032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0"/>
                <w:szCs w:val="10"/>
                <w:b w:val="1"/>
                <w:bCs w:val="1"/>
                <w:color w:val="auto"/>
              </w:rPr>
              <w:t>Non-GAAP General and Administrative Expense</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General and administrative expense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31,237</w:t>
            </w:r>
          </w:p>
        </w:tc>
        <w:tc>
          <w:tcPr>
            <w:tcW w:w="10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48,043</w:t>
            </w:r>
          </w:p>
        </w:tc>
        <w:tc>
          <w:tcPr>
            <w:tcW w:w="12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80,954</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123,437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(2,973)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(29,561)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(9,601)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(64,029)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tcBorders>
              <w:bottom w:val="single" w:sz="8" w:color="CCEEFF"/>
            </w:tcBorders>
            <w:gridSpan w:val="2"/>
          </w:tcPr>
          <w:p>
            <w:pPr>
              <w:spacing w:after="0" w:line="127" w:lineRule="exact"/>
              <w:rPr>
                <w:sz w:val="20"/>
                <w:szCs w:val="20"/>
                <w:color w:val="auto"/>
              </w:rPr>
            </w:pPr>
            <w:r>
              <w:rPr>
                <w:rFonts w:ascii="Arial" w:cs="Arial" w:eastAsia="Arial" w:hAnsi="Arial"/>
                <w:sz w:val="12"/>
                <w:szCs w:val="12"/>
                <w:color w:val="auto"/>
              </w:rPr>
              <w:t>Severance expense</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(3,320)</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(72)</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(4,808)</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(2,114)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640" w:type="dxa"/>
            <w:vAlign w:val="bottom"/>
            <w:tcBorders>
              <w:bottom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Non-GAAP general and administrative expense</w:t>
            </w: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24,944</w:t>
            </w: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18,410</w:t>
            </w: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66,545</w:t>
            </w:r>
          </w:p>
        </w:tc>
        <w:tc>
          <w:tcPr>
            <w:tcW w:w="120" w:type="dxa"/>
            <w:vAlign w:val="bottom"/>
            <w:tcBorders>
              <w:bottom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1</w:t>
            </w: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57,294</w:t>
            </w: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Non-GAAP Operating Income: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Loss from operations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(3,614)</w:t>
            </w:r>
          </w:p>
        </w:tc>
        <w:tc>
          <w:tcPr>
            <w:tcW w:w="10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(50,005)</w:t>
            </w:r>
          </w:p>
        </w:tc>
        <w:tc>
          <w:tcPr>
            <w:tcW w:w="120" w:type="dxa"/>
            <w:vAlign w:val="bottom"/>
          </w:tcPr>
          <w:p>
            <w:pPr>
              <w:spacing w:after="0"/>
              <w:rPr>
                <w:sz w:val="11"/>
                <w:szCs w:val="11"/>
                <w:color w:val="auto"/>
              </w:rPr>
            </w:pPr>
          </w:p>
        </w:tc>
        <w:tc>
          <w:tcPr>
            <w:tcW w:w="160" w:type="dxa"/>
            <w:vAlign w:val="bottom"/>
            <w:gridSpan w:val="2"/>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(2,928)</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(107,251)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7,422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64,294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20,250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140,890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w w:val="91"/>
              </w:rPr>
              <w:t>Depreciation and amortization of capitalized software and acquired intangible assets - cost of subscription revenues</w:t>
            </w: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10,749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5,307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22,571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15,349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Amortization of acquired intangible assets – selling and marketing expense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375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128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545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128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Severance expense</w:t>
            </w: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3,320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72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4,808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2,114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Transaction costs</w:t>
            </w: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4,693</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40" w:type="dxa"/>
            <w:vAlign w:val="bottom"/>
            <w:tcBorders>
              <w:bottom w:val="single" w:sz="8" w:color="CCEEFF"/>
            </w:tcBorders>
            <w:gridSpan w:val="2"/>
          </w:tcPr>
          <w:p>
            <w:pPr>
              <w:spacing w:after="0" w:line="120" w:lineRule="exact"/>
              <w:rPr>
                <w:sz w:val="20"/>
                <w:szCs w:val="20"/>
                <w:color w:val="auto"/>
              </w:rPr>
            </w:pPr>
            <w:r>
              <w:rPr>
                <w:rFonts w:ascii="Arial" w:cs="Arial" w:eastAsia="Arial" w:hAnsi="Arial"/>
                <w:sz w:val="12"/>
                <w:szCs w:val="12"/>
                <w:color w:val="auto"/>
              </w:rPr>
              <w:t>Non-GAAP operating income</w:t>
            </w: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18,273</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19,796</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49,939</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51,230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20" w:type="dxa"/>
            <w:vAlign w:val="bottom"/>
            <w:shd w:val="clear" w:color="auto" w:fill="CCEEFF"/>
          </w:tcPr>
          <w:p>
            <w:pPr>
              <w:spacing w:after="0"/>
              <w:rPr>
                <w:sz w:val="9"/>
                <w:szCs w:val="9"/>
                <w:color w:val="auto"/>
              </w:rPr>
            </w:pPr>
          </w:p>
        </w:tc>
        <w:tc>
          <w:tcPr>
            <w:tcW w:w="3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Non-GAAP Net Income: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Net loss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(3,948)</w:t>
            </w: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(21,028)</w:t>
            </w:r>
          </w:p>
        </w:tc>
        <w:tc>
          <w:tcPr>
            <w:tcW w:w="1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33"/>
              <w:spacing w:after="0" w:line="127"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(852)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(79,167)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Income tax benefit</w:t>
            </w:r>
          </w:p>
        </w:tc>
        <w:tc>
          <w:tcPr>
            <w:tcW w:w="140" w:type="dxa"/>
            <w:vAlign w:val="bottom"/>
          </w:tcPr>
          <w:p>
            <w:pPr>
              <w:spacing w:after="0"/>
              <w:rPr>
                <w:sz w:val="11"/>
                <w:szCs w:val="11"/>
                <w:color w:val="auto"/>
              </w:rPr>
            </w:pPr>
          </w:p>
        </w:tc>
        <w:tc>
          <w:tcPr>
            <w:tcW w:w="660" w:type="dxa"/>
            <w:vAlign w:val="bottom"/>
            <w:gridSpan w:val="2"/>
          </w:tcPr>
          <w:p>
            <w:pPr>
              <w:jc w:val="right"/>
              <w:ind w:right="41"/>
              <w:spacing w:after="0" w:line="127" w:lineRule="exact"/>
              <w:rPr>
                <w:sz w:val="20"/>
                <w:szCs w:val="20"/>
                <w:color w:val="auto"/>
              </w:rPr>
            </w:pPr>
            <w:r>
              <w:rPr>
                <w:rFonts w:ascii="Arial" w:cs="Arial" w:eastAsia="Arial" w:hAnsi="Arial"/>
                <w:sz w:val="12"/>
                <w:szCs w:val="12"/>
                <w:color w:val="auto"/>
              </w:rPr>
              <w:t>(187)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8"/>
              <w:spacing w:after="0" w:line="127" w:lineRule="exact"/>
              <w:rPr>
                <w:sz w:val="20"/>
                <w:szCs w:val="20"/>
                <w:color w:val="auto"/>
              </w:rPr>
            </w:pPr>
            <w:r>
              <w:rPr>
                <w:rFonts w:ascii="Arial" w:cs="Arial" w:eastAsia="Arial" w:hAnsi="Arial"/>
                <w:sz w:val="10"/>
                <w:szCs w:val="10"/>
                <w:color w:val="auto"/>
              </w:rPr>
              <w:t>(30,773)</w:t>
            </w:r>
            <w:r>
              <w:rPr>
                <w:rFonts w:ascii="Arial" w:cs="Arial" w:eastAsia="Arial" w:hAnsi="Arial"/>
                <w:sz w:val="14"/>
                <w:szCs w:val="14"/>
                <w:color w:val="auto"/>
                <w:vertAlign w:val="superscript"/>
              </w:rPr>
              <w:t>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(2,747)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8"/>
              <w:spacing w:after="0" w:line="127" w:lineRule="exact"/>
              <w:rPr>
                <w:sz w:val="20"/>
                <w:szCs w:val="20"/>
                <w:color w:val="auto"/>
              </w:rPr>
            </w:pPr>
            <w:r>
              <w:rPr>
                <w:rFonts w:ascii="Arial" w:cs="Arial" w:eastAsia="Arial" w:hAnsi="Arial"/>
                <w:sz w:val="10"/>
                <w:szCs w:val="10"/>
                <w:color w:val="auto"/>
              </w:rPr>
              <w:t>(31,508)</w:t>
            </w:r>
            <w:r>
              <w:rPr>
                <w:rFonts w:ascii="Arial" w:cs="Arial" w:eastAsia="Arial" w:hAnsi="Arial"/>
                <w:sz w:val="14"/>
                <w:szCs w:val="14"/>
                <w:color w:val="auto"/>
                <w:vertAlign w:val="superscript"/>
              </w:rPr>
              <w:t>2</w:t>
            </w: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7,422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64,294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20,250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140,890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w w:val="91"/>
              </w:rPr>
              <w:t>Depreciation and amortization of capitalized software and acquired intangible assets - cost of subscription revenues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10,749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5,307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22,571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15,349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Amortization of acquired intangible assets – selling and marketing expense</w:t>
            </w: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375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545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128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Severance expense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3,320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4,808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2,114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40" w:type="dxa"/>
            <w:vAlign w:val="bottom"/>
            <w:tcBorders>
              <w:bottom w:val="single" w:sz="8" w:color="CCEEFF"/>
            </w:tcBorders>
            <w:gridSpan w:val="2"/>
          </w:tcPr>
          <w:p>
            <w:pPr>
              <w:spacing w:after="0" w:line="127" w:lineRule="exact"/>
              <w:rPr>
                <w:sz w:val="20"/>
                <w:szCs w:val="20"/>
                <w:color w:val="auto"/>
              </w:rPr>
            </w:pPr>
            <w:r>
              <w:rPr>
                <w:rFonts w:ascii="Arial" w:cs="Arial" w:eastAsia="Arial" w:hAnsi="Arial"/>
                <w:sz w:val="12"/>
                <w:szCs w:val="12"/>
                <w:color w:val="auto"/>
              </w:rPr>
              <w:t>Transaction costs</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21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4,693</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64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Non-GAAP income before income taxes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17,752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18,000</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49,268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47,806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640" w:type="dxa"/>
            <w:vAlign w:val="bottom"/>
            <w:gridSpan w:val="2"/>
          </w:tcPr>
          <w:p>
            <w:pPr>
              <w:spacing w:after="0" w:line="127" w:lineRule="exact"/>
              <w:rPr>
                <w:sz w:val="20"/>
                <w:szCs w:val="20"/>
                <w:color w:val="auto"/>
              </w:rPr>
            </w:pPr>
            <w:r>
              <w:rPr>
                <w:rFonts w:ascii="Arial" w:cs="Arial" w:eastAsia="Arial" w:hAnsi="Arial"/>
                <w:sz w:val="12"/>
                <w:szCs w:val="12"/>
                <w:color w:val="auto"/>
              </w:rPr>
              <w:t>Income tax adjustment at statutory rate</w:t>
            </w:r>
          </w:p>
        </w:tc>
        <w:tc>
          <w:tcPr>
            <w:tcW w:w="140" w:type="dxa"/>
            <w:vAlign w:val="bottom"/>
          </w:tcPr>
          <w:p>
            <w:pPr>
              <w:spacing w:after="0"/>
              <w:rPr>
                <w:sz w:val="11"/>
                <w:szCs w:val="11"/>
                <w:color w:val="auto"/>
              </w:rPr>
            </w:pP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(4,527)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8"/>
              <w:spacing w:after="0" w:line="127" w:lineRule="exact"/>
              <w:rPr>
                <w:sz w:val="20"/>
                <w:szCs w:val="20"/>
                <w:color w:val="auto"/>
              </w:rPr>
            </w:pPr>
            <w:r>
              <w:rPr>
                <w:rFonts w:ascii="Arial" w:cs="Arial" w:eastAsia="Arial" w:hAnsi="Arial"/>
                <w:sz w:val="10"/>
                <w:szCs w:val="10"/>
                <w:color w:val="auto"/>
              </w:rPr>
              <w:t>(4,590)</w:t>
            </w:r>
            <w:r>
              <w:rPr>
                <w:rFonts w:ascii="Arial" w:cs="Arial" w:eastAsia="Arial" w:hAnsi="Arial"/>
                <w:sz w:val="14"/>
                <w:szCs w:val="14"/>
                <w:color w:val="auto"/>
                <w:vertAlign w:val="superscript"/>
              </w:rPr>
              <w:t>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(12,563)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8"/>
              <w:spacing w:after="0" w:line="127" w:lineRule="exact"/>
              <w:rPr>
                <w:sz w:val="20"/>
                <w:szCs w:val="20"/>
                <w:color w:val="auto"/>
              </w:rPr>
            </w:pPr>
            <w:r>
              <w:rPr>
                <w:rFonts w:ascii="Arial" w:cs="Arial" w:eastAsia="Arial" w:hAnsi="Arial"/>
                <w:sz w:val="10"/>
                <w:szCs w:val="10"/>
                <w:color w:val="auto"/>
              </w:rPr>
              <w:t>(12,191)</w:t>
            </w:r>
            <w:r>
              <w:rPr>
                <w:rFonts w:ascii="Arial" w:cs="Arial" w:eastAsia="Arial" w:hAnsi="Arial"/>
                <w:sz w:val="14"/>
                <w:szCs w:val="14"/>
                <w:color w:val="auto"/>
                <w:vertAlign w:val="superscript"/>
              </w:rPr>
              <w:t>2</w:t>
            </w:r>
          </w:p>
        </w:tc>
        <w:tc>
          <w:tcPr>
            <w:tcW w:w="0" w:type="dxa"/>
            <w:vAlign w:val="bottom"/>
          </w:tcPr>
          <w:p>
            <w:pPr>
              <w:spacing w:after="0"/>
              <w:rPr>
                <w:sz w:val="1"/>
                <w:szCs w:val="1"/>
                <w:color w:val="auto"/>
              </w:rPr>
            </w:pPr>
          </w:p>
        </w:tc>
      </w:tr>
      <w:tr>
        <w:trPr>
          <w:trHeight w:val="120"/>
        </w:trPr>
        <w:tc>
          <w:tcPr>
            <w:tcW w:w="5640" w:type="dxa"/>
            <w:vAlign w:val="bottom"/>
            <w:tcBorders>
              <w:top w:val="single" w:sz="8" w:color="CCEEFF"/>
              <w:bottom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Non-GAAP net income</w:t>
            </w: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13,225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13,410</w:t>
            </w:r>
          </w:p>
        </w:tc>
        <w:tc>
          <w:tcPr>
            <w:tcW w:w="120" w:type="dxa"/>
            <w:vAlign w:val="bottom"/>
            <w:tcBorders>
              <w:top w:val="single" w:sz="8" w:color="CCEEFF"/>
              <w:bottom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2</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36,705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35,615</w:t>
            </w:r>
          </w:p>
        </w:tc>
        <w:tc>
          <w:tcPr>
            <w:tcW w:w="120" w:type="dxa"/>
            <w:vAlign w:val="bottom"/>
            <w:tcBorders>
              <w:top w:val="single" w:sz="8" w:color="CCEEFF"/>
              <w:bottom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2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40" w:right="59"/>
        <w:spacing w:after="0" w:line="206"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2"/>
          <w:szCs w:val="12"/>
          <w:color w:val="auto"/>
        </w:rPr>
        <w:t>The nine month period ended September 30, 2021 includes $150 of transaction costs previously presented as a component of general and administrative expenses that was reclassified to other operating expense, net, in the condensed consolidated statement of comprehensive loss.</w:t>
      </w:r>
    </w:p>
    <w:p>
      <w:pPr>
        <w:spacing w:after="0" w:line="95" w:lineRule="exact"/>
        <w:rPr>
          <w:sz w:val="20"/>
          <w:szCs w:val="20"/>
          <w:color w:val="auto"/>
        </w:rPr>
      </w:pPr>
    </w:p>
    <w:p>
      <w:pPr>
        <w:jc w:val="both"/>
        <w:ind w:left="40" w:right="59"/>
        <w:spacing w:after="0" w:line="227"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1"/>
          <w:szCs w:val="11"/>
          <w:color w:val="auto"/>
        </w:rPr>
        <w:t>2020 non-GAAP net income presentation adjusted to conform to 2021 presentation. The presentation was modified in the fourth quarter 2020 to tax effect, at the statutory income tax rate, the related non-GAAP adjustments to GAAP net loss. Thus, the income tax benefit for 2020 was removed and a statutory tax rate applied to non-GAAP income before income taxes after the non-GAAP adjustments. This reduced non-GAAP net income by $8,229 and $16,565 for the three and nine months ended September 30, 2020,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2" w:name="page63"/>
    <w:bookmarkEnd w:id="6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5"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The critical accounting policies that reflect our more significant judgments and estimates used in the preparation of our condensed consolidated financial statements include software development costs, business combinations, goodwill, accounting for stock-based compensation, revenue recognition, and income taxes, which are described in Note 1, “Summary of Significant Accounting Policies” to the Condensed Consolidated Financial Statements.</w:t>
      </w:r>
    </w:p>
    <w:p>
      <w:pPr>
        <w:spacing w:after="0" w:line="179"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Fair value estimates in connection with business combinations was added as a critical accounting estimate, as they could have a material impact to the interim condensed consolidated balance sheet as of September 30, 2021 and the interim condensed consolidated statements of comprehensive loss for the three and nine months ended September 30, 2021 due to the Tellutax, Taxamo and LCR-Dixon acquisitions consummated in 2021.</w:t>
      </w:r>
    </w:p>
    <w:p>
      <w:pPr>
        <w:spacing w:after="0" w:line="179" w:lineRule="exact"/>
        <w:rPr>
          <w:sz w:val="20"/>
          <w:szCs w:val="20"/>
          <w:color w:val="auto"/>
        </w:rPr>
      </w:pPr>
    </w:p>
    <w:p>
      <w:pPr>
        <w:jc w:val="both"/>
        <w:ind w:left="40" w:right="59" w:firstLine="305"/>
        <w:spacing w:after="0" w:line="261" w:lineRule="auto"/>
        <w:rPr>
          <w:sz w:val="20"/>
          <w:szCs w:val="20"/>
          <w:color w:val="auto"/>
        </w:rPr>
      </w:pPr>
      <w:r>
        <w:rPr>
          <w:rFonts w:ascii="Arial" w:cs="Arial" w:eastAsia="Arial" w:hAnsi="Arial"/>
          <w:sz w:val="17"/>
          <w:szCs w:val="17"/>
          <w:color w:val="auto"/>
        </w:rPr>
        <w:t>With the exception of our addition of business combinations as a critical accounting estimate, there have been no material updates or changes to our critical accounting policies and estimates compared to the critical accounting policies and estimates described in our Annual Report on Form 10-K for the period ended December 31, 2020.</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Business Combination Fair Value Estimates</w:t>
      </w:r>
    </w:p>
    <w:p>
      <w:pPr>
        <w:spacing w:after="0" w:line="211" w:lineRule="exact"/>
        <w:rPr>
          <w:sz w:val="20"/>
          <w:szCs w:val="20"/>
          <w:color w:val="auto"/>
        </w:rPr>
      </w:pPr>
    </w:p>
    <w:p>
      <w:pPr>
        <w:jc w:val="both"/>
        <w:ind w:left="40" w:right="59" w:firstLine="305"/>
        <w:spacing w:after="0" w:line="268" w:lineRule="auto"/>
        <w:rPr>
          <w:sz w:val="20"/>
          <w:szCs w:val="20"/>
          <w:color w:val="auto"/>
        </w:rPr>
      </w:pPr>
      <w:r>
        <w:rPr>
          <w:rFonts w:ascii="Arial" w:cs="Arial" w:eastAsia="Arial" w:hAnsi="Arial"/>
          <w:sz w:val="16"/>
          <w:szCs w:val="16"/>
          <w:color w:val="auto"/>
        </w:rPr>
        <w:t>The results of a business acquired in a business combination are included in our consolidated financial statements from the date of the acquisition. Purchase accounting results in tangible and intangible assets acquired, liabilities assumed, consideration transferred, and amounts attributed to noncontrolling interests of an acquired business being recorded at their estimated fair values on the acquisition date, which may be considered preliminary and subject to adjustment during the measurement period, which is up to one year from the acquisition date (the “Measurement Period”). Any excess consideration over the fair value of assets acquired and liabilities assumed is recorded as goodwill. Determining the fair value of these amounts requires significant judgment and estimates, including the selection of valuation methodologies, estimates of future revenue, costs and cash flows, discount rates, royalty rates, and selection of comparable companies. We continue to collect information and reevaluate these estimates and assumptions periodically and record any adjustments to preliminary estimates to goodwill, provided we are within the Measurement Period, with any adjustments to amortization of new or previously recorded assets and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spacing w:after="0" w:line="175"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We use our best estimates, information and assumptions available at the acquisition date to assign preliminary fair values to the assets acquired, liabilities assumed, consideration transferred, and amounts attributed to noncontrolling interests. We engage the assistance of third party valuation specialists to perform valuations of these amounts and to assist us in concluding on these fair value measurements. The resulting fair values and useful lives assigned to acquisition-related assets impact the amount and timing of future amortization expense.</w:t>
      </w:r>
    </w:p>
    <w:p>
      <w:pPr>
        <w:spacing w:after="0" w:line="181"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These estimates are inherently uncertain and unpredictable and if different estimates were used the purchase price for the respective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an increase in the amounts recorded for assumed liabilities, or an impairment of some or all of the goodwill.</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 Accounting Pronouncements</w:t>
      </w:r>
    </w:p>
    <w:p>
      <w:pPr>
        <w:spacing w:after="0" w:line="215" w:lineRule="exact"/>
        <w:rPr>
          <w:sz w:val="20"/>
          <w:szCs w:val="20"/>
          <w:color w:val="auto"/>
        </w:rPr>
      </w:pPr>
    </w:p>
    <w:p>
      <w:pPr>
        <w:jc w:val="both"/>
        <w:ind w:left="40" w:right="59" w:firstLine="305"/>
        <w:spacing w:after="0" w:line="273" w:lineRule="auto"/>
        <w:rPr>
          <w:sz w:val="20"/>
          <w:szCs w:val="20"/>
          <w:color w:val="auto"/>
        </w:rPr>
      </w:pPr>
      <w:r>
        <w:rPr>
          <w:rFonts w:ascii="Arial" w:cs="Arial" w:eastAsia="Arial" w:hAnsi="Arial"/>
          <w:sz w:val="17"/>
          <w:szCs w:val="17"/>
          <w:color w:val="auto"/>
        </w:rPr>
        <w:t>For further information on recent accounting pronouncements, refer to Note 1, “Summary of Significant Accounting Policies” to the Condensed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3" w:name="page64"/>
    <w:bookmarkEnd w:id="6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Interest Rate Risk</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had cash and cash equivalents of $47.5 million and had no outstanding bank debt as of September 30, 2021.</w:t>
      </w:r>
    </w:p>
    <w:p>
      <w:pPr>
        <w:spacing w:after="0" w:line="211"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We maintain our cash and cash equivalents in deposit accounts and money market funds with various financial institutions. Due to the short-term nature of these instruments, we believe that we do not have any material exposure to changes in the fair value of our investment portfolio as a result of changes in interest rates. Declines in interest rates would reduce future interest income by an insignificant amount.</w:t>
      </w:r>
    </w:p>
    <w:p>
      <w:pPr>
        <w:spacing w:after="0" w:line="179" w:lineRule="exact"/>
        <w:rPr>
          <w:sz w:val="20"/>
          <w:szCs w:val="20"/>
          <w:color w:val="auto"/>
        </w:rPr>
      </w:pPr>
    </w:p>
    <w:p>
      <w:pPr>
        <w:jc w:val="both"/>
        <w:ind w:left="40" w:right="59" w:firstLine="305"/>
        <w:spacing w:after="0" w:line="255" w:lineRule="auto"/>
        <w:rPr>
          <w:sz w:val="20"/>
          <w:szCs w:val="20"/>
          <w:color w:val="auto"/>
        </w:rPr>
      </w:pPr>
      <w:r>
        <w:rPr>
          <w:rFonts w:ascii="Arial" w:cs="Arial" w:eastAsia="Arial" w:hAnsi="Arial"/>
          <w:sz w:val="17"/>
          <w:szCs w:val="17"/>
          <w:color w:val="auto"/>
        </w:rPr>
        <w:t>We are exposed to risk related to changes in interest rates. Borrowings under the bank credit agreement bear interest at rates that are variable. We have no outstanding borrowings. Increases in the bank prime or LIBOR rates would increase the interest rate on any future outstanding borrowings. Any debt we incur in the future may also bear interest at variable rates. Based on no outstanding borrowings as of September 30, 2021, increases in the bank prime or LIBOR rates would not result in a significant increase in interest expense.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Foreign Currency Exchange Risk</w:t>
      </w:r>
    </w:p>
    <w:p>
      <w:pPr>
        <w:spacing w:after="0" w:line="215"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nine months ended September 30, 2021 and 2020, approximately 2% and 1%, respectively, of our revenues were denominated in currencies other than U.S. dollars.</w:t>
      </w:r>
    </w:p>
    <w:p>
      <w:pPr>
        <w:spacing w:after="0" w:line="166" w:lineRule="exact"/>
        <w:rPr>
          <w:sz w:val="20"/>
          <w:szCs w:val="20"/>
          <w:color w:val="auto"/>
        </w:rPr>
      </w:pPr>
    </w:p>
    <w:p>
      <w:pPr>
        <w:jc w:val="both"/>
        <w:ind w:left="40" w:right="59" w:firstLine="305"/>
        <w:spacing w:after="0" w:line="270" w:lineRule="auto"/>
        <w:rPr>
          <w:sz w:val="20"/>
          <w:szCs w:val="20"/>
          <w:color w:val="auto"/>
        </w:rPr>
      </w:pPr>
      <w:r>
        <w:rPr>
          <w:rFonts w:ascii="Arial" w:cs="Arial" w:eastAsia="Arial" w:hAnsi="Arial"/>
          <w:sz w:val="16"/>
          <w:szCs w:val="16"/>
          <w:color w:val="auto"/>
        </w:rPr>
        <w:t>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approximately 40% of our exposure to adverse fluctuations in the Brazilian Real associated with these future purchase commitments.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Inflation</w:t>
      </w:r>
    </w:p>
    <w:p>
      <w:pPr>
        <w:spacing w:after="0" w:line="215"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Historically, 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CONTROLS AND PROCEDURES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5" w:lineRule="exact"/>
        <w:rPr>
          <w:sz w:val="20"/>
          <w:szCs w:val="20"/>
          <w:color w:val="auto"/>
        </w:rPr>
      </w:pPr>
    </w:p>
    <w:p>
      <w:pPr>
        <w:jc w:val="both"/>
        <w:ind w:left="40" w:right="59" w:firstLine="305"/>
        <w:spacing w:after="0" w:line="257"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Solely as a result of the material weakness described below, our principal executive officer and principal financial officer concluded that, as of September 30, 2021, our disclosure controls and procedures were not effective.</w:t>
      </w:r>
    </w:p>
    <w:p>
      <w:pPr>
        <w:spacing w:after="0" w:line="179"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We have performed additional analyses, reconciliations, and other post-closing procedures and have concluded that, notwithstanding the material weakness in our internal control over financial reporting, the unaudited interim Condensed Consolidated Financial Statements as of and for the periods covered by and included in this Quarterly Report on Form 10-</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4" w:name="page65"/>
    <w:bookmarkEnd w:id="6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Q fairly state, in all material respects, our financial position, results of operations and cash flows as of and for the periods presented in conformity with GAAP.</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Previously Identified Material Weaknesses</w:t>
      </w:r>
    </w:p>
    <w:p>
      <w:pPr>
        <w:spacing w:after="0" w:line="215" w:lineRule="exact"/>
        <w:rPr>
          <w:sz w:val="20"/>
          <w:szCs w:val="20"/>
          <w:color w:val="auto"/>
        </w:rPr>
      </w:pPr>
    </w:p>
    <w:p>
      <w:pPr>
        <w:jc w:val="both"/>
        <w:ind w:left="40" w:right="59" w:firstLine="305"/>
        <w:spacing w:after="0" w:line="312" w:lineRule="auto"/>
        <w:rPr>
          <w:sz w:val="20"/>
          <w:szCs w:val="20"/>
          <w:color w:val="auto"/>
        </w:rPr>
      </w:pPr>
      <w:r>
        <w:rPr>
          <w:rFonts w:ascii="Arial" w:cs="Arial" w:eastAsia="Arial" w:hAnsi="Arial"/>
          <w:sz w:val="15"/>
          <w:szCs w:val="15"/>
          <w:color w:val="auto"/>
        </w:rPr>
        <w:t>As previously disclosed in our Annual Report on Form 10-K for the year ended December 31, 2020, we identified a material weakness in our internal control over financial reporting due to an insufficient process for the provision and governance of user access to financially significant systems that resulted in a lack of segregation of duties related to journal entries.</w:t>
      </w:r>
    </w:p>
    <w:p>
      <w:pPr>
        <w:spacing w:after="0" w:line="140" w:lineRule="exact"/>
        <w:rPr>
          <w:sz w:val="20"/>
          <w:szCs w:val="20"/>
          <w:color w:val="auto"/>
        </w:rPr>
      </w:pPr>
    </w:p>
    <w:p>
      <w:pPr>
        <w:jc w:val="both"/>
        <w:ind w:left="40" w:right="59" w:firstLine="305"/>
        <w:spacing w:after="0" w:line="305"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a reasonable possibility that a material misstatement of the annual or interim financial statements will not be prevented or detected on a timely basis.</w:t>
      </w:r>
    </w:p>
    <w:p>
      <w:pPr>
        <w:spacing w:after="0" w:line="142" w:lineRule="exact"/>
        <w:rPr>
          <w:sz w:val="20"/>
          <w:szCs w:val="20"/>
          <w:color w:val="auto"/>
        </w:rPr>
      </w:pPr>
    </w:p>
    <w:p>
      <w:pPr>
        <w:jc w:val="both"/>
        <w:ind w:left="40" w:right="59" w:firstLine="305"/>
        <w:spacing w:after="0" w:line="275" w:lineRule="auto"/>
        <w:rPr>
          <w:sz w:val="20"/>
          <w:szCs w:val="20"/>
          <w:color w:val="auto"/>
        </w:rPr>
      </w:pPr>
      <w:r>
        <w:rPr>
          <w:rFonts w:ascii="Arial" w:cs="Arial" w:eastAsia="Arial" w:hAnsi="Arial"/>
          <w:sz w:val="16"/>
          <w:szCs w:val="16"/>
          <w:color w:val="auto"/>
        </w:rPr>
        <w:t>Our management, with oversight from our Audit Committee, is in the process of remediating this material weakness. During 2020, we implemented changes to our user access governance practices to prevent individuals from having the ability to create and post journal entries and have implemented a periodic review cycle for user access. However, this material weakness will not be considered remediated until the applicable controls operate for a sufficient period of time and management has concluded, through testing in 2021, that these controls are operating effectively.</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5" w:lineRule="exact"/>
        <w:rPr>
          <w:sz w:val="20"/>
          <w:szCs w:val="20"/>
          <w:color w:val="auto"/>
        </w:rPr>
      </w:pPr>
    </w:p>
    <w:p>
      <w:pPr>
        <w:jc w:val="both"/>
        <w:ind w:left="40" w:right="59" w:firstLine="305"/>
        <w:spacing w:after="0" w:line="285" w:lineRule="auto"/>
        <w:rPr>
          <w:sz w:val="20"/>
          <w:szCs w:val="20"/>
          <w:color w:val="auto"/>
        </w:rPr>
      </w:pPr>
      <w:r>
        <w:rPr>
          <w:rFonts w:ascii="Arial" w:cs="Arial" w:eastAsia="Arial" w:hAnsi="Arial"/>
          <w:sz w:val="16"/>
          <w:szCs w:val="16"/>
          <w:color w:val="auto"/>
        </w:rPr>
        <w:t>Other than the changes described above regarding enhancements associated with ongoing remediation efforts, 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5" w:name="page66"/>
    <w:bookmarkEnd w:id="6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LEGAL PROCEEDINGS</w:t>
      </w:r>
    </w:p>
    <w:p>
      <w:pPr>
        <w:spacing w:after="0" w:line="215" w:lineRule="exact"/>
        <w:rPr>
          <w:sz w:val="20"/>
          <w:szCs w:val="20"/>
          <w:color w:val="auto"/>
        </w:rPr>
      </w:pPr>
    </w:p>
    <w:p>
      <w:pPr>
        <w:jc w:val="both"/>
        <w:ind w:left="40" w:right="59" w:firstLine="305"/>
        <w:spacing w:after="0" w:line="278" w:lineRule="auto"/>
        <w:rPr>
          <w:sz w:val="20"/>
          <w:szCs w:val="20"/>
          <w:color w:val="auto"/>
        </w:rPr>
      </w:pPr>
      <w:r>
        <w:rPr>
          <w:rFonts w:ascii="Arial" w:cs="Arial" w:eastAsia="Arial" w:hAnsi="Arial"/>
          <w:sz w:val="16"/>
          <w:szCs w:val="16"/>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1A. RISK FACTORS</w:t>
      </w:r>
    </w:p>
    <w:p>
      <w:pPr>
        <w:spacing w:after="0" w:line="215" w:lineRule="exact"/>
        <w:rPr>
          <w:sz w:val="20"/>
          <w:szCs w:val="20"/>
          <w:color w:val="auto"/>
        </w:rPr>
      </w:pPr>
    </w:p>
    <w:p>
      <w:pPr>
        <w:jc w:val="both"/>
        <w:ind w:left="40" w:right="59" w:firstLine="305"/>
        <w:spacing w:after="0" w:line="297" w:lineRule="auto"/>
        <w:rPr>
          <w:sz w:val="20"/>
          <w:szCs w:val="20"/>
          <w:color w:val="auto"/>
        </w:rPr>
      </w:pPr>
      <w:r>
        <w:rPr>
          <w:rFonts w:ascii="Arial" w:cs="Arial" w:eastAsia="Arial" w:hAnsi="Arial"/>
          <w:sz w:val="15"/>
          <w:szCs w:val="15"/>
          <w:color w:val="auto"/>
        </w:rPr>
        <w:t>There are no material changes to the risk factors discussed in the Company’s Annual Report on Form 10-K for the year ended December 31, 2020 under the heading “Risk Factors.” You should carefully consider these risks, together with management’s discussion and analysis of our financial condition and results of operations in conjunction with the interim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w:t>
      </w:r>
      <w:r>
        <w:rPr>
          <w:rFonts w:ascii="Arial" w:cs="Arial" w:eastAsia="Arial" w:hAnsi="Arial"/>
          <w:sz w:val="17"/>
          <w:szCs w:val="17"/>
          <w:color w:val="auto"/>
        </w:rPr>
        <w:t>.</w:t>
      </w:r>
      <w:r>
        <w:rPr>
          <w:rFonts w:ascii="Arial" w:cs="Arial" w:eastAsia="Arial" w:hAnsi="Arial"/>
          <w:sz w:val="17"/>
          <w:szCs w:val="17"/>
          <w:b w:val="1"/>
          <w:bCs w:val="1"/>
          <w:color w:val="auto"/>
        </w:rPr>
        <w:t xml:space="preserve"> MINE SAFETY DISCLOSURES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 Applicable.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5. OTHER INFORMATION</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6" w:name="page67"/>
    <w:bookmarkEnd w:id="6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EXHIBITS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400" w:type="dxa"/>
            <w:vAlign w:val="bottom"/>
            <w:gridSpan w:val="11"/>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Form</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File No.</w:t>
            </w:r>
          </w:p>
        </w:tc>
        <w:tc>
          <w:tcPr>
            <w:tcW w:w="2520" w:type="dxa"/>
            <w:vAlign w:val="bottom"/>
            <w:gridSpan w:val="6"/>
          </w:tcPr>
          <w:p>
            <w:pPr>
              <w:spacing w:after="0"/>
              <w:rPr>
                <w:sz w:val="20"/>
                <w:szCs w:val="20"/>
                <w:color w:val="auto"/>
              </w:rPr>
            </w:pPr>
            <w:r>
              <w:rPr>
                <w:rFonts w:ascii="Arial" w:cs="Arial" w:eastAsia="Arial" w:hAnsi="Arial"/>
                <w:sz w:val="14"/>
                <w:szCs w:val="14"/>
                <w:b w:val="1"/>
                <w:bCs w:val="1"/>
                <w:color w:val="auto"/>
              </w:rPr>
              <w:t>Exhibit   Filing Date   Filed Herewith</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Furnished Herewith</w:t>
            </w:r>
          </w:p>
        </w:tc>
      </w:tr>
      <w:tr>
        <w:trPr>
          <w:trHeight w:val="145"/>
        </w:trPr>
        <w:tc>
          <w:tcPr>
            <w:tcW w:w="260" w:type="dxa"/>
            <w:vAlign w:val="bottom"/>
            <w:tcBorders>
              <w:top w:val="single" w:sz="8" w:color="auto"/>
            </w:tcBorders>
          </w:tcPr>
          <w:p>
            <w:pPr>
              <w:spacing w:after="0" w:line="146" w:lineRule="exact"/>
              <w:rPr>
                <w:rFonts w:ascii="Arial" w:cs="Arial" w:eastAsia="Arial" w:hAnsi="Arial"/>
                <w:sz w:val="15"/>
                <w:szCs w:val="15"/>
                <w:color w:val="0000EE"/>
                <w:w w:val="82"/>
              </w:rPr>
            </w:pPr>
            <w:hyperlink w:anchor="page69">
              <w:r>
                <w:rPr>
                  <w:rFonts w:ascii="Arial" w:cs="Arial" w:eastAsia="Arial" w:hAnsi="Arial"/>
                  <w:sz w:val="15"/>
                  <w:szCs w:val="15"/>
                  <w:color w:val="0000EE"/>
                  <w:w w:val="82"/>
                </w:rPr>
                <w:t>31.</w:t>
              </w:r>
              <w:r>
                <w:rPr>
                  <w:rFonts w:ascii="Arial" w:cs="Arial" w:eastAsia="Arial" w:hAnsi="Arial"/>
                  <w:sz w:val="15"/>
                  <w:szCs w:val="15"/>
                  <w:u w:val="single" w:color="auto"/>
                  <w:color w:val="0000EE"/>
                  <w:w w:val="82"/>
                </w:rPr>
                <w:t>1</w:t>
              </w:r>
            </w:hyperlink>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Borders>
              <w:top w:val="single" w:sz="8" w:color="auto"/>
            </w:tcBorders>
            <w:gridSpan w:val="10"/>
          </w:tcPr>
          <w:p>
            <w:pPr>
              <w:spacing w:after="0" w:line="146" w:lineRule="exact"/>
              <w:rPr>
                <w:rFonts w:ascii="Arial" w:cs="Arial" w:eastAsia="Arial" w:hAnsi="Arial"/>
                <w:sz w:val="15"/>
                <w:szCs w:val="15"/>
                <w:color w:val="0000EE"/>
                <w:w w:val="98"/>
              </w:rPr>
            </w:pPr>
            <w:hyperlink w:anchor="page69">
              <w:r>
                <w:rPr>
                  <w:rFonts w:ascii="Arial" w:cs="Arial" w:eastAsia="Arial" w:hAnsi="Arial"/>
                  <w:sz w:val="15"/>
                  <w:szCs w:val="15"/>
                  <w:color w:val="0000EE"/>
                  <w:w w:val="98"/>
                </w:rPr>
                <w:t>Certification of Principal Executive</w:t>
              </w:r>
            </w:hyperlink>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bottom w:val="single" w:sz="8" w:color="0000EE"/>
            </w:tcBorders>
            <w:gridSpan w:val="9"/>
          </w:tcPr>
          <w:p>
            <w:pPr>
              <w:spacing w:after="0" w:line="171" w:lineRule="exact"/>
              <w:rPr>
                <w:rFonts w:ascii="Arial" w:cs="Arial" w:eastAsia="Arial" w:hAnsi="Arial"/>
                <w:sz w:val="15"/>
                <w:szCs w:val="15"/>
                <w:color w:val="0000EE"/>
                <w:w w:val="91"/>
              </w:rPr>
            </w:pPr>
            <w:hyperlink w:anchor="page69">
              <w:r>
                <w:rPr>
                  <w:rFonts w:ascii="Arial" w:cs="Arial" w:eastAsia="Arial" w:hAnsi="Arial"/>
                  <w:sz w:val="15"/>
                  <w:szCs w:val="15"/>
                  <w:color w:val="0000EE"/>
                  <w:w w:val="91"/>
                </w:rPr>
                <w:t>Officer Pursuant to Rules 13a-14(a)</w:t>
              </w:r>
            </w:hyperlink>
          </w:p>
        </w:tc>
        <w:tc>
          <w:tcPr>
            <w:tcW w:w="2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0000EE"/>
            </w:tcBorders>
            <w:gridSpan w:val="6"/>
          </w:tcPr>
          <w:p>
            <w:pPr>
              <w:spacing w:after="0" w:line="171" w:lineRule="exact"/>
              <w:rPr>
                <w:rFonts w:ascii="Arial" w:cs="Arial" w:eastAsia="Arial" w:hAnsi="Arial"/>
                <w:sz w:val="15"/>
                <w:szCs w:val="15"/>
                <w:color w:val="0000EE"/>
                <w:w w:val="89"/>
              </w:rPr>
            </w:pPr>
            <w:hyperlink w:anchor="page69">
              <w:r>
                <w:rPr>
                  <w:rFonts w:ascii="Arial" w:cs="Arial" w:eastAsia="Arial" w:hAnsi="Arial"/>
                  <w:sz w:val="15"/>
                  <w:szCs w:val="15"/>
                  <w:color w:val="0000EE"/>
                  <w:w w:val="89"/>
                </w:rPr>
                <w:t>and 15d-14(a) under the Securities</w:t>
              </w:r>
            </w:hyperlink>
          </w:p>
        </w:tc>
        <w:tc>
          <w:tcPr>
            <w:tcW w:w="300" w:type="dxa"/>
            <w:vAlign w:val="bottom"/>
            <w:gridSpan w:val="5"/>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bottom w:val="single" w:sz="8" w:color="0000EE"/>
            </w:tcBorders>
            <w:gridSpan w:val="8"/>
          </w:tcPr>
          <w:p>
            <w:pPr>
              <w:spacing w:after="0" w:line="171" w:lineRule="exact"/>
              <w:rPr>
                <w:rFonts w:ascii="Arial" w:cs="Arial" w:eastAsia="Arial" w:hAnsi="Arial"/>
                <w:sz w:val="15"/>
                <w:szCs w:val="15"/>
                <w:color w:val="0000EE"/>
                <w:w w:val="91"/>
              </w:rPr>
            </w:pPr>
            <w:hyperlink w:anchor="page69">
              <w:r>
                <w:rPr>
                  <w:rFonts w:ascii="Arial" w:cs="Arial" w:eastAsia="Arial" w:hAnsi="Arial"/>
                  <w:sz w:val="15"/>
                  <w:szCs w:val="15"/>
                  <w:color w:val="0000EE"/>
                  <w:w w:val="91"/>
                </w:rPr>
                <w:t>Exchange Act of 1934, as Adopted</w:t>
              </w:r>
            </w:hyperlink>
          </w:p>
        </w:tc>
        <w:tc>
          <w:tcPr>
            <w:tcW w:w="24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bottom w:val="single" w:sz="8" w:color="0000EE"/>
            </w:tcBorders>
            <w:gridSpan w:val="4"/>
          </w:tcPr>
          <w:p>
            <w:pPr>
              <w:spacing w:after="0" w:line="171" w:lineRule="exact"/>
              <w:rPr>
                <w:rFonts w:ascii="Arial" w:cs="Arial" w:eastAsia="Arial" w:hAnsi="Arial"/>
                <w:sz w:val="15"/>
                <w:szCs w:val="15"/>
                <w:color w:val="0000EE"/>
                <w:w w:val="90"/>
              </w:rPr>
            </w:pPr>
            <w:hyperlink w:anchor="page69">
              <w:r>
                <w:rPr>
                  <w:rFonts w:ascii="Arial" w:cs="Arial" w:eastAsia="Arial" w:hAnsi="Arial"/>
                  <w:sz w:val="15"/>
                  <w:szCs w:val="15"/>
                  <w:color w:val="0000EE"/>
                  <w:w w:val="90"/>
                </w:rPr>
                <w:t>Pursuant to Section 302 of the</w:t>
              </w:r>
            </w:hyperlink>
          </w:p>
        </w:tc>
        <w:tc>
          <w:tcPr>
            <w:tcW w:w="560" w:type="dxa"/>
            <w:vAlign w:val="bottom"/>
            <w:gridSpan w:val="7"/>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bottom w:val="single" w:sz="8" w:color="0000EE"/>
            </w:tcBorders>
            <w:gridSpan w:val="2"/>
          </w:tcPr>
          <w:p>
            <w:pPr>
              <w:spacing w:after="0" w:line="171" w:lineRule="exact"/>
              <w:rPr>
                <w:rFonts w:ascii="Arial" w:cs="Arial" w:eastAsia="Arial" w:hAnsi="Arial"/>
                <w:sz w:val="15"/>
                <w:szCs w:val="15"/>
                <w:color w:val="0000EE"/>
                <w:w w:val="91"/>
              </w:rPr>
            </w:pPr>
            <w:hyperlink w:anchor="page69">
              <w:r>
                <w:rPr>
                  <w:rFonts w:ascii="Arial" w:cs="Arial" w:eastAsia="Arial" w:hAnsi="Arial"/>
                  <w:sz w:val="15"/>
                  <w:szCs w:val="15"/>
                  <w:color w:val="0000EE"/>
                  <w:w w:val="91"/>
                </w:rPr>
                <w:t>Sarbanes-Oxley Act of 2002</w:t>
              </w:r>
            </w:hyperlink>
          </w:p>
        </w:tc>
        <w:tc>
          <w:tcPr>
            <w:tcW w:w="660" w:type="dxa"/>
            <w:vAlign w:val="bottom"/>
            <w:gridSpan w:val="9"/>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40"/>
              <w:spacing w:after="0" w:line="171" w:lineRule="exact"/>
              <w:rPr>
                <w:sz w:val="20"/>
                <w:szCs w:val="20"/>
                <w:color w:val="auto"/>
              </w:rPr>
            </w:pPr>
            <w:r>
              <w:rPr>
                <w:rFonts w:ascii="Arial" w:cs="Arial" w:eastAsia="Arial" w:hAnsi="Arial"/>
                <w:sz w:val="15"/>
                <w:szCs w:val="15"/>
                <w:color w:val="auto"/>
              </w:rPr>
              <w:t>X</w:t>
            </w:r>
          </w:p>
        </w:tc>
        <w:tc>
          <w:tcPr>
            <w:tcW w:w="1300" w:type="dxa"/>
            <w:vAlign w:val="bottom"/>
          </w:tcPr>
          <w:p>
            <w:pPr>
              <w:spacing w:after="0"/>
              <w:rPr>
                <w:sz w:val="14"/>
                <w:szCs w:val="14"/>
                <w:color w:val="auto"/>
              </w:rPr>
            </w:pPr>
          </w:p>
        </w:tc>
      </w:tr>
      <w:tr>
        <w:trPr>
          <w:trHeight w:val="171"/>
        </w:trPr>
        <w:tc>
          <w:tcPr>
            <w:tcW w:w="260" w:type="dxa"/>
            <w:vAlign w:val="bottom"/>
          </w:tcPr>
          <w:p>
            <w:pPr>
              <w:spacing w:after="0" w:line="171" w:lineRule="exact"/>
              <w:rPr>
                <w:rFonts w:ascii="Arial" w:cs="Arial" w:eastAsia="Arial" w:hAnsi="Arial"/>
                <w:sz w:val="15"/>
                <w:szCs w:val="15"/>
                <w:color w:val="0000EE"/>
                <w:w w:val="82"/>
              </w:rPr>
            </w:pPr>
            <w:hyperlink w:anchor="page70">
              <w:r>
                <w:rPr>
                  <w:rFonts w:ascii="Arial" w:cs="Arial" w:eastAsia="Arial" w:hAnsi="Arial"/>
                  <w:sz w:val="15"/>
                  <w:szCs w:val="15"/>
                  <w:color w:val="0000EE"/>
                  <w:w w:val="82"/>
                </w:rPr>
                <w:t>31.</w:t>
              </w:r>
              <w:r>
                <w:rPr>
                  <w:rFonts w:ascii="Arial" w:cs="Arial" w:eastAsia="Arial" w:hAnsi="Arial"/>
                  <w:sz w:val="15"/>
                  <w:szCs w:val="15"/>
                  <w:u w:val="single" w:color="auto"/>
                  <w:color w:val="0000EE"/>
                  <w:w w:val="82"/>
                </w:rPr>
                <w:t>2</w:t>
              </w:r>
            </w:hyperlink>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11"/>
          </w:tcPr>
          <w:p>
            <w:pPr>
              <w:spacing w:after="0" w:line="171" w:lineRule="exact"/>
              <w:rPr>
                <w:rFonts w:ascii="Arial" w:cs="Arial" w:eastAsia="Arial" w:hAnsi="Arial"/>
                <w:sz w:val="15"/>
                <w:szCs w:val="15"/>
                <w:color w:val="0000EE"/>
              </w:rPr>
            </w:pPr>
            <w:hyperlink w:anchor="page70">
              <w:r>
                <w:rPr>
                  <w:rFonts w:ascii="Arial" w:cs="Arial" w:eastAsia="Arial" w:hAnsi="Arial"/>
                  <w:sz w:val="15"/>
                  <w:szCs w:val="15"/>
                  <w:color w:val="0000EE"/>
                </w:rPr>
                <w:t>Certification of Principal Financial</w:t>
              </w:r>
            </w:hyperlink>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bottom w:val="single" w:sz="8" w:color="0000EE"/>
            </w:tcBorders>
            <w:gridSpan w:val="9"/>
          </w:tcPr>
          <w:p>
            <w:pPr>
              <w:spacing w:after="0" w:line="171" w:lineRule="exact"/>
              <w:rPr>
                <w:rFonts w:ascii="Arial" w:cs="Arial" w:eastAsia="Arial" w:hAnsi="Arial"/>
                <w:sz w:val="15"/>
                <w:szCs w:val="15"/>
                <w:color w:val="0000EE"/>
                <w:w w:val="91"/>
              </w:rPr>
            </w:pPr>
            <w:hyperlink w:anchor="page70">
              <w:r>
                <w:rPr>
                  <w:rFonts w:ascii="Arial" w:cs="Arial" w:eastAsia="Arial" w:hAnsi="Arial"/>
                  <w:sz w:val="15"/>
                  <w:szCs w:val="15"/>
                  <w:color w:val="0000EE"/>
                  <w:w w:val="91"/>
                </w:rPr>
                <w:t>Officer Pursuant to Rules 13a-14(a)</w:t>
              </w:r>
            </w:hyperlink>
          </w:p>
        </w:tc>
        <w:tc>
          <w:tcPr>
            <w:tcW w:w="2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0000EE"/>
            </w:tcBorders>
            <w:gridSpan w:val="6"/>
          </w:tcPr>
          <w:p>
            <w:pPr>
              <w:spacing w:after="0" w:line="171" w:lineRule="exact"/>
              <w:rPr>
                <w:rFonts w:ascii="Arial" w:cs="Arial" w:eastAsia="Arial" w:hAnsi="Arial"/>
                <w:sz w:val="15"/>
                <w:szCs w:val="15"/>
                <w:color w:val="0000EE"/>
                <w:w w:val="89"/>
              </w:rPr>
            </w:pPr>
            <w:hyperlink w:anchor="page70">
              <w:r>
                <w:rPr>
                  <w:rFonts w:ascii="Arial" w:cs="Arial" w:eastAsia="Arial" w:hAnsi="Arial"/>
                  <w:sz w:val="15"/>
                  <w:szCs w:val="15"/>
                  <w:color w:val="0000EE"/>
                  <w:w w:val="89"/>
                </w:rPr>
                <w:t>and 15d-14(a) under the Securities</w:t>
              </w:r>
            </w:hyperlink>
          </w:p>
        </w:tc>
        <w:tc>
          <w:tcPr>
            <w:tcW w:w="300" w:type="dxa"/>
            <w:vAlign w:val="bottom"/>
            <w:gridSpan w:val="5"/>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bottom w:val="single" w:sz="8" w:color="0000EE"/>
            </w:tcBorders>
            <w:gridSpan w:val="8"/>
          </w:tcPr>
          <w:p>
            <w:pPr>
              <w:spacing w:after="0" w:line="171" w:lineRule="exact"/>
              <w:rPr>
                <w:rFonts w:ascii="Arial" w:cs="Arial" w:eastAsia="Arial" w:hAnsi="Arial"/>
                <w:sz w:val="15"/>
                <w:szCs w:val="15"/>
                <w:color w:val="0000EE"/>
                <w:w w:val="91"/>
              </w:rPr>
            </w:pPr>
            <w:hyperlink w:anchor="page70">
              <w:r>
                <w:rPr>
                  <w:rFonts w:ascii="Arial" w:cs="Arial" w:eastAsia="Arial" w:hAnsi="Arial"/>
                  <w:sz w:val="15"/>
                  <w:szCs w:val="15"/>
                  <w:color w:val="0000EE"/>
                  <w:w w:val="91"/>
                </w:rPr>
                <w:t>Exchange Act of 1934, as Adopted</w:t>
              </w:r>
            </w:hyperlink>
          </w:p>
        </w:tc>
        <w:tc>
          <w:tcPr>
            <w:tcW w:w="24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bottom w:val="single" w:sz="8" w:color="0000EE"/>
            </w:tcBorders>
            <w:gridSpan w:val="4"/>
          </w:tcPr>
          <w:p>
            <w:pPr>
              <w:spacing w:after="0" w:line="171" w:lineRule="exact"/>
              <w:rPr>
                <w:rFonts w:ascii="Arial" w:cs="Arial" w:eastAsia="Arial" w:hAnsi="Arial"/>
                <w:sz w:val="15"/>
                <w:szCs w:val="15"/>
                <w:color w:val="0000EE"/>
                <w:w w:val="90"/>
              </w:rPr>
            </w:pPr>
            <w:hyperlink w:anchor="page70">
              <w:r>
                <w:rPr>
                  <w:rFonts w:ascii="Arial" w:cs="Arial" w:eastAsia="Arial" w:hAnsi="Arial"/>
                  <w:sz w:val="15"/>
                  <w:szCs w:val="15"/>
                  <w:color w:val="0000EE"/>
                  <w:w w:val="90"/>
                </w:rPr>
                <w:t>Pursuant to Section 302 of the</w:t>
              </w:r>
            </w:hyperlink>
          </w:p>
        </w:tc>
        <w:tc>
          <w:tcPr>
            <w:tcW w:w="560" w:type="dxa"/>
            <w:vAlign w:val="bottom"/>
            <w:gridSpan w:val="7"/>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bottom w:val="single" w:sz="8" w:color="0000EE"/>
            </w:tcBorders>
            <w:gridSpan w:val="2"/>
          </w:tcPr>
          <w:p>
            <w:pPr>
              <w:spacing w:after="0" w:line="171" w:lineRule="exact"/>
              <w:rPr>
                <w:rFonts w:ascii="Arial" w:cs="Arial" w:eastAsia="Arial" w:hAnsi="Arial"/>
                <w:sz w:val="15"/>
                <w:szCs w:val="15"/>
                <w:color w:val="0000EE"/>
                <w:w w:val="91"/>
              </w:rPr>
            </w:pPr>
            <w:hyperlink w:anchor="page70">
              <w:r>
                <w:rPr>
                  <w:rFonts w:ascii="Arial" w:cs="Arial" w:eastAsia="Arial" w:hAnsi="Arial"/>
                  <w:sz w:val="15"/>
                  <w:szCs w:val="15"/>
                  <w:color w:val="0000EE"/>
                  <w:w w:val="91"/>
                </w:rPr>
                <w:t>Sarbanes-Oxley Act of 2002</w:t>
              </w:r>
            </w:hyperlink>
          </w:p>
        </w:tc>
        <w:tc>
          <w:tcPr>
            <w:tcW w:w="660" w:type="dxa"/>
            <w:vAlign w:val="bottom"/>
            <w:gridSpan w:val="9"/>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40"/>
              <w:spacing w:after="0" w:line="171" w:lineRule="exact"/>
              <w:rPr>
                <w:sz w:val="20"/>
                <w:szCs w:val="20"/>
                <w:color w:val="auto"/>
              </w:rPr>
            </w:pPr>
            <w:r>
              <w:rPr>
                <w:rFonts w:ascii="Arial" w:cs="Arial" w:eastAsia="Arial" w:hAnsi="Arial"/>
                <w:sz w:val="15"/>
                <w:szCs w:val="15"/>
                <w:color w:val="auto"/>
              </w:rPr>
              <w:t>X</w:t>
            </w:r>
          </w:p>
        </w:tc>
        <w:tc>
          <w:tcPr>
            <w:tcW w:w="1300" w:type="dxa"/>
            <w:vAlign w:val="bottom"/>
          </w:tcPr>
          <w:p>
            <w:pPr>
              <w:spacing w:after="0"/>
              <w:rPr>
                <w:sz w:val="14"/>
                <w:szCs w:val="14"/>
                <w:color w:val="auto"/>
              </w:rPr>
            </w:pPr>
          </w:p>
        </w:tc>
      </w:tr>
      <w:tr>
        <w:trPr>
          <w:trHeight w:val="171"/>
        </w:trPr>
        <w:tc>
          <w:tcPr>
            <w:tcW w:w="260" w:type="dxa"/>
            <w:vAlign w:val="bottom"/>
          </w:tcPr>
          <w:p>
            <w:pPr>
              <w:spacing w:after="0" w:line="171" w:lineRule="exact"/>
              <w:rPr>
                <w:rFonts w:ascii="Arial" w:cs="Arial" w:eastAsia="Arial" w:hAnsi="Arial"/>
                <w:sz w:val="15"/>
                <w:szCs w:val="15"/>
                <w:color w:val="0000EE"/>
                <w:w w:val="82"/>
              </w:rPr>
            </w:pPr>
            <w:hyperlink w:anchor="page71">
              <w:r>
                <w:rPr>
                  <w:rFonts w:ascii="Arial" w:cs="Arial" w:eastAsia="Arial" w:hAnsi="Arial"/>
                  <w:sz w:val="15"/>
                  <w:szCs w:val="15"/>
                  <w:color w:val="0000EE"/>
                  <w:w w:val="82"/>
                </w:rPr>
                <w:t>32.</w:t>
              </w:r>
              <w:r>
                <w:rPr>
                  <w:rFonts w:ascii="Arial" w:cs="Arial" w:eastAsia="Arial" w:hAnsi="Arial"/>
                  <w:sz w:val="15"/>
                  <w:szCs w:val="15"/>
                  <w:u w:val="single" w:color="auto"/>
                  <w:color w:val="0000EE"/>
                  <w:w w:val="82"/>
                </w:rPr>
                <w:t>1</w:t>
              </w:r>
            </w:hyperlink>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11"/>
          </w:tcPr>
          <w:p>
            <w:pPr>
              <w:spacing w:after="0" w:line="171" w:lineRule="exact"/>
              <w:rPr>
                <w:rFonts w:ascii="Arial" w:cs="Arial" w:eastAsia="Arial" w:hAnsi="Arial"/>
                <w:sz w:val="15"/>
                <w:szCs w:val="15"/>
                <w:color w:val="0000EE"/>
              </w:rPr>
            </w:pPr>
            <w:hyperlink w:anchor="page71">
              <w:r>
                <w:rPr>
                  <w:rFonts w:ascii="Arial" w:cs="Arial" w:eastAsia="Arial" w:hAnsi="Arial"/>
                  <w:sz w:val="15"/>
                  <w:szCs w:val="15"/>
                  <w:color w:val="0000EE"/>
                </w:rPr>
                <w:t>Certification of Principal Executive</w:t>
              </w:r>
            </w:hyperlink>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Borders>
              <w:top w:val="single" w:sz="8" w:color="0000EE"/>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3"/>
          </w:tcPr>
          <w:p>
            <w:pPr>
              <w:spacing w:after="0" w:line="171" w:lineRule="exact"/>
              <w:rPr>
                <w:rFonts w:ascii="Arial" w:cs="Arial" w:eastAsia="Arial" w:hAnsi="Arial"/>
                <w:sz w:val="15"/>
                <w:szCs w:val="15"/>
                <w:color w:val="0000EE"/>
                <w:w w:val="91"/>
              </w:rPr>
            </w:pPr>
            <w:hyperlink w:anchor="page71">
              <w:r>
                <w:rPr>
                  <w:rFonts w:ascii="Arial" w:cs="Arial" w:eastAsia="Arial" w:hAnsi="Arial"/>
                  <w:sz w:val="15"/>
                  <w:szCs w:val="15"/>
                  <w:color w:val="0000EE"/>
                  <w:w w:val="91"/>
                </w:rPr>
                <w:t>Officer Pursuant to 18 U.S.C.</w:t>
              </w:r>
            </w:hyperlink>
          </w:p>
        </w:tc>
        <w:tc>
          <w:tcPr>
            <w:tcW w:w="360" w:type="dxa"/>
            <w:vAlign w:val="bottom"/>
            <w:tcBorders>
              <w:top w:val="single" w:sz="8" w:color="0000EE"/>
            </w:tcBorders>
            <w:gridSpan w:val="5"/>
          </w:tcPr>
          <w:p>
            <w:pPr>
              <w:spacing w:after="0"/>
              <w:rPr>
                <w:sz w:val="14"/>
                <w:szCs w:val="14"/>
                <w:color w:val="auto"/>
              </w:rPr>
            </w:pPr>
          </w:p>
        </w:tc>
        <w:tc>
          <w:tcPr>
            <w:tcW w:w="24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bottom w:val="single" w:sz="8" w:color="0000EE"/>
            </w:tcBorders>
            <w:gridSpan w:val="8"/>
          </w:tcPr>
          <w:p>
            <w:pPr>
              <w:spacing w:after="0" w:line="171" w:lineRule="exact"/>
              <w:rPr>
                <w:rFonts w:ascii="Arial" w:cs="Arial" w:eastAsia="Arial" w:hAnsi="Arial"/>
                <w:sz w:val="15"/>
                <w:szCs w:val="15"/>
                <w:color w:val="0000EE"/>
                <w:w w:val="89"/>
              </w:rPr>
            </w:pPr>
            <w:hyperlink w:anchor="page71">
              <w:r>
                <w:rPr>
                  <w:rFonts w:ascii="Arial" w:cs="Arial" w:eastAsia="Arial" w:hAnsi="Arial"/>
                  <w:sz w:val="15"/>
                  <w:szCs w:val="15"/>
                  <w:color w:val="0000EE"/>
                  <w:w w:val="89"/>
                </w:rPr>
                <w:t>Section 1350, as Adopted Pursuant</w:t>
              </w:r>
            </w:hyperlink>
          </w:p>
        </w:tc>
        <w:tc>
          <w:tcPr>
            <w:tcW w:w="24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11"/>
          </w:tcPr>
          <w:p>
            <w:pPr>
              <w:spacing w:after="0" w:line="171" w:lineRule="exact"/>
              <w:rPr>
                <w:rFonts w:ascii="Arial" w:cs="Arial" w:eastAsia="Arial" w:hAnsi="Arial"/>
                <w:sz w:val="15"/>
                <w:szCs w:val="15"/>
                <w:color w:val="0000EE"/>
              </w:rPr>
            </w:pPr>
            <w:hyperlink w:anchor="page71">
              <w:r>
                <w:rPr>
                  <w:rFonts w:ascii="Arial" w:cs="Arial" w:eastAsia="Arial" w:hAnsi="Arial"/>
                  <w:sz w:val="15"/>
                  <w:szCs w:val="15"/>
                  <w:color w:val="0000EE"/>
                </w:rPr>
                <w:t>to Section 906 of the Sarbanes-</w:t>
              </w:r>
            </w:hyperlink>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Borders>
              <w:top w:val="single" w:sz="8" w:color="0000EE"/>
            </w:tcBorders>
            <w:gridSpan w:val="5"/>
          </w:tcPr>
          <w:p>
            <w:pPr>
              <w:spacing w:after="0" w:line="171" w:lineRule="exact"/>
              <w:rPr>
                <w:rFonts w:ascii="Arial" w:cs="Arial" w:eastAsia="Arial" w:hAnsi="Arial"/>
                <w:sz w:val="15"/>
                <w:szCs w:val="15"/>
                <w:color w:val="0000EE"/>
              </w:rPr>
            </w:pPr>
            <w:hyperlink w:anchor="page71">
              <w:r>
                <w:rPr>
                  <w:rFonts w:ascii="Arial" w:cs="Arial" w:eastAsia="Arial" w:hAnsi="Arial"/>
                  <w:sz w:val="15"/>
                  <w:szCs w:val="15"/>
                  <w:color w:val="0000EE"/>
                </w:rPr>
                <w:t>Oxley Act of 2002</w:t>
              </w:r>
            </w:hyperlink>
          </w:p>
        </w:tc>
        <w:tc>
          <w:tcPr>
            <w:tcW w:w="500" w:type="dxa"/>
            <w:vAlign w:val="bottom"/>
            <w:gridSpan w:val="6"/>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line="171" w:lineRule="exact"/>
              <w:rPr>
                <w:sz w:val="20"/>
                <w:szCs w:val="20"/>
                <w:color w:val="auto"/>
              </w:rPr>
            </w:pPr>
            <w:r>
              <w:rPr>
                <w:rFonts w:ascii="Arial" w:cs="Arial" w:eastAsia="Arial" w:hAnsi="Arial"/>
                <w:sz w:val="15"/>
                <w:szCs w:val="15"/>
                <w:color w:val="auto"/>
                <w:w w:val="99"/>
              </w:rPr>
              <w:t>X</w:t>
            </w:r>
          </w:p>
        </w:tc>
      </w:tr>
      <w:tr>
        <w:trPr>
          <w:trHeight w:val="20"/>
        </w:trPr>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1"/>
        </w:trPr>
        <w:tc>
          <w:tcPr>
            <w:tcW w:w="260" w:type="dxa"/>
            <w:vAlign w:val="bottom"/>
          </w:tcPr>
          <w:p>
            <w:pPr>
              <w:spacing w:after="0" w:line="171" w:lineRule="exact"/>
              <w:rPr>
                <w:rFonts w:ascii="Arial" w:cs="Arial" w:eastAsia="Arial" w:hAnsi="Arial"/>
                <w:sz w:val="15"/>
                <w:szCs w:val="15"/>
                <w:color w:val="0000EE"/>
                <w:w w:val="82"/>
              </w:rPr>
            </w:pPr>
            <w:hyperlink w:anchor="page72">
              <w:r>
                <w:rPr>
                  <w:rFonts w:ascii="Arial" w:cs="Arial" w:eastAsia="Arial" w:hAnsi="Arial"/>
                  <w:sz w:val="15"/>
                  <w:szCs w:val="15"/>
                  <w:color w:val="0000EE"/>
                  <w:w w:val="82"/>
                </w:rPr>
                <w:t>32.</w:t>
              </w:r>
              <w:r>
                <w:rPr>
                  <w:rFonts w:ascii="Arial" w:cs="Arial" w:eastAsia="Arial" w:hAnsi="Arial"/>
                  <w:sz w:val="15"/>
                  <w:szCs w:val="15"/>
                  <w:u w:val="single" w:color="auto"/>
                  <w:color w:val="0000EE"/>
                  <w:w w:val="82"/>
                </w:rPr>
                <w:t>2</w:t>
              </w:r>
            </w:hyperlink>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11"/>
          </w:tcPr>
          <w:p>
            <w:pPr>
              <w:spacing w:after="0" w:line="171" w:lineRule="exact"/>
              <w:rPr>
                <w:rFonts w:ascii="Arial" w:cs="Arial" w:eastAsia="Arial" w:hAnsi="Arial"/>
                <w:sz w:val="15"/>
                <w:szCs w:val="15"/>
                <w:color w:val="0000EE"/>
              </w:rPr>
            </w:pPr>
            <w:hyperlink w:anchor="page72">
              <w:r>
                <w:rPr>
                  <w:rFonts w:ascii="Arial" w:cs="Arial" w:eastAsia="Arial" w:hAnsi="Arial"/>
                  <w:sz w:val="15"/>
                  <w:szCs w:val="15"/>
                  <w:color w:val="0000EE"/>
                </w:rPr>
                <w:t>Certification of Principal Financial</w:t>
              </w:r>
            </w:hyperlink>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Borders>
              <w:top w:val="single" w:sz="8" w:color="0000EE"/>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3"/>
          </w:tcPr>
          <w:p>
            <w:pPr>
              <w:spacing w:after="0" w:line="171" w:lineRule="exact"/>
              <w:rPr>
                <w:rFonts w:ascii="Arial" w:cs="Arial" w:eastAsia="Arial" w:hAnsi="Arial"/>
                <w:sz w:val="15"/>
                <w:szCs w:val="15"/>
                <w:color w:val="0000EE"/>
                <w:w w:val="91"/>
              </w:rPr>
            </w:pPr>
            <w:hyperlink w:anchor="page72">
              <w:r>
                <w:rPr>
                  <w:rFonts w:ascii="Arial" w:cs="Arial" w:eastAsia="Arial" w:hAnsi="Arial"/>
                  <w:sz w:val="15"/>
                  <w:szCs w:val="15"/>
                  <w:color w:val="0000EE"/>
                  <w:w w:val="91"/>
                </w:rPr>
                <w:t>Officer Pursuant to 18 U.S.C.</w:t>
              </w:r>
            </w:hyperlink>
          </w:p>
        </w:tc>
        <w:tc>
          <w:tcPr>
            <w:tcW w:w="320" w:type="dxa"/>
            <w:vAlign w:val="bottom"/>
            <w:tcBorders>
              <w:top w:val="single" w:sz="8" w:color="0000EE"/>
            </w:tcBorders>
            <w:gridSpan w:val="4"/>
          </w:tcPr>
          <w:p>
            <w:pPr>
              <w:spacing w:after="0"/>
              <w:rPr>
                <w:sz w:val="14"/>
                <w:szCs w:val="14"/>
                <w:color w:val="auto"/>
              </w:rPr>
            </w:pPr>
          </w:p>
        </w:tc>
        <w:tc>
          <w:tcPr>
            <w:tcW w:w="280" w:type="dxa"/>
            <w:vAlign w:val="bottom"/>
            <w:gridSpan w:val="4"/>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bottom w:val="single" w:sz="8" w:color="0000EE"/>
            </w:tcBorders>
            <w:gridSpan w:val="8"/>
          </w:tcPr>
          <w:p>
            <w:pPr>
              <w:spacing w:after="0" w:line="171" w:lineRule="exact"/>
              <w:rPr>
                <w:rFonts w:ascii="Arial" w:cs="Arial" w:eastAsia="Arial" w:hAnsi="Arial"/>
                <w:sz w:val="15"/>
                <w:szCs w:val="15"/>
                <w:color w:val="0000EE"/>
                <w:w w:val="89"/>
              </w:rPr>
            </w:pPr>
            <w:hyperlink w:anchor="page72">
              <w:r>
                <w:rPr>
                  <w:rFonts w:ascii="Arial" w:cs="Arial" w:eastAsia="Arial" w:hAnsi="Arial"/>
                  <w:sz w:val="15"/>
                  <w:szCs w:val="15"/>
                  <w:color w:val="0000EE"/>
                  <w:w w:val="89"/>
                </w:rPr>
                <w:t>Section 1350, as Adopted Pursuant</w:t>
              </w:r>
            </w:hyperlink>
          </w:p>
        </w:tc>
        <w:tc>
          <w:tcPr>
            <w:tcW w:w="24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11"/>
          </w:tcPr>
          <w:p>
            <w:pPr>
              <w:spacing w:after="0" w:line="171" w:lineRule="exact"/>
              <w:rPr>
                <w:rFonts w:ascii="Arial" w:cs="Arial" w:eastAsia="Arial" w:hAnsi="Arial"/>
                <w:sz w:val="15"/>
                <w:szCs w:val="15"/>
                <w:color w:val="0000EE"/>
              </w:rPr>
            </w:pPr>
            <w:hyperlink w:anchor="page72">
              <w:r>
                <w:rPr>
                  <w:rFonts w:ascii="Arial" w:cs="Arial" w:eastAsia="Arial" w:hAnsi="Arial"/>
                  <w:sz w:val="15"/>
                  <w:szCs w:val="15"/>
                  <w:color w:val="0000EE"/>
                </w:rPr>
                <w:t>to Section 906 of the Sarbanes-</w:t>
              </w:r>
            </w:hyperlink>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Borders>
              <w:top w:val="single" w:sz="8" w:color="0000EE"/>
            </w:tcBorders>
            <w:gridSpan w:val="5"/>
          </w:tcPr>
          <w:p>
            <w:pPr>
              <w:spacing w:after="0" w:line="171" w:lineRule="exact"/>
              <w:rPr>
                <w:rFonts w:ascii="Arial" w:cs="Arial" w:eastAsia="Arial" w:hAnsi="Arial"/>
                <w:sz w:val="15"/>
                <w:szCs w:val="15"/>
                <w:color w:val="0000EE"/>
              </w:rPr>
            </w:pPr>
            <w:hyperlink w:anchor="page72">
              <w:r>
                <w:rPr>
                  <w:rFonts w:ascii="Arial" w:cs="Arial" w:eastAsia="Arial" w:hAnsi="Arial"/>
                  <w:sz w:val="15"/>
                  <w:szCs w:val="15"/>
                  <w:color w:val="0000EE"/>
                </w:rPr>
                <w:t>Oxley Act of 2002</w:t>
              </w:r>
            </w:hyperlink>
          </w:p>
        </w:tc>
        <w:tc>
          <w:tcPr>
            <w:tcW w:w="500" w:type="dxa"/>
            <w:vAlign w:val="bottom"/>
            <w:gridSpan w:val="6"/>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line="171" w:lineRule="exact"/>
              <w:rPr>
                <w:sz w:val="20"/>
                <w:szCs w:val="20"/>
                <w:color w:val="auto"/>
              </w:rPr>
            </w:pPr>
            <w:r>
              <w:rPr>
                <w:rFonts w:ascii="Arial" w:cs="Arial" w:eastAsia="Arial" w:hAnsi="Arial"/>
                <w:sz w:val="15"/>
                <w:szCs w:val="15"/>
                <w:color w:val="auto"/>
                <w:w w:val="99"/>
              </w:rPr>
              <w:t>X</w:t>
            </w:r>
          </w:p>
        </w:tc>
      </w:tr>
      <w:tr>
        <w:trPr>
          <w:trHeight w:val="20"/>
        </w:trPr>
        <w:tc>
          <w:tcPr>
            <w:tcW w:w="1220" w:type="dxa"/>
            <w:vAlign w:val="bottom"/>
            <w:gridSpan w:val="3"/>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1"/>
        </w:trPr>
        <w:tc>
          <w:tcPr>
            <w:tcW w:w="1220" w:type="dxa"/>
            <w:vAlign w:val="bottom"/>
            <w:gridSpan w:val="3"/>
          </w:tcPr>
          <w:p>
            <w:pPr>
              <w:spacing w:after="0"/>
              <w:rPr>
                <w:sz w:val="20"/>
                <w:szCs w:val="20"/>
                <w:color w:val="auto"/>
              </w:rPr>
            </w:pPr>
            <w:r>
              <w:rPr>
                <w:rFonts w:ascii="Arial" w:cs="Arial" w:eastAsia="Arial" w:hAnsi="Arial"/>
                <w:sz w:val="15"/>
                <w:szCs w:val="15"/>
                <w:color w:val="auto"/>
              </w:rPr>
              <w:t>101.INS</w:t>
            </w:r>
          </w:p>
        </w:tc>
        <w:tc>
          <w:tcPr>
            <w:tcW w:w="2400" w:type="dxa"/>
            <w:vAlign w:val="bottom"/>
            <w:gridSpan w:val="11"/>
          </w:tcPr>
          <w:p>
            <w:pPr>
              <w:spacing w:after="0"/>
              <w:rPr>
                <w:sz w:val="20"/>
                <w:szCs w:val="20"/>
                <w:color w:val="auto"/>
              </w:rPr>
            </w:pPr>
            <w:r>
              <w:rPr>
                <w:rFonts w:ascii="Arial" w:cs="Arial" w:eastAsia="Arial" w:hAnsi="Arial"/>
                <w:sz w:val="15"/>
                <w:szCs w:val="15"/>
                <w:color w:val="auto"/>
              </w:rPr>
              <w:t>Inline XBRL Instance Document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40"/>
              <w:spacing w:after="0"/>
              <w:rPr>
                <w:sz w:val="20"/>
                <w:szCs w:val="20"/>
                <w:color w:val="auto"/>
              </w:rPr>
            </w:pPr>
            <w:r>
              <w:rPr>
                <w:rFonts w:ascii="Arial" w:cs="Arial" w:eastAsia="Arial" w:hAnsi="Arial"/>
                <w:sz w:val="15"/>
                <w:szCs w:val="15"/>
                <w:color w:val="auto"/>
              </w:rPr>
              <w:t>X</w:t>
            </w:r>
          </w:p>
        </w:tc>
        <w:tc>
          <w:tcPr>
            <w:tcW w:w="1300" w:type="dxa"/>
            <w:vAlign w:val="bottom"/>
          </w:tcPr>
          <w:p>
            <w:pPr>
              <w:spacing w:after="0"/>
              <w:rPr>
                <w:sz w:val="17"/>
                <w:szCs w:val="17"/>
                <w:color w:val="auto"/>
              </w:rPr>
            </w:pPr>
          </w:p>
        </w:tc>
      </w:tr>
      <w:tr>
        <w:trPr>
          <w:trHeight w:val="191"/>
        </w:trPr>
        <w:tc>
          <w:tcPr>
            <w:tcW w:w="1220" w:type="dxa"/>
            <w:vAlign w:val="bottom"/>
            <w:gridSpan w:val="3"/>
          </w:tcPr>
          <w:p>
            <w:pPr>
              <w:spacing w:after="0"/>
              <w:rPr>
                <w:sz w:val="20"/>
                <w:szCs w:val="20"/>
                <w:color w:val="auto"/>
              </w:rPr>
            </w:pPr>
            <w:r>
              <w:rPr>
                <w:rFonts w:ascii="Arial" w:cs="Arial" w:eastAsia="Arial" w:hAnsi="Arial"/>
                <w:sz w:val="15"/>
                <w:szCs w:val="15"/>
                <w:color w:val="auto"/>
              </w:rPr>
              <w:t>101.SCH</w:t>
            </w:r>
          </w:p>
        </w:tc>
        <w:tc>
          <w:tcPr>
            <w:tcW w:w="2400" w:type="dxa"/>
            <w:vAlign w:val="bottom"/>
            <w:gridSpan w:val="11"/>
          </w:tcPr>
          <w:p>
            <w:pPr>
              <w:spacing w:after="0"/>
              <w:rPr>
                <w:sz w:val="20"/>
                <w:szCs w:val="20"/>
                <w:color w:val="auto"/>
              </w:rPr>
            </w:pPr>
            <w:r>
              <w:rPr>
                <w:rFonts w:ascii="Arial" w:cs="Arial" w:eastAsia="Arial" w:hAnsi="Arial"/>
                <w:sz w:val="15"/>
                <w:szCs w:val="15"/>
                <w:color w:val="auto"/>
              </w:rPr>
              <w:t>Inline XBRL Taxonomy Extension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40"/>
              <w:spacing w:after="0"/>
              <w:rPr>
                <w:sz w:val="20"/>
                <w:szCs w:val="20"/>
                <w:color w:val="auto"/>
              </w:rPr>
            </w:pPr>
            <w:r>
              <w:rPr>
                <w:rFonts w:ascii="Arial" w:cs="Arial" w:eastAsia="Arial" w:hAnsi="Arial"/>
                <w:sz w:val="15"/>
                <w:szCs w:val="15"/>
                <w:color w:val="auto"/>
              </w:rPr>
              <w:t>X</w:t>
            </w:r>
          </w:p>
        </w:tc>
        <w:tc>
          <w:tcPr>
            <w:tcW w:w="1300" w:type="dxa"/>
            <w:vAlign w:val="bottom"/>
          </w:tcPr>
          <w:p>
            <w:pPr>
              <w:spacing w:after="0"/>
              <w:rPr>
                <w:sz w:val="16"/>
                <w:szCs w:val="16"/>
                <w:color w:val="auto"/>
              </w:rPr>
            </w:pPr>
          </w:p>
        </w:tc>
      </w:tr>
      <w:tr>
        <w:trPr>
          <w:trHeight w:val="191"/>
        </w:trPr>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11"/>
          </w:tcPr>
          <w:p>
            <w:pPr>
              <w:spacing w:after="0"/>
              <w:rPr>
                <w:sz w:val="20"/>
                <w:szCs w:val="20"/>
                <w:color w:val="auto"/>
              </w:rPr>
            </w:pPr>
            <w:r>
              <w:rPr>
                <w:rFonts w:ascii="Arial" w:cs="Arial" w:eastAsia="Arial" w:hAnsi="Arial"/>
                <w:sz w:val="15"/>
                <w:szCs w:val="15"/>
                <w:color w:val="auto"/>
              </w:rPr>
              <w:t>Schema Document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1220" w:type="dxa"/>
            <w:vAlign w:val="bottom"/>
            <w:gridSpan w:val="3"/>
          </w:tcPr>
          <w:p>
            <w:pPr>
              <w:spacing w:after="0"/>
              <w:rPr>
                <w:sz w:val="20"/>
                <w:szCs w:val="20"/>
                <w:color w:val="auto"/>
              </w:rPr>
            </w:pPr>
            <w:r>
              <w:rPr>
                <w:rFonts w:ascii="Arial" w:cs="Arial" w:eastAsia="Arial" w:hAnsi="Arial"/>
                <w:sz w:val="15"/>
                <w:szCs w:val="15"/>
                <w:color w:val="auto"/>
              </w:rPr>
              <w:t>101.CAL</w:t>
            </w:r>
          </w:p>
        </w:tc>
        <w:tc>
          <w:tcPr>
            <w:tcW w:w="2400" w:type="dxa"/>
            <w:vAlign w:val="bottom"/>
            <w:gridSpan w:val="11"/>
          </w:tcPr>
          <w:p>
            <w:pPr>
              <w:spacing w:after="0"/>
              <w:rPr>
                <w:sz w:val="20"/>
                <w:szCs w:val="20"/>
                <w:color w:val="auto"/>
              </w:rPr>
            </w:pPr>
            <w:r>
              <w:rPr>
                <w:rFonts w:ascii="Arial" w:cs="Arial" w:eastAsia="Arial" w:hAnsi="Arial"/>
                <w:sz w:val="15"/>
                <w:szCs w:val="15"/>
                <w:color w:val="auto"/>
              </w:rPr>
              <w:t>Inline XBRL Taxonomy Extension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40"/>
              <w:spacing w:after="0"/>
              <w:rPr>
                <w:sz w:val="20"/>
                <w:szCs w:val="20"/>
                <w:color w:val="auto"/>
              </w:rPr>
            </w:pPr>
            <w:r>
              <w:rPr>
                <w:rFonts w:ascii="Arial" w:cs="Arial" w:eastAsia="Arial" w:hAnsi="Arial"/>
                <w:sz w:val="15"/>
                <w:szCs w:val="15"/>
                <w:color w:val="auto"/>
              </w:rPr>
              <w:t>X</w:t>
            </w:r>
          </w:p>
        </w:tc>
        <w:tc>
          <w:tcPr>
            <w:tcW w:w="1300" w:type="dxa"/>
            <w:vAlign w:val="bottom"/>
          </w:tcPr>
          <w:p>
            <w:pPr>
              <w:spacing w:after="0"/>
              <w:rPr>
                <w:sz w:val="16"/>
                <w:szCs w:val="16"/>
                <w:color w:val="auto"/>
              </w:rPr>
            </w:pPr>
          </w:p>
        </w:tc>
      </w:tr>
      <w:tr>
        <w:trPr>
          <w:trHeight w:val="191"/>
        </w:trPr>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11"/>
          </w:tcPr>
          <w:p>
            <w:pPr>
              <w:spacing w:after="0"/>
              <w:rPr>
                <w:sz w:val="20"/>
                <w:szCs w:val="20"/>
                <w:color w:val="auto"/>
              </w:rPr>
            </w:pPr>
            <w:r>
              <w:rPr>
                <w:rFonts w:ascii="Arial" w:cs="Arial" w:eastAsia="Arial" w:hAnsi="Arial"/>
                <w:sz w:val="15"/>
                <w:szCs w:val="15"/>
                <w:color w:val="auto"/>
              </w:rPr>
              <w:t>Calculation Linkbase Document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1220" w:type="dxa"/>
            <w:vAlign w:val="bottom"/>
            <w:gridSpan w:val="3"/>
          </w:tcPr>
          <w:p>
            <w:pPr>
              <w:spacing w:after="0"/>
              <w:rPr>
                <w:sz w:val="20"/>
                <w:szCs w:val="20"/>
                <w:color w:val="auto"/>
              </w:rPr>
            </w:pPr>
            <w:r>
              <w:rPr>
                <w:rFonts w:ascii="Arial" w:cs="Arial" w:eastAsia="Arial" w:hAnsi="Arial"/>
                <w:sz w:val="15"/>
                <w:szCs w:val="15"/>
                <w:color w:val="auto"/>
              </w:rPr>
              <w:t>101.DEF</w:t>
            </w:r>
          </w:p>
        </w:tc>
        <w:tc>
          <w:tcPr>
            <w:tcW w:w="2400" w:type="dxa"/>
            <w:vAlign w:val="bottom"/>
            <w:gridSpan w:val="11"/>
          </w:tcPr>
          <w:p>
            <w:pPr>
              <w:spacing w:after="0"/>
              <w:rPr>
                <w:sz w:val="20"/>
                <w:szCs w:val="20"/>
                <w:color w:val="auto"/>
              </w:rPr>
            </w:pPr>
            <w:r>
              <w:rPr>
                <w:rFonts w:ascii="Arial" w:cs="Arial" w:eastAsia="Arial" w:hAnsi="Arial"/>
                <w:sz w:val="15"/>
                <w:szCs w:val="15"/>
                <w:color w:val="auto"/>
              </w:rPr>
              <w:t>Inline XBRL Taxonomy Extension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40"/>
              <w:spacing w:after="0"/>
              <w:rPr>
                <w:sz w:val="20"/>
                <w:szCs w:val="20"/>
                <w:color w:val="auto"/>
              </w:rPr>
            </w:pPr>
            <w:r>
              <w:rPr>
                <w:rFonts w:ascii="Arial" w:cs="Arial" w:eastAsia="Arial" w:hAnsi="Arial"/>
                <w:sz w:val="15"/>
                <w:szCs w:val="15"/>
                <w:color w:val="auto"/>
              </w:rPr>
              <w:t>X</w:t>
            </w:r>
          </w:p>
        </w:tc>
        <w:tc>
          <w:tcPr>
            <w:tcW w:w="1300" w:type="dxa"/>
            <w:vAlign w:val="bottom"/>
          </w:tcPr>
          <w:p>
            <w:pPr>
              <w:spacing w:after="0"/>
              <w:rPr>
                <w:sz w:val="16"/>
                <w:szCs w:val="16"/>
                <w:color w:val="auto"/>
              </w:rPr>
            </w:pPr>
          </w:p>
        </w:tc>
      </w:tr>
      <w:tr>
        <w:trPr>
          <w:trHeight w:val="191"/>
        </w:trPr>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11"/>
          </w:tcPr>
          <w:p>
            <w:pPr>
              <w:spacing w:after="0"/>
              <w:rPr>
                <w:sz w:val="20"/>
                <w:szCs w:val="20"/>
                <w:color w:val="auto"/>
              </w:rPr>
            </w:pPr>
            <w:r>
              <w:rPr>
                <w:rFonts w:ascii="Arial" w:cs="Arial" w:eastAsia="Arial" w:hAnsi="Arial"/>
                <w:sz w:val="15"/>
                <w:szCs w:val="15"/>
                <w:color w:val="auto"/>
              </w:rPr>
              <w:t>Definition Linkbase Document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1220" w:type="dxa"/>
            <w:vAlign w:val="bottom"/>
            <w:gridSpan w:val="3"/>
          </w:tcPr>
          <w:p>
            <w:pPr>
              <w:spacing w:after="0"/>
              <w:rPr>
                <w:sz w:val="20"/>
                <w:szCs w:val="20"/>
                <w:color w:val="auto"/>
              </w:rPr>
            </w:pPr>
            <w:r>
              <w:rPr>
                <w:rFonts w:ascii="Arial" w:cs="Arial" w:eastAsia="Arial" w:hAnsi="Arial"/>
                <w:sz w:val="15"/>
                <w:szCs w:val="15"/>
                <w:color w:val="auto"/>
              </w:rPr>
              <w:t>101.LAB</w:t>
            </w:r>
          </w:p>
        </w:tc>
        <w:tc>
          <w:tcPr>
            <w:tcW w:w="2400" w:type="dxa"/>
            <w:vAlign w:val="bottom"/>
            <w:gridSpan w:val="11"/>
          </w:tcPr>
          <w:p>
            <w:pPr>
              <w:spacing w:after="0"/>
              <w:rPr>
                <w:sz w:val="20"/>
                <w:szCs w:val="20"/>
                <w:color w:val="auto"/>
              </w:rPr>
            </w:pPr>
            <w:r>
              <w:rPr>
                <w:rFonts w:ascii="Arial" w:cs="Arial" w:eastAsia="Arial" w:hAnsi="Arial"/>
                <w:sz w:val="15"/>
                <w:szCs w:val="15"/>
                <w:color w:val="auto"/>
              </w:rPr>
              <w:t>Inline XBRL Taxonomy Extension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40"/>
              <w:spacing w:after="0"/>
              <w:rPr>
                <w:sz w:val="20"/>
                <w:szCs w:val="20"/>
                <w:color w:val="auto"/>
              </w:rPr>
            </w:pPr>
            <w:r>
              <w:rPr>
                <w:rFonts w:ascii="Arial" w:cs="Arial" w:eastAsia="Arial" w:hAnsi="Arial"/>
                <w:sz w:val="15"/>
                <w:szCs w:val="15"/>
                <w:color w:val="auto"/>
              </w:rPr>
              <w:t>X</w:t>
            </w:r>
          </w:p>
        </w:tc>
        <w:tc>
          <w:tcPr>
            <w:tcW w:w="1300" w:type="dxa"/>
            <w:vAlign w:val="bottom"/>
          </w:tcPr>
          <w:p>
            <w:pPr>
              <w:spacing w:after="0"/>
              <w:rPr>
                <w:sz w:val="16"/>
                <w:szCs w:val="16"/>
                <w:color w:val="auto"/>
              </w:rPr>
            </w:pPr>
          </w:p>
        </w:tc>
      </w:tr>
      <w:tr>
        <w:trPr>
          <w:trHeight w:val="191"/>
        </w:trPr>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11"/>
          </w:tcPr>
          <w:p>
            <w:pPr>
              <w:spacing w:after="0"/>
              <w:rPr>
                <w:sz w:val="20"/>
                <w:szCs w:val="20"/>
                <w:color w:val="auto"/>
              </w:rPr>
            </w:pPr>
            <w:r>
              <w:rPr>
                <w:rFonts w:ascii="Arial" w:cs="Arial" w:eastAsia="Arial" w:hAnsi="Arial"/>
                <w:sz w:val="15"/>
                <w:szCs w:val="15"/>
                <w:color w:val="auto"/>
              </w:rPr>
              <w:t>Label Linkbase Document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1220" w:type="dxa"/>
            <w:vAlign w:val="bottom"/>
            <w:gridSpan w:val="3"/>
          </w:tcPr>
          <w:p>
            <w:pPr>
              <w:spacing w:after="0"/>
              <w:rPr>
                <w:sz w:val="20"/>
                <w:szCs w:val="20"/>
                <w:color w:val="auto"/>
              </w:rPr>
            </w:pPr>
            <w:r>
              <w:rPr>
                <w:rFonts w:ascii="Arial" w:cs="Arial" w:eastAsia="Arial" w:hAnsi="Arial"/>
                <w:sz w:val="15"/>
                <w:szCs w:val="15"/>
                <w:color w:val="auto"/>
              </w:rPr>
              <w:t>101.PRE</w:t>
            </w:r>
          </w:p>
        </w:tc>
        <w:tc>
          <w:tcPr>
            <w:tcW w:w="2400" w:type="dxa"/>
            <w:vAlign w:val="bottom"/>
            <w:gridSpan w:val="11"/>
          </w:tcPr>
          <w:p>
            <w:pPr>
              <w:spacing w:after="0"/>
              <w:rPr>
                <w:sz w:val="20"/>
                <w:szCs w:val="20"/>
                <w:color w:val="auto"/>
              </w:rPr>
            </w:pPr>
            <w:r>
              <w:rPr>
                <w:rFonts w:ascii="Arial" w:cs="Arial" w:eastAsia="Arial" w:hAnsi="Arial"/>
                <w:sz w:val="15"/>
                <w:szCs w:val="15"/>
                <w:color w:val="auto"/>
              </w:rPr>
              <w:t>Inline XBRL Taxonomy Extension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40"/>
              <w:spacing w:after="0"/>
              <w:rPr>
                <w:sz w:val="20"/>
                <w:szCs w:val="20"/>
                <w:color w:val="auto"/>
              </w:rPr>
            </w:pPr>
            <w:r>
              <w:rPr>
                <w:rFonts w:ascii="Arial" w:cs="Arial" w:eastAsia="Arial" w:hAnsi="Arial"/>
                <w:sz w:val="15"/>
                <w:szCs w:val="15"/>
                <w:color w:val="auto"/>
              </w:rPr>
              <w:t>X</w:t>
            </w:r>
          </w:p>
        </w:tc>
        <w:tc>
          <w:tcPr>
            <w:tcW w:w="1300" w:type="dxa"/>
            <w:vAlign w:val="bottom"/>
          </w:tcPr>
          <w:p>
            <w:pPr>
              <w:spacing w:after="0"/>
              <w:rPr>
                <w:sz w:val="16"/>
                <w:szCs w:val="16"/>
                <w:color w:val="auto"/>
              </w:rPr>
            </w:pPr>
          </w:p>
        </w:tc>
      </w:tr>
      <w:tr>
        <w:trPr>
          <w:trHeight w:val="194"/>
        </w:trPr>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11"/>
          </w:tcPr>
          <w:p>
            <w:pPr>
              <w:spacing w:after="0"/>
              <w:rPr>
                <w:sz w:val="20"/>
                <w:szCs w:val="20"/>
                <w:color w:val="auto"/>
              </w:rPr>
            </w:pPr>
            <w:r>
              <w:rPr>
                <w:rFonts w:ascii="Arial" w:cs="Arial" w:eastAsia="Arial" w:hAnsi="Arial"/>
                <w:sz w:val="15"/>
                <w:szCs w:val="15"/>
                <w:color w:val="auto"/>
              </w:rPr>
              <w:t>Presentation Linkbase Document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1280" w:right="5759" w:hanging="1229"/>
        <w:spacing w:after="0" w:line="306" w:lineRule="auto"/>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565594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67" w:name="page68"/>
    <w:bookmarkEnd w:id="6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left="40" w:right="519" w:firstLine="610"/>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5880" w:type="dxa"/>
            <w:vAlign w:val="bottom"/>
            <w:gridSpan w:val="2"/>
          </w:tcPr>
          <w:p>
            <w:pPr>
              <w:ind w:left="1420"/>
              <w:spacing w:after="0"/>
              <w:rPr>
                <w:sz w:val="20"/>
                <w:szCs w:val="20"/>
                <w:color w:val="auto"/>
              </w:rPr>
            </w:pPr>
            <w:r>
              <w:rPr>
                <w:rFonts w:ascii="Arial" w:cs="Arial" w:eastAsia="Arial" w:hAnsi="Arial"/>
                <w:sz w:val="17"/>
                <w:szCs w:val="17"/>
                <w:color w:val="auto"/>
              </w:rPr>
              <w:t>Vertex, Inc.</w:t>
            </w:r>
          </w:p>
        </w:tc>
      </w:tr>
      <w:tr>
        <w:trPr>
          <w:trHeight w:val="407"/>
        </w:trPr>
        <w:tc>
          <w:tcPr>
            <w:tcW w:w="3020" w:type="dxa"/>
            <w:vAlign w:val="bottom"/>
          </w:tcPr>
          <w:p>
            <w:pPr>
              <w:spacing w:after="0"/>
              <w:rPr>
                <w:sz w:val="20"/>
                <w:szCs w:val="20"/>
                <w:color w:val="auto"/>
              </w:rPr>
            </w:pPr>
            <w:r>
              <w:rPr>
                <w:rFonts w:ascii="Arial" w:cs="Arial" w:eastAsia="Arial" w:hAnsi="Arial"/>
                <w:sz w:val="17"/>
                <w:szCs w:val="17"/>
                <w:color w:val="auto"/>
              </w:rPr>
              <w:t>Date: November 12, 2021</w:t>
            </w:r>
          </w:p>
        </w:tc>
        <w:tc>
          <w:tcPr>
            <w:tcW w:w="5880" w:type="dxa"/>
            <w:vAlign w:val="bottom"/>
            <w:gridSpan w:val="2"/>
          </w:tcPr>
          <w:p>
            <w:pPr>
              <w:ind w:left="1420"/>
              <w:spacing w:after="0"/>
              <w:rPr>
                <w:sz w:val="20"/>
                <w:szCs w:val="20"/>
                <w:color w:val="auto"/>
              </w:rPr>
            </w:pPr>
            <w:r>
              <w:rPr>
                <w:rFonts w:ascii="Arial" w:cs="Arial" w:eastAsia="Arial" w:hAnsi="Arial"/>
                <w:sz w:val="17"/>
                <w:szCs w:val="17"/>
                <w:color w:val="auto"/>
              </w:rPr>
              <w:t>By:/s/ David DeStefano</w:t>
            </w:r>
          </w:p>
        </w:tc>
      </w:tr>
      <w:tr>
        <w:trPr>
          <w:trHeight w:val="184"/>
        </w:trPr>
        <w:tc>
          <w:tcPr>
            <w:tcW w:w="3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David DeStefano</w:t>
            </w:r>
          </w:p>
        </w:tc>
      </w:tr>
      <w:tr>
        <w:trPr>
          <w:trHeight w:val="203"/>
        </w:trPr>
        <w:tc>
          <w:tcPr>
            <w:tcW w:w="3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i w:val="1"/>
                <w:iCs w:val="1"/>
                <w:color w:val="auto"/>
              </w:rPr>
              <w:t>President, Chief Executive Officer and Chairperson</w:t>
            </w:r>
          </w:p>
        </w:tc>
      </w:tr>
      <w:tr>
        <w:trPr>
          <w:trHeight w:val="215"/>
        </w:trPr>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r>
        <w:trPr>
          <w:trHeight w:val="407"/>
        </w:trPr>
        <w:tc>
          <w:tcPr>
            <w:tcW w:w="3020" w:type="dxa"/>
            <w:vAlign w:val="bottom"/>
          </w:tcPr>
          <w:p>
            <w:pPr>
              <w:spacing w:after="0"/>
              <w:rPr>
                <w:sz w:val="20"/>
                <w:szCs w:val="20"/>
                <w:color w:val="auto"/>
              </w:rPr>
            </w:pPr>
            <w:r>
              <w:rPr>
                <w:rFonts w:ascii="Arial" w:cs="Arial" w:eastAsia="Arial" w:hAnsi="Arial"/>
                <w:sz w:val="17"/>
                <w:szCs w:val="17"/>
                <w:color w:val="auto"/>
              </w:rPr>
              <w:t>Date: November 12, 2021</w:t>
            </w:r>
          </w:p>
        </w:tc>
        <w:tc>
          <w:tcPr>
            <w:tcW w:w="5880" w:type="dxa"/>
            <w:vAlign w:val="bottom"/>
            <w:gridSpan w:val="2"/>
          </w:tcPr>
          <w:p>
            <w:pPr>
              <w:ind w:left="1420"/>
              <w:spacing w:after="0"/>
              <w:rPr>
                <w:sz w:val="20"/>
                <w:szCs w:val="20"/>
                <w:color w:val="auto"/>
              </w:rPr>
            </w:pPr>
            <w:r>
              <w:rPr>
                <w:rFonts w:ascii="Arial" w:cs="Arial" w:eastAsia="Arial" w:hAnsi="Arial"/>
                <w:sz w:val="17"/>
                <w:szCs w:val="17"/>
                <w:color w:val="auto"/>
              </w:rPr>
              <w:t>By:/s/ John Schwab</w:t>
            </w:r>
          </w:p>
        </w:tc>
      </w:tr>
      <w:tr>
        <w:trPr>
          <w:trHeight w:val="184"/>
        </w:trPr>
        <w:tc>
          <w:tcPr>
            <w:tcW w:w="3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John Schwab</w:t>
            </w:r>
          </w:p>
        </w:tc>
      </w:tr>
      <w:tr>
        <w:trPr>
          <w:trHeight w:val="215"/>
        </w:trPr>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i w:val="1"/>
                <w:iCs w:val="1"/>
                <w:color w:val="auto"/>
              </w:rPr>
              <w:t>Chief Financial Officer (principal financial officer)</w:t>
            </w:r>
          </w:p>
        </w:tc>
      </w:tr>
      <w:tr>
        <w:trPr>
          <w:trHeight w:val="826"/>
        </w:trPr>
        <w:tc>
          <w:tcPr>
            <w:tcW w:w="3020" w:type="dxa"/>
            <w:vAlign w:val="bottom"/>
          </w:tcPr>
          <w:p>
            <w:pPr>
              <w:spacing w:after="0"/>
              <w:rPr>
                <w:sz w:val="24"/>
                <w:szCs w:val="24"/>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-68-</w:t>
            </w:r>
          </w:p>
        </w:tc>
        <w:tc>
          <w:tcPr>
            <w:tcW w:w="4200" w:type="dxa"/>
            <w:vAlign w:val="bottom"/>
          </w:tcPr>
          <w:p>
            <w:pPr>
              <w:spacing w:after="0"/>
              <w:rPr>
                <w:sz w:val="24"/>
                <w:szCs w:val="24"/>
                <w:color w:val="auto"/>
              </w:rPr>
            </w:pPr>
          </w:p>
        </w:tc>
      </w:tr>
      <w:tr>
        <w:trPr>
          <w:trHeight w:val="514"/>
        </w:trPr>
        <w:tc>
          <w:tcPr>
            <w:tcW w:w="3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6"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 David DeStefano, certify that:</w:t>
      </w:r>
    </w:p>
    <w:p>
      <w:pPr>
        <w:spacing w:after="0" w:line="211" w:lineRule="exact"/>
        <w:rPr>
          <w:sz w:val="20"/>
          <w:szCs w:val="20"/>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Vertex, Inc.;</w:t>
      </w:r>
    </w:p>
    <w:p>
      <w:pPr>
        <w:spacing w:after="0" w:line="211" w:lineRule="exact"/>
        <w:rPr>
          <w:rFonts w:ascii="Arial" w:cs="Arial" w:eastAsia="Arial" w:hAnsi="Arial"/>
          <w:sz w:val="17"/>
          <w:szCs w:val="17"/>
          <w:color w:val="auto"/>
        </w:rPr>
      </w:pPr>
    </w:p>
    <w:p>
      <w:pPr>
        <w:jc w:val="both"/>
        <w:ind w:left="620" w:right="20" w:hanging="312"/>
        <w:spacing w:after="0" w:line="261"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7"/>
          <w:szCs w:val="17"/>
          <w:color w:val="auto"/>
        </w:rPr>
      </w:pPr>
    </w:p>
    <w:p>
      <w:pPr>
        <w:ind w:left="620" w:right="20" w:hanging="312"/>
        <w:spacing w:after="0" w:line="341"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5"/>
          <w:szCs w:val="15"/>
          <w:color w:val="auto"/>
        </w:rPr>
      </w:pPr>
    </w:p>
    <w:p>
      <w:pPr>
        <w:ind w:left="620" w:right="20" w:hanging="312"/>
        <w:spacing w:after="0" w:line="273"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7"/>
          <w:szCs w:val="17"/>
          <w:color w:val="auto"/>
        </w:rPr>
      </w:pPr>
    </w:p>
    <w:p>
      <w:pPr>
        <w:jc w:val="both"/>
        <w:ind w:left="1220" w:right="20" w:hanging="302"/>
        <w:spacing w:after="0" w:line="285"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6"/>
          <w:szCs w:val="16"/>
          <w:color w:val="auto"/>
        </w:rPr>
      </w:pPr>
    </w:p>
    <w:p>
      <w:pPr>
        <w:jc w:val="both"/>
        <w:ind w:left="1220" w:hanging="302"/>
        <w:spacing w:after="0" w:line="261" w:lineRule="auto"/>
        <w:tabs>
          <w:tab w:leader="none" w:pos="12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1220" w:hanging="302"/>
        <w:spacing w:after="0" w:line="285"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6"/>
          <w:szCs w:val="16"/>
          <w:color w:val="auto"/>
        </w:rPr>
      </w:pPr>
    </w:p>
    <w:p>
      <w:pPr>
        <w:jc w:val="both"/>
        <w:ind w:left="620" w:hanging="312"/>
        <w:spacing w:after="0" w:line="261"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jc w:val="both"/>
        <w:ind w:left="1220" w:hanging="302"/>
        <w:spacing w:after="0" w:line="261" w:lineRule="auto"/>
        <w:tabs>
          <w:tab w:leader="none" w:pos="12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7"/>
          <w:szCs w:val="17"/>
          <w:color w:val="auto"/>
        </w:rPr>
      </w:pPr>
    </w:p>
    <w:p>
      <w:pPr>
        <w:ind w:left="1220" w:right="20" w:hanging="302"/>
        <w:spacing w:after="0" w:line="273" w:lineRule="auto"/>
        <w:tabs>
          <w:tab w:leader="none" w:pos="12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tabs>
          <w:tab w:leader="none" w:pos="4960" w:val="left"/>
        </w:tabs>
        <w:rPr>
          <w:sz w:val="20"/>
          <w:szCs w:val="20"/>
          <w:color w:val="auto"/>
        </w:rPr>
      </w:pPr>
      <w:r>
        <w:rPr>
          <w:rFonts w:ascii="Arial" w:cs="Arial" w:eastAsia="Arial" w:hAnsi="Arial"/>
          <w:sz w:val="17"/>
          <w:szCs w:val="17"/>
          <w:color w:val="auto"/>
        </w:rPr>
        <w:t>Date: November 12, 2021</w:t>
      </w:r>
      <w:r>
        <w:rPr>
          <w:sz w:val="20"/>
          <w:szCs w:val="20"/>
          <w:color w:val="auto"/>
        </w:rPr>
        <w:tab/>
      </w:r>
      <w:r>
        <w:rPr>
          <w:rFonts w:ascii="Arial" w:cs="Arial" w:eastAsia="Arial" w:hAnsi="Arial"/>
          <w:sz w:val="15"/>
          <w:szCs w:val="15"/>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12700</wp:posOffset>
            </wp:positionV>
            <wp:extent cx="29527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52750" cy="8255"/>
                    </a:xfrm>
                    <a:prstGeom prst="rect">
                      <a:avLst/>
                    </a:prstGeom>
                    <a:noFill/>
                  </pic:spPr>
                </pic:pic>
              </a:graphicData>
            </a:graphic>
          </wp:anchor>
        </w:drawing>
      </w:r>
    </w:p>
    <w:p>
      <w:pPr>
        <w:spacing w:after="0" w:line="1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David DeStefano</w:t>
      </w:r>
    </w:p>
    <w:p>
      <w:pPr>
        <w:spacing w:after="0" w:line="1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Chief Executive Officer</w:t>
      </w:r>
    </w:p>
    <w:p>
      <w:pPr>
        <w:spacing w:after="0" w:line="8"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457200</wp:posOffset>
            </wp:positionV>
            <wp:extent cx="6301105"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110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 John Schwab, certify that:</w:t>
      </w:r>
    </w:p>
    <w:p>
      <w:pPr>
        <w:spacing w:after="0" w:line="211" w:lineRule="exact"/>
        <w:rPr>
          <w:sz w:val="20"/>
          <w:szCs w:val="20"/>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Vertex, Inc.;</w:t>
      </w:r>
    </w:p>
    <w:p>
      <w:pPr>
        <w:spacing w:after="0" w:line="223" w:lineRule="exact"/>
        <w:rPr>
          <w:rFonts w:ascii="Arial" w:cs="Arial" w:eastAsia="Arial" w:hAnsi="Arial"/>
          <w:sz w:val="17"/>
          <w:szCs w:val="17"/>
          <w:color w:val="auto"/>
        </w:rPr>
      </w:pPr>
    </w:p>
    <w:p>
      <w:pPr>
        <w:jc w:val="both"/>
        <w:ind w:left="620" w:right="20" w:hanging="312"/>
        <w:spacing w:after="0" w:line="261"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left="620" w:right="20" w:hanging="312"/>
        <w:spacing w:after="0" w:line="341"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5"/>
          <w:szCs w:val="15"/>
          <w:color w:val="auto"/>
        </w:rPr>
      </w:pPr>
    </w:p>
    <w:p>
      <w:pPr>
        <w:ind w:left="620" w:right="20" w:hanging="312"/>
        <w:spacing w:after="0" w:line="273"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77" w:lineRule="exact"/>
        <w:rPr>
          <w:rFonts w:ascii="Arial" w:cs="Arial" w:eastAsia="Arial" w:hAnsi="Arial"/>
          <w:sz w:val="17"/>
          <w:szCs w:val="17"/>
          <w:color w:val="auto"/>
        </w:rPr>
      </w:pPr>
    </w:p>
    <w:p>
      <w:pPr>
        <w:jc w:val="both"/>
        <w:ind w:left="1220" w:right="20" w:hanging="302"/>
        <w:spacing w:after="0" w:line="285"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jc w:val="both"/>
        <w:ind w:left="1220" w:hanging="302"/>
        <w:spacing w:after="0" w:line="261" w:lineRule="auto"/>
        <w:tabs>
          <w:tab w:leader="none" w:pos="12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7"/>
          <w:szCs w:val="17"/>
          <w:color w:val="auto"/>
        </w:rPr>
      </w:pPr>
    </w:p>
    <w:p>
      <w:pPr>
        <w:jc w:val="both"/>
        <w:ind w:left="1220" w:hanging="302"/>
        <w:spacing w:after="0" w:line="285"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jc w:val="both"/>
        <w:ind w:left="620" w:hanging="312"/>
        <w:spacing w:after="0" w:line="261"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jc w:val="both"/>
        <w:ind w:left="1220" w:hanging="302"/>
        <w:spacing w:after="0" w:line="261" w:lineRule="auto"/>
        <w:tabs>
          <w:tab w:leader="none" w:pos="12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7"/>
          <w:szCs w:val="17"/>
          <w:color w:val="auto"/>
        </w:rPr>
      </w:pPr>
    </w:p>
    <w:p>
      <w:pPr>
        <w:ind w:left="1220" w:right="20" w:hanging="302"/>
        <w:spacing w:after="0" w:line="273" w:lineRule="auto"/>
        <w:tabs>
          <w:tab w:leader="none" w:pos="12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4960" w:val="left"/>
        </w:tabs>
        <w:rPr>
          <w:sz w:val="20"/>
          <w:szCs w:val="20"/>
          <w:color w:val="auto"/>
        </w:rPr>
      </w:pPr>
      <w:r>
        <w:rPr>
          <w:rFonts w:ascii="Arial" w:cs="Arial" w:eastAsia="Arial" w:hAnsi="Arial"/>
          <w:sz w:val="17"/>
          <w:szCs w:val="17"/>
          <w:color w:val="auto"/>
        </w:rPr>
        <w:t>Date: November 12, 2021</w:t>
      </w:r>
      <w:r>
        <w:rPr>
          <w:sz w:val="20"/>
          <w:szCs w:val="20"/>
          <w:color w:val="auto"/>
        </w:rPr>
        <w:tab/>
      </w:r>
      <w:r>
        <w:rPr>
          <w:rFonts w:ascii="Arial" w:cs="Arial" w:eastAsia="Arial" w:hAnsi="Arial"/>
          <w:sz w:val="15"/>
          <w:szCs w:val="15"/>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12700</wp:posOffset>
            </wp:positionV>
            <wp:extent cx="2952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52750" cy="8255"/>
                    </a:xfrm>
                    <a:prstGeom prst="rect">
                      <a:avLst/>
                    </a:prstGeom>
                    <a:noFill/>
                  </pic:spPr>
                </pic:pic>
              </a:graphicData>
            </a:graphic>
          </wp:anchor>
        </w:drawing>
      </w:r>
    </w:p>
    <w:p>
      <w:pPr>
        <w:spacing w:after="0" w:line="1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John Schwab</w:t>
      </w:r>
    </w:p>
    <w:p>
      <w:pPr>
        <w:spacing w:after="0" w:line="1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Chief Financial Officer</w:t>
      </w:r>
    </w:p>
    <w:p>
      <w:pPr>
        <w:spacing w:after="0" w:line="8"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457200</wp:posOffset>
            </wp:positionV>
            <wp:extent cx="6301105"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110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0" w:name="page71"/>
    <w:bookmarkEnd w:id="70"/>
    <w:p>
      <w:pPr>
        <w:ind w:left="9060"/>
        <w:spacing w:after="0"/>
        <w:rPr>
          <w:sz w:val="20"/>
          <w:szCs w:val="20"/>
          <w:color w:val="auto"/>
        </w:rPr>
      </w:pPr>
      <w:r>
        <w:rPr>
          <w:rFonts w:ascii="Arial" w:cs="Arial" w:eastAsia="Arial" w:hAnsi="Arial"/>
          <w:sz w:val="15"/>
          <w:szCs w:val="15"/>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8"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9"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In connection with the Quarterly Report on Form 10-Q of Vertex, Inc. (the “Company”) for the period ended September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220" w:right="60" w:hanging="302"/>
        <w:spacing w:after="0" w:line="273" w:lineRule="auto"/>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0" w:lineRule="exact"/>
        <w:rPr>
          <w:rFonts w:ascii="Arial" w:cs="Arial" w:eastAsia="Arial" w:hAnsi="Arial"/>
          <w:sz w:val="17"/>
          <w:szCs w:val="17"/>
          <w:color w:val="auto"/>
        </w:rPr>
      </w:pPr>
    </w:p>
    <w:p>
      <w:pPr>
        <w:ind w:left="1220" w:right="40" w:hanging="302"/>
        <w:spacing w:after="0" w:line="273" w:lineRule="auto"/>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20"/>
                <w:szCs w:val="20"/>
                <w:color w:val="auto"/>
              </w:rPr>
            </w:pPr>
            <w:r>
              <w:rPr>
                <w:rFonts w:ascii="Arial" w:cs="Arial" w:eastAsia="Arial" w:hAnsi="Arial"/>
                <w:sz w:val="17"/>
                <w:szCs w:val="17"/>
                <w:color w:val="auto"/>
              </w:rPr>
              <w:t>Date: November 12, 2021</w:t>
            </w:r>
          </w:p>
        </w:tc>
        <w:tc>
          <w:tcPr>
            <w:tcW w:w="6580" w:type="dxa"/>
            <w:vAlign w:val="bottom"/>
            <w:gridSpan w:val="2"/>
          </w:tcPr>
          <w:p>
            <w:pPr>
              <w:ind w:left="1580"/>
              <w:spacing w:after="0"/>
              <w:rPr>
                <w:sz w:val="20"/>
                <w:szCs w:val="20"/>
                <w:color w:val="auto"/>
              </w:rPr>
            </w:pPr>
            <w:r>
              <w:rPr>
                <w:rFonts w:ascii="Arial" w:cs="Arial" w:eastAsia="Arial" w:hAnsi="Arial"/>
                <w:sz w:val="17"/>
                <w:szCs w:val="17"/>
                <w:color w:val="auto"/>
              </w:rPr>
              <w:t>By:  /s/ David DeStefano</w:t>
            </w:r>
          </w:p>
        </w:tc>
      </w:tr>
      <w:tr>
        <w:trPr>
          <w:trHeight w:val="172"/>
        </w:trPr>
        <w:tc>
          <w:tcPr>
            <w:tcW w:w="3340" w:type="dxa"/>
            <w:vAlign w:val="bottom"/>
          </w:tcPr>
          <w:p>
            <w:pPr>
              <w:spacing w:after="0"/>
              <w:rPr>
                <w:sz w:val="14"/>
                <w:szCs w:val="14"/>
                <w:color w:val="auto"/>
              </w:rPr>
            </w:pPr>
          </w:p>
        </w:tc>
        <w:tc>
          <w:tcPr>
            <w:tcW w:w="1940" w:type="dxa"/>
            <w:vAlign w:val="bottom"/>
          </w:tcPr>
          <w:p>
            <w:pPr>
              <w:ind w:left="1580"/>
              <w:spacing w:after="0" w:line="172" w:lineRule="exact"/>
              <w:rPr>
                <w:sz w:val="20"/>
                <w:szCs w:val="20"/>
                <w:color w:val="auto"/>
              </w:rPr>
            </w:pPr>
            <w:r>
              <w:rPr>
                <w:rFonts w:ascii="Arial" w:cs="Arial" w:eastAsia="Arial" w:hAnsi="Arial"/>
                <w:sz w:val="17"/>
                <w:szCs w:val="17"/>
                <w:color w:val="auto"/>
                <w:w w:val="78"/>
              </w:rPr>
              <w:t>David</w:t>
            </w:r>
          </w:p>
        </w:tc>
        <w:tc>
          <w:tcPr>
            <w:tcW w:w="464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7"/>
                <w:szCs w:val="17"/>
                <w:color w:val="auto"/>
              </w:rPr>
              <w:t>DeStefano</w:t>
            </w:r>
          </w:p>
        </w:tc>
      </w:tr>
      <w:tr>
        <w:trPr>
          <w:trHeight w:val="203"/>
        </w:trPr>
        <w:tc>
          <w:tcPr>
            <w:tcW w:w="3340" w:type="dxa"/>
            <w:vAlign w:val="bottom"/>
          </w:tcPr>
          <w:p>
            <w:pPr>
              <w:spacing w:after="0"/>
              <w:rPr>
                <w:sz w:val="17"/>
                <w:szCs w:val="17"/>
                <w:color w:val="auto"/>
              </w:rPr>
            </w:pPr>
          </w:p>
        </w:tc>
        <w:tc>
          <w:tcPr>
            <w:tcW w:w="6580" w:type="dxa"/>
            <w:vAlign w:val="bottom"/>
            <w:gridSpan w:val="2"/>
          </w:tcPr>
          <w:p>
            <w:pPr>
              <w:ind w:left="1580"/>
              <w:spacing w:after="0"/>
              <w:rPr>
                <w:sz w:val="20"/>
                <w:szCs w:val="20"/>
                <w:color w:val="auto"/>
              </w:rPr>
            </w:pPr>
            <w:r>
              <w:rPr>
                <w:rFonts w:ascii="Arial" w:cs="Arial" w:eastAsia="Arial" w:hAnsi="Arial"/>
                <w:sz w:val="17"/>
                <w:szCs w:val="17"/>
                <w:color w:val="auto"/>
              </w:rPr>
              <w:t>Chief Executive Officer</w:t>
            </w:r>
          </w:p>
        </w:tc>
      </w:tr>
      <w:tr>
        <w:trPr>
          <w:trHeight w:val="215"/>
        </w:trPr>
        <w:tc>
          <w:tcPr>
            <w:tcW w:w="3340" w:type="dxa"/>
            <w:vAlign w:val="bottom"/>
          </w:tcPr>
          <w:p>
            <w:pPr>
              <w:spacing w:after="0"/>
              <w:rPr>
                <w:sz w:val="18"/>
                <w:szCs w:val="18"/>
                <w:color w:val="auto"/>
              </w:rPr>
            </w:pPr>
          </w:p>
        </w:tc>
        <w:tc>
          <w:tcPr>
            <w:tcW w:w="6580" w:type="dxa"/>
            <w:vAlign w:val="bottom"/>
            <w:gridSpan w:val="2"/>
          </w:tcPr>
          <w:p>
            <w:pPr>
              <w:ind w:left="1580"/>
              <w:spacing w:after="0"/>
              <w:rPr>
                <w:sz w:val="20"/>
                <w:szCs w:val="20"/>
                <w:color w:val="auto"/>
              </w:rPr>
            </w:pPr>
            <w:r>
              <w:rPr>
                <w:rFonts w:ascii="Arial" w:cs="Arial" w:eastAsia="Arial" w:hAnsi="Arial"/>
                <w:sz w:val="17"/>
                <w:szCs w:val="17"/>
                <w:i w:val="1"/>
                <w:iCs w:val="1"/>
                <w:color w:val="auto"/>
              </w:rPr>
              <w:t>(principal executive officer)</w:t>
            </w:r>
          </w:p>
        </w:tc>
      </w:tr>
      <w:tr>
        <w:trPr>
          <w:trHeight w:val="730"/>
        </w:trPr>
        <w:tc>
          <w:tcPr>
            <w:tcW w:w="3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71" w:name="page72"/>
    <w:bookmarkEnd w:id="71"/>
    <w:p>
      <w:pPr>
        <w:ind w:left="9060"/>
        <w:spacing w:after="0"/>
        <w:rPr>
          <w:sz w:val="20"/>
          <w:szCs w:val="20"/>
          <w:color w:val="auto"/>
        </w:rPr>
      </w:pPr>
      <w:r>
        <w:rPr>
          <w:rFonts w:ascii="Arial" w:cs="Arial" w:eastAsia="Arial" w:hAnsi="Arial"/>
          <w:sz w:val="15"/>
          <w:szCs w:val="15"/>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8"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In connection with the Quarterly Report on Form 10-Q of Vertex, Inc. (the “Company”) for the period ended September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220" w:right="20" w:hanging="302"/>
        <w:spacing w:after="0" w:line="273"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0" w:lineRule="exact"/>
        <w:rPr>
          <w:rFonts w:ascii="Arial" w:cs="Arial" w:eastAsia="Arial" w:hAnsi="Arial"/>
          <w:sz w:val="17"/>
          <w:szCs w:val="17"/>
          <w:color w:val="auto"/>
        </w:rPr>
      </w:pPr>
    </w:p>
    <w:p>
      <w:pPr>
        <w:ind w:left="1220" w:hanging="302"/>
        <w:spacing w:after="0" w:line="273"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20"/>
                <w:szCs w:val="20"/>
                <w:color w:val="auto"/>
              </w:rPr>
            </w:pPr>
            <w:r>
              <w:rPr>
                <w:rFonts w:ascii="Arial" w:cs="Arial" w:eastAsia="Arial" w:hAnsi="Arial"/>
                <w:sz w:val="17"/>
                <w:szCs w:val="17"/>
                <w:color w:val="auto"/>
              </w:rPr>
              <w:t>Date: November 12, 2021</w:t>
            </w:r>
          </w:p>
        </w:tc>
        <w:tc>
          <w:tcPr>
            <w:tcW w:w="6580" w:type="dxa"/>
            <w:vAlign w:val="bottom"/>
            <w:gridSpan w:val="3"/>
          </w:tcPr>
          <w:p>
            <w:pPr>
              <w:ind w:left="1620"/>
              <w:spacing w:after="0"/>
              <w:rPr>
                <w:sz w:val="20"/>
                <w:szCs w:val="20"/>
                <w:color w:val="auto"/>
              </w:rPr>
            </w:pPr>
            <w:r>
              <w:rPr>
                <w:rFonts w:ascii="Arial" w:cs="Arial" w:eastAsia="Arial" w:hAnsi="Arial"/>
                <w:sz w:val="17"/>
                <w:szCs w:val="17"/>
                <w:color w:val="auto"/>
              </w:rPr>
              <w:t>By: /s/ John Schwab</w:t>
            </w:r>
          </w:p>
        </w:tc>
      </w:tr>
      <w:tr>
        <w:trPr>
          <w:trHeight w:val="172"/>
        </w:trPr>
        <w:tc>
          <w:tcPr>
            <w:tcW w:w="3360" w:type="dxa"/>
            <w:vAlign w:val="bottom"/>
          </w:tcPr>
          <w:p>
            <w:pPr>
              <w:spacing w:after="0"/>
              <w:rPr>
                <w:sz w:val="14"/>
                <w:szCs w:val="14"/>
                <w:color w:val="auto"/>
              </w:rPr>
            </w:pPr>
          </w:p>
        </w:tc>
        <w:tc>
          <w:tcPr>
            <w:tcW w:w="1900" w:type="dxa"/>
            <w:vAlign w:val="bottom"/>
          </w:tcPr>
          <w:p>
            <w:pPr>
              <w:ind w:left="1620"/>
              <w:spacing w:after="0" w:line="172" w:lineRule="exact"/>
              <w:rPr>
                <w:sz w:val="20"/>
                <w:szCs w:val="20"/>
                <w:color w:val="auto"/>
              </w:rPr>
            </w:pPr>
            <w:r>
              <w:rPr>
                <w:rFonts w:ascii="Arial" w:cs="Arial" w:eastAsia="Arial" w:hAnsi="Arial"/>
                <w:sz w:val="17"/>
                <w:szCs w:val="17"/>
                <w:color w:val="auto"/>
                <w:w w:val="70"/>
              </w:rPr>
              <w:t>John</w:t>
            </w:r>
          </w:p>
        </w:tc>
        <w:tc>
          <w:tcPr>
            <w:tcW w:w="466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Schwab</w:t>
            </w:r>
          </w:p>
        </w:tc>
        <w:tc>
          <w:tcPr>
            <w:tcW w:w="20" w:type="dxa"/>
            <w:vAlign w:val="bottom"/>
          </w:tcPr>
          <w:p>
            <w:pPr>
              <w:spacing w:after="0"/>
              <w:rPr>
                <w:sz w:val="14"/>
                <w:szCs w:val="14"/>
                <w:color w:val="auto"/>
              </w:rPr>
            </w:pPr>
          </w:p>
        </w:tc>
      </w:tr>
      <w:tr>
        <w:trPr>
          <w:trHeight w:val="203"/>
        </w:trPr>
        <w:tc>
          <w:tcPr>
            <w:tcW w:w="3360" w:type="dxa"/>
            <w:vAlign w:val="bottom"/>
          </w:tcPr>
          <w:p>
            <w:pPr>
              <w:spacing w:after="0"/>
              <w:rPr>
                <w:sz w:val="17"/>
                <w:szCs w:val="17"/>
                <w:color w:val="auto"/>
              </w:rPr>
            </w:pPr>
          </w:p>
        </w:tc>
        <w:tc>
          <w:tcPr>
            <w:tcW w:w="6580" w:type="dxa"/>
            <w:vAlign w:val="bottom"/>
            <w:gridSpan w:val="3"/>
          </w:tcPr>
          <w:p>
            <w:pPr>
              <w:ind w:left="1620"/>
              <w:spacing w:after="0"/>
              <w:rPr>
                <w:sz w:val="20"/>
                <w:szCs w:val="20"/>
                <w:color w:val="auto"/>
              </w:rPr>
            </w:pPr>
            <w:r>
              <w:rPr>
                <w:rFonts w:ascii="Arial" w:cs="Arial" w:eastAsia="Arial" w:hAnsi="Arial"/>
                <w:sz w:val="17"/>
                <w:szCs w:val="17"/>
                <w:color w:val="auto"/>
              </w:rPr>
              <w:t>Chief Financial Officer</w:t>
            </w:r>
          </w:p>
        </w:tc>
      </w:tr>
      <w:tr>
        <w:trPr>
          <w:trHeight w:val="215"/>
        </w:trPr>
        <w:tc>
          <w:tcPr>
            <w:tcW w:w="3360" w:type="dxa"/>
            <w:vAlign w:val="bottom"/>
          </w:tcPr>
          <w:p>
            <w:pPr>
              <w:spacing w:after="0"/>
              <w:rPr>
                <w:sz w:val="18"/>
                <w:szCs w:val="18"/>
                <w:color w:val="auto"/>
              </w:rPr>
            </w:pPr>
          </w:p>
        </w:tc>
        <w:tc>
          <w:tcPr>
            <w:tcW w:w="6580" w:type="dxa"/>
            <w:vAlign w:val="bottom"/>
            <w:gridSpan w:val="3"/>
          </w:tcPr>
          <w:p>
            <w:pPr>
              <w:ind w:left="1620"/>
              <w:spacing w:after="0"/>
              <w:rPr>
                <w:sz w:val="20"/>
                <w:szCs w:val="20"/>
                <w:color w:val="auto"/>
              </w:rPr>
            </w:pPr>
            <w:r>
              <w:rPr>
                <w:rFonts w:ascii="Arial" w:cs="Arial" w:eastAsia="Arial" w:hAnsi="Arial"/>
                <w:sz w:val="17"/>
                <w:szCs w:val="17"/>
                <w:i w:val="1"/>
                <w:iCs w:val="1"/>
                <w:color w:val="auto"/>
              </w:rPr>
              <w:t>(principal financial officer)</w:t>
            </w:r>
          </w:p>
        </w:tc>
      </w:tr>
      <w:tr>
        <w:trPr>
          <w:trHeight w:val="730"/>
        </w:trPr>
        <w:tc>
          <w:tcPr>
            <w:tcW w:w="3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Roman"/>
      <w:start w:val="4"/>
    </w:lvl>
  </w:abstractNum>
  <w:abstractNum w:abstractNumId="5">
    <w:nsid w:val="6B68079A"/>
    <w:multiLevelType w:val="hybridMultilevel"/>
    <w:lvl w:ilvl="0">
      <w:lvlJc w:val="left"/>
      <w:lvlText w:val="(%1)"/>
      <w:numFmt w:val="lowerRoman"/>
      <w:start w:val="8"/>
    </w:lvl>
  </w:abstractNum>
  <w:abstractNum w:abstractNumId="6">
    <w:nsid w:val="4E6AFB66"/>
    <w:multiLevelType w:val="hybridMultilevel"/>
    <w:lvl w:ilvl="0">
      <w:lvlJc w:val="left"/>
      <w:lvlText w:val="(%1)"/>
      <w:numFmt w:val="lowerRoman"/>
      <w:start w:val="13"/>
    </w:lvl>
  </w:abstractNum>
  <w:abstractNum w:abstractNumId="7">
    <w:nsid w:val="25E45D32"/>
    <w:multiLevelType w:val="hybridMultilevel"/>
    <w:lvl w:ilvl="0">
      <w:lvlJc w:val="left"/>
      <w:lvlText w:val="%1."/>
      <w:numFmt w:val="decimal"/>
      <w:start w:val="2"/>
    </w:lvl>
  </w:abstractNum>
  <w:abstractNum w:abstractNumId="8">
    <w:nsid w:val="519B500D"/>
    <w:multiLevelType w:val="hybridMultilevel"/>
    <w:lvl w:ilvl="0">
      <w:lvlJc w:val="left"/>
      <w:lvlText w:val="%1."/>
      <w:numFmt w:val="decimal"/>
      <w:start w:val="3"/>
    </w:lvl>
  </w:abstractNum>
  <w:abstractNum w:abstractNumId="9">
    <w:nsid w:val="431BD7B7"/>
    <w:multiLevelType w:val="hybridMultilevel"/>
    <w:lvl w:ilvl="0">
      <w:lvlJc w:val="left"/>
      <w:lvlText w:val="%1."/>
      <w:numFmt w:val="decimal"/>
      <w:start w:val="4"/>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6"/>
    </w:lvl>
  </w:abstractNum>
  <w:abstractNum w:abstractNumId="13">
    <w:nsid w:val="62BBD95A"/>
    <w:multiLevelType w:val="hybridMultilevel"/>
    <w:lvl w:ilvl="0">
      <w:lvlJc w:val="left"/>
      <w:lvlText w:val="%1."/>
      <w:numFmt w:val="decimal"/>
      <w:start w:val="8"/>
    </w:lvl>
  </w:abstractNum>
  <w:abstractNum w:abstractNumId="14">
    <w:nsid w:val="436C6125"/>
    <w:multiLevelType w:val="hybridMultilevel"/>
    <w:lvl w:ilvl="0">
      <w:lvlJc w:val="left"/>
      <w:lvlText w:val="%1."/>
      <w:numFmt w:val="decimal"/>
      <w:start w:val="9"/>
    </w:lvl>
  </w:abstractNum>
  <w:abstractNum w:abstractNumId="15">
    <w:nsid w:val="628C895D"/>
    <w:multiLevelType w:val="hybridMultilevel"/>
    <w:lvl w:ilvl="0">
      <w:lvlJc w:val="left"/>
      <w:lvlText w:val="%1."/>
      <w:numFmt w:val="decimal"/>
      <w:start w:val="10"/>
    </w:lvl>
  </w:abstractNum>
  <w:abstractNum w:abstractNumId="16">
    <w:nsid w:val="333AB105"/>
    <w:multiLevelType w:val="hybridMultilevel"/>
    <w:lvl w:ilvl="0">
      <w:lvlJc w:val="left"/>
      <w:lvlText w:val="%1."/>
      <w:numFmt w:val="decimal"/>
      <w:start w:val="11"/>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1"/>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2021-11-12T11:01:49Z</dcterms:created>
  <dcterms:modified xsi:type="dcterms:W3CDTF">2021-11-12T11:01:49Z</dcterms:modified>
</cp:coreProperties>
</file>