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verx-20260803x8k.htm"/>
      <w:bookmarkStart w:id="1" w:name="ksverx2026080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e257c21e_0f7e_4c34_bb83_100a0bd4c93a"/>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3, 2026</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VERTEX, INC.</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VcubDNk9y0iQzHPQWfF5mA_2_4"/>
      <w:bookmarkStart w:id="4" w:name="Tc_rcH0ioCSlke9ZMBJEmbv4w_2_2"/>
      <w:bookmarkStart w:id="5" w:name="Tc_AqwdAInJPEGNksQDDnytkg_2_0"/>
      <w:bookmarkStart w:id="6" w:name="_233f6246_8f6b_4e3f_acd6_02742e5d4713"/>
      <w:bookmarkStart w:id="7" w:name="Tc_VcubDNk9y0iQzHPQWfF5mA_2_4"/>
      <w:bookmarkStart w:id="8" w:name="Tc_rcH0ioCSlke9ZMBJEmbv4w_2_2"/>
      <w:bookmarkStart w:id="9" w:name="Tc_AqwdAInJPEGNksQDDnytkg_2_0"/>
      <w:bookmarkStart w:id="10" w:name="_233f6246_8f6b_4e3f_acd6_02742e5d4713"/>
      <w:bookmarkEnd w:id="7"/>
      <w:bookmarkEnd w:id="8"/>
      <w:bookmarkEnd w:id="9"/>
      <w:bookmarkEnd w:id="10"/>
    </w:p>
    <w:tbl>
      <w:tblPr>
        <w:tblW w:w="6560" w:type="dxa"/>
        <w:jc w:val="left"/>
        <w:tblInd w:w="0" w:type="dxa"/>
        <w:tblLayout w:type="fixed"/>
        <w:tblCellMar>
          <w:top w:w="0" w:type="dxa"/>
          <w:left w:w="0" w:type="dxa"/>
          <w:bottom w:w="0" w:type="dxa"/>
          <w:right w:w="0" w:type="dxa"/>
        </w:tblCellMar>
      </w:tblPr>
      <w:tblGrid>
        <w:gridCol w:w="2956"/>
        <w:gridCol w:w="346"/>
        <w:gridCol w:w="1231"/>
        <w:gridCol w:w="346"/>
        <w:gridCol w:w="16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001-39413</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23-2081753</w:t>
            </w:r>
          </w:p>
        </w:tc>
      </w:tr>
      <w:tr>
        <w:trPr/>
        <w:tc>
          <w:tcPr>
            <w:tcW w:w="29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 or organization)</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w:t>
            </w:r>
            <w:r>
              <w:rPr>
                <w:rFonts w:ascii="Times New Roman;Times;serif" w:hAnsi="Times New Roman;Times;serif"/>
                <w:sz w:val="20"/>
              </w:rPr>
              <w:br/>
            </w:r>
            <w:r>
              <w:rPr>
                <w:rFonts w:ascii="Times New Roman;Times;serif" w:hAnsi="Times New Roman;Times;serif"/>
                <w:b/>
                <w:sz w:val="20"/>
              </w:rPr>
              <w:t>File Number)</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2301 Renaissance Blvd.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King of Prussia, Pennsylvania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 355-3500</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include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Soliciting material pursuant to Rule 14a-12 under the Exchange Act (17 CFR 240.14a-12)</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osspGGFn1kyOXfGWxDjqNg_0_4"/>
      <w:bookmarkStart w:id="12" w:name="Tc_wrj7tRTQ4kSOA-l2N2k3vw_0_2"/>
      <w:bookmarkStart w:id="13" w:name="Tc_w736t11ZlUOWfB-XxdxaeA_0_0"/>
      <w:bookmarkStart w:id="14" w:name="_032a4741_b07f_4de6_a912_85895ddf51d8"/>
      <w:bookmarkStart w:id="15" w:name="Tc_osspGGFn1kyOXfGWxDjqNg_0_4"/>
      <w:bookmarkStart w:id="16" w:name="Tc_wrj7tRTQ4kSOA-l2N2k3vw_0_2"/>
      <w:bookmarkStart w:id="17" w:name="Tc_w736t11ZlUOWfB-XxdxaeA_0_0"/>
      <w:bookmarkStart w:id="18" w:name="_032a4741_b07f_4de6_a912_85895ddf51d8"/>
      <w:bookmarkEnd w:id="15"/>
      <w:bookmarkEnd w:id="16"/>
      <w:bookmarkEnd w:id="17"/>
      <w:bookmarkEnd w:id="18"/>
    </w:p>
    <w:tbl>
      <w:tblPr>
        <w:tblW w:w="10205" w:type="dxa"/>
        <w:jc w:val="left"/>
        <w:tblInd w:w="0" w:type="dxa"/>
        <w:tblLayout w:type="fixed"/>
        <w:tblCellMar>
          <w:top w:w="0" w:type="dxa"/>
          <w:left w:w="0" w:type="dxa"/>
          <w:bottom w:w="28" w:type="dxa"/>
          <w:right w:w="0" w:type="dxa"/>
        </w:tblCellMar>
      </w:tblPr>
      <w:tblGrid>
        <w:gridCol w:w="4160"/>
        <w:gridCol w:w="286"/>
        <w:gridCol w:w="1669"/>
        <w:gridCol w:w="346"/>
        <w:gridCol w:w="3744"/>
      </w:tblGrid>
      <w:tr>
        <w:trPr/>
        <w:tc>
          <w:tcPr>
            <w:tcW w:w="41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bottom w:val="single" w:sz="2" w:space="0" w:color="000000"/>
            </w:tcBorders>
            <w:vAlign w:val="center"/>
          </w:tcPr>
          <w:p>
            <w:pPr>
              <w:pStyle w:val="TableContents"/>
              <w:bidi w:val="0"/>
              <w:spacing w:before="0" w:after="0"/>
              <w:ind w:left="0" w:right="0" w:hanging="0"/>
              <w:jc w:val="center"/>
              <w:rPr/>
            </w:pPr>
            <w:r>
              <w:rPr/>
              <w:t>  ​ ​</w:t>
            </w:r>
          </w:p>
        </w:tc>
        <w:tc>
          <w:tcPr>
            <w:tcW w:w="166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74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6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$0.001 par value per share</w:t>
            </w:r>
          </w:p>
        </w:tc>
        <w:tc>
          <w:tcPr>
            <w:tcW w:w="286" w:type="dxa"/>
            <w:tcBorders/>
            <w:tcMar>
              <w:bottom w:w="0" w:type="dxa"/>
            </w:tcMar>
            <w:vAlign w:val="center"/>
          </w:tcPr>
          <w:p>
            <w:pPr>
              <w:pStyle w:val="TableContents"/>
              <w:bidi w:val="0"/>
              <w:spacing w:before="0" w:after="240"/>
              <w:ind w:left="0" w:right="0" w:hanging="0"/>
              <w:jc w:val="center"/>
              <w:rPr/>
            </w:pPr>
            <w:r>
              <w:rPr/>
              <w:t>​</w:t>
            </w:r>
          </w:p>
        </w:tc>
        <w:tc>
          <w:tcPr>
            <w:tcW w:w="1669"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VERX</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3744"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Emerging growth company ☐ </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 w:name="_95ed4715_bbdd_42b8_9141_6237d3744c0a"/>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 2026, Vertex, Inc. (the “Company”) issued a press release announcing its financial results for the second quarter ended June 30, 2026. A copy of the press release is furnished as Exhibit 99.1 to this Current Report on Form 8-K.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0" w:after="240"/>
        <w:ind w:left="0" w:right="0" w:hanging="0"/>
        <w:jc w:val="left"/>
        <w:rPr>
          <w:rFonts w:ascii="Times New Roman;Times;serif" w:hAnsi="Times New Roman;Times;serif"/>
          <w:b/>
          <w:sz w:val="20"/>
        </w:rPr>
      </w:pPr>
      <w:bookmarkStart w:id="20" w:name="_527834b9_f5e2_4b78_a1ff_e6f670877e16"/>
      <w:bookmarkEnd w:id="20"/>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 relating to Item 2.02 shall be deemed to be furnished, and not filed:</w:t>
      </w:r>
    </w:p>
    <w:p>
      <w:pPr>
        <w:pStyle w:val="TextBody"/>
        <w:bidi w:val="0"/>
        <w:spacing w:before="0" w:after="240"/>
        <w:ind w:left="0" w:right="0" w:hanging="0"/>
        <w:jc w:val="left"/>
        <w:rPr/>
      </w:pPr>
      <w:r>
        <w:rPr/>
        <w:t>​</w:t>
      </w:r>
    </w:p>
    <w:tbl>
      <w:tblPr>
        <w:tblW w:w="8553" w:type="dxa"/>
        <w:jc w:val="left"/>
        <w:tblInd w:w="0" w:type="dxa"/>
        <w:tblLayout w:type="fixed"/>
        <w:tblCellMar>
          <w:top w:w="0" w:type="dxa"/>
          <w:left w:w="0" w:type="dxa"/>
          <w:bottom w:w="28" w:type="dxa"/>
          <w:right w:w="0" w:type="dxa"/>
        </w:tblCellMar>
      </w:tblPr>
      <w:tblGrid>
        <w:gridCol w:w="751"/>
        <w:gridCol w:w="346"/>
        <w:gridCol w:w="7456"/>
      </w:tblGrid>
      <w:tr>
        <w:trPr/>
        <w:tc>
          <w:tcPr>
            <w:tcW w:w="75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745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cMar>
              <w:bottom w:w="0" w:type="dxa"/>
            </w:tcMar>
            <w:vAlign w:val="center"/>
          </w:tcPr>
          <w:p>
            <w:pPr>
              <w:pStyle w:val="TableContents"/>
              <w:bidi w:val="0"/>
              <w:spacing w:before="0" w:after="0"/>
              <w:ind w:left="0" w:right="0" w:hanging="0"/>
              <w:jc w:val="center"/>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7456"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 </w:t>
            </w:r>
          </w:p>
        </w:tc>
      </w:tr>
      <w:tr>
        <w:trPr/>
        <w:tc>
          <w:tcPr>
            <w:tcW w:w="7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7456" w:type="dxa"/>
            <w:tcBorders/>
            <w:tcMar>
              <w:bottom w:w="0" w:type="dxa"/>
            </w:tcMar>
            <w:vAlign w:val="center"/>
          </w:tcPr>
          <w:p>
            <w:pPr>
              <w:pStyle w:val="TableContents"/>
              <w:bidi w:val="0"/>
              <w:spacing w:before="0" w:after="0"/>
              <w:ind w:left="0" w:right="0" w:hanging="0"/>
              <w:jc w:val="left"/>
              <w:rPr/>
            </w:pPr>
            <w:hyperlink w:anchor="verx-20260803xex99d1.htm">
              <w:r>
                <w:rPr>
                  <w:rStyle w:val="InternetLink"/>
                  <w:rFonts w:ascii="Times New Roman;Times;serif" w:hAnsi="Times New Roman;Times;serif"/>
                  <w:b w:val="false"/>
                  <w:i w:val="false"/>
                  <w:caps w:val="false"/>
                  <w:smallCaps w:val="false"/>
                  <w:sz w:val="20"/>
                </w:rPr>
                <w:t>Press Release dated August 3, 2026</w:t>
              </w:r>
            </w:hyperlink>
            <w:hyperlink w:anchor="verx-20260803xex99d1.htm">
              <w:r>
                <w:rPr>
                  <w:rStyle w:val="InternetLink"/>
                  <w:rFonts w:ascii="Times New Roman;Times;serif" w:hAnsi="Times New Roman;Times;serif"/>
                  <w:caps w:val="false"/>
                  <w:smallCaps w:val="false"/>
                  <w:sz w:val="20"/>
                </w:rPr>
                <w:t xml:space="preserve"> </w:t>
              </w:r>
            </w:hyperlink>
          </w:p>
        </w:tc>
      </w:tr>
      <w:tr>
        <w:trPr/>
        <w:tc>
          <w:tcPr>
            <w:tcW w:w="7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21" w:name="_6075f5be_0625_48c4_ad26_e834018f8413"/>
      <w:bookmarkEnd w:id="21"/>
      <w:r>
        <w:rPr>
          <w:rFonts w:ascii="Times New Roman;Times;serif" w:hAnsi="Times New Roman;Times;serif"/>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1846"/>
        <w:gridCol w:w="631"/>
        <w:gridCol w:w="26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8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64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Rowland</w:t>
            </w:r>
          </w:p>
        </w:tc>
      </w:tr>
      <w:tr>
        <w:trPr/>
        <w:tc>
          <w:tcPr>
            <w:tcW w:w="18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Rowland</w:t>
            </w:r>
          </w:p>
        </w:tc>
      </w:tr>
      <w:tr>
        <w:trPr/>
        <w:tc>
          <w:tcPr>
            <w:tcW w:w="18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22" w:name="verx-20260803xex99d1.htm"/>
      <w:bookmarkStart w:id="23" w:name="ksverx20260803xex99d1"/>
      <w:bookmarkEnd w:id="22"/>
      <w:bookmarkEnd w:id="23"/>
      <w:r>
        <w:rPr/>
        <w:t>​</w:t>
      </w:r>
      <w:r>
        <w:br w:type="page"/>
      </w:r>
    </w:p>
    <w:p>
      <w:pPr>
        <w:pStyle w:val="TextBody"/>
        <w:bidi w:val="0"/>
        <w:spacing w:lineRule="auto" w:line="285" w:before="0" w:after="12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40"/>
        <w:ind w:left="0" w:right="0" w:hanging="0"/>
        <w:jc w:val="center"/>
        <w:rPr/>
      </w:pPr>
      <w:r>
        <w:rPr/>
        <w:drawing>
          <wp:inline distT="0" distB="0" distL="0" distR="0">
            <wp:extent cx="2147570" cy="561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147570" cy="561975"/>
                    </a:xfrm>
                    <a:prstGeom prst="rect">
                      <a:avLst/>
                    </a:prstGeom>
                  </pic:spPr>
                </pic:pic>
              </a:graphicData>
            </a:graphic>
          </wp:inline>
        </w:drawing>
      </w:r>
    </w:p>
    <w:p>
      <w:pPr>
        <w:pStyle w:val="TextBody"/>
        <w:bidi w:val="0"/>
        <w:spacing w:lineRule="auto" w:line="343" w:before="0" w:after="240"/>
        <w:ind w:left="0" w:right="0" w:hanging="0"/>
        <w:jc w:val="center"/>
        <w:rPr>
          <w:rFonts w:ascii="Times New Roman;Times;serif" w:hAnsi="Times New Roman;Times;serif"/>
          <w:b/>
          <w:sz w:val="24"/>
        </w:rPr>
      </w:pPr>
      <w:r>
        <w:rPr>
          <w:rFonts w:ascii="Times New Roman;Times;serif" w:hAnsi="Times New Roman;Times;serif"/>
          <w:b/>
          <w:sz w:val="24"/>
        </w:rPr>
        <w:t xml:space="preserve">Vertex Announces Second Quarter 2026 Financial Results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KING OF PRUSSIA, PA – August 3, 2026: Vertex, Inc. (NASDAQ: VERX) (“Vertex” or the “Company”), the Decision-to-Defense™ global indirect tax and compliance company, today announced financial results for its second quarter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Vertex delivered solid second-quarter results, with revenue at the high end of our guidance and adjusted EBITDA exceeding our expectations,” said Christopher Young, President and Chief Executive Officer. “The quarter demonstrated the durability of our business and the earnings leverage we can generate through greater operating focus and discipline. Customer retention remained stable, and e-invoicing momentum improved as enterprises prepare for expanding global mandates and seek more comprehensive compliance solutions.”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We are making tangible progress in the transformation of Vertex. Our “AI-First” strategy is beginning to improve the speed and efficiency of selected engineering and customer-delivery workflows, and we have strengthened our leadership team to accelerate product innovation, operational execution, and growth. While we have more work to do, we enter the second half with a stronger operating foundation and clear opportunities to create additional value for customers and stockholders.”</w:t>
      </w:r>
    </w:p>
    <w:p>
      <w:pPr>
        <w:pStyle w:val="TextBody"/>
        <w:bidi w:val="0"/>
        <w:spacing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Second Quarter 2026 Financial Results</w:t>
      </w:r>
    </w:p>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of $204.0 million, up 10.5% year-over-year.</w:t>
            </w:r>
          </w:p>
        </w:tc>
      </w:tr>
    </w:tbl>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 revenues of $174.8 million, up 10.7% year-over-year.</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Cloud revenues of $101.7 million, up 17.9% year-over-year. </w:t>
            </w:r>
          </w:p>
        </w:tc>
      </w:tr>
    </w:tbl>
    <w:tbl>
      <w:tblPr>
        <w:tblW w:w="6978" w:type="dxa"/>
        <w:jc w:val="left"/>
        <w:tblInd w:w="0" w:type="dxa"/>
        <w:tblLayout w:type="fixed"/>
        <w:tblCellMar>
          <w:top w:w="0" w:type="dxa"/>
          <w:left w:w="0" w:type="dxa"/>
          <w:bottom w:w="0" w:type="dxa"/>
          <w:right w:w="0" w:type="dxa"/>
        </w:tblCellMar>
      </w:tblPr>
      <w:tblGrid>
        <w:gridCol w:w="23"/>
        <w:gridCol w:w="17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Annual Recurring Revenue</w:t>
            </w:r>
            <w:r>
              <w:rPr>
                <w:caps w:val="false"/>
                <w:smallCaps w:val="false"/>
              </w:rPr>
              <w:t xml:space="preserve"> </w:t>
            </w:r>
            <w:r>
              <w:rPr>
                <w:rFonts w:ascii="Times New Roman;Times;serif" w:hAnsi="Times New Roman;Times;serif"/>
                <w:b w:val="false"/>
                <w:i w:val="false"/>
                <w:caps w:val="false"/>
                <w:smallCaps w:val="false"/>
                <w:sz w:val="20"/>
              </w:rPr>
              <w:t xml:space="preserve">(“ARR”) was $703.4 million, up 10.5% year-over-year.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Annual Revenue per direct customer (“AARPC”) was $142,997 at June 30, 2026, compared to $130,934 at June 30, 2025, and $140,464 at March 31, 2026.</w:t>
            </w:r>
          </w:p>
        </w:tc>
      </w:tr>
    </w:tbl>
    <w:tbl>
      <w:tblPr>
        <w:tblW w:w="9228" w:type="dxa"/>
        <w:jc w:val="left"/>
        <w:tblInd w:w="0" w:type="dxa"/>
        <w:tblLayout w:type="fixed"/>
        <w:tblCellMar>
          <w:top w:w="0" w:type="dxa"/>
          <w:left w:w="0" w:type="dxa"/>
          <w:bottom w:w="0" w:type="dxa"/>
          <w:right w:w="0" w:type="dxa"/>
        </w:tblCellMar>
      </w:tblPr>
      <w:tblGrid>
        <w:gridCol w:w="23"/>
        <w:gridCol w:w="170"/>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Retention (“NRR”) was 105%, compared to 108% at June 30, 2025, and 105% at March 31, 2026.</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Revenue Retention (“GRR”) was 95%, consistent with June 30, 2025 and March 31, 2026.</w:t>
            </w:r>
          </w:p>
        </w:tc>
      </w:tr>
    </w:tbl>
    <w:tbl>
      <w:tblPr>
        <w:tblW w:w="8283" w:type="dxa"/>
        <w:jc w:val="left"/>
        <w:tblInd w:w="0" w:type="dxa"/>
        <w:tblLayout w:type="fixed"/>
        <w:tblCellMar>
          <w:top w:w="0" w:type="dxa"/>
          <w:left w:w="0" w:type="dxa"/>
          <w:bottom w:w="0" w:type="dxa"/>
          <w:right w:w="0" w:type="dxa"/>
        </w:tblCellMar>
      </w:tblPr>
      <w:tblGrid>
        <w:gridCol w:w="23"/>
        <w:gridCol w:w="170"/>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of $4.4 million, compared to $3.9 million for the same period in the prior year.</w:t>
            </w:r>
          </w:p>
        </w:tc>
      </w:tr>
    </w:tbl>
    <w:tbl>
      <w:tblPr>
        <w:tblW w:w="9183" w:type="dxa"/>
        <w:jc w:val="left"/>
        <w:tblInd w:w="0" w:type="dxa"/>
        <w:tblLayout w:type="fixed"/>
        <w:tblCellMar>
          <w:top w:w="0" w:type="dxa"/>
          <w:left w:w="0" w:type="dxa"/>
          <w:bottom w:w="0" w:type="dxa"/>
          <w:right w:w="0" w:type="dxa"/>
        </w:tblCellMar>
      </w:tblPr>
      <w:tblGrid>
        <w:gridCol w:w="23"/>
        <w:gridCol w:w="170"/>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of $44.3 million, compared to $32.2 million for the same period in the prior year.</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(loss) of $9.0 million, compared to $(1.0) million for the same period in the prior year.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basic and diluted Class A and Class B shares of $0.06, compared to net loss per basic and diluted Class A and Class B shares of $0.01 for the same period in the prior year.</w:t>
            </w:r>
          </w:p>
        </w:tc>
      </w:tr>
    </w:tbl>
    <w:tbl>
      <w:tblPr>
        <w:tblW w:w="8313" w:type="dxa"/>
        <w:jc w:val="left"/>
        <w:tblInd w:w="0" w:type="dxa"/>
        <w:tblLayout w:type="fixed"/>
        <w:tblCellMar>
          <w:top w:w="0" w:type="dxa"/>
          <w:left w:w="0" w:type="dxa"/>
          <w:bottom w:w="0" w:type="dxa"/>
          <w:right w:w="0" w:type="dxa"/>
        </w:tblCellMar>
      </w:tblPr>
      <w:tblGrid>
        <w:gridCol w:w="23"/>
        <w:gridCol w:w="170"/>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of $33.3 million and Non-GAAP diluted earnings per share (“EPS”) of $0.20.</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$51.0 million, compared to $38.4 million for the same period in the prior year. Adjusted EBITDA margin of 25.0%, compared to 20.8% for the same period in the prior year.</w:t>
            </w:r>
          </w:p>
        </w:tc>
      </w:tr>
    </w:tbl>
    <w:p>
      <w:pPr>
        <w:pStyle w:val="TextBody"/>
        <w:bidi w:val="0"/>
        <w:spacing w:lineRule="auto" w:line="343" w:before="0" w:after="240"/>
        <w:ind w:left="360" w:right="0" w:hanging="0"/>
        <w:jc w:val="both"/>
        <w:rPr/>
      </w:pPr>
      <w:r>
        <w:rPr/>
        <w:t>​</w:t>
      </w:r>
    </w:p>
    <w:p>
      <w:pPr>
        <w:pStyle w:val="TextBody"/>
        <w:bidi w:val="0"/>
        <w:spacing w:lineRule="auto" w:line="300" w:before="0" w:after="0"/>
        <w:ind w:left="0" w:right="0" w:hanging="0"/>
        <w:jc w:val="both"/>
        <w:rPr>
          <w:rFonts w:ascii="Times New Roman;Times;serif" w:hAnsi="Times New Roman;Times;serif"/>
          <w:sz w:val="20"/>
        </w:rPr>
      </w:pPr>
      <w:r>
        <w:rPr>
          <w:rFonts w:ascii="Times New Roman;Times;serif" w:hAnsi="Times New Roman;Times;serif"/>
          <w:sz w:val="20"/>
        </w:rPr>
        <w:t xml:space="preserve">Definitions of certain key business metrics and the non-GAAP financial measures used in this press release and reconciliations of such measures to the most directly comparable GAAP financial measures are included below under the headings “Definitions of Certain Key Business Metrics” and “Use and Reconciliation of Non-GAAP Financial Measures.” </w:t>
      </w:r>
    </w:p>
    <w:p>
      <w:pPr>
        <w:pStyle w:val="TextBody"/>
        <w:bidi w:val="0"/>
        <w:spacing w:lineRule="auto" w:line="300" w:before="0" w:after="0"/>
        <w:ind w:left="0" w:right="0" w:hanging="0"/>
        <w:jc w:val="both"/>
        <w:rPr/>
      </w:pPr>
      <w:r>
        <w:rPr/>
        <w:t>​</w:t>
      </w:r>
    </w:p>
    <w:p>
      <w:pPr>
        <w:pStyle w:val="TextBody"/>
        <w:bidi w:val="0"/>
        <w:spacing w:lineRule="auto" w:line="30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Financial Outlook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third quarter of 2026, the Company currently expects:</w:t>
      </w:r>
    </w:p>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$208.0 million to $211.0 million; and</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$55.0 million to $57.0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full-year 2026, the Company currently expects:</w:t>
      </w:r>
    </w:p>
    <w:tbl>
      <w:tblPr>
        <w:tblW w:w="4008" w:type="dxa"/>
        <w:jc w:val="left"/>
        <w:tblInd w:w="0" w:type="dxa"/>
        <w:tblLayout w:type="fixed"/>
        <w:tblCellMar>
          <w:top w:w="0" w:type="dxa"/>
          <w:left w:w="0" w:type="dxa"/>
          <w:bottom w:w="0" w:type="dxa"/>
          <w:right w:w="0" w:type="dxa"/>
        </w:tblCellMar>
      </w:tblPr>
      <w:tblGrid>
        <w:gridCol w:w="23"/>
        <w:gridCol w:w="17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$825.0 million to $830.0 million;</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Cloud revenue growth of 18%; and </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$206.0 million to $210.0 million.</w:t>
            </w:r>
          </w:p>
        </w:tc>
      </w:tr>
    </w:tbl>
    <w:p>
      <w:pPr>
        <w:pStyle w:val="TextBody"/>
        <w:bidi w:val="0"/>
        <w:spacing w:before="0" w:after="0"/>
        <w:ind w:left="36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John Schwab, Chief Financial Officer added, “Our second quarter performance reflects solid execution against our strategic and financial objectives. The consistency of our first-half results and the strength of our operating model increased our confidence in the full year, allowing us to narrow our revenue guidance range while raising our adjusted EBITDA outlook. We continue to focus on balancing growth investments with operating discipline, which we expect to result in expanding profitability and stronger cash generation in the third and fourth quarters.”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unable to reconcile forward-looking Adjusted EBITDA to net income (loss), the most directly comparable GAAP financial measure, without unreasonable efforts because the Company is currently unable to predict with a reasonable degree of certainty the type and extent of certain items that would be expected to impact net income (loss) for these periods but would not impact Adjusted EBITDA. Such items may include stock-based compensation expense, depreciation and amortization of capitalized software costs and acquired intangible assets, severance expense, acquisition contingent consideration, changes in the fair value of acquisition contingent earn-outs, amortization of cloud computing implementation costs, severance expenses, acquisition-related retained employee compensation, transaction costs, and other items. The unavailable information could have a significant impact on the Company’s net income (loss). The foregoing forward-looking statements reflect the Company’s expectations as of today’s date. Given the number of risk factors, uncertainties and assumptions discussed below, actual results may differ materially. The Company does not intend to update its financial outlook until its next quarterly results announcement.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Important disclosures in this earnings release about and reconciliations of non-GAAP financial measures to the most directly comparable GAAP financial measures are provided below under “Use and Reconciliation of Non-GAAP Financial Measures.”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Conference Call and Webcast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Vertex will host a conference call at 5:00 p.m. Eastern Time today, Monday, August 3, 2026, to discuss its second quarter 2026 financial results. </w:t>
      </w:r>
    </w:p>
    <w:p>
      <w:pPr>
        <w:pStyle w:val="TextBody"/>
        <w:bidi w:val="0"/>
        <w:spacing w:before="0" w:after="0"/>
        <w:ind w:left="0" w:right="0" w:hanging="0"/>
        <w:jc w:val="both"/>
        <w:rPr>
          <w:shd w:fill="FFFF00" w:val="clear"/>
        </w:rPr>
      </w:pPr>
      <w:r>
        <w:rPr>
          <w:shd w:fill="FFFF00" w:val="clea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Those wishing to participate should register in advance for the live event at https://vertex-earnings-q2-2026.open-exchange.net/registration.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live webcast of the event will also be available at the Company’s investor relations website at https://ir.vertexinc.com. An audio-only replay of the conference call will be available on the investor relations website for one year.</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About Vertex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Vertex is the Decision-to-Defense™ global indirect tax and compliance company. Vertex helps enterprises bring control to indirect tax and compliance across the full transaction lifecycle — from tax determination and e-invoicing through reporting, filing, and audit defense — to make outcomes easier to prove and improve over time. Trusted by more than 60% of the Fortune 500, Vertex combines decades of tax expertise, deep global tax and compliance knowledge, and embedded integrations to help organizations operate globally with confidence. With headquarters in North America and offices in South America and Europe, Vertex's purpose is to ensure businesses and communities thrive through trusted transactions.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more information, visit www.vertexinc.com or follow us on X and LinkedIn.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Any statements made in this press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descriptions of our business plan and strategies, and our stock repurchase program. Forward-looking statements are based on Vertex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our ability to maintain and grow revenue from existing customers and new customers, and expand their usage of our solutions; our ability to maintain and expand our strategic relationships with third parties; our ability to adapt to technological change and successfully introduce new solutions or provide updates to existing solutions; risks related to failures in information technology or infrastructure; risks related to our reliance on government infrastructure to support our e-invoicing services; challenges in using and managing use of Artificial Intelligence in our business; incorrect or improper implementation, integration or use of our solutions; failure to attract and retain qualified technical and tax-content personnel; competitive pressures from other tax software and service providers and challenges of convincing businesses using native enterprise resource planning functions to switch to our software; our ability to accurately forecast our revenue and other future results of operations based on recent success; our ability to offer specific software deployment methods based on changes to customers’ and partners’ software systems; our ability to continue making significant investments in software development and equipment; our ability to sustain and expand revenues, maintain profitability, and to effectively manage our anticipated growth; our ability to successfully diversify our solutions by developing or introducing new solutions or acquiring and integrating additional businesses, products, services, or content; our ability to successfully integrate acquired businesses and to realize the anticipated benefits of such acquisitions; risks related to the fluctuations in our results of operations; risks related to our expanding international operations; our exposure to liability from errors, delays, fraud or system failures, which may not be covered by insurance; our ability to adapt to organizational changes and effectively implement strategic initiatives; risks related to our determinations of customers’ transaction tax and tax payments; risks related to changes in tax laws and regulations or their interpretation or enforcement; our ability to manage cybersecurity and data privacy risks; our involvement in material legal proceedings and audits; risks related to undetected errors, bugs or defects in our software; risks related to utilization of open-source software, business processes and information systems; our ability to effectively protect, maintain, and enhance our brand; changes in application, scope, interpretation or enforcement of laws and regulations; global economic weakness and uncertainties, including the economic uncertainty created by the changing legal, regulatory, or taxation landscape in the United States, and disruption in the capital and credit markets; business disruptions related to natural disasters, epidemic outbreaks, including a global endemic or pandemic, terrorist acts, political events, or other events outside of our control; our ability to comply with anti-corruption, anti-bribery, and similar laws; our ability to protect our intellectual property; changes in interest rates, security ratings and market perceptions of the industry in which we operate, or our ability to obtain capital on commercially reasonable terms or at all; our ability to maintain an effective system of disclosure controls and internal control over financial reporting, or ability to remediate any material weakness in our internal controls; risks related to our Class A common stock and controlled company status; risks related to our stock repurchase program; risks related to our indebtedness and adherence to the covenants under our debt instruments; our expectations regarding the effects of the Capped Call Transactions (as defined in our Form 10-K) and regarding actions of the Option Counterparties (as defined in our Form 10-K) and/or their respective affiliates; risks associated with our Value Creation Plan; and the other factors described under the heading “Risk Factors” in the Company’s Annual Report on Form 10-K for the year ended December 31, 2025 (“Form 10-K”), filed with the Securities and Exchange Commission (the “SEC”) on February 24, 2026, as may be subsequently updated by our other SEC filings. Copies of such filings may be obtained from the Company or the SEC.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forward-looking statements reflect our beliefs and assumptions only as of the date of this press release. We undertake no obligation to update forward-looking statements to reflect future events or circumstances.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Definitions of Certain Key Business Metrics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Annual Recurring Revenue (“ARR”)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derive the vast majority of our revenues from recurring software subscriptions. We believe ARR provides us with visibility to our projected software subscription revenues in order to evaluate the health of our business. Because we recognize subscription revenues ratably, we believe investors can use ARR to measure our expansion of existing customer revenues, new customer activity, and as an indicator of future software subscription revenues. ARR is based on monthly recurring revenues (“MRR”) from software subscriptions for the most recent month at period end, multiplied by twelve. MRR is calculated by dividing the software subscription price, inclusive of discounts, by the number of subscription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covered months. MRR only includes direct customers with MRR at the end of the last month of the measurement period. AARPC represents average annual revenue per direct customer and is calculated by dividing ARR by the number of software subscription direct customers at the end of the respective period.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Revenue Retention (“NRR”)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NRR provides insight into our ability to retain and grow revenues from our direct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direct customers who were part of our customer base at the beginning of the reporting period. Our NRR calculation takes into account any revenues lost from departing direct customers or those who have downgraded or reduced usage, as well as any revenue expansion from migrations, new licenses for additional products or contractual and usage-based price changes.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(“GRR”)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direct customers. Our GRR refers to how much of our MRR we retain each month after reduction for the effects of revenues lost from departing direct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Customer Count </w:t>
      </w:r>
    </w:p>
    <w:p>
      <w:pPr>
        <w:pStyle w:val="TextBody"/>
        <w:bidi w:val="0"/>
        <w:spacing w:before="0" w:after="0"/>
        <w:ind w:left="0" w:right="0" w:hanging="0"/>
        <w:jc w:val="left"/>
        <w:rPr/>
      </w:pPr>
      <w:r>
        <w:rPr/>
        <w:t>​</w:t>
      </w:r>
    </w:p>
    <w:p>
      <w:pPr>
        <w:pStyle w:val="TextBody"/>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shows Vertex’s direct customers, as well as indirect small business customers sold and serviced through the Company’s one-to-many channel strategy. </w:t>
      </w:r>
    </w:p>
    <w:tbl>
      <w:tblPr>
        <w:tblW w:w="5305" w:type="dxa"/>
        <w:jc w:val="right"/>
        <w:tblInd w:w="0" w:type="dxa"/>
        <w:tblLayout w:type="fixed"/>
        <w:tblCellMar>
          <w:top w:w="0" w:type="dxa"/>
          <w:left w:w="0" w:type="dxa"/>
          <w:bottom w:w="0" w:type="dxa"/>
          <w:right w:w="0" w:type="dxa"/>
        </w:tblCellMar>
      </w:tblPr>
      <w:tblGrid>
        <w:gridCol w:w="1021"/>
        <w:gridCol w:w="826"/>
        <w:gridCol w:w="826"/>
        <w:gridCol w:w="826"/>
        <w:gridCol w:w="826"/>
        <w:gridCol w:w="826"/>
        <w:gridCol w:w="154"/>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335" cy="175260"/>
                      <wp:effectExtent l="0" t="0" r="0" b="0"/>
                      <wp:wrapNone/>
                      <wp:docPr id="4" name="Frame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4510" cy="175260"/>
                      <wp:effectExtent l="0" t="0" r="0" b="0"/>
                      <wp:wrapNone/>
                      <wp:docPr id="5" name="Frame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175260"/>
                      <wp:effectExtent l="0" t="0" r="0" b="0"/>
                      <wp:wrapNone/>
                      <wp:docPr id="6" name="Frame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175260"/>
                      <wp:effectExtent l="0" t="0" r="0" b="0"/>
                      <wp:wrapNone/>
                      <wp:docPr id="7" name="Frame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4510" cy="175260"/>
                      <wp:effectExtent l="0" t="0" r="0" b="0"/>
                      <wp:wrapNone/>
                      <wp:docPr id="8"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4510" cy="175260"/>
                      <wp:effectExtent l="0" t="0" r="0" b="0"/>
                      <wp:wrapNone/>
                      <wp:docPr id="9" name="Frame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175260"/>
                      <wp:effectExtent l="0" t="0" r="0" b="0"/>
                      <wp:wrapNone/>
                      <wp:docPr id="10" name="Frame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r>
      <w:tr>
        <w:trPr/>
        <w:tc>
          <w:tcPr>
            <w:tcW w:w="102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Customers</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Q3 2025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Q4 2025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Q1 2026</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2026</w:t>
            </w:r>
          </w:p>
        </w:tc>
        <w:tc>
          <w:tcPr>
            <w:tcW w:w="154"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w:t>
            </w:r>
          </w:p>
        </w:tc>
      </w:tr>
      <w:tr>
        <w:trPr/>
        <w:tc>
          <w:tcPr>
            <w:tcW w:w="102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 </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4,856</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4,919</w:t>
            </w:r>
          </w:p>
        </w:tc>
        <w:tc>
          <w:tcPr>
            <w:tcW w:w="154"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w:t>
            </w:r>
          </w:p>
        </w:tc>
      </w:tr>
      <w:tr>
        <w:trPr/>
        <w:tc>
          <w:tcPr>
            <w:tcW w:w="102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154"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w:t>
            </w:r>
          </w:p>
        </w:tc>
      </w:tr>
      <w:tr>
        <w:trPr/>
        <w:tc>
          <w:tcPr>
            <w:tcW w:w="102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5,366</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5,372</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5,382</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5,425</w:t>
            </w:r>
          </w:p>
        </w:tc>
        <w:tc>
          <w:tcPr>
            <w:tcW w:w="8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5,459</w:t>
            </w:r>
          </w:p>
        </w:tc>
        <w:tc>
          <w:tcPr>
            <w:tcW w:w="154"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our results determined in accordance with accounting principles generally accepted in the U.S. (“GAAP”) and key business metrics described above, we have calculated non-GAAP cost of revenues, non-GAAP gross profit, non-GAAP gross margin, non-GAAP research and development expense, non-GAAP selling and marketing expense, non-GAAP general and administrative expense, non-GAAP operating income, non-GAAP net income, non-GAAP diluted EPS, Adjusted EBITDA, Adjusted EBITDA margin, free cash flow and free cash flow margin, which are each non-GAAP financial measures. We have provided tabular reconciliations of each of these non-GAAP financial measures to its most directly comparable GAAP financial measure.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uses these non-GAAP financial measures to understand and compare operating results across accounting periods, for internal budgeting and forecasting purposes, and to evaluate financial performance and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and should be read in conjunction with the consolidated financial statements included in our Annual Report on Form 10-K for the year ended December 31, 2025, as filed with the SEC on February 24, 2026 and our Quarterly Report on Form 10-Q for the quarter ended June 30, 2026, to be filed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calculate these non-GAAP financial measures as follows: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9813" w:type="dxa"/>
        <w:jc w:val="left"/>
        <w:tblInd w:w="0" w:type="dxa"/>
        <w:tblLayout w:type="fixed"/>
        <w:tblCellMar>
          <w:top w:w="0" w:type="dxa"/>
          <w:left w:w="0" w:type="dxa"/>
          <w:bottom w:w="0" w:type="dxa"/>
          <w:right w:w="0" w:type="dxa"/>
        </w:tblCellMar>
      </w:tblPr>
      <w:tblGrid>
        <w:gridCol w:w="23"/>
        <w:gridCol w:w="170"/>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 included in research and development expense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severance expense, acquisition-related retained employee compensation, and transaction costs included in general and administrative expense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loss or income from operations for the respective periods.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determined by adding back to GAAP net income or loss income tax benefit or expense, stock-based compensation expense, depreciation and amortization of capitalized 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loss or income from operations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per diluted share of Class A and Class B common stock (“Non-GAAP diluted EPS”) is determined by dividing non-GAAP net income by the weighted average shares outstanding of all classes of common stock, inclusive of the impact of dilutive common stock equivalents to purchase such common stock, including stock options, restricted stock awards, restricted stock units and employee stock purchase plan shares. Additionally, the dilutive effect of shares issuable upon conversion of the senior convertible notes is included in the calculation of Non-GAAP diluted EPS by application of the if-converted method.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 is determined by adding back to GAAP net income or loss the net interest income or expense,</w:t>
            </w:r>
            <w:r>
              <w:rPr>
                <w:caps w:val="false"/>
                <w:smallCaps w:val="false"/>
              </w:rPr>
              <w:t xml:space="preserve"> </w:t>
            </w:r>
            <w:r>
              <w:rPr>
                <w:rFonts w:ascii="Times New Roman;Times;serif" w:hAnsi="Times New Roman;Times;serif"/>
                <w:b w:val="false"/>
                <w:i w:val="false"/>
                <w:caps w:val="false"/>
                <w:smallCaps w:val="false"/>
                <w:sz w:val="20"/>
              </w:rPr>
              <w:t>income tax expense or benefit, depreciation and amortization of property and equipment, depreciation and amortization of capitalized</w:t>
            </w:r>
            <w:r>
              <w:rPr>
                <w:caps w:val="false"/>
                <w:smallCaps w:val="false"/>
              </w:rPr>
              <w:t xml:space="preserve"> </w:t>
            </w:r>
            <w:r>
              <w:rPr>
                <w:rFonts w:ascii="Times New Roman;Times;serif" w:hAnsi="Times New Roman;Times;serif"/>
                <w:b w:val="false"/>
                <w:i w:val="false"/>
                <w:caps w:val="false"/>
                <w:smallCaps w:val="false"/>
                <w:sz w:val="20"/>
              </w:rPr>
              <w:t>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net income or loss for the respective periods.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tbl>
      <w:tblPr>
        <w:tblW w:w="9603" w:type="dxa"/>
        <w:jc w:val="left"/>
        <w:tblInd w:w="0" w:type="dxa"/>
        <w:tblLayout w:type="fixed"/>
        <w:tblCellMar>
          <w:top w:w="0" w:type="dxa"/>
          <w:left w:w="0" w:type="dxa"/>
          <w:bottom w:w="0" w:type="dxa"/>
          <w:right w:w="0" w:type="dxa"/>
        </w:tblCellMar>
      </w:tblPr>
      <w:tblGrid>
        <w:gridCol w:w="23"/>
        <w:gridCol w:w="170"/>
        <w:gridCol w:w="9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margin is determined by dividing Adjusted EBITDA by total revenues for the respective periods.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is determined by adjusting net cash provided by (used in) operating activities by purchases of property and equipment and capitalized software additions for the respective periods.</w:t>
            </w:r>
          </w:p>
        </w:tc>
      </w:tr>
    </w:tbl>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Free cash flow margin is determined by dividing free cash flow by total revenues for the respective periods. </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bl>
      <w:tblPr>
        <w:tblW w:w="10205" w:type="dxa"/>
        <w:jc w:val="left"/>
        <w:tblInd w:w="0" w:type="dxa"/>
        <w:tblLayout w:type="fixed"/>
        <w:tblCellMar>
          <w:top w:w="0" w:type="dxa"/>
          <w:left w:w="0" w:type="dxa"/>
          <w:bottom w:w="0" w:type="dxa"/>
          <w:right w:w="0" w:type="dxa"/>
        </w:tblCellMar>
      </w:tblPr>
      <w:tblGrid>
        <w:gridCol w:w="7393"/>
        <w:gridCol w:w="146"/>
        <w:gridCol w:w="211"/>
        <w:gridCol w:w="893"/>
        <w:gridCol w:w="146"/>
        <w:gridCol w:w="259"/>
        <w:gridCol w:w="1157"/>
      </w:tblGrid>
      <w:tr>
        <w:trPr/>
        <w:tc>
          <w:tcPr>
            <w:tcW w:w="7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694555" cy="175260"/>
                      <wp:effectExtent l="0" t="0" r="0" b="0"/>
                      <wp:wrapNone/>
                      <wp:docPr id="11" name="Frame10"/>
                      <a:graphic xmlns:a="http://schemas.openxmlformats.org/drawingml/2006/main">
                        <a:graphicData uri="http://schemas.microsoft.com/office/word/2010/wordprocessingShape">
                          <wps:wsp>
                            <wps:cNvSpPr txBox="1"/>
                            <wps:spPr>
                              <a:xfrm>
                                <a:off x="0" y="0"/>
                                <a:ext cx="469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2710" cy="175260"/>
                      <wp:effectExtent l="0" t="0" r="0" b="0"/>
                      <wp:wrapNone/>
                      <wp:docPr id="12" name="Frame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67055" cy="175260"/>
                      <wp:effectExtent l="0" t="0" r="0" b="0"/>
                      <wp:wrapNone/>
                      <wp:docPr id="14" name="Frame1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2710" cy="175260"/>
                      <wp:effectExtent l="0" t="0" r="0" b="0"/>
                      <wp:wrapNone/>
                      <wp:docPr id="15" name="Frame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4465" cy="175260"/>
                      <wp:effectExtent l="0" t="0" r="0" b="0"/>
                      <wp:wrapNone/>
                      <wp:docPr id="16" name="Frame1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34695" cy="175260"/>
                      <wp:effectExtent l="0" t="0" r="0" b="0"/>
                      <wp:wrapNone/>
                      <wp:docPr id="17" name="Frame16"/>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46" w:type="dxa"/>
            <w:tcBorders/>
            <w:vAlign w:val="center"/>
          </w:tcPr>
          <w:p>
            <w:pPr>
              <w:pStyle w:val="TableContents"/>
              <w:bidi w:val="0"/>
              <w:spacing w:before="0" w:after="0"/>
              <w:ind w:left="0" w:right="0" w:hanging="0"/>
              <w:jc w:val="center"/>
              <w:rPr/>
            </w:pPr>
            <w:r>
              <w:rPr/>
              <w:t>​</w:t>
            </w:r>
          </w:p>
        </w:tc>
        <w:tc>
          <w:tcPr>
            <w:tcW w:w="14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 thousands, except per share data)</w:t>
            </w:r>
          </w:p>
        </w:tc>
        <w:tc>
          <w:tcPr>
            <w:tcW w:w="146" w:type="dxa"/>
            <w:tcBorders/>
            <w:vAlign w:val="center"/>
          </w:tcPr>
          <w:p>
            <w:pPr>
              <w:pStyle w:val="TableContents"/>
              <w:bidi w:val="0"/>
              <w:spacing w:before="0" w:after="0"/>
              <w:ind w:left="0" w:right="0" w:hanging="0"/>
              <w:jc w:val="center"/>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46" w:type="dxa"/>
            <w:tcBorders/>
            <w:vAlign w:val="center"/>
          </w:tcPr>
          <w:p>
            <w:pPr>
              <w:pStyle w:val="TableContents"/>
              <w:bidi w:val="0"/>
              <w:spacing w:before="0" w:after="0"/>
              <w:ind w:left="0" w:right="0" w:hanging="0"/>
              <w:jc w:val="center"/>
              <w:rPr/>
            </w:pPr>
            <w:r>
              <w:rPr/>
              <w:t>​</w:t>
            </w:r>
          </w:p>
        </w:tc>
        <w:tc>
          <w:tcPr>
            <w:tcW w:w="14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39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146" w:type="dxa"/>
            <w:tcBorders/>
            <w:vAlign w:val="center"/>
          </w:tcPr>
          <w:p>
            <w:pPr>
              <w:pStyle w:val="TableContents"/>
              <w:bidi w:val="0"/>
              <w:spacing w:before="0" w:after="0"/>
              <w:ind w:left="0" w:right="0" w:hanging="0"/>
              <w:jc w:val="center"/>
              <w:rPr/>
            </w:pPr>
            <w:r>
              <w:rPr/>
              <w:t>​</w:t>
            </w:r>
          </w:p>
        </w:tc>
        <w:tc>
          <w:tcPr>
            <w:tcW w:w="25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pPr>
            <w:r>
              <w:rPr/>
              <w:t>​</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59"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230,489</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314,009</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Funds held for customers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26,497</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24,286</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$12,271 and $11,466,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153,432</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183,446</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81,527</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38,966</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491,945</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560,707</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Property and equipment, net of accumulated depreciation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220,471</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209,727</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Capitalized software, net of accumulated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34,262</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35,480</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Goodwill and other intangible assets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402,734</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396,006</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Deferred commissions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29,166</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31,907</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Deferred income tax asset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lease right-of-use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8,366</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9,678</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Long-term investment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8,076</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1,210,147</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1,270,835</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37,313</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37,557</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34,549</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43,642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funds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24,639</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21,802</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salaries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20,612</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23,992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variable compensation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27,552</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34,593</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382,151</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382,839</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4,470</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4,283</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finance lease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commitment and contingent consideration liabilities, current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33,100</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25,900</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564,419</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574,663</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Deferred revenue,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4,750</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5,209</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Debt, net of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338,605</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337,477</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lease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6,776</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8,903</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Finance lease liabilities, net of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Purchase commitment and contingent consideration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40,900</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79,600</w:t>
            </w:r>
          </w:p>
        </w:tc>
      </w:tr>
      <w:tr>
        <w:trPr/>
        <w:tc>
          <w:tcPr>
            <w:tcW w:w="739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Deferred income tax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13,172</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5,664</w:t>
            </w:r>
          </w:p>
        </w:tc>
      </w:tr>
      <w:tr>
        <w:trPr/>
        <w:tc>
          <w:tcPr>
            <w:tcW w:w="739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Deferred other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969,040</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1,011,915</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shares, $0.001 par value, 30,000 shares authorized; no shares issued and outstanding</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voting common stock, $0.001 par value, 300,000 shares authorized; 79,414 and 77,580 shares issued and outstanding,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voting common stock, $0.001 par value, 150,000 shares authorized; 82,156 and 82,156 shares issued and outstanding,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 at cost, 3,888 and 504 shares,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(56,696)</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(10,094)</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 in capital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347,768</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316,327</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deficit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(39,571)</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(46,104)</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(10,555)</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241,107</w:t>
            </w:r>
          </w:p>
        </w:tc>
        <w:tc>
          <w:tcPr>
            <w:tcW w:w="1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258,920</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1,210,147</w:t>
            </w:r>
          </w:p>
        </w:tc>
        <w:tc>
          <w:tcPr>
            <w:tcW w:w="1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1,270,835</w:t>
            </w:r>
          </w:p>
        </w:tc>
      </w:tr>
      <w:tr>
        <w:trPr/>
        <w:tc>
          <w:tcPr>
            <w:tcW w:w="739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Consolidated Statements of Comprehensive Income (Loss)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9246" w:type="dxa"/>
        <w:jc w:val="left"/>
        <w:tblInd w:w="0" w:type="dxa"/>
        <w:tblLayout w:type="fixed"/>
        <w:tblCellMar>
          <w:top w:w="0" w:type="dxa"/>
          <w:left w:w="0" w:type="dxa"/>
          <w:bottom w:w="0" w:type="dxa"/>
          <w:right w:w="0" w:type="dxa"/>
        </w:tblCellMar>
      </w:tblPr>
      <w:tblGrid>
        <w:gridCol w:w="4846"/>
        <w:gridCol w:w="211"/>
        <w:gridCol w:w="796"/>
        <w:gridCol w:w="109"/>
        <w:gridCol w:w="211"/>
        <w:gridCol w:w="796"/>
        <w:gridCol w:w="109"/>
        <w:gridCol w:w="211"/>
        <w:gridCol w:w="796"/>
        <w:gridCol w:w="109"/>
        <w:gridCol w:w="211"/>
        <w:gridCol w:w="84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077210" cy="175260"/>
                      <wp:effectExtent l="0" t="0" r="0" b="0"/>
                      <wp:wrapNone/>
                      <wp:docPr id="18" name="Frame17"/>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20" name="Frame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05460" cy="175260"/>
                      <wp:effectExtent l="0" t="0" r="0" b="0"/>
                      <wp:wrapNone/>
                      <wp:docPr id="23" name="Frame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5460" cy="175260"/>
                      <wp:effectExtent l="0" t="0" r="0" b="0"/>
                      <wp:wrapNone/>
                      <wp:docPr id="26" name="Frame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34035" cy="175260"/>
                      <wp:effectExtent l="0" t="0" r="0" b="0"/>
                      <wp:wrapNone/>
                      <wp:docPr id="29" name="Frame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212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16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846" w:type="dxa"/>
            <w:tcBorders/>
            <w:vAlign w:val="center"/>
          </w:tcPr>
          <w:p>
            <w:pPr>
              <w:pStyle w:val="TableContents"/>
              <w:bidi w:val="0"/>
              <w:spacing w:before="0" w:after="0"/>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0"/>
              <w:ind w:left="0" w:right="0" w:hanging="0"/>
              <w:jc w:val="center"/>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924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left"/>
              <w:rPr/>
            </w:pPr>
            <w:r>
              <w:rPr/>
              <w:t>​</w:t>
            </w:r>
          </w:p>
        </w:tc>
        <w:tc>
          <w:tcPr>
            <w:tcW w:w="212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16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8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341,899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r>
      <w:tr>
        <w:trPr/>
        <w:tc>
          <w:tcPr>
            <w:tcW w:w="48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103,346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256,169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234,194</w:t>
            </w:r>
          </w:p>
        </w:tc>
      </w:tr>
      <w:tr>
        <w:trPr/>
        <w:tc>
          <w:tcPr>
            <w:tcW w:w="4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41,468</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104,534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96,609</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125,064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271,218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233,572</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(13,748)</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(44,839)</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investments, net of tax</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(44,830)</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54,999</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of Class A and Class B, basic</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of Class A and Class B, diluted</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689"/>
        <w:gridCol w:w="346"/>
        <w:gridCol w:w="109"/>
        <w:gridCol w:w="196"/>
        <w:gridCol w:w="716"/>
        <w:gridCol w:w="146"/>
        <w:gridCol w:w="196"/>
        <w:gridCol w:w="807"/>
      </w:tblGrid>
      <w:tr>
        <w:trPr/>
        <w:tc>
          <w:tcPr>
            <w:tcW w:w="7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882515" cy="175260"/>
                      <wp:effectExtent l="0" t="0" r="0" b="0"/>
                      <wp:wrapNone/>
                      <wp:docPr id="30" name="Frame29"/>
                      <a:graphic xmlns:a="http://schemas.openxmlformats.org/drawingml/2006/main">
                        <a:graphicData uri="http://schemas.microsoft.com/office/word/2010/wordprocessingShape">
                          <wps:wsp>
                            <wps:cNvSpPr txBox="1"/>
                            <wps:spPr>
                              <a:xfrm>
                                <a:off x="0" y="0"/>
                                <a:ext cx="4882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54660" cy="175260"/>
                      <wp:effectExtent l="0" t="0" r="0" b="0"/>
                      <wp:wrapNone/>
                      <wp:docPr id="34" name="Frame3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2710" cy="175260"/>
                      <wp:effectExtent l="0" t="0" r="0" b="0"/>
                      <wp:wrapNone/>
                      <wp:docPr id="35" name="Frame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12445" cy="175260"/>
                      <wp:effectExtent l="0" t="0" r="0" b="0"/>
                      <wp:wrapNone/>
                      <wp:docPr id="37" name="Frame36"/>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61"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76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center"/>
              <w:rPr/>
            </w:pPr>
            <w:r>
              <w:rPr/>
              <w:t>​</w:t>
            </w:r>
          </w:p>
        </w:tc>
        <w:tc>
          <w:tcPr>
            <w:tcW w:w="9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46" w:type="dxa"/>
            <w:tcBorders/>
            <w:vAlign w:val="center"/>
          </w:tcPr>
          <w:p>
            <w:pPr>
              <w:pStyle w:val="TableContents"/>
              <w:bidi w:val="0"/>
              <w:spacing w:before="0" w:after="1"/>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6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1"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7689"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  ​</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10,169</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56,177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45,694</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2,024</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subscription cancellations and non-renewals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1,361</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contingent consideration liabilities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(12,200)</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33,034</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6,051</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(1,641)</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1,595</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the effects of business acquisition(s):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29,887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22,320</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(44,994)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(13,406)</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commissions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2,741</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(5,886)</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(9,185)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and deferred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(11,333)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(29,766)</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(812)</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2,374</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(2,827)</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(2,057)</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purchase commitment and contingent consideration liabilities in excess of initial fair value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1,412</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68,871</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60,808</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businesses and assets, net of cash acquired</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Long-term investment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(15,000)</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additions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(47,831)</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(42,906)</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Capitalized software additions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(10,565)</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investment securities, available-for-sale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(2,398)</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and maturities of investment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11,607</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(80,447)</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(59,262)</w:t>
            </w:r>
          </w:p>
        </w:tc>
      </w:tr>
      <w:tr>
        <w:trPr/>
        <w:tc>
          <w:tcPr>
            <w:tcW w:w="7689"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customer funds obligations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(3,493)</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(46,602)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purchases of stock under ESPP</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1,782</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taxes related to net share settlement of stock-based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(26,105)</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7,687</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Payments for acquisition contingent cash earn-out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(19,600)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finance lease liabilities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(69,091)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(20,157)</w:t>
            </w:r>
          </w:p>
        </w:tc>
      </w:tr>
      <w:tr>
        <w:trPr/>
        <w:tc>
          <w:tcPr>
            <w:tcW w:w="7689"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3,307</w:t>
            </w:r>
          </w:p>
        </w:tc>
      </w:tr>
      <w:tr>
        <w:trPr/>
        <w:tc>
          <w:tcPr>
            <w:tcW w:w="7689"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(81,309)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(15,304)</w:t>
            </w:r>
          </w:p>
        </w:tc>
      </w:tr>
      <w:tr>
        <w:trPr/>
        <w:tc>
          <w:tcPr>
            <w:tcW w:w="7689"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338,295</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326,066</w:t>
            </w:r>
          </w:p>
        </w:tc>
      </w:tr>
      <w:tr>
        <w:trPr/>
        <w:tc>
          <w:tcPr>
            <w:tcW w:w="7689"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256,986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310,762</w:t>
            </w:r>
          </w:p>
        </w:tc>
      </w:tr>
      <w:tr>
        <w:trPr/>
        <w:tc>
          <w:tcPr>
            <w:tcW w:w="7689"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Reconciliation of cash, cash equivalents and restricted cash to the Condensed Consolidated Balance Sheets, end of period:</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230,489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284,386</w:t>
            </w:r>
          </w:p>
        </w:tc>
      </w:tr>
      <w:tr>
        <w:trPr/>
        <w:tc>
          <w:tcPr>
            <w:tcW w:w="76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cash—funds held for customers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26,497</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26,376</w:t>
            </w:r>
          </w:p>
        </w:tc>
      </w:tr>
      <w:tr>
        <w:trPr/>
        <w:tc>
          <w:tcPr>
            <w:tcW w:w="76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256,986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18"/>
              </w:rPr>
            </w:pPr>
            <w:r>
              <w:rPr>
                <w:rFonts w:ascii="Times New Roman;Times;serif" w:hAnsi="Times New Roman;Times;serif"/>
                <w:sz w:val="18"/>
              </w:rPr>
              <w:t>310,762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Non-GAAP Financial Measures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0"/>
        <w:ind w:left="0" w:right="0" w:hanging="0"/>
        <w:jc w:val="left"/>
        <w:rPr/>
      </w:pPr>
      <w:r>
        <w:rPr/>
        <w:t>​</w:t>
      </w:r>
    </w:p>
    <w:tbl>
      <w:tblPr>
        <w:tblW w:w="10188" w:type="dxa"/>
        <w:jc w:val="left"/>
        <w:tblInd w:w="0" w:type="dxa"/>
        <w:tblLayout w:type="fixed"/>
        <w:tblCellMar>
          <w:top w:w="0" w:type="dxa"/>
          <w:left w:w="0" w:type="dxa"/>
          <w:bottom w:w="0" w:type="dxa"/>
          <w:right w:w="0" w:type="dxa"/>
        </w:tblCellMar>
      </w:tblPr>
      <w:tblGrid>
        <w:gridCol w:w="4276"/>
        <w:gridCol w:w="346"/>
        <w:gridCol w:w="211"/>
        <w:gridCol w:w="781"/>
        <w:gridCol w:w="361"/>
        <w:gridCol w:w="211"/>
        <w:gridCol w:w="781"/>
        <w:gridCol w:w="361"/>
        <w:gridCol w:w="109"/>
        <w:gridCol w:w="211"/>
        <w:gridCol w:w="781"/>
        <w:gridCol w:w="361"/>
        <w:gridCol w:w="211"/>
        <w:gridCol w:w="781"/>
        <w:gridCol w:w="40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715260" cy="175260"/>
                      <wp:effectExtent l="0" t="0" r="0" b="0"/>
                      <wp:wrapNone/>
                      <wp:docPr id="38" name="Frame3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41" name="Frame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9235" cy="175260"/>
                      <wp:effectExtent l="0" t="0" r="0" b="0"/>
                      <wp:wrapNone/>
                      <wp:docPr id="42" name="Frame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4"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29235" cy="175260"/>
                      <wp:effectExtent l="0" t="0" r="0" b="0"/>
                      <wp:wrapNone/>
                      <wp:docPr id="45" name="Frame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9235" cy="175260"/>
                      <wp:effectExtent l="0" t="0" r="0" b="0"/>
                      <wp:wrapNone/>
                      <wp:docPr id="49" name="Frame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1"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57810" cy="175260"/>
                      <wp:effectExtent l="0" t="0" r="0" b="0"/>
                      <wp:wrapNone/>
                      <wp:docPr id="52" name="Frame5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40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40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 except per share data)</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6"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29,205</w:t>
            </w:r>
          </w:p>
        </w:tc>
        <w:tc>
          <w:tcPr>
            <w:tcW w:w="361"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26,556</w:t>
            </w:r>
          </w:p>
        </w:tc>
        <w:tc>
          <w:tcPr>
            <w:tcW w:w="361"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58,550</w:t>
            </w:r>
          </w:p>
        </w:tc>
        <w:tc>
          <w:tcPr>
            <w:tcW w:w="361"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52,719</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36,003</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155,199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86,466</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81,916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63,521</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61,997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diluted EPS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12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to Non-GAAP Financial Measures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62"/>
        <w:gridCol w:w="346"/>
        <w:gridCol w:w="211"/>
        <w:gridCol w:w="786"/>
        <w:gridCol w:w="361"/>
        <w:gridCol w:w="211"/>
        <w:gridCol w:w="786"/>
        <w:gridCol w:w="361"/>
        <w:gridCol w:w="211"/>
        <w:gridCol w:w="786"/>
        <w:gridCol w:w="361"/>
        <w:gridCol w:w="211"/>
        <w:gridCol w:w="786"/>
        <w:gridCol w:w="271"/>
        <w:gridCol w:w="155"/>
      </w:tblGrid>
      <w:tr>
        <w:trPr/>
        <w:tc>
          <w:tcPr>
            <w:tcW w:w="4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769870" cy="175260"/>
                      <wp:effectExtent l="0" t="0" r="0" b="0"/>
                      <wp:wrapNone/>
                      <wp:docPr id="53" name="Frame52"/>
                      <a:graphic xmlns:a="http://schemas.openxmlformats.org/drawingml/2006/main">
                        <a:graphicData uri="http://schemas.microsoft.com/office/word/2010/wordprocessingShape">
                          <wps:wsp>
                            <wps:cNvSpPr txBox="1"/>
                            <wps:spPr>
                              <a:xfrm>
                                <a:off x="0" y="0"/>
                                <a:ext cx="276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9110" cy="175260"/>
                      <wp:effectExtent l="0" t="0" r="0" b="0"/>
                      <wp:wrapNone/>
                      <wp:docPr id="56" name="Frame5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9235" cy="175260"/>
                      <wp:effectExtent l="0" t="0" r="0" b="0"/>
                      <wp:wrapNone/>
                      <wp:docPr id="57" name="Frame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9110" cy="175260"/>
                      <wp:effectExtent l="0" t="0" r="0" b="0"/>
                      <wp:wrapNone/>
                      <wp:docPr id="59" name="Frame5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60" name="Frame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9110" cy="175260"/>
                      <wp:effectExtent l="0" t="0" r="0" b="0"/>
                      <wp:wrapNone/>
                      <wp:docPr id="62" name="Frame6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9235" cy="175260"/>
                      <wp:effectExtent l="0" t="0" r="0" b="0"/>
                      <wp:wrapNone/>
                      <wp:docPr id="63"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9110" cy="175260"/>
                      <wp:effectExtent l="0" t="0" r="0" b="0"/>
                      <wp:wrapNone/>
                      <wp:docPr id="65" name="Frame6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72085" cy="175260"/>
                      <wp:effectExtent l="0" t="0" r="0" b="0"/>
                      <wp:wrapNone/>
                      <wp:docPr id="66" name="Frame6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8425" cy="175260"/>
                      <wp:effectExtent l="0" t="0" r="0" b="0"/>
                      <wp:wrapNone/>
                      <wp:docPr id="67" name="Frame6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61"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271"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61"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271"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1"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61"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1"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71"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Cost of Revenues, Software Subscriptions: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 software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103,346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88,704</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cost of revenues, software subscriptions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52,719</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Cost of Revenues,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cost of revenues,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36,003</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256,169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234,194</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155,199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303,570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272,899</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41,468</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Selling and Marketing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104,534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96,609</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selling and marketing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86,466</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88,420</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Severance expense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Acquisition-related retained employee compensation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27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w:t>
            </w:r>
          </w:p>
        </w:tc>
        <w:tc>
          <w:tcPr>
            <w:tcW w:w="2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to Non-GAAP Financial Measures (continued)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123"/>
        <w:gridCol w:w="246"/>
        <w:gridCol w:w="885"/>
        <w:gridCol w:w="137"/>
        <w:gridCol w:w="246"/>
        <w:gridCol w:w="871"/>
        <w:gridCol w:w="137"/>
        <w:gridCol w:w="246"/>
        <w:gridCol w:w="885"/>
        <w:gridCol w:w="137"/>
        <w:gridCol w:w="246"/>
        <w:gridCol w:w="885"/>
        <w:gridCol w:w="161"/>
      </w:tblGrid>
      <w:tr>
        <w:trPr/>
        <w:tc>
          <w:tcPr>
            <w:tcW w:w="5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253105" cy="175260"/>
                      <wp:effectExtent l="0" t="0" r="0" b="0"/>
                      <wp:wrapNone/>
                      <wp:docPr id="68" name="Frame67"/>
                      <a:graphic xmlns:a="http://schemas.openxmlformats.org/drawingml/2006/main">
                        <a:graphicData uri="http://schemas.microsoft.com/office/word/2010/wordprocessingShape">
                          <wps:wsp>
                            <wps:cNvSpPr txBox="1"/>
                            <wps:spPr>
                              <a:xfrm>
                                <a:off x="0" y="0"/>
                                <a:ext cx="3253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6210" cy="175260"/>
                      <wp:effectExtent l="0" t="0" r="0" b="0"/>
                      <wp:wrapNone/>
                      <wp:docPr id="69" name="Frame6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1975" cy="175260"/>
                      <wp:effectExtent l="0" t="0" r="0" b="0"/>
                      <wp:wrapNone/>
                      <wp:docPr id="70" name="Frame69"/>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86995" cy="175260"/>
                      <wp:effectExtent l="0" t="0" r="0" b="0"/>
                      <wp:wrapNone/>
                      <wp:docPr id="71" name="Frame70"/>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6210" cy="175260"/>
                      <wp:effectExtent l="0" t="0" r="0" b="0"/>
                      <wp:wrapNone/>
                      <wp:docPr id="72" name="Frame7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53085" cy="175260"/>
                      <wp:effectExtent l="0" t="0" r="0" b="0"/>
                      <wp:wrapNone/>
                      <wp:docPr id="73" name="Frame7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6995" cy="175260"/>
                      <wp:effectExtent l="0" t="0" r="0" b="0"/>
                      <wp:wrapNone/>
                      <wp:docPr id="74" name="Frame73"/>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6210" cy="175260"/>
                      <wp:effectExtent l="0" t="0" r="0" b="0"/>
                      <wp:wrapNone/>
                      <wp:docPr id="75" name="Frame7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1975" cy="175260"/>
                      <wp:effectExtent l="0" t="0" r="0" b="0"/>
                      <wp:wrapNone/>
                      <wp:docPr id="76" name="Frame75"/>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6995" cy="175260"/>
                      <wp:effectExtent l="0" t="0" r="0" b="0"/>
                      <wp:wrapNone/>
                      <wp:docPr id="77" name="Frame76"/>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6210" cy="175260"/>
                      <wp:effectExtent l="0" t="0" r="0" b="0"/>
                      <wp:wrapNone/>
                      <wp:docPr id="78" name="Frame7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61975" cy="175260"/>
                      <wp:effectExtent l="0" t="0" r="0" b="0"/>
                      <wp:wrapNone/>
                      <wp:docPr id="79" name="Frame7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02235" cy="175260"/>
                      <wp:effectExtent l="0" t="0" r="0" b="0"/>
                      <wp:wrapNone/>
                      <wp:docPr id="80" name="Frame79"/>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23" w:type="dxa"/>
            <w:tcBorders/>
            <w:vAlign w:val="center"/>
          </w:tcPr>
          <w:p>
            <w:pPr>
              <w:pStyle w:val="TableContents"/>
              <w:bidi w:val="0"/>
              <w:spacing w:before="0" w:after="1"/>
              <w:ind w:left="0" w:right="0" w:hanging="0"/>
              <w:jc w:val="left"/>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37" w:type="dxa"/>
            <w:tcBorders/>
            <w:vAlign w:val="center"/>
          </w:tcPr>
          <w:p>
            <w:pPr>
              <w:pStyle w:val="TableContents"/>
              <w:bidi w:val="0"/>
              <w:spacing w:before="0" w:after="1"/>
              <w:ind w:left="0" w:right="0" w:hanging="0"/>
              <w:jc w:val="center"/>
              <w:rPr/>
            </w:pPr>
            <w:r>
              <w:rPr/>
              <w:t>​</w:t>
            </w:r>
          </w:p>
        </w:tc>
        <w:tc>
          <w:tcPr>
            <w:tcW w:w="23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161" w:type="dxa"/>
            <w:tcBorders/>
            <w:vAlign w:val="center"/>
          </w:tcPr>
          <w:p>
            <w:pPr>
              <w:pStyle w:val="TableContents"/>
              <w:bidi w:val="0"/>
              <w:spacing w:before="0" w:after="1"/>
              <w:ind w:left="0" w:right="0" w:hanging="0"/>
              <w:jc w:val="center"/>
              <w:rPr/>
            </w:pPr>
            <w:r>
              <w:rPr/>
              <w:t>​</w:t>
            </w:r>
          </w:p>
        </w:tc>
      </w:tr>
      <w:tr>
        <w:trPr/>
        <w:tc>
          <w:tcPr>
            <w:tcW w:w="5123"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37" w:type="dxa"/>
            <w:tcBorders/>
            <w:vAlign w:val="center"/>
          </w:tcPr>
          <w:p>
            <w:pPr>
              <w:pStyle w:val="TableContents"/>
              <w:bidi w:val="0"/>
              <w:spacing w:before="0" w:after="1"/>
              <w:ind w:left="0" w:right="0" w:hanging="0"/>
              <w:jc w:val="center"/>
              <w:rPr/>
            </w:pPr>
            <w:r>
              <w:rPr/>
              <w:t>​</w:t>
            </w:r>
          </w:p>
        </w:tc>
        <w:tc>
          <w:tcPr>
            <w:tcW w:w="2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61" w:type="dxa"/>
            <w:tcBorders/>
            <w:vAlign w:val="center"/>
          </w:tcPr>
          <w:p>
            <w:pPr>
              <w:pStyle w:val="TableContents"/>
              <w:bidi w:val="0"/>
              <w:spacing w:before="0" w:after="1"/>
              <w:ind w:left="0" w:right="0" w:hanging="0"/>
              <w:jc w:val="center"/>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 thousands, except per share data)</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37" w:type="dxa"/>
            <w:tcBorders/>
            <w:vAlign w:val="center"/>
          </w:tcPr>
          <w:p>
            <w:pPr>
              <w:pStyle w:val="TableContents"/>
              <w:bidi w:val="0"/>
              <w:spacing w:before="0" w:after="1"/>
              <w:ind w:left="0" w:right="0" w:hanging="0"/>
              <w:jc w:val="center"/>
              <w:rPr/>
            </w:pPr>
            <w:r>
              <w:rPr/>
              <w:t>​</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37" w:type="dxa"/>
            <w:tcBorders/>
            <w:vAlign w:val="center"/>
          </w:tcPr>
          <w:p>
            <w:pPr>
              <w:pStyle w:val="TableContents"/>
              <w:bidi w:val="0"/>
              <w:spacing w:before="0" w:after="1"/>
              <w:ind w:left="0" w:right="0" w:hanging="0"/>
              <w:jc w:val="center"/>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37" w:type="dxa"/>
            <w:tcBorders/>
            <w:vAlign w:val="center"/>
          </w:tcPr>
          <w:p>
            <w:pPr>
              <w:pStyle w:val="TableContents"/>
              <w:bidi w:val="0"/>
              <w:spacing w:before="0" w:after="1"/>
              <w:ind w:left="0" w:right="0" w:hanging="0"/>
              <w:jc w:val="center"/>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61" w:type="dxa"/>
            <w:tcBorders/>
            <w:vAlign w:val="center"/>
          </w:tcPr>
          <w:p>
            <w:pPr>
              <w:pStyle w:val="TableContents"/>
              <w:bidi w:val="0"/>
              <w:spacing w:before="0" w:after="1"/>
              <w:ind w:left="0" w:right="0" w:hanging="0"/>
              <w:jc w:val="center"/>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(4,443)</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(3,864)</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(15,049)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13,762</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33,034</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21,882</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16,670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41,968</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32,525</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1,018</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2,024</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(1)</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2,689</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10,097</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(5,838)</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(12,400)</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Acquisition-related retained employee compensation </w:t>
            </w:r>
            <w:r>
              <w:rPr>
                <w:rFonts w:ascii="Times New Roman;Times;serif" w:hAnsi="Times New Roman;Times;serif"/>
                <w:sz w:val="14"/>
              </w:rPr>
              <w:t>(2)</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(3)</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7,375</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2,980</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13,359</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5,640</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44,295</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32,182</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81,916</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63,521</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9,043</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(961)</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6,533</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10,169</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(13,142)</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(20,281)</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(6,780)</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13,762</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33,034</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21,882</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16,670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41,968</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32,525</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1,018</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2,024</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(1)</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10,097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(5,838)</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(12,400)</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Acquisition-related retained employee compensation </w:t>
            </w:r>
            <w:r>
              <w:rPr>
                <w:rFonts w:ascii="Times New Roman;Times;serif" w:hAnsi="Times New Roman;Times;serif"/>
                <w:sz w:val="14"/>
              </w:rPr>
              <w:t>(2)</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1,667</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(3)</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7,375</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5,640</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44,639</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33,410</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83,217</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66,288</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Income tax adjustment at statutory rate </w:t>
            </w:r>
            <w:r>
              <w:rPr>
                <w:rFonts w:ascii="Times New Roman;Times;serif" w:hAnsi="Times New Roman;Times;serif"/>
                <w:sz w:val="14"/>
              </w:rPr>
              <w:t>(4)</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(11,383)</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(21,220)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(16,903)</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Non-GAAP net income </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33,256</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24,891</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61,997</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49,385</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Diluted EPS:</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Non-GAAP net income</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33,256</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24,891</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61,997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49,385</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expense (net of tax), convertible senior notes </w:t>
            </w:r>
            <w:r>
              <w:rPr>
                <w:rFonts w:ascii="Times New Roman;Times;serif" w:hAnsi="Times New Roman;Times;serif"/>
                <w:sz w:val="14"/>
              </w:rPr>
              <w:t>(5)</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1,806</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1,806</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Non-GAAP net income used in dilutive per share computation</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34,159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25,794</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63,803</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51,191</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3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Class A and B common stock, diluted</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161,392</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162,589</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161,337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162,656</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Dilutive effect of convertible senior notes </w:t>
            </w:r>
            <w:r>
              <w:rPr>
                <w:rFonts w:ascii="Times New Roman;Times;serif" w:hAnsi="Times New Roman;Times;serif"/>
                <w:sz w:val="14"/>
              </w:rPr>
              <w:t>(5)</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9,498</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9,498</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9,498</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9,498</w:t>
            </w:r>
          </w:p>
        </w:tc>
        <w:tc>
          <w:tcPr>
            <w:tcW w:w="161" w:type="dxa"/>
            <w:tcBorders/>
            <w:vAlign w:val="center"/>
          </w:tcPr>
          <w:p>
            <w:pPr>
              <w:pStyle w:val="TableContents"/>
              <w:bidi w:val="0"/>
              <w:spacing w:before="0" w:after="1"/>
              <w:ind w:left="0" w:right="0" w:hanging="0"/>
              <w:jc w:val="lef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average Class A and B shares used in dilutive per share computation</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170,890</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172,087</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170,835</w:t>
            </w:r>
          </w:p>
        </w:tc>
        <w:tc>
          <w:tcPr>
            <w:tcW w:w="137"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172,154</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diluted EPS</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0.20 </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0.15 </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0.37 </w:t>
            </w:r>
          </w:p>
        </w:tc>
        <w:tc>
          <w:tcPr>
            <w:tcW w:w="13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0.30 </w:t>
            </w:r>
          </w:p>
        </w:tc>
        <w:tc>
          <w:tcPr>
            <w:tcW w:w="161" w:type="dxa"/>
            <w:tcBorders/>
            <w:vAlign w:val="center"/>
          </w:tcPr>
          <w:p>
            <w:pPr>
              <w:pStyle w:val="TableContents"/>
              <w:bidi w:val="0"/>
              <w:spacing w:before="0" w:after="1"/>
              <w:ind w:left="0" w:right="0" w:hanging="0"/>
              <w:jc w:val="left"/>
              <w:rPr/>
            </w:pPr>
            <w:r>
              <w:rPr/>
              <w:t>​</w:t>
            </w:r>
          </w:p>
        </w:tc>
      </w:tr>
      <w:tr>
        <w:trPr/>
        <w:tc>
          <w:tcPr>
            <w:tcW w:w="10044" w:type="dxa"/>
            <w:gridSpan w:val="12"/>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The three and six months ended June 30, 2026 periods include $1,713 and $7,883, respectively, in severance costs related to the Value Creation Plan.</w:t>
            </w:r>
          </w:p>
        </w:tc>
        <w:tc>
          <w:tcPr>
            <w:tcW w:w="161" w:type="dxa"/>
            <w:tcBorders/>
            <w:vAlign w:val="center"/>
          </w:tcPr>
          <w:p>
            <w:pPr>
              <w:pStyle w:val="TableContents"/>
              <w:bidi w:val="0"/>
              <w:spacing w:before="0" w:after="1"/>
              <w:ind w:left="0" w:right="0" w:hanging="0"/>
              <w:jc w:val="left"/>
              <w:rPr/>
            </w:pPr>
            <w:r>
              <w:rPr/>
              <w:t>​</w:t>
            </w:r>
          </w:p>
        </w:tc>
      </w:tr>
      <w:tr>
        <w:trPr/>
        <w:tc>
          <w:tcPr>
            <w:tcW w:w="10044" w:type="dxa"/>
            <w:gridSpan w:val="12"/>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The acquisition-related compensation expenses recorded for the three and six months ended June 30, 2026 are related to the additional cash consideration payments of $10,000 to the sellers (the “Additional Cash Consideration”) in connection with the acquisition of Finta Inc. and its subsidiaries (“Brinta”).</w:t>
            </w:r>
          </w:p>
        </w:tc>
        <w:tc>
          <w:tcPr>
            <w:tcW w:w="161" w:type="dxa"/>
            <w:tcBorders/>
            <w:vAlign w:val="center"/>
          </w:tcPr>
          <w:p>
            <w:pPr>
              <w:pStyle w:val="TableContents"/>
              <w:bidi w:val="0"/>
              <w:spacing w:before="0" w:after="1"/>
              <w:ind w:left="0" w:right="0" w:hanging="0"/>
              <w:jc w:val="left"/>
              <w:rPr/>
            </w:pPr>
            <w:r>
              <w:rPr/>
              <w:t>​</w:t>
            </w:r>
          </w:p>
        </w:tc>
      </w:tr>
      <w:tr>
        <w:trPr/>
        <w:tc>
          <w:tcPr>
            <w:tcW w:w="10044" w:type="dxa"/>
            <w:gridSpan w:val="12"/>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color w:val="131313"/>
                <w:sz w:val="14"/>
              </w:rPr>
              <w:t>(3)</w:t>
            </w:r>
            <w:r>
              <w:rPr>
                <w:rFonts w:ascii="Times New Roman;Times;serif" w:hAnsi="Times New Roman;Times;serif"/>
                <w:color w:val="131313"/>
                <w:sz w:val="18"/>
              </w:rPr>
              <w:t xml:space="preserve"> The three and six months ended June 30, 2026 periods include $6,250 and $8,800, respectively, in costs incurred to support the execution of our Value Creation Plan, recorded in general and administrative expense. Amounts also include legal expenses associated with pending litigation related to claims the Company has made against a competitor.</w:t>
            </w:r>
          </w:p>
        </w:tc>
        <w:tc>
          <w:tcPr>
            <w:tcW w:w="161" w:type="dxa"/>
            <w:tcBorders/>
            <w:vAlign w:val="center"/>
          </w:tcPr>
          <w:p>
            <w:pPr>
              <w:pStyle w:val="TableContents"/>
              <w:bidi w:val="0"/>
              <w:spacing w:before="0" w:after="1"/>
              <w:ind w:left="0" w:right="0" w:hanging="0"/>
              <w:jc w:val="left"/>
              <w:rPr/>
            </w:pPr>
            <w:r>
              <w:rPr/>
              <w:t>​</w:t>
            </w:r>
          </w:p>
        </w:tc>
      </w:tr>
      <w:tr>
        <w:trPr/>
        <w:tc>
          <w:tcPr>
            <w:tcW w:w="10044" w:type="dxa"/>
            <w:gridSpan w:val="12"/>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 xml:space="preserve"> Non-GAAP income before income taxes is adjusted for income taxes using the respective statutory tax rates for applicable jurisdictions, which for purposes of this determination were assumed to be 25.5%.</w:t>
            </w:r>
          </w:p>
        </w:tc>
        <w:tc>
          <w:tcPr>
            <w:tcW w:w="161" w:type="dxa"/>
            <w:tcBorders/>
            <w:vAlign w:val="center"/>
          </w:tcPr>
          <w:p>
            <w:pPr>
              <w:pStyle w:val="TableContents"/>
              <w:bidi w:val="0"/>
              <w:spacing w:before="0" w:after="1"/>
              <w:ind w:left="0" w:right="0" w:hanging="0"/>
              <w:jc w:val="left"/>
              <w:rPr/>
            </w:pPr>
            <w:r>
              <w:rPr/>
              <w:t>​</w:t>
            </w:r>
          </w:p>
        </w:tc>
      </w:tr>
      <w:tr>
        <w:trPr/>
        <w:tc>
          <w:tcPr>
            <w:tcW w:w="10044" w:type="dxa"/>
            <w:gridSpan w:val="12"/>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4"/>
              </w:rPr>
              <w:t>(5)</w:t>
            </w:r>
            <w:r>
              <w:rPr>
                <w:rFonts w:ascii="Times New Roman;Times;serif" w:hAnsi="Times New Roman;Times;serif"/>
                <w:sz w:val="18"/>
              </w:rPr>
              <w:t xml:space="preserve"> We use the if-converted method to compute diluted earnings per share with respect to our convertible senior notes. Interest expense and additional dilutive shares related to the notes are added back to the calculation when their impact is dilutive. In periods when the impact is anti-dilutive, there is no add-back of interest expense or additional dilutive shares related to the notes.</w:t>
            </w:r>
          </w:p>
        </w:tc>
        <w:tc>
          <w:tcPr>
            <w:tcW w:w="161"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to Non-GAAP Financial Measures (continued)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47"/>
        <w:gridCol w:w="232"/>
        <w:gridCol w:w="866"/>
        <w:gridCol w:w="298"/>
        <w:gridCol w:w="232"/>
        <w:gridCol w:w="861"/>
        <w:gridCol w:w="298"/>
        <w:gridCol w:w="119"/>
        <w:gridCol w:w="232"/>
        <w:gridCol w:w="866"/>
        <w:gridCol w:w="298"/>
        <w:gridCol w:w="232"/>
        <w:gridCol w:w="866"/>
        <w:gridCol w:w="358"/>
      </w:tblGrid>
      <w:tr>
        <w:trPr/>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23845" cy="175260"/>
                      <wp:effectExtent l="0" t="0" r="0" b="0"/>
                      <wp:wrapNone/>
                      <wp:docPr id="81" name="Frame80"/>
                      <a:graphic xmlns:a="http://schemas.openxmlformats.org/drawingml/2006/main">
                        <a:graphicData uri="http://schemas.microsoft.com/office/word/2010/wordprocessingShape">
                          <wps:wsp>
                            <wps:cNvSpPr txBox="1"/>
                            <wps:spPr>
                              <a:xfrm>
                                <a:off x="0" y="0"/>
                                <a:ext cx="282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7320" cy="175260"/>
                      <wp:effectExtent l="0" t="0" r="0" b="0"/>
                      <wp:wrapNone/>
                      <wp:docPr id="82" name="Frame8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9910" cy="175260"/>
                      <wp:effectExtent l="0" t="0" r="0" b="0"/>
                      <wp:wrapNone/>
                      <wp:docPr id="83" name="Frame8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9230" cy="175260"/>
                      <wp:effectExtent l="0" t="0" r="0" b="0"/>
                      <wp:wrapNone/>
                      <wp:docPr id="84" name="Frame8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7320" cy="175260"/>
                      <wp:effectExtent l="0" t="0" r="0" b="0"/>
                      <wp:wrapNone/>
                      <wp:docPr id="85" name="Frame8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46735" cy="175260"/>
                      <wp:effectExtent l="0" t="0" r="0" b="0"/>
                      <wp:wrapNone/>
                      <wp:docPr id="86" name="Frame85"/>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9230" cy="175260"/>
                      <wp:effectExtent l="0" t="0" r="0" b="0"/>
                      <wp:wrapNone/>
                      <wp:docPr id="87" name="Frame8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5565" cy="175260"/>
                      <wp:effectExtent l="0" t="0" r="0" b="0"/>
                      <wp:wrapNone/>
                      <wp:docPr id="88" name="Frame87"/>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7320" cy="175260"/>
                      <wp:effectExtent l="0" t="0" r="0" b="0"/>
                      <wp:wrapNone/>
                      <wp:docPr id="89" name="Frame8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49910" cy="175260"/>
                      <wp:effectExtent l="0" t="0" r="0" b="0"/>
                      <wp:wrapNone/>
                      <wp:docPr id="90" name="Frame8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9230" cy="175260"/>
                      <wp:effectExtent l="0" t="0" r="0" b="0"/>
                      <wp:wrapNone/>
                      <wp:docPr id="91" name="Frame9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7320" cy="175260"/>
                      <wp:effectExtent l="0" t="0" r="0" b="0"/>
                      <wp:wrapNone/>
                      <wp:docPr id="92" name="Frame9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49910" cy="175260"/>
                      <wp:effectExtent l="0" t="0" r="0" b="0"/>
                      <wp:wrapNone/>
                      <wp:docPr id="93" name="Frame9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7330" cy="175260"/>
                      <wp:effectExtent l="0" t="0" r="0" b="0"/>
                      <wp:wrapNone/>
                      <wp:docPr id="94" name="Frame9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7" w:type="dxa"/>
            <w:tcBorders/>
            <w:vAlign w:val="center"/>
          </w:tcPr>
          <w:p>
            <w:pPr>
              <w:pStyle w:val="TableContents"/>
              <w:bidi w:val="0"/>
              <w:spacing w:before="0" w:after="0"/>
              <w:ind w:left="0" w:right="0" w:hanging="0"/>
              <w:jc w:val="left"/>
              <w:rPr/>
            </w:pPr>
            <w:r>
              <w:rPr/>
              <w:t>​</w:t>
            </w:r>
          </w:p>
        </w:tc>
        <w:tc>
          <w:tcPr>
            <w:tcW w:w="2489"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298" w:type="dxa"/>
            <w:tcBorders/>
            <w:vAlign w:val="center"/>
          </w:tcPr>
          <w:p>
            <w:pPr>
              <w:pStyle w:val="TableContents"/>
              <w:bidi w:val="0"/>
              <w:spacing w:before="0" w:after="0"/>
              <w:ind w:left="0" w:right="0" w:hanging="0"/>
              <w:jc w:val="center"/>
              <w:rPr/>
            </w:pPr>
            <w:r>
              <w:rPr/>
              <w:t>​</w:t>
            </w:r>
          </w:p>
        </w:tc>
        <w:tc>
          <w:tcPr>
            <w:tcW w:w="119" w:type="dxa"/>
            <w:tcBorders/>
            <w:vAlign w:val="center"/>
          </w:tcPr>
          <w:p>
            <w:pPr>
              <w:pStyle w:val="TableContents"/>
              <w:bidi w:val="0"/>
              <w:spacing w:before="0" w:after="0"/>
              <w:ind w:left="0" w:right="0" w:hanging="0"/>
              <w:jc w:val="center"/>
              <w:rPr/>
            </w:pPr>
            <w:r>
              <w:rPr/>
              <w:t>​</w:t>
            </w:r>
          </w:p>
        </w:tc>
        <w:tc>
          <w:tcPr>
            <w:tcW w:w="249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58" w:type="dxa"/>
            <w:tcBorders/>
            <w:vAlign w:val="center"/>
          </w:tcPr>
          <w:p>
            <w:pPr>
              <w:pStyle w:val="TableContents"/>
              <w:bidi w:val="0"/>
              <w:spacing w:before="0" w:after="0"/>
              <w:ind w:left="0" w:right="0" w:hanging="0"/>
              <w:jc w:val="center"/>
              <w:rPr/>
            </w:pPr>
            <w:r>
              <w:rPr/>
              <w:t>​</w:t>
            </w:r>
          </w:p>
        </w:tc>
      </w:tr>
      <w:tr>
        <w:trPr/>
        <w:tc>
          <w:tcPr>
            <w:tcW w:w="4447"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298" w:type="dxa"/>
            <w:tcBorders/>
            <w:vAlign w:val="center"/>
          </w:tcPr>
          <w:p>
            <w:pPr>
              <w:pStyle w:val="TableContents"/>
              <w:bidi w:val="0"/>
              <w:spacing w:before="0" w:after="0"/>
              <w:ind w:left="0" w:right="0" w:hanging="0"/>
              <w:jc w:val="center"/>
              <w:rPr/>
            </w:pPr>
            <w:r>
              <w:rPr/>
              <w:t>​</w:t>
            </w:r>
          </w:p>
        </w:tc>
        <w:tc>
          <w:tcPr>
            <w:tcW w:w="119" w:type="dxa"/>
            <w:tcBorders/>
            <w:vAlign w:val="center"/>
          </w:tcPr>
          <w:p>
            <w:pPr>
              <w:pStyle w:val="TableContents"/>
              <w:bidi w:val="0"/>
              <w:spacing w:before="0" w:after="0"/>
              <w:ind w:left="0" w:right="0" w:hanging="0"/>
              <w:jc w:val="center"/>
              <w:rPr/>
            </w:pPr>
            <w:r>
              <w:rPr/>
              <w:t>​</w:t>
            </w:r>
          </w:p>
        </w:tc>
        <w:tc>
          <w:tcPr>
            <w:tcW w:w="24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58" w:type="dxa"/>
            <w:tcBorders/>
            <w:vAlign w:val="center"/>
          </w:tcPr>
          <w:p>
            <w:pPr>
              <w:pStyle w:val="TableContents"/>
              <w:bidi w:val="0"/>
              <w:spacing w:before="0" w:after="0"/>
              <w:ind w:left="0" w:right="0" w:hanging="0"/>
              <w:jc w:val="center"/>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98" w:type="dxa"/>
            <w:tcBorders/>
            <w:vAlign w:val="center"/>
          </w:tcPr>
          <w:p>
            <w:pPr>
              <w:pStyle w:val="TableContents"/>
              <w:bidi w:val="0"/>
              <w:spacing w:before="0" w:after="0"/>
              <w:ind w:left="0" w:right="0" w:hanging="0"/>
              <w:jc w:val="center"/>
              <w:rPr/>
            </w:pPr>
            <w:r>
              <w:rPr/>
              <w:t>​</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98" w:type="dxa"/>
            <w:tcBorders/>
            <w:vAlign w:val="center"/>
          </w:tcPr>
          <w:p>
            <w:pPr>
              <w:pStyle w:val="TableContents"/>
              <w:bidi w:val="0"/>
              <w:spacing w:before="0" w:after="0"/>
              <w:ind w:left="0" w:right="0" w:hanging="0"/>
              <w:jc w:val="center"/>
              <w:rPr/>
            </w:pPr>
            <w:r>
              <w:rPr/>
              <w:t>​</w:t>
            </w:r>
          </w:p>
        </w:tc>
        <w:tc>
          <w:tcPr>
            <w:tcW w:w="119"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98"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8" w:type="dxa"/>
            <w:tcBorders/>
            <w:vAlign w:val="center"/>
          </w:tcPr>
          <w:p>
            <w:pPr>
              <w:pStyle w:val="TableContents"/>
              <w:bidi w:val="0"/>
              <w:spacing w:before="0" w:after="0"/>
              <w:ind w:left="0" w:right="0" w:hanging="0"/>
              <w:jc w:val="center"/>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9,043</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net </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21,882</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 expense</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32,270</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Severance expense </w:t>
            </w:r>
            <w:r>
              <w:rPr>
                <w:rFonts w:ascii="Times New Roman;Times;serif" w:hAnsi="Times New Roman;Times;serif"/>
                <w:sz w:val="15"/>
              </w:rPr>
              <w:t>(1)</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10,097</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3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Acquisition-related retained employee compensation </w:t>
            </w:r>
            <w:r>
              <w:rPr>
                <w:rFonts w:ascii="Times New Roman;Times;serif" w:hAnsi="Times New Roman;Times;serif"/>
                <w:sz w:val="15"/>
              </w:rPr>
              <w:t>(2)</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(3)</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7,375</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298"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13,359</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51,015</w:t>
            </w:r>
          </w:p>
        </w:tc>
        <w:tc>
          <w:tcPr>
            <w:tcW w:w="298"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38,369</w:t>
            </w:r>
          </w:p>
        </w:tc>
        <w:tc>
          <w:tcPr>
            <w:tcW w:w="298"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95,078</w:t>
            </w:r>
          </w:p>
        </w:tc>
        <w:tc>
          <w:tcPr>
            <w:tcW w:w="298"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75,588</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pPr>
            <w:r>
              <w:rPr/>
              <w:t>  ​</w:t>
            </w:r>
          </w:p>
        </w:tc>
        <w:tc>
          <w:tcPr>
            <w:tcW w:w="298"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w:t>
            </w:r>
          </w:p>
        </w:tc>
      </w:tr>
      <w:tr>
        <w:trPr/>
        <w:tc>
          <w:tcPr>
            <w:tcW w:w="4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298"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298"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298"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58" w:type="dxa"/>
            <w:tcBorders/>
            <w:vAlign w:val="center"/>
          </w:tcPr>
          <w:p>
            <w:pPr>
              <w:pStyle w:val="TableContents"/>
              <w:bidi w:val="0"/>
              <w:spacing w:before="0" w:after="0"/>
              <w:ind w:left="0" w:right="0" w:hanging="0"/>
              <w:jc w:val="left"/>
              <w:rPr/>
            </w:pPr>
            <w:r>
              <w:rPr/>
              <w:t>​</w:t>
            </w:r>
          </w:p>
        </w:tc>
      </w:tr>
      <w:tr>
        <w:trPr/>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205" w:type="dxa"/>
            <w:gridSpan w:val="1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The three and six months ended June 30, 2026 periods include $1,713 and $7,883, respectively, in severance costs related to the Value Creation Plan.</w:t>
            </w:r>
          </w:p>
        </w:tc>
      </w:tr>
      <w:tr>
        <w:trPr/>
        <w:tc>
          <w:tcPr>
            <w:tcW w:w="10205" w:type="dxa"/>
            <w:gridSpan w:val="1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 xml:space="preserve">(2) </w:t>
            </w:r>
            <w:r>
              <w:rPr>
                <w:rFonts w:ascii="Times New Roman;Times;serif" w:hAnsi="Times New Roman;Times;serif"/>
                <w:sz w:val="18"/>
              </w:rPr>
              <w:t xml:space="preserve">The acquisition-related compensation expenses recorded for the three and six months ended June 30, 2026 are related to the Additional Cash Consideration obligation associated with the acquisition of Brinta. </w:t>
            </w:r>
          </w:p>
        </w:tc>
      </w:tr>
      <w:tr>
        <w:trPr/>
        <w:tc>
          <w:tcPr>
            <w:tcW w:w="10205" w:type="dxa"/>
            <w:gridSpan w:val="1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color w:val="131313"/>
                <w:sz w:val="14"/>
              </w:rPr>
              <w:t>(3)</w:t>
            </w:r>
            <w:r>
              <w:rPr>
                <w:rFonts w:ascii="Times New Roman;Times;serif" w:hAnsi="Times New Roman;Times;serif"/>
                <w:color w:val="131313"/>
                <w:sz w:val="18"/>
              </w:rPr>
              <w:t xml:space="preserve"> The three and six months ended June 30, 2026 periods include $6,250 and $8,800, respectively, in costs incurred to support the execution of our Value Creation Plan. Amounts also include legal expenses associated with pending litigation related to claims the Company has made against a competitor.</w:t>
            </w:r>
          </w:p>
        </w:tc>
      </w:tr>
      <w:tr>
        <w:trPr/>
        <w:tc>
          <w:tcPr>
            <w:tcW w:w="4447"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969" w:type="dxa"/>
        <w:jc w:val="left"/>
        <w:tblInd w:w="0" w:type="dxa"/>
        <w:tblLayout w:type="fixed"/>
        <w:tblCellMar>
          <w:top w:w="0" w:type="dxa"/>
          <w:left w:w="0" w:type="dxa"/>
          <w:bottom w:w="0" w:type="dxa"/>
          <w:right w:w="0" w:type="dxa"/>
        </w:tblCellMar>
      </w:tblPr>
      <w:tblGrid>
        <w:gridCol w:w="3286"/>
        <w:gridCol w:w="346"/>
        <w:gridCol w:w="211"/>
        <w:gridCol w:w="796"/>
        <w:gridCol w:w="271"/>
        <w:gridCol w:w="211"/>
        <w:gridCol w:w="796"/>
        <w:gridCol w:w="271"/>
        <w:gridCol w:w="211"/>
        <w:gridCol w:w="796"/>
        <w:gridCol w:w="361"/>
        <w:gridCol w:w="211"/>
        <w:gridCol w:w="796"/>
        <w:gridCol w:w="40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86610" cy="175260"/>
                      <wp:effectExtent l="0" t="0" r="0" b="0"/>
                      <wp:wrapNone/>
                      <wp:docPr id="95" name="Frame94"/>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05460" cy="175260"/>
                      <wp:effectExtent l="0" t="0" r="0" b="0"/>
                      <wp:wrapNone/>
                      <wp:docPr id="98" name="Frame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2085" cy="175260"/>
                      <wp:effectExtent l="0" t="0" r="0" b="0"/>
                      <wp:wrapNone/>
                      <wp:docPr id="99" name="Frame9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5460" cy="175260"/>
                      <wp:effectExtent l="0" t="0" r="0" b="0"/>
                      <wp:wrapNone/>
                      <wp:docPr id="101" name="Frame1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2085" cy="175260"/>
                      <wp:effectExtent l="0" t="0" r="0" b="0"/>
                      <wp:wrapNone/>
                      <wp:docPr id="102" name="Frame10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05460" cy="175260"/>
                      <wp:effectExtent l="0" t="0" r="0" b="0"/>
                      <wp:wrapNone/>
                      <wp:docPr id="104" name="Frame1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9235" cy="175260"/>
                      <wp:effectExtent l="0" t="0" r="0" b="0"/>
                      <wp:wrapNone/>
                      <wp:docPr id="105" name="Frame10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05460" cy="175260"/>
                      <wp:effectExtent l="0" t="0" r="0" b="0"/>
                      <wp:wrapNone/>
                      <wp:docPr id="107" name="Frame1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57810" cy="175260"/>
                      <wp:effectExtent l="0" t="0" r="0" b="0"/>
                      <wp:wrapNone/>
                      <wp:docPr id="108" name="Frame10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271"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271"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71"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71"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30,896</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46,003</w:t>
            </w:r>
          </w:p>
        </w:tc>
        <w:tc>
          <w:tcPr>
            <w:tcW w:w="27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(23,171)</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(21,512)</w:t>
            </w:r>
          </w:p>
        </w:tc>
        <w:tc>
          <w:tcPr>
            <w:tcW w:w="271"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(42,906)</w:t>
            </w:r>
          </w:p>
        </w:tc>
        <w:tc>
          <w:tcPr>
            <w:tcW w:w="40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27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w:t>
            </w:r>
          </w:p>
        </w:tc>
        <w:tc>
          <w:tcPr>
            <w:tcW w:w="406"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Investor Relations Contact:</w:t>
      </w:r>
      <w:r>
        <w:rPr>
          <w:rFonts w:ascii="Times New Roman;Times;serif" w:hAnsi="Times New Roman;Times;serif"/>
          <w:sz w:val="20"/>
        </w:rPr>
        <w:br/>
        <w:t>Joe Crivelli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investors@vertexinc.com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Simone Sonnier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mediainquiries@vertexinc.com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6437</Words>
  <Characters>37336</Characters>
  <CharactersWithSpaces>44864</CharactersWithSpaces>
  <Paragraphs>3535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