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verx-20261001x8k.htm"/>
      <w:bookmarkStart w:id="1" w:name="ksverx20261001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fcfe801f_43c5_436b_8f75_104f4ba291c1"/>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October 1, 2026</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VERTEX, INC.</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Normal"/>
        <w:bidi w:val="0"/>
        <w:spacing w:before="0" w:after="0"/>
        <w:jc w:val="left"/>
        <w:rPr>
          <w:sz w:val="4"/>
          <w:szCs w:val="4"/>
        </w:rPr>
      </w:pPr>
      <w:r>
        <w:rPr>
          <w:sz w:val="4"/>
          <w:szCs w:val="4"/>
        </w:rPr>
      </w:r>
      <w:bookmarkStart w:id="3" w:name="Tc_jzruKCWdcEC9skg-Dgk1Jw_2_4"/>
      <w:bookmarkStart w:id="4" w:name="Tc_jST76F0GwkeEVwlbkHEm1g_2_2"/>
      <w:bookmarkStart w:id="5" w:name="Tc_p4c559DKQUqvW3pptwzQMg_2_0"/>
      <w:bookmarkStart w:id="6" w:name="_233f6246_8f6b_4e3f_acd6_02742e5d4713"/>
      <w:bookmarkStart w:id="7" w:name="Tc_jzruKCWdcEC9skg-Dgk1Jw_2_4"/>
      <w:bookmarkStart w:id="8" w:name="Tc_jST76F0GwkeEVwlbkHEm1g_2_2"/>
      <w:bookmarkStart w:id="9" w:name="Tc_p4c559DKQUqvW3pptwzQMg_2_0"/>
      <w:bookmarkStart w:id="10" w:name="_233f6246_8f6b_4e3f_acd6_02742e5d4713"/>
      <w:bookmarkEnd w:id="7"/>
      <w:bookmarkEnd w:id="8"/>
      <w:bookmarkEnd w:id="9"/>
      <w:bookmarkEnd w:id="10"/>
    </w:p>
    <w:tbl>
      <w:tblPr>
        <w:tblW w:w="6560" w:type="dxa"/>
        <w:jc w:val="left"/>
        <w:tblInd w:w="0" w:type="dxa"/>
        <w:tblLayout w:type="fixed"/>
        <w:tblCellMar>
          <w:top w:w="0" w:type="dxa"/>
          <w:left w:w="0" w:type="dxa"/>
          <w:bottom w:w="0" w:type="dxa"/>
          <w:right w:w="0" w:type="dxa"/>
        </w:tblCellMar>
      </w:tblPr>
      <w:tblGrid>
        <w:gridCol w:w="2956"/>
        <w:gridCol w:w="346"/>
        <w:gridCol w:w="1231"/>
        <w:gridCol w:w="346"/>
        <w:gridCol w:w="168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001-39413</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23-2081753</w:t>
            </w:r>
          </w:p>
        </w:tc>
      </w:tr>
      <w:tr>
        <w:trPr/>
        <w:tc>
          <w:tcPr>
            <w:tcW w:w="29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br/>
              <w:t>of incorporation or organization)</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(Commission</w:t>
            </w:r>
            <w:r>
              <w:rPr>
                <w:rFonts w:ascii="Times New Roman;Times;serif" w:hAnsi="Times New Roman;Times;serif"/>
                <w:sz w:val="20"/>
              </w:rPr>
              <w:br/>
            </w:r>
            <w:r>
              <w:rPr>
                <w:rFonts w:ascii="Times New Roman;Times;serif" w:hAnsi="Times New Roman;Times;serif"/>
                <w:b/>
                <w:sz w:val="20"/>
              </w:rPr>
              <w:t>File Number)</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2301 Renaissance Blvd.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King of Prussia, Pennsylvania</w:t>
      </w:r>
      <w:r>
        <w:rPr>
          <w:rFonts w:ascii="Times New Roman;Times;serif" w:hAnsi="Times New Roman;Times;serif"/>
          <w:sz w:val="20"/>
        </w:rPr>
        <w:t xml:space="preserve"> </w:t>
      </w:r>
      <w:r>
        <w:rPr>
          <w:rFonts w:ascii="Times New Roman;Times;serif" w:hAnsi="Times New Roman;Times;serif"/>
          <w:b/>
          <w:sz w:val="20"/>
        </w:rPr>
        <w:t>19406</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 (Zip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 355-3500</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include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360" w:right="0" w:hanging="0"/>
        <w:jc w:val="left"/>
        <w:rPr/>
      </w:pPr>
      <w:r>
        <w:rPr>
          <w:caps w:val="false"/>
          <w:smallCaps w:val="false"/>
        </w:rPr>
        <w:t>☐</w:t>
      </w:r>
      <w:r>
        <w:rPr>
          <w:rFonts w:ascii="Times New Roman;Times;serif" w:hAnsi="Times New Roman;Times;serif"/>
          <w:sz w:val="20"/>
        </w:rPr>
        <w:t>Written communications pursuant to Rule 425 under the Securities Act (17 CFR 230.425)</w:t>
      </w:r>
    </w:p>
    <w:p>
      <w:pPr>
        <w:pStyle w:val="TextBody"/>
        <w:bidi w:val="0"/>
        <w:spacing w:before="0" w:after="120"/>
        <w:ind w:left="360" w:right="0" w:hanging="0"/>
        <w:jc w:val="left"/>
        <w:rPr/>
      </w:pPr>
      <w:r>
        <w:rPr>
          <w:caps w:val="false"/>
          <w:smallCaps w:val="false"/>
        </w:rPr>
        <w:t>☐</w:t>
      </w:r>
      <w:r>
        <w:rPr>
          <w:rFonts w:ascii="Times New Roman;Times;serif" w:hAnsi="Times New Roman;Times;serif"/>
          <w:sz w:val="20"/>
        </w:rPr>
        <w:t>Soliciting material pursuant to Rule 14a-12 under the Exchange Act (17 CFR 240.14a-12)</w:t>
      </w:r>
    </w:p>
    <w:p>
      <w:pPr>
        <w:pStyle w:val="TextBody"/>
        <w:bidi w:val="0"/>
        <w:spacing w:before="0" w:after="120"/>
        <w:ind w:left="360" w:right="0" w:hanging="0"/>
        <w:jc w:val="left"/>
        <w:rPr/>
      </w:pPr>
      <w:r>
        <w:rPr>
          <w:caps w:val="false"/>
          <w:smallCaps w:val="false"/>
        </w:rPr>
        <w:t>☐</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360" w:right="0" w:hanging="0"/>
        <w:jc w:val="left"/>
        <w:rPr/>
      </w:pPr>
      <w:r>
        <w:rPr>
          <w:caps w:val="false"/>
          <w:smallCaps w:val="false"/>
        </w:rPr>
        <w:t>☐</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g-vZdrR3V0iUsIZ-6e3uAQ_0_4"/>
      <w:bookmarkStart w:id="12" w:name="Tc_J2WA5j-rz0S3bXY2DKEdmw_0_2"/>
      <w:bookmarkStart w:id="13" w:name="Tc_jj4Bdnta40OcpC99U48QGw_0_0"/>
      <w:bookmarkStart w:id="14" w:name="_032a4741_b07f_4de6_a912_85895ddf51d8"/>
      <w:bookmarkStart w:id="15" w:name="Tc_g-vZdrR3V0iUsIZ-6e3uAQ_0_4"/>
      <w:bookmarkStart w:id="16" w:name="Tc_J2WA5j-rz0S3bXY2DKEdmw_0_2"/>
      <w:bookmarkStart w:id="17" w:name="Tc_jj4Bdnta40OcpC99U48QGw_0_0"/>
      <w:bookmarkStart w:id="18" w:name="_032a4741_b07f_4de6_a912_85895ddf51d8"/>
      <w:bookmarkEnd w:id="15"/>
      <w:bookmarkEnd w:id="16"/>
      <w:bookmarkEnd w:id="17"/>
      <w:bookmarkEnd w:id="18"/>
    </w:p>
    <w:tbl>
      <w:tblPr>
        <w:tblW w:w="10205" w:type="dxa"/>
        <w:jc w:val="left"/>
        <w:tblInd w:w="0" w:type="dxa"/>
        <w:tblLayout w:type="fixed"/>
        <w:tblCellMar>
          <w:top w:w="0" w:type="dxa"/>
          <w:left w:w="0" w:type="dxa"/>
          <w:bottom w:w="28" w:type="dxa"/>
          <w:right w:w="0" w:type="dxa"/>
        </w:tblCellMar>
      </w:tblPr>
      <w:tblGrid>
        <w:gridCol w:w="4160"/>
        <w:gridCol w:w="286"/>
        <w:gridCol w:w="1669"/>
        <w:gridCol w:w="346"/>
        <w:gridCol w:w="3744"/>
      </w:tblGrid>
      <w:tr>
        <w:trPr/>
        <w:tc>
          <w:tcPr>
            <w:tcW w:w="41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286" w:type="dxa"/>
            <w:tcBorders>
              <w:bottom w:val="single" w:sz="2" w:space="0" w:color="000000"/>
            </w:tcBorders>
            <w:vAlign w:val="center"/>
          </w:tcPr>
          <w:p>
            <w:pPr>
              <w:pStyle w:val="TableContents"/>
              <w:bidi w:val="0"/>
              <w:spacing w:before="0" w:after="0"/>
              <w:ind w:left="0" w:right="0" w:hanging="0"/>
              <w:jc w:val="center"/>
              <w:rPr/>
            </w:pPr>
            <w:r>
              <w:rPr/>
              <w:t>  ​ ​</w:t>
            </w:r>
          </w:p>
        </w:tc>
        <w:tc>
          <w:tcPr>
            <w:tcW w:w="166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374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16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$0.001 par value per share</w:t>
            </w:r>
          </w:p>
        </w:tc>
        <w:tc>
          <w:tcPr>
            <w:tcW w:w="286" w:type="dxa"/>
            <w:tcBorders/>
            <w:tcMar>
              <w:bottom w:w="0" w:type="dxa"/>
            </w:tcMar>
            <w:vAlign w:val="center"/>
          </w:tcPr>
          <w:p>
            <w:pPr>
              <w:pStyle w:val="TableContents"/>
              <w:bidi w:val="0"/>
              <w:spacing w:before="0" w:after="240"/>
              <w:ind w:left="0" w:right="0" w:hanging="0"/>
              <w:jc w:val="center"/>
              <w:rPr/>
            </w:pPr>
            <w:r>
              <w:rPr/>
              <w:t>​</w:t>
            </w:r>
          </w:p>
        </w:tc>
        <w:tc>
          <w:tcPr>
            <w:tcW w:w="1669"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VERX</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3744"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Emerging growth company ☐ </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9" w:name="_2bbb8318_6352_4c63_b207_ad9679044a48"/>
      <w:bookmarkEnd w:id="19"/>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lineRule="auto" w:line="328" w:before="0" w:after="220"/>
        <w:ind w:left="0" w:right="0" w:hanging="0"/>
        <w:jc w:val="both"/>
        <w:rPr>
          <w:rFonts w:ascii="Times New Roman;Times;serif" w:hAnsi="Times New Roman;Times;serif"/>
          <w:sz w:val="20"/>
        </w:rPr>
      </w:pPr>
      <w:r>
        <w:rPr>
          <w:rFonts w:ascii="Times New Roman;Times;serif" w:hAnsi="Times New Roman;Times;serif"/>
          <w:sz w:val="20"/>
        </w:rPr>
        <w:t>On September 30, 2026, the Board of Directors (the “Board”) of Vertex, Inc. (the “Company”), upon the recommendation of the Nominating and Governance Committee, elected Mr. Debanjan Saha to serve as a director of the Company, effective October 7, 2026. Mr. Saha was elected as a Class II director, with a term expiring at the Company’s 2028 Annual Meeting of Stockholders and until his successor is duly elected and qualified, or until his earlier death, resignation or removal. The Board has determined that Mr. Saha is independent under the applicable listing standards of The Nasdaq Stock Market LLC and applicable rules of the Securities and Exchange Commission.</w:t>
      </w:r>
    </w:p>
    <w:p>
      <w:pPr>
        <w:pStyle w:val="TextBody"/>
        <w:bidi w:val="0"/>
        <w:spacing w:lineRule="auto" w:line="328" w:before="0" w:after="220"/>
        <w:ind w:left="0" w:right="0" w:hanging="0"/>
        <w:jc w:val="both"/>
        <w:rPr>
          <w:rFonts w:ascii="Times New Roman;Times;serif" w:hAnsi="Times New Roman;Times;serif"/>
          <w:sz w:val="20"/>
        </w:rPr>
      </w:pPr>
      <w:r>
        <w:rPr>
          <w:rFonts w:ascii="Times New Roman;Times;serif" w:hAnsi="Times New Roman;Times;serif"/>
          <w:sz w:val="20"/>
        </w:rPr>
        <w:t>Mr. Saha has served as Chief Executive Officer of DataRobot, an agentic artificial intelligence (“AI”) company, since September 2022. Under his leadership, DataRobot has transformed from a pioneer in machine learning to a leader in agentic AI, serving enterprise customers worldwide. Prior to DataRobot, Mr. Saha spent two decades building and scaling multi-billion-dollar data and cloud businesses. He served as Vice President and General Manager of Data Analytics at Google Cloud, and before that as Vice President and General Manager at Amazon Web Services, where he led the company’s database services.  Mr. Saha serves on the board of directors of Sorenson Communications and is a member of its audit committee. He is an Institute of Electrical and Electronics Engineers (IEEE) Fellow and a distinguished member of the Association for Computing Machinery (ACM). He received MS and PhD degrees from the University of Maryland and a Bachelor of Technology from the Indian Institute of Technology, Kharagpur, all in Computer Science.</w:t>
      </w:r>
    </w:p>
    <w:p>
      <w:pPr>
        <w:pStyle w:val="TextBody"/>
        <w:bidi w:val="0"/>
        <w:spacing w:lineRule="auto" w:line="328" w:before="0" w:after="220"/>
        <w:ind w:left="0" w:right="0" w:hanging="0"/>
        <w:jc w:val="both"/>
        <w:rPr>
          <w:rFonts w:ascii="Times New Roman;Times;serif" w:hAnsi="Times New Roman;Times;serif"/>
          <w:sz w:val="20"/>
        </w:rPr>
      </w:pPr>
      <w:r>
        <w:rPr>
          <w:rFonts w:ascii="Times New Roman;Times;serif" w:hAnsi="Times New Roman;Times;serif"/>
          <w:sz w:val="20"/>
        </w:rPr>
        <w:t>There is no arrangement or understanding between Mr. Saha and any other person pursuant to which he was elected as a director of the Company. Mr. Saha has no direct or indirect material interest in any transaction required to be disclosed pursuant to Item 404(a) of Regulation S-K.</w:t>
      </w:r>
    </w:p>
    <w:p>
      <w:pPr>
        <w:pStyle w:val="TextBody"/>
        <w:bidi w:val="0"/>
        <w:spacing w:lineRule="auto" w:line="328" w:before="0" w:after="220"/>
        <w:ind w:left="0" w:right="0" w:hanging="0"/>
        <w:jc w:val="both"/>
        <w:rPr>
          <w:rFonts w:ascii="Times New Roman;Times;serif" w:hAnsi="Times New Roman;Times;serif"/>
          <w:sz w:val="20"/>
        </w:rPr>
      </w:pPr>
      <w:r>
        <w:rPr>
          <w:rFonts w:ascii="Times New Roman;Times;serif" w:hAnsi="Times New Roman;Times;serif"/>
          <w:sz w:val="20"/>
        </w:rPr>
        <w:t>Mr. Saha will participate in the Company’s standard non-employee director compensation program, as described in the Company’s definitive proxy statement filed with the Securities and Exchange Commission on April 27, 2026. In addition, he will receive upon appointment a pro-rated annual restricted stock award to reflect his partial year of service. The Company will enter into its standard form of indemnification agreement with Mr. Saha, the form of which is filed as Exhibit 10.1 and is incorporated herein by reference. Mr. Saha has not yet been named to any committees of the Board.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 w:name="_da3412d1_402e_464d_b592_449d90bc7d33"/>
      <w:bookmarkEnd w:id="20"/>
      <w:r>
        <w:rPr>
          <w:rFonts w:ascii="Times New Roman;Times;serif" w:hAnsi="Times New Roman;Times;serif"/>
          <w:b/>
          <w:sz w:val="20"/>
        </w:rPr>
        <w:t>Item 9.01. Financial Statements and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1"/>
        <w:gridCol w:w="346"/>
        <w:gridCol w:w="9108"/>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76885" cy="29210"/>
                      <wp:effectExtent l="0" t="0" r="0" b="0"/>
                      <wp:wrapNone/>
                      <wp:docPr id="3" name="Frame3"/>
                      <a:graphic xmlns:a="http://schemas.openxmlformats.org/drawingml/2006/main">
                        <a:graphicData uri="http://schemas.microsoft.com/office/word/2010/wordprocessingShape">
                          <wps:wsp>
                            <wps:cNvSpPr txBox="1"/>
                            <wps:spPr>
                              <a:xfrm>
                                <a:off x="0" y="0"/>
                                <a:ext cx="476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783580" cy="29210"/>
                      <wp:effectExtent l="0" t="0" r="0" b="0"/>
                      <wp:wrapNone/>
                      <wp:docPr id="5" name="Frame5"/>
                      <a:graphic xmlns:a="http://schemas.openxmlformats.org/drawingml/2006/main">
                        <a:graphicData uri="http://schemas.microsoft.com/office/word/2010/wordprocessingShape">
                          <wps:wsp>
                            <wps:cNvSpPr txBox="1"/>
                            <wps:spPr>
                              <a:xfrm>
                                <a:off x="0" y="0"/>
                                <a:ext cx="57835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No.</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9108"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Form of Indemnification Agreement (incorporated by reference to Exhibit 10.3 to the Registration Statement on Form S-1/A filed with the SEC on July 20, 2020)</w:t>
              </w:r>
            </w:hyperlink>
            <w:r>
              <w:rPr>
                <w:rFonts w:ascii="Times New Roman;Times;serif" w:hAnsi="Times New Roman;Times;serif"/>
                <w:sz w:val="20"/>
              </w:rPr>
              <w: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bookmarkStart w:id="21" w:name="_e916bfbf_d486_4bdc_ac9c_3e325702f119"/>
      <w:bookmarkEnd w:id="21"/>
      <w:r>
        <w:rPr>
          <w:rFonts w:ascii="Times New Roman;Times;serif" w:hAnsi="Times New Roman;Times;serif"/>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left"/>
        <w:rPr/>
      </w:pPr>
      <w:r>
        <w:rPr/>
        <w:t>​</w:t>
      </w:r>
    </w:p>
    <w:tbl>
      <w:tblPr>
        <w:tblW w:w="5178" w:type="dxa"/>
        <w:jc w:val="left"/>
        <w:tblInd w:w="0" w:type="dxa"/>
        <w:tblLayout w:type="fixed"/>
        <w:tblCellMar>
          <w:top w:w="0" w:type="dxa"/>
          <w:left w:w="0" w:type="dxa"/>
          <w:bottom w:w="0" w:type="dxa"/>
          <w:right w:w="0" w:type="dxa"/>
        </w:tblCellMar>
      </w:tblPr>
      <w:tblGrid>
        <w:gridCol w:w="1906"/>
        <w:gridCol w:w="631"/>
        <w:gridCol w:w="264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641" w:type="dxa"/>
            <w:tcBorders/>
            <w:vAlign w:val="center"/>
          </w:tcPr>
          <w:p>
            <w:pPr>
              <w:pStyle w:val="TableContents"/>
              <w:bidi w:val="0"/>
              <w:spacing w:before="0" w:after="283"/>
              <w:ind w:left="0" w:right="0" w:hanging="0"/>
              <w:jc w:val="left"/>
              <w:rPr>
                <w:sz w:val="4"/>
                <w:szCs w:val="4"/>
              </w:rPr>
            </w:pPr>
            <w:r>
              <w:rPr>
                <w:sz w:val="4"/>
                <w:szCs w:val="4"/>
              </w:rPr>
            </w:r>
          </w:p>
        </w:tc>
      </w:tr>
      <w:tr>
        <w:trPr/>
        <w:tc>
          <w:tcPr>
            <w:tcW w:w="1906" w:type="dxa"/>
            <w:tcBorders/>
            <w:vAlign w:val="center"/>
          </w:tcPr>
          <w:p>
            <w:pPr>
              <w:pStyle w:val="TableContents"/>
              <w:bidi w:val="0"/>
              <w:spacing w:before="0" w:after="0"/>
              <w:ind w:left="0" w:right="0" w:hanging="0"/>
              <w:jc w:val="left"/>
              <w:rPr/>
            </w:pPr>
            <w:r>
              <w:rPr/>
              <w:t> </w:t>
            </w:r>
          </w:p>
        </w:tc>
        <w:tc>
          <w:tcPr>
            <w:tcW w:w="32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VERTEX, INC.</w:t>
            </w:r>
          </w:p>
        </w:tc>
      </w:tr>
      <w:tr>
        <w:trPr/>
        <w:tc>
          <w:tcPr>
            <w:tcW w:w="190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264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1,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4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Bryan Rowland</w:t>
            </w:r>
          </w:p>
        </w:tc>
      </w:tr>
      <w:tr>
        <w:trPr/>
        <w:tc>
          <w:tcPr>
            <w:tcW w:w="190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Bryan Rowland</w:t>
            </w:r>
          </w:p>
        </w:tc>
      </w:tr>
      <w:tr>
        <w:trPr/>
        <w:tc>
          <w:tcPr>
            <w:tcW w:w="190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6837/000104746920004155/a2242082zex-10_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4534</Characters>
  <CharactersWithSpaces>5363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