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565785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9"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526" w:hanging="526"/>
        <w:spacing w:after="0" w:line="273" w:lineRule="auto"/>
        <w:tabs>
          <w:tab w:leader="none" w:pos="52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1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506" w:right="40" w:hanging="479"/>
        <w:spacing w:after="0" w:line="273" w:lineRule="auto"/>
        <w:tabs>
          <w:tab w:leader="none" w:pos="506"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8" w:lineRule="exact"/>
        <w:rPr>
          <w:sz w:val="24"/>
          <w:szCs w:val="24"/>
          <w:color w:val="auto"/>
        </w:rPr>
      </w:pPr>
    </w:p>
    <w:tbl>
      <w:tblPr>
        <w:tblLayout w:type="fixed"/>
        <w:tblInd w:w="6"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 to ________</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Times New Roman" w:cs="Times New Roman" w:eastAsia="Times New Roman" w:hAnsi="Times New Roman"/>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6"/>
                <w:szCs w:val="16"/>
                <w:b w:val="1"/>
                <w:bCs w:val="1"/>
                <w:color w:val="auto"/>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49"/>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7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Times New Roman" w:cs="Times New Roman" w:eastAsia="Times New Roman" w:hAnsi="Times New Roman"/>
                <w:sz w:val="16"/>
                <w:szCs w:val="16"/>
                <w:b w:val="1"/>
                <w:bCs w:val="1"/>
                <w:color w:val="auto"/>
                <w:w w:val="9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(800) 355-3500</w:t>
            </w:r>
          </w:p>
        </w:tc>
        <w:tc>
          <w:tcPr>
            <w:tcW w:w="0" w:type="dxa"/>
            <w:vAlign w:val="bottom"/>
          </w:tcPr>
          <w:p>
            <w:pPr>
              <w:spacing w:after="0"/>
              <w:rPr>
                <w:sz w:val="1"/>
                <w:szCs w:val="1"/>
                <w:color w:val="auto"/>
              </w:rPr>
            </w:pPr>
          </w:p>
        </w:tc>
      </w:tr>
      <w:tr>
        <w:trPr>
          <w:trHeight w:val="283"/>
        </w:trPr>
        <w:tc>
          <w:tcPr>
            <w:tcW w:w="7260" w:type="dxa"/>
            <w:vAlign w:val="bottom"/>
            <w:gridSpan w:val="5"/>
          </w:tcPr>
          <w:p>
            <w:pPr>
              <w:jc w:val="center"/>
              <w:ind w:left="286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2960" w:type="dxa"/>
            <w:vAlign w:val="bottom"/>
          </w:tcPr>
          <w:p>
            <w:pPr>
              <w:jc w:val="center"/>
              <w:ind w:right="229"/>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6" w:firstLine="47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6" w:firstLine="46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6" w:type="dxa"/>
        <w:tblCellMar>
          <w:top w:w="0" w:type="dxa"/>
          <w:left w:w="0" w:type="dxa"/>
          <w:bottom w:w="0" w:type="dxa"/>
          <w:right w:w="0" w:type="dxa"/>
        </w:tblCellMar>
      </w:tblPr>
      <w:tr>
        <w:trPr>
          <w:trHeight w:val="20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0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left="6" w:right="20" w:firstLine="46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466"/>
        <w:spacing w:after="0" w:line="184" w:lineRule="exact"/>
        <w:tabs>
          <w:tab w:leader="none" w:pos="8545"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2" w:lineRule="exact"/>
        <w:rPr>
          <w:sz w:val="24"/>
          <w:szCs w:val="24"/>
          <w:color w:val="auto"/>
        </w:rPr>
      </w:pPr>
    </w:p>
    <w:p>
      <w:pPr>
        <w:ind w:left="6" w:firstLine="466"/>
        <w:spacing w:after="0" w:line="298" w:lineRule="auto"/>
        <w:rPr>
          <w:sz w:val="20"/>
          <w:szCs w:val="20"/>
          <w:color w:val="auto"/>
        </w:rPr>
      </w:pPr>
      <w:r>
        <w:rPr>
          <w:rFonts w:ascii="Times New Roman" w:cs="Times New Roman" w:eastAsia="Times New Roman" w:hAnsi="Times New Roman"/>
          <w:sz w:val="16"/>
          <w:szCs w:val="16"/>
          <w:color w:val="auto"/>
        </w:rPr>
        <w:t>As of November 1, 2024, the registrant had 65,969,319 shares of Class A common stock, $0.001 par value per share, and 89,990,641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95885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sectPr>
      </w:pPr>
    </w:p>
    <w:p>
      <w:pPr>
        <w:spacing w:after="0" w:line="187"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374650</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8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gridSpan w:val="10"/>
            <w:vMerge w:val="restart"/>
          </w:tcPr>
          <w:p>
            <w:pPr>
              <w:jc w:val="center"/>
              <w:ind w:right="2360"/>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0" w:type="dxa"/>
            <w:vAlign w:val="bottom"/>
            <w:gridSpan w:val="10"/>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25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2160" w:type="dxa"/>
            <w:vAlign w:val="bottom"/>
            <w:tcBorders>
              <w:top w:val="single" w:sz="8" w:color="0000EE"/>
            </w:tcBorders>
            <w:gridSpan w:val="5"/>
          </w:tcPr>
          <w:p>
            <w:pPr>
              <w:spacing w:after="0"/>
              <w:rPr>
                <w:sz w:val="18"/>
                <w:szCs w:val="18"/>
                <w:color w:val="auto"/>
              </w:rPr>
            </w:pPr>
          </w:p>
        </w:tc>
        <w:tc>
          <w:tcPr>
            <w:tcW w:w="25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 for the Three and Nine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2024 and 2023 (unaudited)</w:t>
            </w: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and Nine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2024 and 2023 (unaudited)</w:t>
            </w: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2024</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2023 (unaudited)</w:t>
            </w:r>
          </w:p>
        </w:tc>
        <w:tc>
          <w:tcPr>
            <w:tcW w:w="57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40" w:type="dxa"/>
            <w:vAlign w:val="bottom"/>
            <w:gridSpan w:val="9"/>
          </w:tcPr>
          <w:p>
            <w:pPr>
              <w:jc w:val="center"/>
              <w:ind w:right="2580"/>
              <w:spacing w:after="0" w:line="196" w:lineRule="exact"/>
              <w:rPr>
                <w:sz w:val="20"/>
                <w:szCs w:val="20"/>
                <w:color w:val="auto"/>
              </w:rPr>
            </w:pPr>
            <w:r>
              <w:rPr>
                <w:rFonts w:ascii="Times New Roman" w:cs="Times New Roman" w:eastAsia="Times New Roman" w:hAnsi="Times New Roman"/>
                <w:sz w:val="18"/>
                <w:szCs w:val="18"/>
                <w:color w:val="0000EE"/>
                <w:w w:val="99"/>
              </w:rPr>
              <w:t>Part II - 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27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tcBorders>
              <w:top w:val="single" w:sz="8" w:color="0000EE"/>
            </w:tcBorders>
            <w:gridSpan w:val="3"/>
          </w:tcPr>
          <w:p>
            <w:pPr>
              <w:spacing w:after="0"/>
              <w:rPr>
                <w:sz w:val="17"/>
                <w:szCs w:val="17"/>
                <w:color w:val="auto"/>
              </w:rPr>
            </w:pPr>
          </w:p>
        </w:tc>
        <w:tc>
          <w:tcPr>
            <w:tcW w:w="270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56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6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560" w:type="dxa"/>
            <w:vAlign w:val="bottom"/>
            <w:gridSpan w:val="1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13"/>
          </w:tcPr>
          <w:p>
            <w:pPr>
              <w:ind w:left="36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95" w:lineRule="exact"/>
        <w:rPr>
          <w:sz w:val="20"/>
          <w:szCs w:val="20"/>
          <w:color w:val="auto"/>
        </w:rPr>
      </w:pPr>
    </w:p>
    <w:p>
      <w:pPr>
        <w:ind w:left="1040" w:right="7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revenue from existing customers and new customers, and expand their usage of our solutions;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strategic relationships with third parties;</w:t>
      </w:r>
    </w:p>
    <w:p>
      <w:pPr>
        <w:spacing w:after="0" w:line="90" w:lineRule="exact"/>
        <w:rPr>
          <w:rFonts w:ascii="Times New Roman" w:cs="Times New Roman" w:eastAsia="Times New Roman" w:hAnsi="Times New Roman"/>
          <w:sz w:val="18"/>
          <w:szCs w:val="18"/>
          <w:color w:val="auto"/>
        </w:rPr>
      </w:pPr>
    </w:p>
    <w:p>
      <w:pPr>
        <w:ind w:left="1040" w:right="29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change and successfully introduce new solutions or provide updates to existing solutions;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or infrastructure;</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using and managing use of Artificial Intelligence in our business;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improper implementation, integration or use of our solutions;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qualified technical and tax-content personnel;</w:t>
      </w:r>
    </w:p>
    <w:p>
      <w:pPr>
        <w:spacing w:after="0" w:line="90" w:lineRule="exact"/>
        <w:rPr>
          <w:rFonts w:ascii="Times New Roman" w:cs="Times New Roman" w:eastAsia="Times New Roman" w:hAnsi="Times New Roman"/>
          <w:sz w:val="18"/>
          <w:szCs w:val="18"/>
          <w:color w:val="auto"/>
        </w:rPr>
      </w:pPr>
    </w:p>
    <w:p>
      <w:pPr>
        <w:ind w:left="1040" w:right="1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from other tax software and service providers and challenges of convincing businesses using native enterprise resource planning (“ERP”) functions to switch to our software;</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our revenue and other future results of operations based on recent success;</w:t>
      </w:r>
    </w:p>
    <w:p>
      <w:pPr>
        <w:spacing w:after="0" w:line="103" w:lineRule="exact"/>
        <w:rPr>
          <w:rFonts w:ascii="Times New Roman" w:cs="Times New Roman" w:eastAsia="Times New Roman" w:hAnsi="Times New Roman"/>
          <w:sz w:val="18"/>
          <w:szCs w:val="18"/>
          <w:color w:val="auto"/>
        </w:rPr>
      </w:pPr>
    </w:p>
    <w:p>
      <w:pPr>
        <w:ind w:left="1040" w:right="5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specific software deployment methods based on changes to customers’ and partners’ software systems;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making significant investments in software development and equipment;</w:t>
      </w:r>
    </w:p>
    <w:p>
      <w:pPr>
        <w:spacing w:after="0" w:line="90" w:lineRule="exact"/>
        <w:rPr>
          <w:rFonts w:ascii="Times New Roman" w:cs="Times New Roman" w:eastAsia="Times New Roman" w:hAnsi="Times New Roman"/>
          <w:sz w:val="18"/>
          <w:szCs w:val="18"/>
          <w:color w:val="auto"/>
        </w:rPr>
      </w:pPr>
    </w:p>
    <w:p>
      <w:pPr>
        <w:ind w:left="1040" w:right="2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expand revenues, maintain profitability, and to effectively manage our anticipated growth;</w:t>
      </w:r>
    </w:p>
    <w:p>
      <w:pPr>
        <w:spacing w:after="0" w:line="27" w:lineRule="exact"/>
        <w:rPr>
          <w:rFonts w:ascii="Times New Roman" w:cs="Times New Roman" w:eastAsia="Times New Roman" w:hAnsi="Times New Roman"/>
          <w:sz w:val="18"/>
          <w:szCs w:val="18"/>
          <w:color w:val="auto"/>
        </w:rPr>
      </w:pPr>
    </w:p>
    <w:p>
      <w:pPr>
        <w:ind w:left="1040" w:right="3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diversify our solutions by developing or introducing new solutions or acquiring and integrating additional businesses, products, services, or content;</w:t>
      </w:r>
    </w:p>
    <w:p>
      <w:pPr>
        <w:spacing w:after="0" w:line="14" w:lineRule="exact"/>
        <w:rPr>
          <w:rFonts w:ascii="Times New Roman" w:cs="Times New Roman" w:eastAsia="Times New Roman" w:hAnsi="Times New Roman"/>
          <w:sz w:val="18"/>
          <w:szCs w:val="18"/>
          <w:color w:val="auto"/>
        </w:rPr>
      </w:pPr>
    </w:p>
    <w:p>
      <w:pPr>
        <w:ind w:left="1040" w:right="67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to realize the anticipated benefits of such acquisitions;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fluctuations in our results of operations;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expanding international operations;</w:t>
      </w:r>
    </w:p>
    <w:p>
      <w:pPr>
        <w:spacing w:after="0" w:line="90" w:lineRule="exact"/>
        <w:rPr>
          <w:rFonts w:ascii="Times New Roman" w:cs="Times New Roman" w:eastAsia="Times New Roman" w:hAnsi="Times New Roman"/>
          <w:sz w:val="18"/>
          <w:szCs w:val="18"/>
          <w:color w:val="auto"/>
        </w:rPr>
      </w:pPr>
    </w:p>
    <w:p>
      <w:pPr>
        <w:ind w:left="1040" w:right="8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liability from errors, delays, fraud or system failures, which may not be covered by insurance;</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organizational changes and effectively implement strategic initiatives;</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determinations of customers’ transaction tax and tax payments;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or their interpretation or enforcement;</w:t>
      </w:r>
    </w:p>
    <w:p>
      <w:pPr>
        <w:sectPr>
          <w:pgSz w:w="11900" w:h="16838" w:orient="portrait"/>
          <w:cols w:equalWidth="0" w:num="1">
            <w:col w:w="9019"/>
          </w:cols>
          <w:pgMar w:left="1440" w:top="513" w:right="1440"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cybersecurity and data privacy risks;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material legal proceedings and audits;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undetected errors, bugs or defects in our software;</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utilization of open-source software, business processes and information systems;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failures in information technology, infrastructure, and third-party service providers;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protect, maintain, and enhance our brand;</w:t>
      </w:r>
    </w:p>
    <w:p>
      <w:pPr>
        <w:spacing w:after="0" w:line="10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application, scope, interpretation or enforcement of laws and regulations;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weakness and uncertainties, and disruption in the capital and credit markets;</w:t>
      </w:r>
    </w:p>
    <w:p>
      <w:pPr>
        <w:spacing w:after="0" w:line="90" w:lineRule="exact"/>
        <w:rPr>
          <w:rFonts w:ascii="Times New Roman" w:cs="Times New Roman" w:eastAsia="Times New Roman" w:hAnsi="Times New Roman"/>
          <w:sz w:val="18"/>
          <w:szCs w:val="18"/>
          <w:color w:val="auto"/>
        </w:rPr>
      </w:pPr>
    </w:p>
    <w:p>
      <w:pPr>
        <w:ind w:left="1040" w:right="85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related to natural disasters, epidemic outbreaks, including a global endemic or pandemic, terrorist acts, political events, or other events outside of our control;</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anti-corruption, anti-bribery, and similar laws;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90" w:lineRule="exact"/>
        <w:rPr>
          <w:rFonts w:ascii="Times New Roman" w:cs="Times New Roman" w:eastAsia="Times New Roman" w:hAnsi="Times New Roman"/>
          <w:sz w:val="18"/>
          <w:szCs w:val="18"/>
          <w:color w:val="auto"/>
        </w:rPr>
      </w:pPr>
    </w:p>
    <w:p>
      <w:pPr>
        <w:ind w:left="1040" w:right="21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security ratings and market perceptions of the industry in which we operate, or our ability to obtain capital on commercially reasonable terms or at all;</w:t>
      </w:r>
    </w:p>
    <w:p>
      <w:pPr>
        <w:spacing w:after="0" w:line="27" w:lineRule="exact"/>
        <w:rPr>
          <w:rFonts w:ascii="Times New Roman" w:cs="Times New Roman" w:eastAsia="Times New Roman" w:hAnsi="Times New Roman"/>
          <w:sz w:val="18"/>
          <w:szCs w:val="18"/>
          <w:color w:val="auto"/>
        </w:rPr>
      </w:pPr>
    </w:p>
    <w:p>
      <w:pPr>
        <w:ind w:left="1040" w:right="9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 or ability to remediate any material weakness in our internal controls;</w:t>
      </w:r>
    </w:p>
    <w:p>
      <w:pPr>
        <w:spacing w:after="0" w:line="1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Class A common stock and controlled company status;</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 and adherence to the covenants under our debt instruments;</w:t>
      </w:r>
    </w:p>
    <w:p>
      <w:pPr>
        <w:spacing w:after="0" w:line="103" w:lineRule="exact"/>
        <w:rPr>
          <w:rFonts w:ascii="Times New Roman" w:cs="Times New Roman" w:eastAsia="Times New Roman" w:hAnsi="Times New Roman"/>
          <w:sz w:val="18"/>
          <w:szCs w:val="18"/>
          <w:color w:val="auto"/>
        </w:rPr>
      </w:pPr>
    </w:p>
    <w:p>
      <w:pPr>
        <w:ind w:left="1040" w:right="599" w:hanging="315"/>
        <w:spacing w:after="0" w:line="27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Capped Call Transactions (as defined in the notes to the financial statements) and the actions of the Option Counterparties (as defined in the notes to the financial statements) and/or their respective affiliates;</w:t>
      </w:r>
    </w:p>
    <w:p>
      <w:pPr>
        <w:spacing w:after="0" w:line="3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of belief and any statements of assumptions underlying any of the foregoing; and</w:t>
      </w:r>
    </w:p>
    <w:p>
      <w:pPr>
        <w:spacing w:after="0" w:line="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200" w:lineRule="exact"/>
        <w:rPr>
          <w:sz w:val="20"/>
          <w:szCs w:val="20"/>
          <w:color w:val="auto"/>
        </w:rPr>
      </w:pPr>
    </w:p>
    <w:p>
      <w:pPr>
        <w:spacing w:after="0" w:line="201"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risks included here are not exhaustive, and additional factors could adversely affect our business and financial performance, including factors and risks included in our Annual Report on Form 10-K for the year ended December 31, 2023, filed with the Securities and Exchange Commission (the “SEC”) on February 29, 2024 (the “2023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 I - FINANCIAL INFORMATION</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jc w:val="center"/>
        <w:ind w:right="320"/>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ind w:right="320"/>
        <w:spacing w:after="0" w:line="221" w:lineRule="auto"/>
        <w:rPr>
          <w:sz w:val="20"/>
          <w:szCs w:val="20"/>
          <w:color w:val="auto"/>
        </w:rPr>
      </w:pPr>
      <w:r>
        <w:rPr>
          <w:rFonts w:ascii="Times New Roman" w:cs="Times New Roman" w:eastAsia="Times New Roman" w:hAnsi="Times New Roman"/>
          <w:sz w:val="14"/>
          <w:szCs w:val="14"/>
          <w:b w:val="1"/>
          <w:bCs w:val="1"/>
          <w:color w:val="auto"/>
        </w:rPr>
        <w:t>As of September 30, 2024 and December 31, 2023</w:t>
      </w:r>
    </w:p>
    <w:p>
      <w:pPr>
        <w:spacing w:after="0" w:line="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278,979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Funds held for customers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$14,273 and $16,272, respectively</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129,908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33,863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Investment securities available-for-sale, at fair value (amortized cost of $7,434 and $9,550,</w:t>
            </w:r>
          </w:p>
        </w:tc>
        <w:tc>
          <w:tcPr>
            <w:tcW w:w="22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476,619</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178,578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Capitalized software, net of accumulated amortization</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other intangible assets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388,716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asset</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61,193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13,763</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1,190,840</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44,643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Customer funds obligations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benefits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variable compensation</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35,391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 current</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300,620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current</w:t>
            </w: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457,921</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440,779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22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3,792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current portion</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334,656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13,568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commitment and contingent consideration liabilities, net of current portion</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 liabilities</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other liabilities</w:t>
            </w: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931,814</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506,946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shares, $0.001 par value, 30,000 shares authorized; no shares issued and outstanding</w:t>
            </w:r>
          </w:p>
        </w:tc>
        <w:tc>
          <w:tcPr>
            <w:tcW w:w="220" w:type="dxa"/>
            <w:vAlign w:val="bottom"/>
          </w:tcPr>
          <w:p>
            <w:pPr>
              <w:spacing w:after="0"/>
              <w:rPr>
                <w:sz w:val="12"/>
                <w:szCs w:val="12"/>
                <w:color w:val="auto"/>
              </w:rPr>
            </w:pPr>
          </w:p>
        </w:tc>
        <w:tc>
          <w:tcPr>
            <w:tcW w:w="1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A voting common stock, $0.001 par value, 300,000 shares authorized; 65,722 and 60,989</w:t>
            </w:r>
          </w:p>
        </w:tc>
        <w:tc>
          <w:tcPr>
            <w:tcW w:w="22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22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7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Class B voting common stock, $0.001 par value, 150,000 shares authorized; 90,161 and 92,661</w:t>
            </w:r>
          </w:p>
        </w:tc>
        <w:tc>
          <w:tcPr>
            <w:tcW w:w="22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respectively</w:t>
            </w:r>
          </w:p>
        </w:tc>
        <w:tc>
          <w:tcPr>
            <w:tcW w:w="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Additional paid in capital</w:t>
            </w: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264,494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(20,107)</w:t>
            </w: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259,026</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252,981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1,190,840</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759,927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320"/>
          </w:cols>
          <w:pgMar w:left="1440" w:top="513" w:right="11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Vertex,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 and 2023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146,254</w:t>
            </w:r>
          </w:p>
        </w:tc>
        <w:tc>
          <w:tcPr>
            <w:tcW w:w="20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121,285</w:t>
            </w:r>
          </w:p>
        </w:tc>
        <w:tc>
          <w:tcPr>
            <w:tcW w:w="380" w:type="dxa"/>
            <w:vAlign w:val="bottom"/>
          </w:tcPr>
          <w:p>
            <w:pPr>
              <w:spacing w:after="0"/>
              <w:rPr>
                <w:sz w:val="17"/>
                <w:szCs w:val="17"/>
                <w:color w:val="auto"/>
              </w:rPr>
            </w:pP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414,527</w:t>
            </w:r>
          </w:p>
        </w:tc>
        <w:tc>
          <w:tcPr>
            <w:tcW w:w="20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350,135</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23,742</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67,338</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170,435</w:t>
            </w:r>
          </w:p>
        </w:tc>
        <w:tc>
          <w:tcPr>
            <w:tcW w:w="2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145,027</w:t>
            </w:r>
          </w:p>
        </w:tc>
        <w:tc>
          <w:tcPr>
            <w:tcW w:w="3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488,320</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417,473</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41,055</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116,974</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59,911</w:t>
            </w:r>
          </w:p>
        </w:tc>
        <w:tc>
          <w:tcPr>
            <w:tcW w:w="2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56,871</w:t>
            </w:r>
          </w:p>
        </w:tc>
        <w:tc>
          <w:tcPr>
            <w:tcW w:w="3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179,316</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162,497</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110,524</w:t>
            </w:r>
          </w:p>
        </w:tc>
        <w:tc>
          <w:tcPr>
            <w:tcW w:w="2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88,156</w:t>
            </w:r>
          </w:p>
        </w:tc>
        <w:tc>
          <w:tcPr>
            <w:tcW w:w="3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309,004</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254,976</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103,196</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109,071</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(442)</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105,628</w:t>
            </w:r>
          </w:p>
        </w:tc>
        <w:tc>
          <w:tcPr>
            <w:tcW w:w="2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w:t>
            </w:r>
          </w:p>
        </w:tc>
        <w:tc>
          <w:tcPr>
            <w:tcW w:w="3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298,128</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269,995</w:t>
            </w: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(15,019)</w:t>
            </w:r>
          </w:p>
        </w:tc>
        <w:tc>
          <w:tcPr>
            <w:tcW w:w="0" w:type="dxa"/>
            <w:vAlign w:val="bottom"/>
          </w:tcPr>
          <w:p>
            <w:pPr>
              <w:spacing w:after="0"/>
              <w:rPr>
                <w:sz w:val="1"/>
                <w:szCs w:val="1"/>
                <w:color w:val="auto"/>
              </w:rPr>
            </w:pPr>
          </w:p>
        </w:tc>
      </w:tr>
      <w:tr>
        <w:trPr>
          <w:trHeight w:val="20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(2,938)</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(2,471)</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0" w:type="dxa"/>
            <w:vAlign w:val="bottom"/>
          </w:tcPr>
          <w:p>
            <w:pPr>
              <w:spacing w:after="0"/>
              <w:rPr>
                <w:sz w:val="1"/>
                <w:szCs w:val="1"/>
                <w:color w:val="auto"/>
              </w:rPr>
            </w:pPr>
          </w:p>
        </w:tc>
      </w:tr>
      <w:tr>
        <w:trPr>
          <w:trHeight w:val="20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(1,722)</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(28,427)</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(8,955)</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203"/>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 on investments, net of tax</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(8,700)</w:t>
            </w:r>
          </w:p>
        </w:tc>
        <w:tc>
          <w:tcPr>
            <w:tcW w:w="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(29,987)</w:t>
            </w: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Class A and Class B,</w:t>
            </w:r>
          </w:p>
        </w:tc>
        <w:tc>
          <w:tcPr>
            <w:tcW w:w="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tcPr>
          <w:p>
            <w:pPr>
              <w:spacing w:after="0"/>
              <w:rPr>
                <w:sz w:val="16"/>
                <w:szCs w:val="16"/>
                <w:color w:val="auto"/>
              </w:rPr>
            </w:pPr>
          </w:p>
        </w:tc>
        <w:tc>
          <w:tcPr>
            <w:tcW w:w="3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vMerge w:val="restart"/>
          </w:tcPr>
          <w:p>
            <w:pPr>
              <w:spacing w:after="0"/>
              <w:rPr>
                <w:sz w:val="16"/>
                <w:szCs w:val="16"/>
                <w:color w:val="auto"/>
              </w:rPr>
            </w:pPr>
          </w:p>
        </w:tc>
        <w:tc>
          <w:tcPr>
            <w:tcW w:w="3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00" w:type="dxa"/>
            <w:vAlign w:val="bottom"/>
          </w:tcPr>
          <w:p>
            <w:pPr>
              <w:spacing w:after="0"/>
              <w:rPr>
                <w:sz w:val="16"/>
                <w:szCs w:val="16"/>
                <w:color w:val="auto"/>
              </w:rPr>
            </w:pPr>
          </w:p>
        </w:tc>
        <w:tc>
          <w:tcPr>
            <w:tcW w:w="3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of Class A and Class B,</w:t>
            </w: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(0.02)</w:t>
            </w:r>
          </w:p>
        </w:tc>
        <w:tc>
          <w:tcPr>
            <w:tcW w:w="30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w:t>
            </w:r>
          </w:p>
        </w:tc>
        <w:tc>
          <w:tcPr>
            <w:tcW w:w="2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00" w:type="dxa"/>
            <w:vAlign w:val="bottom"/>
          </w:tcPr>
          <w:p>
            <w:pPr>
              <w:spacing w:after="0"/>
              <w:rPr>
                <w:sz w:val="12"/>
                <w:szCs w:val="12"/>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Paid In</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6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January 1, 2024</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60,989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92,661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275,155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(21,742)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252,981</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(5,454)</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(10,898)</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14,845</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(4,011)</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from available-for-sale investments, net of tax</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2,684</w:t>
            </w:r>
          </w:p>
        </w:tc>
        <w:tc>
          <w:tcPr>
            <w:tcW w:w="0" w:type="dxa"/>
            <w:vAlign w:val="bottom"/>
          </w:tcPr>
          <w:p>
            <w:pPr>
              <w:spacing w:after="0"/>
              <w:rPr>
                <w:sz w:val="1"/>
                <w:szCs w:val="1"/>
                <w:color w:val="auto"/>
              </w:rPr>
            </w:pP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62,316</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92,661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273,647</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2,098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(25,770)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250,130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1,734</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9,924</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under ESPP</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1,443</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 of capped calls, net of tax</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(31,517)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(31,517)</w:t>
            </w:r>
          </w:p>
        </w:tc>
        <w:tc>
          <w:tcPr>
            <w:tcW w:w="0" w:type="dxa"/>
            <w:vAlign w:val="bottom"/>
          </w:tcPr>
          <w:p>
            <w:pPr>
              <w:spacing w:after="0"/>
              <w:rPr>
                <w:sz w:val="1"/>
                <w:szCs w:val="1"/>
                <w:color w:val="auto"/>
              </w:rPr>
            </w:pPr>
          </w:p>
        </w:tc>
      </w:tr>
      <w:tr>
        <w:trPr>
          <w:trHeight w:val="117"/>
        </w:trPr>
        <w:tc>
          <w:tcPr>
            <w:tcW w:w="3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(3,335)</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Unrealized gain from available-for-sale investments, net of tax</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5,164</w:t>
            </w:r>
          </w:p>
        </w:tc>
        <w:tc>
          <w:tcPr>
            <w:tcW w:w="0" w:type="dxa"/>
            <w:vAlign w:val="bottom"/>
          </w:tcPr>
          <w:p>
            <w:pPr>
              <w:spacing w:after="0"/>
              <w:rPr>
                <w:sz w:val="1"/>
                <w:szCs w:val="1"/>
                <w:color w:val="auto"/>
              </w:rPr>
            </w:pPr>
          </w:p>
        </w:tc>
      </w:tr>
      <w:tr>
        <w:trPr>
          <w:trHeight w:val="128"/>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65,165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90,161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254,799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7,262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233,130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Exercise of stock options, net</w:t>
            </w: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1,386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1,387</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(1,348)</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9,946</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impact on capped calls</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8,955</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Unrealized gain from available-for-sale investments, net of tax</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7,221</w:t>
            </w:r>
          </w:p>
        </w:tc>
        <w:tc>
          <w:tcPr>
            <w:tcW w:w="0" w:type="dxa"/>
            <w:vAlign w:val="bottom"/>
          </w:tcPr>
          <w:p>
            <w:pPr>
              <w:spacing w:after="0"/>
              <w:rPr>
                <w:sz w:val="1"/>
                <w:szCs w:val="1"/>
                <w:color w:val="auto"/>
              </w:rPr>
            </w:pPr>
          </w:p>
        </w:tc>
      </w:tr>
      <w:tr>
        <w:trPr>
          <w:trHeight w:val="129"/>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September 30, 2024</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65,722</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90,161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264,494</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14,483</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(20,107)</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259,026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 and 2023 (unaudited)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480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5"/>
        </w:trPr>
        <w:tc>
          <w:tcPr>
            <w:tcW w:w="328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6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6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 A</w:t>
            </w:r>
          </w:p>
        </w:tc>
        <w:tc>
          <w:tcPr>
            <w:tcW w:w="10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r>
      <w:tr>
        <w:trPr>
          <w:trHeight w:val="155"/>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9"/>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January 1, 2023</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50,014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100,307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244,820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(27,752)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229,725</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(3,471)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10,938</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Unrealized gain from available-for-sale investments, net of tax</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(18,132)</w:t>
            </w:r>
          </w:p>
        </w:tc>
      </w:tr>
      <w:tr>
        <w:trPr>
          <w:trHeight w:val="128"/>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53,586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97,718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253,566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(24,617)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223,475</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in connection with ESPP</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6,904</w:t>
            </w:r>
          </w:p>
        </w:tc>
      </w:tr>
      <w:tr>
        <w:trPr>
          <w:trHeight w:val="117"/>
        </w:trPr>
        <w:tc>
          <w:tcPr>
            <w:tcW w:w="3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from available-for-sale investments, net of tax</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(6,896)</w:t>
            </w:r>
          </w:p>
        </w:tc>
      </w:tr>
      <w:tr>
        <w:trPr>
          <w:trHeight w:val="168"/>
        </w:trPr>
        <w:tc>
          <w:tcPr>
            <w:tcW w:w="32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2023</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54,054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97,718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262,095</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(12,521)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(24,011)</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225,715</w:t>
            </w:r>
          </w:p>
        </w:tc>
      </w:tr>
      <w:tr>
        <w:trPr>
          <w:trHeight w:val="115"/>
        </w:trPr>
        <w:tc>
          <w:tcPr>
            <w:tcW w:w="32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Exercise of stock options, net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744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(3,717)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(3,716)</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Units, net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upon vesting of Restricted Stock Awards, net</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7,527</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Class B shares exchanged for Class A shares</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and revaluations, net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of tax</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(5,311)</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Unrealized gain from available-for-sale investments, net of tax</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(3,399)</w:t>
            </w:r>
          </w:p>
        </w:tc>
      </w:tr>
      <w:tr>
        <w:trPr>
          <w:trHeight w:val="128"/>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September 30, 2023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55,825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96,839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265,251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(15,920)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(29,312)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220,172</w:t>
            </w: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Vertex, Inc. and Subsidiaries</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ind w:left="60"/>
        <w:spacing w:after="0" w:line="221" w:lineRule="auto"/>
        <w:rPr>
          <w:sz w:val="20"/>
          <w:szCs w:val="20"/>
          <w:color w:val="auto"/>
        </w:rPr>
      </w:pPr>
      <w:r>
        <w:rPr>
          <w:rFonts w:ascii="Times New Roman" w:cs="Times New Roman" w:eastAsia="Times New Roman" w:hAnsi="Times New Roman"/>
          <w:sz w:val="14"/>
          <w:szCs w:val="14"/>
          <w:b w:val="1"/>
          <w:bCs w:val="1"/>
          <w:color w:val="auto"/>
        </w:rPr>
        <w:t>For the nine months ended September 30, 2024 and 2023 (unaudited)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6"/>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15,069</w:t>
            </w:r>
          </w:p>
        </w:tc>
        <w:tc>
          <w:tcPr>
            <w:tcW w:w="16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61,448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52,597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cloud computing implementation costs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subscription cancellations and non-renewals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settlement value of deferred purchase commitment liability</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Write-off of deferred financing costs</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36,459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 benefit</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(8,615)</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(10,245)</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commissions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4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and deferred compensation</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2,487</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 in excess of initial fair value</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(4,367)</w:t>
            </w: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2,197</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123,688</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26,696</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businesses and assets, net of cash acquired</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(71,755)</w:t>
            </w: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additions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(47,520)</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Capitalized software additions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(16,357)</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investment securities, available-for-sale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(12,246)</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sales and maturities of investment securities, available-for-sale</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14,610</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16,040</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(133,268)</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(46,264)</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increase in customer funds obligations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16,996</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convertible senior notes</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345,000</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on long-term debt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(46,875)</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third-party debt</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(3,904)</w:t>
            </w: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for purchase of capped calls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(42,366)</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deferred financing costs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(11,374)</w:t>
            </w:r>
          </w:p>
        </w:tc>
        <w:tc>
          <w:tcPr>
            <w:tcW w:w="4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purchases of stock under ESPP</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taxes related to net share settlement of stock-based awards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(19,990)</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3,097</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purchase commitment and contingent consideration liabilities</w:t>
            </w:r>
          </w:p>
        </w:tc>
        <w:tc>
          <w:tcPr>
            <w:tcW w:w="12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(7,580)</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of finance lease liabilities</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4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for deferred purchase commitments</w:t>
            </w:r>
          </w:p>
        </w:tc>
        <w:tc>
          <w:tcPr>
            <w:tcW w:w="1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225,005</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810</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216,235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(25,626)</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89,151</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106,748</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305,386</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81,122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Reconciliation of cash, cash equivalents and restricted cash to the Condensed Consolidated Balance Sheets,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6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278,979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49,499</w:t>
            </w: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cash—funds held for customers</w:t>
            </w: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31,623</w:t>
            </w:r>
          </w:p>
        </w:tc>
        <w:tc>
          <w:tcPr>
            <w:tcW w:w="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305,386</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81,122</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80" w:right="3959" w:hanging="330"/>
        <w:spacing w:after="0" w:line="503" w:lineRule="auto"/>
        <w:tabs>
          <w:tab w:leader="none" w:pos="37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Nature of Business</w:t>
      </w: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August 30, 2024, the Company completed its acquisition of ecosio GmbH (“ecosio”). Upon its acquisition, ecosio became a wholly owned subsidiary of the Company, and its operations have been included in the Company’s condensed consolidated financial statements commencing on the acquisition date.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Prior to June 5, 2024, the Company owned an 80% controlling equity interest in Systax Sistemas Fiscais LTDA (“Systax”), a provider of Brazilian transaction tax content and software. Systax was determined to be a VIE and the accounts were included in the condensed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condensed consolidated financial statements. On June 5, 2024, Vertex acquired the remaining 20% equity interest in Systax. Systax is now a wholly owned subsidiary of the Company and is consolidated into the condensed consolidated financial statements.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2023 included in the Company’s Annual Report on Form 10-K for the year ended December 31, 2023 (the “2023 Annual Report”) filed with the SEC on February 29, 2024. The condensed consolidated balance sheet as of December 31, 2023 has been derived from audited financial statements included in the 2023 Annual Report. The accompanying interim condensed consolidated balance sheet as of September 30, 2024, the interim condensed consolidated statements of comprehensive income (loss) and changes in stockholders’ equity for the three and nine months ended September 30, 2024 and 2023, and the interim condensed consolidated statements of cash flows for the nine months ended September 30, 2024 and 2023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nine months ended September 30, 2024 are not necessarily indicative of the results expected for the full year ending December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its business as one operating segment. For the three and nine months ended September 30, 2024, approximately 8% and 7%, respectively, of the Company’s revenues were generated from customers located outside the U.S. For both the three and nine months ended September 30, 2023, approximately 7% of the Company’s revenues were generated from customers located outside the U.S. As of September 30, 2024 and December 31, 2023, $654 and $633, respectively, of the Company’s tangible property and equipment assets were held outside the U.S.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3" w:lineRule="exact"/>
        <w:rPr>
          <w:sz w:val="20"/>
          <w:szCs w:val="20"/>
          <w:color w:val="auto"/>
        </w:rPr>
      </w:pPr>
    </w:p>
    <w:p>
      <w:pPr>
        <w:jc w:val="both"/>
        <w:ind w:left="60" w:right="59" w:hanging="10"/>
        <w:spacing w:after="0" w:line="251" w:lineRule="auto"/>
        <w:tabs>
          <w:tab w:leader="none" w:pos="3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(“CCA”)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convertible senior notes (the “Notes”) wholly as debt under ASU 2026-06 </w:t>
      </w:r>
      <w:r>
        <w:rPr>
          <w:rFonts w:ascii="Times New Roman" w:cs="Times New Roman" w:eastAsia="Times New Roman" w:hAnsi="Times New Roman"/>
          <w:sz w:val="18"/>
          <w:szCs w:val="18"/>
          <w:i w:val="1"/>
          <w:iCs w:val="1"/>
          <w:color w:val="auto"/>
        </w:rPr>
        <w:t>Debt—Debt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Conversion and Other Options (Subtopic 470-20.) </w:t>
      </w:r>
      <w:r>
        <w:rPr>
          <w:rFonts w:ascii="Times New Roman" w:cs="Times New Roman" w:eastAsia="Times New Roman" w:hAnsi="Times New Roman"/>
          <w:sz w:val="18"/>
          <w:szCs w:val="18"/>
          <w:color w:val="auto"/>
        </w:rPr>
        <w:t>Debt issuance costs incurred in connection with the issuance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are reflected in the condensed consolidated balance sheets as a direct deduction from the carrying amount of the Notes. These costs are amortized on a straight-line basis, which approximates the effective interest method, over the contractual term of the Notes and are included within interest expense (income), net on the condensed consolidated statements of comprehensive income (loss). For further information on the Notes, refer to Note 8, “Debt”.</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jc w:val="both"/>
        <w:ind w:left="60" w:right="59" w:firstLine="383"/>
        <w:spacing w:after="0" w:line="253" w:lineRule="auto"/>
        <w:rPr>
          <w:sz w:val="20"/>
          <w:szCs w:val="20"/>
          <w:color w:val="auto"/>
        </w:rPr>
      </w:pPr>
      <w:r>
        <w:rPr>
          <w:rFonts w:ascii="Times New Roman" w:cs="Times New Roman" w:eastAsia="Times New Roman" w:hAnsi="Times New Roman"/>
          <w:sz w:val="18"/>
          <w:szCs w:val="18"/>
          <w:color w:val="auto"/>
        </w:rPr>
        <w:t>Capped call transactions cover the aggregate number of shares of the Company’s common stock that will initially underlie the Notes. The Company also determined that the capped call option contracts meet the definition of a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but are not required to be accounted for as a derivative as they meet the scope exception outlined in the guidance. The Company determined that the freestanding capped call option contracts qualify as equity under the accounting guidance and recognized the contract by recording an entry to “Additional paid-in capital” (“APIC”) in stockholders’ equity in its condensed consolidated balance sheets. The capped call options are not remeasured.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balance sheet disclosures are as follows for the respective periods: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licenses and support</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26,173</w:t>
            </w: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cloud computing implementation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general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25,998</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contract labor and professional fees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0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Cloud computing software implementation costs incurred in hosting arrangements are capitalized and reported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two to five years. Amortization expense for capitalized cloud computing implementation costs for the three and nine months ended September 30, 2024 was $1,005 and $2,994, respectively, and is included in general and administrative expense in the condensed consolidated statements of comprehensive income (loss.) Amortization expense for capitalized cloud computing implementation costs for the three and nine month periods ended September 30, 2023 was $919 and $1,550, respectively, and is included in general and administrative expense in the condensed consolidated statements of comprehensive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or Adopted Accounting Pronouncements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left="60" w:right="59" w:firstLine="410"/>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 Segment Reporting (Topic 280): Improvements to Reportable Segment Disclosures. The amendments in ASU 2023-07 improve reportable segment disclosure requirements through enhanced disclosures. These new requirements include: disclosure of significant segment expenses regularly provided to the CODM, the title and position of the CODM, and the extension of certain annual disclosures to interim periods, permitting the disclosure of multiple measures of segment profit or loss, provided that certain criteria are met. The standard also clarifies that entities with a single reportable segment are subject to new and existing segment reporting requirements. The standard will be effective for annual periods in fiscal years beginning after December 15, 2023, and interim periods within fiscal years beginning after December 15, 2024, with early adoption permitted. Entities must adopt the changes to the segment reporting guidance on a retrospective basis. The Company has assessed the potential impacts of the amendments, and has determined that this pronouncement will not have a material effect on its consolidated financial statements, other than the required changes to the segment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227" w:lineRule="exact"/>
        <w:rPr>
          <w:sz w:val="20"/>
          <w:szCs w:val="20"/>
          <w:color w:val="auto"/>
        </w:rPr>
      </w:pPr>
    </w:p>
    <w:p>
      <w:pPr>
        <w:jc w:val="both"/>
        <w:ind w:left="60" w:right="59" w:firstLine="410"/>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condensed consolidated financial statements, other than the required changes to the income tax disclosures.</w:t>
      </w:r>
    </w:p>
    <w:p>
      <w:pPr>
        <w:spacing w:after="0" w:line="200" w:lineRule="exact"/>
        <w:rPr>
          <w:sz w:val="20"/>
          <w:szCs w:val="20"/>
          <w:color w:val="auto"/>
        </w:rPr>
      </w:pPr>
    </w:p>
    <w:p>
      <w:pPr>
        <w:spacing w:after="0" w:line="202" w:lineRule="exact"/>
        <w:rPr>
          <w:sz w:val="20"/>
          <w:szCs w:val="20"/>
          <w:color w:val="auto"/>
        </w:rPr>
      </w:pPr>
    </w:p>
    <w:p>
      <w:pPr>
        <w:ind w:left="420" w:hanging="370"/>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reflects revenue by major source for the following periods: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Software licenses</w:t>
            </w:r>
          </w:p>
        </w:tc>
        <w:tc>
          <w:tcPr>
            <w:tcW w:w="1640" w:type="dxa"/>
            <w:vAlign w:val="bottom"/>
            <w:gridSpan w:val="2"/>
          </w:tcPr>
          <w:p>
            <w:pPr>
              <w:ind w:left="1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75,273</w:t>
            </w:r>
          </w:p>
        </w:tc>
        <w:tc>
          <w:tcPr>
            <w:tcW w:w="460" w:type="dxa"/>
            <w:vAlign w:val="bottom"/>
            <w:gridSpan w:val="2"/>
          </w:tcPr>
          <w:p>
            <w:pPr>
              <w:jc w:val="right"/>
              <w:ind w:right="116"/>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66,637</w:t>
            </w:r>
          </w:p>
        </w:tc>
        <w:tc>
          <w:tcPr>
            <w:tcW w:w="380" w:type="dxa"/>
            <w:vAlign w:val="bottom"/>
            <w:gridSpan w:val="2"/>
          </w:tcPr>
          <w:p>
            <w:pPr>
              <w:jc w:val="right"/>
              <w:ind w:right="6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215,365</w:t>
            </w:r>
          </w:p>
        </w:tc>
        <w:tc>
          <w:tcPr>
            <w:tcW w:w="420" w:type="dxa"/>
            <w:vAlign w:val="bottom"/>
            <w:gridSpan w:val="2"/>
          </w:tcPr>
          <w:p>
            <w:pPr>
              <w:jc w:val="right"/>
              <w:ind w:right="96"/>
              <w:spacing w:after="0" w:line="198"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196,070</w:t>
            </w:r>
          </w:p>
        </w:tc>
      </w:tr>
      <w:tr>
        <w:trPr>
          <w:trHeight w:val="234"/>
        </w:trPr>
        <w:tc>
          <w:tcPr>
            <w:tcW w:w="20" w:type="dxa"/>
            <w:vAlign w:val="bottom"/>
          </w:tcPr>
          <w:p>
            <w:pPr>
              <w:spacing w:after="0"/>
              <w:rPr>
                <w:sz w:val="20"/>
                <w:szCs w:val="20"/>
                <w:color w:val="auto"/>
              </w:rPr>
            </w:pPr>
          </w:p>
        </w:tc>
        <w:tc>
          <w:tcPr>
            <w:tcW w:w="3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13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70,981</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54,648</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199,162</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154,065</w:t>
            </w: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350,135</w:t>
            </w: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67,338</w:t>
            </w: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417,473</w:t>
            </w: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$14,273 and $16,272 at September 30, 2024 and December 31, 2023, respectively. The allowance for potentially uncollectible accounts represents future expected credit losses over the life of the receivables based on past experience, current information and forward-looking economic considerations.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accounts receivable, net of allowance,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40" w:type="dxa"/>
            <w:vAlign w:val="bottom"/>
          </w:tcPr>
          <w:p>
            <w:pPr>
              <w:spacing w:after="0"/>
              <w:rPr>
                <w:sz w:val="13"/>
                <w:szCs w:val="13"/>
                <w:color w:val="auto"/>
              </w:rPr>
            </w:pPr>
          </w:p>
        </w:tc>
        <w:tc>
          <w:tcPr>
            <w:tcW w:w="14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5"/>
                <w:szCs w:val="15"/>
                <w:color w:val="auto"/>
              </w:rPr>
            </w:pPr>
          </w:p>
        </w:tc>
        <w:tc>
          <w:tcPr>
            <w:tcW w:w="14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129,908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1500"/>
        <w:spacing w:after="0" w:line="263" w:lineRule="auto"/>
        <w:rPr>
          <w:sz w:val="20"/>
          <w:szCs w:val="20"/>
          <w:color w:val="auto"/>
        </w:rPr>
      </w:pPr>
      <w:r>
        <w:rPr>
          <w:rFonts w:ascii="Times New Roman" w:cs="Times New Roman" w:eastAsia="Times New Roman" w:hAnsi="Times New Roman"/>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reflected net of a related deferred allowance for subscription cancellations (the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“deferred allowance”) of $10,235 and $11,741 at September 30, 2024 and December 31, 2023, respectively. The deferred allowance represents the portion of the allowance for subscription cancellations associated with deferred revenue.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beginning and ending balances of and changes to the allowance and the deferred allowance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398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142"/>
        </w:trPr>
        <w:tc>
          <w:tcPr>
            <w:tcW w:w="4940" w:type="dxa"/>
            <w:vAlign w:val="bottom"/>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76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Net 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128"/>
        </w:trPr>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July 1,</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 (17,704)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(14,218)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September 30,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July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September 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r>
      <w:tr>
        <w:trPr>
          <w:trHeight w:val="209"/>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3980" w:type="dxa"/>
            <w:vAlign w:val="bottom"/>
            <w:gridSpan w:val="1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940" w:type="dxa"/>
            <w:vAlign w:val="bottom"/>
          </w:tcPr>
          <w:p>
            <w:pPr>
              <w:spacing w:after="0"/>
              <w:rPr>
                <w:sz w:val="12"/>
                <w:szCs w:val="12"/>
                <w:color w:val="auto"/>
              </w:rPr>
            </w:pPr>
          </w:p>
        </w:tc>
        <w:tc>
          <w:tcPr>
            <w:tcW w:w="110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76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Net Change</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2"/>
                <w:szCs w:val="12"/>
                <w:color w:val="auto"/>
              </w:rPr>
            </w:pPr>
          </w:p>
        </w:tc>
      </w:tr>
      <w:tr>
        <w:trPr>
          <w:trHeight w:val="128"/>
        </w:trPr>
        <w:tc>
          <w:tcPr>
            <w:tcW w:w="4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balance, January 1,</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8"/>
              </w:rPr>
              <w:t>$ (16,272)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balance, September 30,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(14,273)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allowance</w:t>
            </w: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allowance balance, January 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allowance balance, September 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deferred allowance</w:t>
            </w: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 w:type="dxa"/>
            <w:vAlign w:val="bottom"/>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amount charged to revenues</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9"/>
        </w:trPr>
        <w:tc>
          <w:tcPr>
            <w:tcW w:w="3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ind w:right="1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deferred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299,741</w:t>
            </w:r>
          </w:p>
        </w:tc>
        <w:tc>
          <w:tcPr>
            <w:tcW w:w="20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277,053</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292,720</w:t>
            </w: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279,136</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amounts deferred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405,152</w:t>
            </w:r>
          </w:p>
        </w:tc>
        <w:tc>
          <w:tcPr>
            <w:tcW w:w="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recognized</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(170,435)</w:t>
            </w:r>
          </w:p>
        </w:tc>
        <w:tc>
          <w:tcPr>
            <w:tcW w:w="3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(145,027)</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(488,320)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(417,473)</w:t>
            </w:r>
          </w:p>
        </w:tc>
        <w:tc>
          <w:tcPr>
            <w:tcW w:w="20" w:type="dxa"/>
            <w:vAlign w:val="bottom"/>
          </w:tcPr>
          <w:p>
            <w:pPr>
              <w:spacing w:after="0"/>
              <w:rPr>
                <w:sz w:val="18"/>
                <w:szCs w:val="18"/>
                <w:color w:val="auto"/>
              </w:rPr>
            </w:pPr>
          </w:p>
        </w:tc>
      </w:tr>
      <w:tr>
        <w:trPr>
          <w:trHeight w:val="21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266,815</w:t>
            </w:r>
          </w:p>
        </w:tc>
        <w:tc>
          <w:tcPr>
            <w:tcW w:w="2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to contract cost balances as of and for the following periods are: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3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3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3"/>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21,862</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20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r>
      <w:tr>
        <w:trPr>
          <w:trHeight w:val="216"/>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r>
      <w:tr>
        <w:trPr>
          <w:trHeight w:val="216"/>
        </w:trPr>
        <w:tc>
          <w:tcPr>
            <w:tcW w:w="3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(4,346)</w:t>
            </w:r>
          </w:p>
        </w:tc>
        <w:tc>
          <w:tcPr>
            <w:tcW w:w="3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(3,471)</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10"/>
        </w:trPr>
        <w:tc>
          <w:tcPr>
            <w:tcW w:w="33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80" w:right="7379" w:hanging="330"/>
        <w:spacing w:after="0" w:line="532" w:lineRule="auto"/>
        <w:tabs>
          <w:tab w:leader="none" w:pos="31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ecosio GmbH</w:t>
      </w:r>
    </w:p>
    <w:p>
      <w:pPr>
        <w:spacing w:after="0" w:line="1"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7"/>
          <w:szCs w:val="17"/>
          <w:color w:val="auto"/>
        </w:rPr>
        <w:t>On August 30, 2024 (the “Acquisition Date”), the Company purchased 100% of the share interests in ecosio GmbH (“ecosio”), a limited liability company incorporated under the laws of Austria and a provider of electronic data interchange (“EDI”) and e-invoicing services. The acquisition was completed with the goal of integrating ecosio’s cloud-based, scalable global network with the Company’s indirect tax solutions to enable customers to facilitate the creation, exchange, and clearance of jurisdictionally compliant e-invoices and seamlessly reconcile these invoices with their periodic filing requirements. ecosio’s operations and offerings will be integrated into the Company’s one operating segment.</w:t>
      </w:r>
      <w:r>
        <w:rPr>
          <w:rFonts w:ascii="Arial" w:cs="Arial" w:eastAsia="Arial" w:hAnsi="Arial"/>
          <w:sz w:val="17"/>
          <w:szCs w:val="17"/>
          <w:color w:val="auto"/>
        </w:rPr>
        <w:t> </w:t>
      </w:r>
    </w:p>
    <w:p>
      <w:pPr>
        <w:spacing w:after="0" w:line="15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The purchase price has been allocated based on the latest draft valuations and remains preliminary. As the Company finalizes the fair value of assets acquired and liabilities assumed, additional purchase price adjustments and associated deferred taxes may be recorded during the remaining measurement period. Upon its acquisition, ecosio became a wholly owned subsidiary of the Company, and its operations have been included in the Company’s condensed consolidated financial statements commencing on the Acquisition Date.</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Purchase Consideration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Total purchase consideration for the ecosio acquisition was $169,041, net of $788 cash acquired, which was comprised of the following: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30, 2024</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right"/>
              <w:ind w:right="797"/>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Upfront cash consideration</w:t>
            </w:r>
          </w:p>
        </w:tc>
        <w:tc>
          <w:tcPr>
            <w:tcW w:w="3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Stock Earn-outs, at fair value</w:t>
            </w:r>
          </w:p>
        </w:tc>
        <w:tc>
          <w:tcPr>
            <w:tcW w:w="28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initial cash consideration was $65,000, adjusted for certain closing adjustments and transaction costs paid on behalf of ecosio. The cash consideration was paid with existing cash on hand.</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contingent consideration liabilities included in the consideration are in the form of cash (the “Cash Earn-out”), with an aggregate of up to $76,000, and stock, with an aggregate value of up to $35,000 (the “Stock Earn-out”, together with the Cash Earn-out, the “Earn-outs”), assuming 100% achievement. The Earn-outs will be based upon ecosio’s monthly software revenues meeting specified annual targets over a three-year period. The Cash Earn-out is payable annually and also contains a catch-up mechanism. The Stock Earn-out is payable annually and is settled in shares of the Company’s Class A common stock. The fair value of the Cash and Stock Earn-outs at acquisition was $71,000 and $34,000, respectively, and were measured on the Acquisition Date using a Monte Carlo simulation in a risk-neutral framework, calibrated to management’s revenue forecasts. The final payments may be adjusted depending on the actual amount, above or below the targets. The Stock Earn-out is classified as a liability on the condensed consolidated balance sheet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For further information on the Earn-outs, refer to Note 4, “Financial Instruments and Fair Value Measurements”.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preliminary values recorded, which are reflected in the table below, will be adjusted during the measurement period as more detailed analyses are performed and further information becomes available regarding the fair values of these amounts on the Acquisition Date.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August 30, 2024</w:t>
            </w:r>
          </w:p>
        </w:tc>
      </w:tr>
      <w:tr>
        <w:trPr>
          <w:trHeight w:val="142"/>
        </w:trPr>
        <w:tc>
          <w:tcPr>
            <w:tcW w:w="6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r>
      <w:tr>
        <w:trPr>
          <w:trHeight w:val="216"/>
        </w:trPr>
        <w:tc>
          <w:tcPr>
            <w:tcW w:w="64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Property and equipment </w:t>
            </w:r>
            <w:r>
              <w:rPr>
                <w:rFonts w:ascii="Times New Roman" w:cs="Times New Roman" w:eastAsia="Times New Roman" w:hAnsi="Times New Roman"/>
                <w:sz w:val="25"/>
                <w:szCs w:val="25"/>
                <w:color w:val="auto"/>
                <w:vertAlign w:val="superscript"/>
              </w:rPr>
              <w:t>(1)</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63,984</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640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25"/>
                <w:szCs w:val="25"/>
                <w:color w:val="auto"/>
                <w:vertAlign w:val="superscript"/>
              </w:rPr>
              <w:t>(2)</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123,509</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debt</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 w:type="dxa"/>
            <w:vAlign w:val="bottom"/>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20" w:type="dxa"/>
            <w:vAlign w:val="bottom"/>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169,829</w:t>
            </w:r>
          </w:p>
        </w:tc>
        <w:tc>
          <w:tcPr>
            <w:tcW w:w="20" w:type="dxa"/>
            <w:vAlign w:val="bottom"/>
          </w:tcPr>
          <w:p>
            <w:pPr>
              <w:spacing w:after="0"/>
              <w:rPr>
                <w:sz w:val="18"/>
                <w:szCs w:val="18"/>
                <w:color w:val="auto"/>
              </w:rPr>
            </w:pPr>
          </w:p>
        </w:tc>
      </w:tr>
    </w:tbl>
    <w:p>
      <w:pPr>
        <w:ind w:left="240" w:hanging="190"/>
        <w:spacing w:after="0" w:line="206" w:lineRule="auto"/>
        <w:tabs>
          <w:tab w:leader="none" w:pos="24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$63,800 of acquired developed technology.</w:t>
      </w:r>
    </w:p>
    <w:p>
      <w:pPr>
        <w:spacing w:after="0" w:line="23" w:lineRule="exact"/>
        <w:rPr>
          <w:rFonts w:ascii="Times New Roman" w:cs="Times New Roman" w:eastAsia="Times New Roman" w:hAnsi="Times New Roman"/>
          <w:sz w:val="24"/>
          <w:szCs w:val="24"/>
          <w:color w:val="auto"/>
          <w:vertAlign w:val="superscript"/>
        </w:rPr>
      </w:pPr>
    </w:p>
    <w:p>
      <w:pPr>
        <w:ind w:left="240" w:hanging="190"/>
        <w:spacing w:after="0" w:line="182" w:lineRule="auto"/>
        <w:tabs>
          <w:tab w:leader="none" w:pos="2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Goodwill associated with the acquisition is not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-278130</wp:posOffset>
            </wp:positionV>
            <wp:extent cx="1586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fair value, valuation methodologies, estimated useful lives, and significant assumptions of the identifiable intangibles acquired in the ecosio acquisition are summarized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August 30, 2024 (unaudited)</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48"/>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ecosio Identifiable Intangibles</w:t>
            </w:r>
          </w:p>
        </w:tc>
        <w:tc>
          <w:tcPr>
            <w:tcW w:w="100" w:type="dxa"/>
            <w:vAlign w:val="bottom"/>
            <w:vMerge w:val="restart"/>
          </w:tcPr>
          <w:p>
            <w:pPr>
              <w:spacing w:after="0"/>
              <w:rPr>
                <w:sz w:val="12"/>
                <w:szCs w:val="12"/>
                <w:color w:val="auto"/>
              </w:rPr>
            </w:pPr>
          </w:p>
        </w:tc>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vMerge w:val="restart"/>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3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2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1"/>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Multi-period excess earnings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shd w:val="clear" w:color="auto" w:fill="CCEEFF"/>
          </w:tcPr>
          <w:p>
            <w:pPr>
              <w:spacing w:after="0"/>
              <w:rPr>
                <w:sz w:val="10"/>
                <w:szCs w:val="10"/>
                <w:color w:val="auto"/>
              </w:rPr>
            </w:pPr>
          </w:p>
        </w:tc>
        <w:tc>
          <w:tcPr>
            <w:tcW w:w="236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method - income approach</w:t>
            </w:r>
          </w:p>
        </w:tc>
        <w:tc>
          <w:tcPr>
            <w:tcW w:w="7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Relief from royalty method -</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tcPr>
          <w:p>
            <w:pPr>
              <w:spacing w:after="0"/>
              <w:rPr>
                <w:sz w:val="10"/>
                <w:szCs w:val="10"/>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0"/>
                <w:szCs w:val="10"/>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income approach</w:t>
            </w:r>
          </w:p>
        </w:tc>
        <w:tc>
          <w:tcPr>
            <w:tcW w:w="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Goodwill and other intangible</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With and without method -</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00" w:type="dxa"/>
            <w:vAlign w:val="bottom"/>
            <w:gridSpan w:val="2"/>
            <w:vMerge w:val="continue"/>
            <w:shd w:val="clear" w:color="auto" w:fill="CCEEFF"/>
          </w:tcPr>
          <w:p>
            <w:pPr>
              <w:spacing w:after="0"/>
              <w:rPr>
                <w:sz w:val="10"/>
                <w:szCs w:val="10"/>
                <w:color w:val="auto"/>
              </w:rPr>
            </w:pPr>
          </w:p>
        </w:tc>
        <w:tc>
          <w:tcPr>
            <w:tcW w:w="2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income approach</w:t>
            </w:r>
          </w:p>
        </w:tc>
        <w:tc>
          <w:tcPr>
            <w:tcW w:w="7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3 years</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60" w:type="dxa"/>
            <w:vAlign w:val="bottom"/>
            <w:gridSpan w:val="2"/>
            <w:vMerge w:val="continue"/>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Third-party experts were engaged to assist in the valuation of identifiable intangible assets and Earn-out payments as part of the acquisition. All estimates, key assumptions, and forecasts were either provided by, or reviewed by the Company. While the Company chose to utilize a third-party valuation specialist for assistance, the fair value analysis and related valuations reflect the conclusions of the Company and not those of any third-party. Any subsequent adjustments to the preliminary values not associated with determination of their fair values on the Acquisition Date will be recorded in the consolidated statements of comprehensive income (loss) in the period in which the adjustment is identified.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Total transaction costs associated with the acquisition were $720 and $1,637 for the three and nine months ended September 30, 2024, respectively and are recorded in other operating expense (income), net in the condensed consolidated statements of comprehensive income (loss).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Ryan, LLC Artificial Intelligence Tax Categorization</w:t>
      </w:r>
    </w:p>
    <w:p>
      <w:pPr>
        <w:spacing w:after="0" w:line="229"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8"/>
          <w:szCs w:val="18"/>
          <w:color w:val="auto"/>
        </w:rPr>
        <w:t>On May 31, 2024, the Company entered into an asset purchase agreement with Ryan, LLC (“Ryan”) to acquire tax-specific artificial intelligence (“AI”) capabilities, designed to more effectively manage the complexity of tax mapping. The acquisition will accelerate the Company’s AI innovation strategy to help global companies manage tax complexity with greater speed and scale.</w:t>
      </w:r>
    </w:p>
    <w:p>
      <w:pPr>
        <w:spacing w:after="0" w:line="16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paid $6,075 in closing consideration, which included $75 in transaction costs. The purchase agreement also includes the potential for earn-out payments and referral fees to Ryan over a five-year period. The earn-out payments will be paid annually in an amount equal to the (a) applicable percentage (ranging from 0% to 35%) multiplied by (b) new sales (excluding new sales to new customers). The referral fees will be paid annually to compensate Ryan for new customers in an amount equal to 35% multiplied by new sales from such new customer. The agreement also contained the assignment and assumption of certain immaterial contracts related to the software.</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Following the guidance provided under the FASB Accounting Standards Update No. 2017-01,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Definition of a Business, </w:t>
      </w:r>
      <w:r>
        <w:rPr>
          <w:rFonts w:ascii="Times New Roman" w:cs="Times New Roman" w:eastAsia="Times New Roman" w:hAnsi="Times New Roman"/>
          <w:sz w:val="18"/>
          <w:szCs w:val="18"/>
          <w:color w:val="auto"/>
        </w:rPr>
        <w:t>the transaction was accounted for as an asset acquisition and the entire consideration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the asset and recognized as in-process internal-use software within property and equipment on the condensed consolidated balance sheet. Once placed into service, the asset will be reported as internal-use cloud-based customer solutions software, net of accumulated amortization within property and equipment on the condensed consolidated balance sheet, and will amortize over its assigned useful life of 5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400" w:lineRule="exact"/>
        <w:rPr>
          <w:sz w:val="20"/>
          <w:szCs w:val="20"/>
          <w:color w:val="auto"/>
        </w:rPr>
      </w:pPr>
    </w:p>
    <w:p>
      <w:pPr>
        <w:ind w:left="460" w:hanging="410"/>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Company’s fair value for its financial assets and liabilities measured at fair value on a recurring basis:</w:t>
      </w:r>
    </w:p>
    <w:tbl>
      <w:tblPr>
        <w:tblLayout w:type="fixed"/>
        <w:tblInd w:w="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2024 (unaudited)</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Cash Earn-out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0" w:type="dxa"/>
            <w:vAlign w:val="bottom"/>
          </w:tcPr>
          <w:p>
            <w:pPr>
              <w:spacing w:after="0"/>
              <w:rPr>
                <w:sz w:val="1"/>
                <w:szCs w:val="1"/>
                <w:color w:val="auto"/>
              </w:rPr>
            </w:pPr>
          </w:p>
        </w:tc>
      </w:tr>
      <w:tr>
        <w:trPr>
          <w:trHeight w:val="191"/>
        </w:trPr>
        <w:tc>
          <w:tcPr>
            <w:tcW w:w="44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ecosio Stock Earn-out</w:t>
            </w:r>
          </w:p>
        </w:tc>
        <w:tc>
          <w:tcPr>
            <w:tcW w:w="12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in active</w:t>
            </w:r>
          </w:p>
        </w:tc>
        <w:tc>
          <w:tcPr>
            <w:tcW w:w="120" w:type="dxa"/>
            <w:vAlign w:val="bottom"/>
          </w:tcPr>
          <w:p>
            <w:pPr>
              <w:spacing w:after="0"/>
              <w:rPr>
                <w:sz w:val="10"/>
                <w:szCs w:val="10"/>
                <w:color w:val="auto"/>
              </w:rPr>
            </w:pPr>
          </w:p>
        </w:tc>
        <w:tc>
          <w:tcPr>
            <w:tcW w:w="10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The Company has investments in bank and corporate issued commercial paper (“Commercial Paper”) and U.S. treasury securities (“U.S. Treasury Securities”). The Company believes that Level 2 designation is appropriate for Commercial Paper and U.S. Treasury Securities under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 these securities are fixed income securities, none are exchange-traded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August 2024 ecosio acquisition, the sellers are entitled to three annual Earn-outs based on ecosio’s achievement of certain monthly software revenue targets measured over an aggregate of 12 months and paid within 90 days after the relevant measurement period. The fair value of the Cash Earn-out and the Stock Earn-out were measured on the Acquisition Date using a Monte Carlo simulation in a risk-neutral framework, calibrated to management’s revenue forecasts. Additional information on the Cash Earn-out and the Stock Earn-out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8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 Earn-out</w:t>
            </w:r>
          </w:p>
        </w:tc>
        <w:tc>
          <w:tcPr>
            <w:tcW w:w="380" w:type="dxa"/>
            <w:vAlign w:val="bottom"/>
          </w:tcPr>
          <w:p>
            <w:pPr>
              <w:spacing w:after="0"/>
              <w:rPr>
                <w:sz w:val="17"/>
                <w:szCs w:val="17"/>
                <w:color w:val="auto"/>
              </w:rPr>
            </w:pP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474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Cash Earn-out/ Period (unaudited)</w:t>
            </w:r>
          </w:p>
        </w:tc>
        <w:tc>
          <w:tcPr>
            <w:tcW w:w="3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At 100% Achievement</w:t>
            </w:r>
          </w:p>
        </w:tc>
        <w:tc>
          <w:tcPr>
            <w:tcW w:w="3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At acquisition</w:t>
            </w:r>
          </w:p>
        </w:tc>
      </w:tr>
      <w:tr>
        <w:trPr>
          <w:trHeight w:val="19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1 - December 1, 2024 - December 1, 2025</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w:t>
            </w:r>
          </w:p>
        </w:tc>
      </w:tr>
      <w:tr>
        <w:trPr>
          <w:trHeight w:val="20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2 - December 1, 2025 - December 1, 2026</w:t>
            </w:r>
          </w:p>
        </w:tc>
        <w:tc>
          <w:tcPr>
            <w:tcW w:w="3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23,200</w:t>
            </w:r>
          </w:p>
        </w:tc>
      </w:tr>
      <w:tr>
        <w:trPr>
          <w:trHeight w:val="20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3 - December 1, 2026 - December 1, 2027</w:t>
            </w:r>
          </w:p>
        </w:tc>
        <w:tc>
          <w:tcPr>
            <w:tcW w:w="3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31,100</w:t>
            </w:r>
          </w:p>
        </w:tc>
      </w:tr>
      <w:tr>
        <w:trPr>
          <w:trHeight w:val="19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Earn-out</w:t>
            </w:r>
          </w:p>
        </w:tc>
        <w:tc>
          <w:tcPr>
            <w:tcW w:w="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76,000</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71,000</w:t>
            </w: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47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Stock Earn-out/ Period (unaudited)</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At acquisition</w:t>
            </w:r>
          </w:p>
        </w:tc>
      </w:tr>
      <w:tr>
        <w:trPr>
          <w:trHeight w:val="19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1 - December 1, 2024 - December 1, 2025</w:t>
            </w:r>
          </w:p>
        </w:tc>
        <w:tc>
          <w:tcPr>
            <w:tcW w:w="4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w:t>
            </w:r>
          </w:p>
        </w:tc>
      </w:tr>
      <w:tr>
        <w:trPr>
          <w:trHeight w:val="20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2 - December 1, 2025 - December 1, 2026</w:t>
            </w:r>
          </w:p>
        </w:tc>
        <w:tc>
          <w:tcPr>
            <w:tcW w:w="16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11,400</w:t>
            </w:r>
          </w:p>
        </w:tc>
      </w:tr>
      <w:tr>
        <w:trPr>
          <w:trHeight w:val="20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3 - December 1, 2026 - December 1, 2027</w:t>
            </w:r>
          </w:p>
        </w:tc>
        <w:tc>
          <w:tcPr>
            <w:tcW w:w="16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w:t>
            </w:r>
          </w:p>
        </w:tc>
      </w:tr>
      <w:tr>
        <w:trPr>
          <w:trHeight w:val="196"/>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 Earn-out</w:t>
            </w:r>
          </w:p>
        </w:tc>
        <w:tc>
          <w:tcPr>
            <w:tcW w:w="16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34,000</w:t>
            </w: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60" w:firstLine="648"/>
        <w:spacing w:after="0" w:line="261" w:lineRule="auto"/>
        <w:rPr>
          <w:sz w:val="20"/>
          <w:szCs w:val="20"/>
          <w:color w:val="auto"/>
        </w:rPr>
      </w:pPr>
      <w:r>
        <w:rPr>
          <w:rFonts w:ascii="Times New Roman" w:cs="Times New Roman" w:eastAsia="Times New Roman" w:hAnsi="Times New Roman"/>
          <w:sz w:val="18"/>
          <w:szCs w:val="18"/>
          <w:color w:val="auto"/>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spacing w:after="0" w:line="180" w:lineRule="exact"/>
        <w:rPr>
          <w:sz w:val="20"/>
          <w:szCs w:val="20"/>
          <w:color w:val="auto"/>
        </w:rPr>
      </w:pPr>
    </w:p>
    <w:p>
      <w:pPr>
        <w:jc w:val="both"/>
        <w:ind w:left="60" w:right="60" w:firstLine="648"/>
        <w:spacing w:after="0" w:line="255" w:lineRule="auto"/>
        <w:rPr>
          <w:sz w:val="20"/>
          <w:szCs w:val="20"/>
          <w:color w:val="auto"/>
        </w:rPr>
      </w:pPr>
      <w:r>
        <w:rPr>
          <w:rFonts w:ascii="Times New Roman" w:cs="Times New Roman" w:eastAsia="Times New Roman" w:hAnsi="Times New Roman"/>
          <w:sz w:val="18"/>
          <w:szCs w:val="18"/>
          <w:color w:val="auto"/>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Both the Cash Earn-out and the Stock Earn-out are recorded at fair value and are included in purchase commitment and contingent consideration liabilities, net of current portion in the condensed consolidated balance sheets. The Earn-outs will be revalued and adjusted quarterly until the end of the Earn-out period, and any fair value adjustments will be recorded in the other operating expense (income), net line of the condensed consolidated statement of income (loss).</w:t>
      </w:r>
    </w:p>
    <w:p>
      <w:pPr>
        <w:spacing w:after="0" w:line="189" w:lineRule="exact"/>
        <w:rPr>
          <w:sz w:val="20"/>
          <w:szCs w:val="20"/>
          <w:color w:val="auto"/>
        </w:rPr>
      </w:pPr>
    </w:p>
    <w:p>
      <w:pPr>
        <w:ind w:left="60" w:right="3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Cash Earn-out and the Stock Earn-out as of September 30, 2024, and unobservable inputs used for the Monte Carlo Simulation valuation are shown in the table below.</w:t>
      </w:r>
    </w:p>
    <w:tbl>
      <w:tblPr>
        <w:tblLayout w:type="fixed"/>
        <w:tblInd w:w="40" w:type="dxa"/>
        <w:tblCellMar>
          <w:top w:w="0" w:type="dxa"/>
          <w:left w:w="0" w:type="dxa"/>
          <w:bottom w:w="0" w:type="dxa"/>
          <w:right w:w="0" w:type="dxa"/>
        </w:tblCellMar>
      </w:tblPr>
      <w:tr>
        <w:trPr>
          <w:trHeight w:val="162"/>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2024 (unaudited)</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184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Cash Earn-out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$ 71,000</w:t>
            </w:r>
          </w:p>
        </w:tc>
        <w:tc>
          <w:tcPr>
            <w:tcW w:w="1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21.0</w:t>
            </w:r>
          </w:p>
        </w:tc>
        <w:tc>
          <w:tcPr>
            <w:tcW w:w="2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ecosio Contingent Consideration - Stock Earn-out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$ 34,000</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Monte Carlo Simulation</w:t>
            </w: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21.0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3" w:right="143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January 2021 Tellutax LLC (“Tellutax”) acquisition, the sellers are entitled to contingent consideration if sales targets are met during a period of time following the acquisition (the “Tellutax Contingent Consideration”). 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Fair value adjustments of $100 and $(2,275) were recorded in other operating expense (income), net for the three and nine months ended September 30, 2024, respectively. Fair value adjustments of $900 and $1,349 were recorded in other operating expense (income), net for the three and nine months ended September 30, 2023, respectively. At September 30, 2024, the Tellutax Contingent Consideration of $300 is included in purchase commitment and contingent consideration liabilities, current in the condensed consolidated balance sheets. At December 31, 2023, the Tellutax Contingent Consideration of $2,300 and $2,600 is included in purchase commitment and contingent consideration liabilities, current, and purchase commitment and contingent consideration liabilities, net of current portion, respectively, in the condensed consolidated balance sheets.</w:t>
      </w:r>
    </w:p>
    <w:p>
      <w:pPr>
        <w:spacing w:after="0" w:line="200" w:lineRule="exact"/>
        <w:rPr>
          <w:sz w:val="20"/>
          <w:szCs w:val="20"/>
          <w:color w:val="auto"/>
        </w:rPr>
      </w:pPr>
    </w:p>
    <w:p>
      <w:pPr>
        <w:spacing w:after="0" w:line="20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Tellutax Contingent Consideration fair value as of September 30, 2024, and December 31, 2023 and unobservable inputs used for the Monte Carlo Simulation valuation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3"/>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September 30, 2024 (unaudited)</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Monte Carlo Simulation</w:t>
            </w:r>
          </w:p>
        </w:tc>
        <w:tc>
          <w:tcPr>
            <w:tcW w:w="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center"/>
              <w:ind w:right="4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0" w:type="dxa"/>
            <w:vAlign w:val="bottom"/>
            <w:gridSpan w:val="2"/>
            <w:shd w:val="clear" w:color="auto" w:fill="CCEEFF"/>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2060" w:type="dxa"/>
            <w:vAlign w:val="bottom"/>
            <w:shd w:val="clear" w:color="auto" w:fill="CCEEFF"/>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Tellutax Contingent Consideration</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24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Monte Carlo Simulation</w:t>
            </w:r>
          </w:p>
        </w:tc>
        <w:tc>
          <w:tcPr>
            <w:tcW w:w="2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Company’s level 3 liabilities during the nine months ended September 30, 2024, were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Tellutax</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ecosio</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ecosio</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0" w:type="dxa"/>
            <w:vAlign w:val="bottom"/>
          </w:tcPr>
          <w:p>
            <w:pPr>
              <w:spacing w:after="0"/>
              <w:rPr>
                <w:sz w:val="1"/>
                <w:szCs w:val="1"/>
                <w:color w:val="auto"/>
              </w:rPr>
            </w:pPr>
          </w:p>
        </w:tc>
      </w:tr>
      <w:tr>
        <w:trPr>
          <w:trHeight w:val="226"/>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Earn-out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 Earn-out</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jc w:val="right"/>
              <w:ind w:right="53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right"/>
              <w:ind w:right="49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ecosio acquisition (Note 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(2,325)</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and the carrying amount of funds held for customers were the same as their respective fair values and are considered Level 1 measurements.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our bank debt approximates fair value as the variable rates on the debt approximate those commercially available in the market, and is considered a Level 3 measurement.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ecosio acquisition on August 30, 2024,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2023 and 2022.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has fluctuated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income (loss). Adjustments to the settlement date value that arose as a result of remeasurement at future balance sheet dates were recorded as interest expense related to financing costs in the condensed consolidated statements of comprehensive income (loss) in the period the change is identified. A final adjustment for $423 to interest expense was recorded during the second quarter of 2024. No such adjustments were recorded for the three or nine months ended September 30, 2023.</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the Company paid $9,622, to acquire the remaining 20% equity interest of Systax, which increased the Company’s ownership percentage of Systax to 100%, and settled the outstanding Purchase Commitment Liability. The Purchase Commitment Liability included in purchase commitment and contingent consideration liabilities, current in the condensed consolidated balance sheet on December 31, 2023 was $9,601. The carrying amount of the Purchase Commitment Liability approximated its respective fair value at December 31, 2023 and is considered a Level 3 non-recurring fair value measurement.</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a series of foreign currency forward contracts to reduce our exposure to adverse fluctuations in the Brazilian Real associated with a portion of the Purchase Commitment Liability. Such forward contracts have not been designated as a hedge, do not qualify for hedge accounting and are not material to our condensed consolidated financial statements. During the second quarter of 2024, the forward currency contracts matured as the Company settled the outstanding Purchase Commitment Liability. These forward contacts are remeasured at fair value on a recurring basis and are included in other assets in our December 31, 2023 condensed consolidated balance sheet with changes in their estimated fair value recognized as interest expense in our condensed consolidated statements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comprehensive income (loss). Our fair value determinations are based on foreign currency exchange rates in active markets, which are considered to be Level 2 measurements within the Fair Value Hierarchy.</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fair value of the Notes were $428,418 and $0, respectively. The fair value was determined based on the quoted price of the Notes in an over-the-counter market on the last trading day of the reporting period and has been classified as Level 2 in the fair value hierarchy. For further information on the Notes, refer to Note 8, “Debt”.</w:t>
      </w:r>
    </w:p>
    <w:p>
      <w:pPr>
        <w:spacing w:after="0" w:line="392" w:lineRule="exact"/>
        <w:rPr>
          <w:sz w:val="20"/>
          <w:szCs w:val="20"/>
          <w:color w:val="auto"/>
        </w:rPr>
      </w:pPr>
    </w:p>
    <w:p>
      <w:pPr>
        <w:ind w:left="780" w:hanging="406"/>
        <w:spacing w:after="0"/>
        <w:tabs>
          <w:tab w:leader="none" w:pos="7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property and equipment are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4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purchased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Cloud-based customer solutions </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142,302</w:t>
            </w: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r>
      <w:tr>
        <w:trPr>
          <w:trHeight w:val="210"/>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263,648</w:t>
            </w: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(162,914)</w:t>
            </w:r>
          </w:p>
        </w:tc>
      </w:tr>
      <w:tr>
        <w:trPr>
          <w:trHeight w:val="21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r>
      <w:tr>
        <w:trPr>
          <w:trHeight w:val="20"/>
        </w:trPr>
        <w:tc>
          <w:tcPr>
            <w:tcW w:w="4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6"/>
          <w:szCs w:val="16"/>
          <w:color w:val="auto"/>
        </w:rPr>
        <w:t>(1) Includes $63,984 related to the ecosio acquistion. For further information see Note 3, "Acquisitions".</w:t>
      </w:r>
    </w:p>
    <w:p>
      <w:pPr>
        <w:spacing w:after="0" w:line="200" w:lineRule="exact"/>
        <w:rPr>
          <w:sz w:val="20"/>
          <w:szCs w:val="20"/>
          <w:color w:val="auto"/>
        </w:rPr>
      </w:pPr>
    </w:p>
    <w:p>
      <w:pPr>
        <w:spacing w:after="0" w:line="24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property and equipment, excluding all internal-use software developed and finance leases, was $1,004 and $1,636 for the three months ended September 30, 2024 and 2023, respectively, and $3,369 and $5,260 for the nine months ended September 30, 2024 and 2023, respectively, and is reflected in depreciation and amortization in the condensed consolidated statements of comprehensive income (loss).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Finance lease amortization was $19 and $70 for the three months ended September 30, 2024 and 2023, respectively, and $61 and $586 for the nine months ended September 30, 2024 and 2023, respectively, and is included in depreciation and amortization expense in the condensed consolidated statements of comprehensive income (loss).</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Assets under finance leases of $172 and $297, net of accumulated amortization of $78 and $190, respectively, at September 30, 2024 and December 31, 2023, respectively, are included in property and equipment in the condensed consolidated balance sheets.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internal-use software developed are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 developed</w:t>
            </w:r>
          </w:p>
        </w:tc>
        <w:tc>
          <w:tcPr>
            <w:tcW w:w="9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305,261</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181,732</w:t>
            </w: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(121,646)</w:t>
            </w:r>
          </w:p>
        </w:tc>
      </w:tr>
      <w:tr>
        <w:trPr>
          <w:trHeight w:val="20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 of accumulated depreciation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internal-use software</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28,883</w:t>
            </w:r>
          </w:p>
        </w:tc>
      </w:tr>
      <w:tr>
        <w:trPr>
          <w:trHeight w:val="210"/>
        </w:trPr>
        <w:tc>
          <w:tcPr>
            <w:tcW w:w="5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Internal-use software developed, net</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88,969</w:t>
            </w:r>
          </w:p>
        </w:tc>
      </w:tr>
      <w:tr>
        <w:trPr>
          <w:trHeight w:val="20"/>
        </w:trPr>
        <w:tc>
          <w:tcPr>
            <w:tcW w:w="5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Amounts included in property and equipment additions related to capitalized internal-use software on the condensed consolidated statements of cash flows are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Cloud-based customer solutions</w:t>
            </w:r>
          </w:p>
        </w:tc>
        <w:tc>
          <w:tcPr>
            <w:tcW w:w="22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w:t>
            </w:r>
          </w:p>
        </w:tc>
      </w:tr>
      <w:tr>
        <w:trPr>
          <w:trHeight w:val="21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In-process internal-use software developed is not depreciated until it is available for its intended use. Depreciation expense for internal-use software developed for cloud-based customer solutions for the three months ended September 30, 2024 and 2023 was $7,909 and $8,821, respectively, and $25,685 and $25,230 for the nine months ended September 30, 2024 and 2023, respectively, and is included in cost of revenues, software subscriptions in the condensed consolidated statements of comprehensive income (loss).</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for internal-use software developed for internal systems and tools for the three months ended September 30, 2024 and 2023 was $4,191 and $1,466, respectively, and $12,002 and $5,695 for the nine months ended September 30, 2024 and 2023, respectively, and is included in depreciation and amortization in the condensed consolidated statements of comprehensive income (loss).</w:t>
      </w:r>
    </w:p>
    <w:p>
      <w:pPr>
        <w:spacing w:after="0" w:line="392" w:lineRule="exact"/>
        <w:rPr>
          <w:sz w:val="20"/>
          <w:szCs w:val="20"/>
          <w:color w:val="auto"/>
        </w:rPr>
      </w:pPr>
    </w:p>
    <w:p>
      <w:pPr>
        <w:ind w:left="680" w:hanging="306"/>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Capitalized software includes acquired software and direct labor and related expenses for software developed for sale for new products and enhancements to existing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 components of capitalized software are as follows: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720" w:type="dxa"/>
            <w:vAlign w:val="bottom"/>
            <w:gridSpan w:val="6"/>
          </w:tcPr>
          <w:p>
            <w:pPr>
              <w:ind w:left="1200"/>
              <w:spacing w:after="0"/>
              <w:rPr>
                <w:sz w:val="20"/>
                <w:szCs w:val="20"/>
                <w:color w:val="auto"/>
              </w:rPr>
            </w:pPr>
            <w:r>
              <w:rPr>
                <w:rFonts w:ascii="Times New Roman" w:cs="Times New Roman" w:eastAsia="Times New Roman" w:hAnsi="Times New Roman"/>
                <w:sz w:val="14"/>
                <w:szCs w:val="14"/>
                <w:b w:val="1"/>
                <w:bCs w:val="1"/>
                <w:color w:val="auto"/>
              </w:rPr>
              <w:t>As of September 30, As of December 31,</w:t>
            </w:r>
          </w:p>
        </w:tc>
      </w:tr>
      <w:tr>
        <w:trPr>
          <w:trHeight w:val="173"/>
        </w:trPr>
        <w:tc>
          <w:tcPr>
            <w:tcW w:w="5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5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3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134,615</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115,152</w:t>
            </w:r>
          </w:p>
        </w:tc>
      </w:tr>
      <w:tr>
        <w:trPr>
          <w:trHeight w:val="21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(99,674)</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(81,410)</w:t>
            </w:r>
          </w:p>
        </w:tc>
      </w:tr>
      <w:tr>
        <w:trPr>
          <w:trHeight w:val="209"/>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 of accumulated depreciation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33,742</w:t>
            </w:r>
          </w:p>
        </w:tc>
      </w:tr>
      <w:tr>
        <w:trPr>
          <w:trHeight w:val="21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In-process capitalized software</w:t>
            </w: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09"/>
        </w:trPr>
        <w:tc>
          <w:tcPr>
            <w:tcW w:w="5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w:t>
            </w:r>
          </w:p>
        </w:tc>
      </w:tr>
      <w:tr>
        <w:trPr>
          <w:trHeight w:val="20"/>
        </w:trPr>
        <w:tc>
          <w:tcPr>
            <w:tcW w:w="5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Software development costs capitalized for the three months ended September 30, 2024 and 2023, were $5,260 and $5,041, respectively, and $16,357 and $14,083 for the nine months ended September 30, 2024 and 2023, respectively.</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Capitalized software amortization expense, including amortization of acquired technology, was $6,236 and $5,147 for the three months ended September 30, 2024 and 2023, respectively, and $18,264 and $13,739 for the nine months ended September 30, 2024 and 2023, respectively, and is included in cost of revenues, software subscriptions in the condensed consolidated statements of comprehensive income (loss).</w:t>
      </w:r>
    </w:p>
    <w:p>
      <w:pPr>
        <w:spacing w:after="0" w:line="392" w:lineRule="exact"/>
        <w:rPr>
          <w:sz w:val="20"/>
          <w:szCs w:val="20"/>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other intangible assets are as follows for the periods presented:</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6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9"/>
        </w:trPr>
        <w:tc>
          <w:tcPr>
            <w:tcW w:w="5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59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intangible assets, net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0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388,716</w:t>
            </w:r>
          </w:p>
        </w:tc>
        <w:tc>
          <w:tcPr>
            <w:tcW w:w="2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4896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240" w:hanging="190"/>
        <w:spacing w:after="0" w:line="182" w:lineRule="auto"/>
        <w:tabs>
          <w:tab w:leader="none" w:pos="24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$5,892 of intangible assets, net related to the ecosio acquisition. For further information see Note 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-114935</wp:posOffset>
            </wp:positionV>
            <wp:extent cx="18605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2024 are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99"/>
        </w:trPr>
        <w:tc>
          <w:tcPr>
            <w:tcW w:w="7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257,842</w:t>
            </w: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ecosio acquisition</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123,509</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gross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382,449</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382,449</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3"/>
                <w:szCs w:val="13"/>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amortization period (years)</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value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(10,395)</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3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amortization of other intangible assets: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20" w:type="dxa"/>
            <w:vAlign w:val="bottom"/>
          </w:tcPr>
          <w:p>
            <w:pPr>
              <w:spacing w:after="0"/>
              <w:rPr>
                <w:sz w:val="13"/>
                <w:szCs w:val="13"/>
                <w:color w:val="auto"/>
              </w:rPr>
            </w:pPr>
          </w:p>
        </w:tc>
        <w:tc>
          <w:tcPr>
            <w:tcW w:w="11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2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321"/>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220" w:type="dxa"/>
            <w:vAlign w:val="bottom"/>
          </w:tcPr>
          <w:p>
            <w:pPr>
              <w:spacing w:after="0"/>
              <w:rPr>
                <w:sz w:val="24"/>
                <w:szCs w:val="24"/>
                <w:color w:val="auto"/>
              </w:rPr>
            </w:pPr>
          </w:p>
        </w:tc>
        <w:tc>
          <w:tcPr>
            <w:tcW w:w="11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2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73"/>
        </w:trPr>
        <w:tc>
          <w:tcPr>
            <w:tcW w:w="4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Marketing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has a credit agreement (“Credit Agreement”) with a banking syndicate, which provided (i) a term loan in the aggregate amount of $50,000 (the “Term Loan”); and (ii) a $200,000 revolving facility (the “Line of Credit”).</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April 19, 2024, the Company entered into the Fourth Amendment to the Credit Agreement (the “Fourth Amendment”) with a banking syndicate, which amended the Credit Agreement, dated as of March 31, 2020, providing for, among other things, amendments of certain definitions.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Indenture and Notes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26, 2024, the Company closed its offering of $345,000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$45,000 aggregate principal amount of Notes, issued pursuant to the full exercise by the initial purchasers of the Notes of their option to purchase additional Notes.</w:t>
      </w:r>
    </w:p>
    <w:p>
      <w:pPr>
        <w:spacing w:after="0" w:line="14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Notes are the senior, unsecured obligations of the Company and are (i) ranked equal in right of payment with the Company’s senior unsecured indebtedness, (ii) senior in right of payment to the Company’s indebtedness that is expressly subordinated to the Notes, (iii) effectively subordinated to the Company’s senior secured indebtedness, to the extent of the value of the collateral securing that indebtedness, and (iv) structurally subordinated to all indebtedness and other liabilities, including trade payables, and (to the extent the Company is not a holder thereof) preferred equity, if any, of the Company’s subsidiaries.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Notes bear interest at a rate of 0.750% per annum on the principal amount thereof, payable semi-annually in arrears on May 1 and November 1 of each year, beginning on November 1, 2024. The Notes will mature on May 1, 2029 (the “maturity date”), unless earlier repurchased, redeemed or converted in accordance with their terms. On November 1, 2028, and thereafter, holders may convert their Notes anytime at their election, until the close of business on the second scheduled trading day immediately before the maturity date. Before November 1, 2028, holders have the right to convert their Notes only upon the occurrence of the following events:</w:t>
      </w:r>
    </w:p>
    <w:p>
      <w:pPr>
        <w:spacing w:after="0" w:line="187" w:lineRule="exact"/>
        <w:rPr>
          <w:sz w:val="20"/>
          <w:szCs w:val="20"/>
          <w:color w:val="auto"/>
        </w:rPr>
      </w:pPr>
    </w:p>
    <w:p>
      <w:pPr>
        <w:jc w:val="both"/>
        <w:ind w:left="1280" w:right="79" w:hanging="325"/>
        <w:spacing w:after="0" w:line="268"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after June 30, 2024 if the closing price of the Company's common stock for at least 20 trading days in a period of 30 consecutive trading days ending on and including the last trading</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80" w:right="79"/>
        <w:spacing w:after="0" w:line="268" w:lineRule="auto"/>
        <w:rPr>
          <w:sz w:val="20"/>
          <w:szCs w:val="20"/>
          <w:color w:val="auto"/>
        </w:rPr>
      </w:pPr>
      <w:r>
        <w:rPr>
          <w:rFonts w:ascii="Times New Roman" w:cs="Times New Roman" w:eastAsia="Times New Roman" w:hAnsi="Times New Roman"/>
          <w:sz w:val="18"/>
          <w:szCs w:val="18"/>
          <w:color w:val="auto"/>
        </w:rPr>
        <w:t>day of the preceding calendar quarter is more than 130% of the then applicable conversion price (effectively $47.21) for the Notes per share of common stock.</w:t>
      </w:r>
    </w:p>
    <w:p>
      <w:pPr>
        <w:spacing w:after="0" w:line="2" w:lineRule="exact"/>
        <w:rPr>
          <w:sz w:val="20"/>
          <w:szCs w:val="20"/>
          <w:color w:val="auto"/>
        </w:rPr>
      </w:pPr>
    </w:p>
    <w:p>
      <w:pPr>
        <w:jc w:val="both"/>
        <w:ind w:left="1280" w:right="79" w:hanging="325"/>
        <w:spacing w:after="0" w:line="262"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days immediately after any ten consecutive trading day period in which the trading price per $1,000 principal amount of Notes, as determined following a request by a holder of Notes, for each day of that period was less than 98% of the product of the closing price of the Company’s common stock and the then applicable conversion rate.</w:t>
      </w:r>
    </w:p>
    <w:p>
      <w:pPr>
        <w:jc w:val="both"/>
        <w:ind w:left="1280" w:right="79" w:hanging="325"/>
        <w:spacing w:after="0" w:line="260"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holders may convert all or any portion of their notes at any time prior to the close of business on the scheduled trading day prior to the redemption date, even if the Notes are not otherwise convertible at such time.</w:t>
      </w:r>
    </w:p>
    <w:p>
      <w:pPr>
        <w:spacing w:after="0" w:line="2" w:lineRule="exact"/>
        <w:rPr>
          <w:rFonts w:ascii="Times New Roman" w:cs="Times New Roman" w:eastAsia="Times New Roman" w:hAnsi="Times New Roman"/>
          <w:sz w:val="18"/>
          <w:szCs w:val="18"/>
          <w:color w:val="auto"/>
        </w:rPr>
      </w:pPr>
    </w:p>
    <w:p>
      <w:pPr>
        <w:ind w:left="1280" w:right="79" w:hanging="325"/>
        <w:spacing w:after="0" w:line="292"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distributions to holders of the Company’s common stock are made or specified corporate events occur.</w:t>
      </w:r>
    </w:p>
    <w:p>
      <w:pPr>
        <w:spacing w:after="0" w:line="85" w:lineRule="exact"/>
        <w:rPr>
          <w:sz w:val="20"/>
          <w:szCs w:val="20"/>
          <w:color w:val="auto"/>
        </w:rPr>
      </w:pPr>
    </w:p>
    <w:p>
      <w:pPr>
        <w:jc w:val="both"/>
        <w:ind w:left="60" w:right="59" w:firstLine="648"/>
        <w:spacing w:after="0" w:line="297" w:lineRule="auto"/>
        <w:rPr>
          <w:sz w:val="20"/>
          <w:szCs w:val="20"/>
          <w:color w:val="auto"/>
        </w:rPr>
      </w:pPr>
      <w:r>
        <w:rPr>
          <w:rFonts w:ascii="Times New Roman" w:cs="Times New Roman" w:eastAsia="Times New Roman" w:hAnsi="Times New Roman"/>
          <w:sz w:val="18"/>
          <w:szCs w:val="18"/>
          <w:color w:val="auto"/>
        </w:rPr>
        <w:t>If a holder converts upon a make-whole fundamental change (as defined in the Indenture) or Company redemption, the holder may be eligible to receive a make-whole premium through an increase to the conversion rate.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Upon conversion, the Company will pay or deliver, as applicable, cash, shares of Class A common stock or a combination of cash and shares of Class A common stock at the Company’s election. The initial conversion rate for the Notes is 27.5315 shares of Class A common stock per $1,000 principal amount of Notes, which represents an initial conversion price of approximately $36.32 per share of Class A common stock, and is subject to adjustment upon the occurrence of certain specified events as set forth in the Indenture.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 offering of the Notes were $333,716, after deducting the initial purchasers’ discount and commissions, and other transaction and offering expenses. The Company used $42,366 of the net proceeds from this offering to fund the cost of the Capped Call Transactions (as defined below) and intends to use the remainder for working capital or other general corporate expenses, which may include capital expenditures, potential acquisitions, and strategic transactions.</w:t>
      </w:r>
    </w:p>
    <w:p>
      <w:pPr>
        <w:spacing w:after="0" w:line="1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Capped Call Transactions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the Company entered into privately negotiated capped call transactions (the “Base Capped Calls”) with certain financial institutions (together, the “Option Counterparties”). In connection with the exercise of the option to purchase the additional Notes in full, the Company entered into additional capped call transactions with the Option Counterparties (together, the “Additional Capped Call Transactions” and, together with the Base Capped Call Transactions, the “Capped Call Transactions”).</w:t>
      </w:r>
    </w:p>
    <w:p>
      <w:pPr>
        <w:spacing w:after="0" w:line="14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cap price of the Capped Call Transactions will initially be $55.88 per share of Class A common stock, and is subject to certain adjustments under the terms of the Capped Call Transactions. The Capped Call Transactions are expected generally to reduce the potential dilution to the Class A common stock upon any conversion of the Notes and/or to offset any cash payments the Company is required to make in excess of the principal amount of the converted Notes, as the case may be, upon any conversion of the Notes. The Capped Call Transactions cover, subject to anti-dilution adjustments substantially similar to those applicable to the Notes, approximately 12,348 shares of the Company’s common stock. The cost of the Capped Call Transactions was $42,366, which was included in additional paid-in capital, net of tax, in the condensed consolidated balance sheets, with no remeasurement in subsequent periods as it meets the conditions for equity classification.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May 10, 2024, the Company repaid the outstanding Term Loan balance of $46,332, which included $82 of interest. The Term Loan was originally due on March 8, 2027. The Company also wrote off $276 in deferred financing fees pertaining to the Term Loan.</w:t>
      </w:r>
    </w:p>
    <w:p>
      <w:pPr>
        <w:sectPr>
          <w:pgSz w:w="11900" w:h="16838" w:orient="portrait"/>
          <w:cols w:equalWidth="0" w:num="1">
            <w:col w:w="9019"/>
          </w:cols>
          <w:pgMar w:left="1440" w:top="51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indebtedness at September 30, 2024 and December 31, 2023 was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40" w:type="dxa"/>
            <w:vAlign w:val="bottom"/>
          </w:tcPr>
          <w:p>
            <w:pPr>
              <w:spacing w:after="0"/>
              <w:rPr>
                <w:sz w:val="15"/>
                <w:szCs w:val="15"/>
                <w:color w:val="auto"/>
              </w:rPr>
            </w:pPr>
          </w:p>
        </w:tc>
        <w:tc>
          <w:tcPr>
            <w:tcW w:w="2960" w:type="dxa"/>
            <w:vAlign w:val="bottom"/>
            <w:gridSpan w:val="7"/>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54"/>
        </w:trPr>
        <w:tc>
          <w:tcPr>
            <w:tcW w:w="27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Discounts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and Deferred</w:t>
            </w:r>
          </w:p>
        </w:tc>
        <w:tc>
          <w:tcPr>
            <w:tcW w:w="8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5"/>
                <w:szCs w:val="15"/>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5"/>
                <w:szCs w:val="15"/>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non-current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interest expense related to the Notes is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10"/>
        </w:trPr>
        <w:tc>
          <w:tcPr>
            <w:tcW w:w="3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8"/>
                <w:szCs w:val="18"/>
                <w:color w:val="auto"/>
              </w:rPr>
            </w:pPr>
          </w:p>
        </w:tc>
        <w:tc>
          <w:tcPr>
            <w:tcW w:w="17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8"/>
                <w:szCs w:val="18"/>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Total interest expense, Convertible Senior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380" w:right="6319" w:hanging="330"/>
        <w:spacing w:after="0" w:line="503" w:lineRule="auto"/>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issued 461 shares of Class A common stock related to the exercise of options, net of 2 shares returned to the Company in lieu of payment of the exercise price and taxes due on these exercises. During this period, the Company also issued 74 shares of Class A common stock in connection with the vesting of Restricted Stock Units (“RSUs”), net of 36 shares returned to the Company in lieu of payment of taxes due on the vesting of these RSUs. During this period, the Company issued 22 shares of Class A common stock in connection with the vesting of Restricted Stock Awards (“RSAs”), net of 7 shares returned to the Company in lieu of payment of taxes due on the vesting of these RSAs.</w:t>
      </w:r>
    </w:p>
    <w:p>
      <w:pPr>
        <w:spacing w:after="0" w:line="189" w:lineRule="exact"/>
        <w:rPr>
          <w:sz w:val="20"/>
          <w:szCs w:val="20"/>
          <w:color w:val="auto"/>
        </w:rPr>
      </w:pPr>
    </w:p>
    <w:p>
      <w:pPr>
        <w:jc w:val="both"/>
        <w:ind w:left="60" w:right="59" w:firstLine="383"/>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1,308 shares of Class A common stock related to the exercise of options, net of 268 shares returned to the Company in lieu of payment of the exercise price and taxes due on these exercises. During this period, the Company issued 780 shares of Class A common stock in connection with the vesting of RSUs, net of 467 shares returned to the Company in lieu of payment of taxes due on the vesting of these RSUs. During this period, the Company issued 84 shares of Class A common stock in connection with the vesting of RSAs, net of 7 shares returned to the Company in lieu of payment of taxes due on the vesting of these RSAs.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Company also issued 61 shares in connection with the ESPP and a stockholder exchanged 2,500 shares of Class B common stock, for an equivalent number of shares of Class A common stock.</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issued 744 shares of Class A common stock related to the exercise of options, net of 292 shares returned to the Company in lieu of payment of the exercise price and taxes due on these exercises. During this period, the Company issued 56 shares of Class A common stock in connection with the vesting of RSUs, net of 24 shares returned to the Company in lieu of payment of taxes due on the vesting of these RSUs. During this period, the Company issued 92 shares of Class A common stock in connection with the vesting of RSAs, net of 7 shares, returned to the Company in lieu of payment of taxes due on the vesting of these RSAs, and a stockholder exchanged 879 shares of Class B common stock for an equivalent number of shares of Class A common stock.</w:t>
      </w:r>
    </w:p>
    <w:p>
      <w:pPr>
        <w:spacing w:after="0" w:line="189" w:lineRule="exact"/>
        <w:rPr>
          <w:sz w:val="20"/>
          <w:szCs w:val="20"/>
          <w:color w:val="auto"/>
        </w:rPr>
      </w:pPr>
    </w:p>
    <w:p>
      <w:pPr>
        <w:jc w:val="both"/>
        <w:ind w:left="60" w:right="59" w:firstLine="383"/>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issued 1,595 shares of Class A common stock related to the exercise of options, net of 315 shares returned to the Company in lieu of payment of the exercise price and taxes due on these exercises. During this period, the Company issued 469 shares of Class A common stock in connection with the vesting of RSUs, net of 266 shares returned to the Company in lieu of payment of taxes due on the vesting of these RSUs. During this period, the Company issued 198 shares of Class A common stock in connection with the vesting of RSAs, net of 7 shares returned to the Company in lieu of payment of taxes due on the vesting of these RSAs, the Company also issued 81 shares in connection with the ESPP and a stockholder exchanged 3,468 shares of Class B common stock for an equivalent number of shares of Class A common stock.</w:t>
      </w:r>
    </w:p>
    <w:p>
      <w:pPr>
        <w:spacing w:after="0" w:line="188" w:lineRule="exact"/>
        <w:rPr>
          <w:sz w:val="20"/>
          <w:szCs w:val="20"/>
          <w:color w:val="auto"/>
        </w:rPr>
      </w:pPr>
    </w:p>
    <w:p>
      <w:pPr>
        <w:ind w:left="460" w:hanging="410"/>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two classes of common stock outstanding and thus calculates earnings per share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using the treasury stock and if-converted methods.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Calls Transactions, which are not included for purposes of calculating the number of diluted weighted-average shares outstanding, as their effect would be anti-dilutive. In periods of net loss available to common stockholders diluted calculations are equal to basic calculations because the inclusion of potential common stock equivalents would be anti-dilutive. The Company has excluded from the calculation of diluted EPS the effect of shares of the Company’s Class A common stock to be issued in connection with the Stock Earn-out payable to the sellers of ecosio.</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3100"/>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0" w:right="180" w:firstLine="324"/>
        <w:spacing w:after="0" w:line="282" w:lineRule="auto"/>
        <w:rPr>
          <w:sz w:val="20"/>
          <w:szCs w:val="20"/>
          <w:color w:val="auto"/>
        </w:rPr>
      </w:pPr>
      <w:r>
        <w:rPr>
          <w:rFonts w:ascii="Times New Roman" w:cs="Times New Roman" w:eastAsia="Times New Roman" w:hAnsi="Times New Roman"/>
          <w:sz w:val="18"/>
          <w:szCs w:val="18"/>
          <w:color w:val="auto"/>
        </w:rPr>
        <w:t>The tables below illustrate the calculation of basic and diluted net income (loss) per common share for the Class A common stock and Class B common stock for the periods reflected below.</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00" w:type="dxa"/>
            <w:vAlign w:val="bottom"/>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18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Pr>
          <w:p>
            <w:pPr>
              <w:spacing w:after="0"/>
              <w:rPr>
                <w:sz w:val="15"/>
                <w:szCs w:val="15"/>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(loss) per share: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0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6"/>
                <w:szCs w:val="16"/>
                <w:color w:val="auto"/>
              </w:rPr>
              <w:t xml:space="preserve">Allocation of net income (loss) </w:t>
            </w:r>
            <w:r>
              <w:rPr>
                <w:rFonts w:ascii="Times New Roman" w:cs="Times New Roman" w:eastAsia="Times New Roman" w:hAnsi="Times New Roman"/>
                <w:sz w:val="23"/>
                <w:szCs w:val="23"/>
                <w:color w:val="auto"/>
                <w:vertAlign w:val="superscript"/>
              </w:rPr>
              <w:t>(1)</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(1,228)$</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8,872</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(9,960)$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w:t>
            </w: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shares used in per share computation</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90,161</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54,931</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97,145</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63,742</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91,251</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53,050</w:t>
            </w: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98,361</w:t>
            </w:r>
          </w:p>
        </w:tc>
      </w:tr>
      <w:tr>
        <w:trPr>
          <w:trHeight w:val="196"/>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(loss) per share:</w:t>
            </w: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05</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02)</w:t>
            </w: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02)</w:t>
            </w: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10</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10</w:t>
            </w: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19)</w:t>
            </w: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r>
              <w:rPr>
                <w:rFonts w:ascii="Times New Roman" w:cs="Times New Roman" w:eastAsia="Times New Roman" w:hAnsi="Times New Roman"/>
                <w:sz w:val="16"/>
                <w:szCs w:val="16"/>
                <w:u w:val="single" w:color="auto"/>
                <w:color w:val="auto"/>
              </w:rPr>
              <w:t>19)</w:t>
            </w:r>
          </w:p>
        </w:tc>
      </w:tr>
      <w:tr>
        <w:trPr>
          <w:trHeight w:val="20"/>
        </w:trPr>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3"/>
        </w:trPr>
        <w:tc>
          <w:tcPr>
            <w:tcW w:w="4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(loss) per share:</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0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6"/>
                <w:szCs w:val="16"/>
                <w:color w:val="auto"/>
              </w:rPr>
              <w:t xml:space="preserve">Allocation of net income (loss)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(1,228)</w:t>
            </w: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(2,171)</w:t>
            </w: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(9,960)</w:t>
            </w: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w:t>
            </w:r>
          </w:p>
        </w:tc>
      </w:tr>
      <w:tr>
        <w:trPr>
          <w:trHeight w:val="236"/>
        </w:trPr>
        <w:tc>
          <w:tcPr>
            <w:tcW w:w="40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Total net income (loss) used in per diluted computation</w:t>
            </w: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(1,228)</w:t>
            </w: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(2,171)</w:t>
            </w: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1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rPr>
              <w:t>(9,960)</w:t>
            </w: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(18,467)</w:t>
            </w:r>
          </w:p>
        </w:tc>
      </w:tr>
      <w:tr>
        <w:trPr>
          <w:trHeight w:val="183"/>
        </w:trPr>
        <w:tc>
          <w:tcPr>
            <w:tcW w:w="400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Denominator</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03"/>
        </w:trPr>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Number shares used in basic per share computation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98,361</w:t>
            </w:r>
          </w:p>
        </w:tc>
      </w:tr>
      <w:tr>
        <w:trPr>
          <w:trHeight w:val="203"/>
        </w:trPr>
        <w:tc>
          <w:tcPr>
            <w:tcW w:w="4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Dilutive effect of common stock equivalents</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6,509</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0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5"/>
                <w:szCs w:val="15"/>
                <w:color w:val="auto"/>
              </w:rPr>
              <w:t xml:space="preserve">Total shares used in per share computation </w:t>
            </w:r>
            <w:r>
              <w:rPr>
                <w:rFonts w:ascii="Times New Roman" w:cs="Times New Roman" w:eastAsia="Times New Roman" w:hAnsi="Times New Roman"/>
                <w:sz w:val="22"/>
                <w:szCs w:val="22"/>
                <w:color w:val="auto"/>
                <w:vertAlign w:val="superscript"/>
              </w:rPr>
              <w:t>(2)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71,977</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90,161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54,931</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97,145</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70,136</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91,251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53,050</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98,361</w:t>
            </w: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Dilutive net income (loss) per share:</w:t>
            </w: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4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00" w:hanging="150"/>
        <w:spacing w:after="0"/>
        <w:tabs>
          <w:tab w:leader="none" w:pos="2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Allocation of net income (loss) is based on the percentages of average shares outstanding.</w:t>
      </w:r>
    </w:p>
    <w:p>
      <w:pPr>
        <w:ind w:left="60" w:right="320" w:hanging="10"/>
        <w:spacing w:after="0" w:line="196" w:lineRule="auto"/>
        <w:tabs>
          <w:tab w:leader="none" w:pos="213"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Notes were issued on April 26, 2024. Proration of shares assumed to be converted from the Notes during the current year periods resulted in anti-dilutive impact to EPS.</w:t>
      </w:r>
    </w:p>
    <w:p>
      <w:pPr>
        <w:spacing w:after="0" w:line="182" w:lineRule="exact"/>
        <w:rPr>
          <w:sz w:val="20"/>
          <w:szCs w:val="20"/>
          <w:color w:val="auto"/>
        </w:rPr>
      </w:pPr>
    </w:p>
    <w:p>
      <w:pPr>
        <w:jc w:val="both"/>
        <w:ind w:left="60" w:right="180" w:firstLine="324"/>
        <w:spacing w:after="0" w:line="266" w:lineRule="auto"/>
        <w:rPr>
          <w:sz w:val="20"/>
          <w:szCs w:val="20"/>
          <w:color w:val="auto"/>
        </w:rPr>
      </w:pPr>
      <w:r>
        <w:rPr>
          <w:rFonts w:ascii="Times New Roman" w:cs="Times New Roman" w:eastAsia="Times New Roman" w:hAnsi="Times New Roman"/>
          <w:sz w:val="18"/>
          <w:szCs w:val="18"/>
          <w:color w:val="auto"/>
        </w:rPr>
        <w:t>The following weighted-average outstanding shares of common stock equivalents by award type were excluded from the computation of diluted net loss per share attributable to Class A stockholders, as the impact of including them would have been anti-dilutive:</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53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For the nine months ended September 30,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Stock Options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Stock Options out-of-the money options</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RSAs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4,162</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ESPP</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480" w:hanging="322"/>
        <w:spacing w:after="0"/>
        <w:tabs>
          <w:tab w:leader="none" w:pos="480" w:val="left"/>
        </w:tabs>
        <w:numPr>
          <w:ilvl w:val="1"/>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Excludes out-of-the-money options.</w:t>
      </w:r>
    </w:p>
    <w:p>
      <w:pPr>
        <w:spacing w:after="0" w:line="200" w:lineRule="exact"/>
        <w:rPr>
          <w:rFonts w:ascii="Times New Roman" w:cs="Times New Roman" w:eastAsia="Times New Roman" w:hAnsi="Times New Roman"/>
          <w:sz w:val="24"/>
          <w:szCs w:val="24"/>
          <w:color w:val="auto"/>
          <w:vertAlign w:val="superscript"/>
        </w:rPr>
      </w:pPr>
    </w:p>
    <w:p>
      <w:pPr>
        <w:spacing w:after="0" w:line="229" w:lineRule="exact"/>
        <w:rPr>
          <w:rFonts w:ascii="Times New Roman" w:cs="Times New Roman" w:eastAsia="Times New Roman" w:hAnsi="Times New Roman"/>
          <w:sz w:val="24"/>
          <w:szCs w:val="24"/>
          <w:color w:val="auto"/>
          <w:vertAlign w:val="superscript"/>
        </w:rPr>
      </w:pPr>
    </w:p>
    <w:p>
      <w:pPr>
        <w:ind w:left="440" w:hanging="390"/>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 PLANS</w:t>
      </w:r>
    </w:p>
    <w:p>
      <w:pPr>
        <w:spacing w:after="0" w:line="256" w:lineRule="exact"/>
        <w:rPr>
          <w:sz w:val="20"/>
          <w:szCs w:val="20"/>
          <w:color w:val="auto"/>
        </w:rPr>
      </w:pPr>
    </w:p>
    <w:p>
      <w:pPr>
        <w:ind w:left="60" w:right="200" w:firstLine="324"/>
        <w:spacing w:after="0" w:line="261" w:lineRule="auto"/>
        <w:rPr>
          <w:sz w:val="20"/>
          <w:szCs w:val="20"/>
          <w:color w:val="auto"/>
        </w:rPr>
      </w:pPr>
      <w:r>
        <w:rPr>
          <w:rFonts w:ascii="Times New Roman" w:cs="Times New Roman" w:eastAsia="Times New Roman" w:hAnsi="Times New Roman"/>
          <w:sz w:val="18"/>
          <w:szCs w:val="18"/>
          <w:color w:val="auto"/>
        </w:rPr>
        <w:t>The 2020 Incentive Award Plan (the “2020 Plan”) provides the ability to grant cash and equity-based incentive awards to eligible employees, directors and service providers in order to attract, retain and motivate those that make important</w:t>
      </w:r>
    </w:p>
    <w:p>
      <w:pPr>
        <w:jc w:val="center"/>
        <w:ind w:right="1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contributions to the Company. The Company issued stock options, RSAs, and RSUs under the 2020 Plan. As of September 30, 2024, 20,857 shares of Class A common stock were available for issuance under the 2020 Plan.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activity for options outstanding under the 2020 Plan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2020 Plan Option Activity</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32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Plan options outstanding at September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134,178</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2020 Plan options exercisable at September 30, 2024</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99,287</w:t>
            </w:r>
          </w:p>
        </w:tc>
        <w:tc>
          <w:tcPr>
            <w:tcW w:w="0" w:type="dxa"/>
            <w:vAlign w:val="bottom"/>
          </w:tcPr>
          <w:p>
            <w:pPr>
              <w:spacing w:after="0" w:line="20" w:lineRule="exact"/>
              <w:rPr>
                <w:sz w:val="1"/>
                <w:szCs w:val="1"/>
                <w:color w:val="auto"/>
              </w:rPr>
            </w:pPr>
          </w:p>
        </w:tc>
      </w:tr>
      <w:tr>
        <w:trPr>
          <w:trHeight w:val="197"/>
        </w:trPr>
        <w:tc>
          <w:tcPr>
            <w:tcW w:w="5320" w:type="dxa"/>
            <w:vAlign w:val="bottom"/>
            <w:gridSpan w:val="3"/>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3,006</w:t>
            </w:r>
          </w:p>
        </w:tc>
        <w:tc>
          <w:tcPr>
            <w:tcW w:w="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detail of options outstanding, vested, and exercisable under the 2020 Plan as of September 30, 2024 is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160" w:type="dxa"/>
            <w:vAlign w:val="bottom"/>
            <w:vMerge w:val="restart"/>
          </w:tcPr>
          <w:p>
            <w:pPr>
              <w:spacing w:after="0"/>
              <w:rPr>
                <w:sz w:val="12"/>
                <w:szCs w:val="12"/>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$0.15 to $0.71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$18.47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$32.16</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*These options have indefinite contractual lives.</w:t>
      </w:r>
    </w:p>
    <w:p>
      <w:pPr>
        <w:spacing w:after="0" w:line="20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one to four years. The grant date fair value of options is estimated using the Black-Scholes model.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options issued under the 2020 Plan during the three or nine months ended September 30, 2024 or 2023.</w:t>
      </w:r>
    </w:p>
    <w:p>
      <w:pPr>
        <w:spacing w:after="0" w:line="225"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2024, $1,528 of unrecognized compensation expense associated with options is expected to be recognized over a weighted average period of approximately 0.8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 for the nine months ended September 30,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80" w:type="dxa"/>
            <w:vAlign w:val="bottom"/>
          </w:tcPr>
          <w:p>
            <w:pPr>
              <w:spacing w:after="0"/>
              <w:rPr>
                <w:sz w:val="12"/>
                <w:szCs w:val="12"/>
                <w:color w:val="auto"/>
              </w:rPr>
            </w:pPr>
          </w:p>
        </w:tc>
        <w:tc>
          <w:tcPr>
            <w:tcW w:w="168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(1,247)</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Vested RSUs are settled by issuing Class A shares or the equivalent value in cash at the Board’s discretion. At September 30, 2024, $60,882 of unrecognized compensation cost for RSUs is expected to be recognized over a weighted average period of approximately 2.5 years.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RSA activity for the nine months ended September 30,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4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At September 30, 2024, $836 of unrecognized compensation cost for RSAs is expected to be recognized over a weighted average period of approximately 0.8 years.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w:t>
      </w:r>
    </w:p>
    <w:p>
      <w:pPr>
        <w:sectPr>
          <w:pgSz w:w="11900" w:h="16838" w:orient="portrait"/>
          <w:cols w:equalWidth="0" w:num="1">
            <w:col w:w="9019"/>
          </w:cols>
          <w:pgMar w:left="1440" w:top="513" w:right="1440" w:bottom="1440" w:gutter="0" w:footer="0" w:header="0"/>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are reflected in accrued salaries and benefits in the condensed consolidated balance sheets until such shares are purchased. Amounts withheld from participants for the offering period ending November 30, 2024 aggregated $1,259 as of September 30, 2024. As of September 30, 2024, 6,390 shares of Class A common stock were available for issuance under the ESPP.</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approximately $175 of unrecognized ESPP stock-based compensation cost expected to be recognized on a straight-line basis over the remaining term of the six-month offering period ending November 30, 2024.</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At September 30, 2024 and 2023, there were two ESPP offering periods open that end November 30, 2024 and 2023, respectively. The fair value of ESPP purchase rights for the offering periods is comprised of the value of the 15% ESPP discount and the value associated with the call or put over the respective ESPP offering period. ESPP offering periods reflected in the September 30, 2024 and 2023 financial statements include the periods noted below in the table. The value of the call or put was estimated using the Black-Scholes model with the following assumptions: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Offering Period Ending</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11/30/2024</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11/30/2023</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market value of common stock</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2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04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total stock-based compensation cost related to incentive awards, net of forfeitures,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3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96"/>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6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0" w:type="dxa"/>
            <w:vAlign w:val="bottom"/>
            <w:shd w:val="clear" w:color="auto" w:fill="CCEEFF"/>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RSAs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ESPP</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shd w:val="clear" w:color="auto" w:fill="CCEEFF"/>
          </w:tcPr>
          <w:p>
            <w:pPr>
              <w:spacing w:after="0"/>
              <w:rPr>
                <w:sz w:val="18"/>
                <w:szCs w:val="18"/>
                <w:color w:val="auto"/>
              </w:rPr>
            </w:pPr>
          </w:p>
        </w:tc>
      </w:tr>
      <w:tr>
        <w:trPr>
          <w:trHeight w:val="209"/>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2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cost in the condensed consolidated statements of comprehensive income (loss) as follows: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2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96"/>
        </w:trPr>
        <w:tc>
          <w:tcPr>
            <w:tcW w:w="3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96"/>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 services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shd w:val="clear" w:color="auto" w:fill="CCEEFF"/>
          </w:tcPr>
          <w:p>
            <w:pPr>
              <w:spacing w:after="0"/>
              <w:rPr>
                <w:sz w:val="18"/>
                <w:szCs w:val="18"/>
                <w:color w:val="auto"/>
              </w:rPr>
            </w:pPr>
          </w:p>
        </w:tc>
      </w:tr>
      <w:tr>
        <w:trPr>
          <w:trHeight w:val="216"/>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 w:type="dxa"/>
            <w:vAlign w:val="bottom"/>
          </w:tcPr>
          <w:p>
            <w:pPr>
              <w:spacing w:after="0"/>
              <w:rPr>
                <w:sz w:val="18"/>
                <w:szCs w:val="18"/>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0" w:type="dxa"/>
            <w:vAlign w:val="bottom"/>
            <w:shd w:val="clear" w:color="auto" w:fill="CCEEFF"/>
          </w:tcPr>
          <w:p>
            <w:pPr>
              <w:spacing w:after="0"/>
              <w:rPr>
                <w:sz w:val="18"/>
                <w:szCs w:val="18"/>
                <w:color w:val="auto"/>
              </w:rPr>
            </w:pPr>
          </w:p>
        </w:tc>
      </w:tr>
      <w:tr>
        <w:trPr>
          <w:trHeight w:val="216"/>
        </w:trPr>
        <w:tc>
          <w:tcPr>
            <w:tcW w:w="3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0" w:type="dxa"/>
            <w:vAlign w:val="bottom"/>
            <w:tcBorders>
              <w:bottom w:val="single" w:sz="8" w:color="CCEEFF"/>
            </w:tcBorders>
          </w:tcPr>
          <w:p>
            <w:pPr>
              <w:spacing w:after="0"/>
              <w:rPr>
                <w:sz w:val="18"/>
                <w:szCs w:val="18"/>
                <w:color w:val="auto"/>
              </w:rPr>
            </w:pPr>
          </w:p>
        </w:tc>
      </w:tr>
      <w:tr>
        <w:trPr>
          <w:trHeight w:val="209"/>
        </w:trPr>
        <w:tc>
          <w:tcPr>
            <w:tcW w:w="3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Vertex, Inc. and Subsidiaries</w:t>
      </w:r>
    </w:p>
    <w:p>
      <w:pPr>
        <w:spacing w:after="0" w:line="31" w:lineRule="exact"/>
        <w:rPr>
          <w:sz w:val="20"/>
          <w:szCs w:val="20"/>
          <w:color w:val="auto"/>
        </w:rPr>
      </w:pPr>
    </w:p>
    <w:p>
      <w:pPr>
        <w:ind w:left="60" w:right="2979"/>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reported income tax (benefit) expense of $613 and $784 for the three months ended September 30, 2024 and 2023, respectively, and $(1,722) and $13,266 for the nine months ended September 30, 2024 and 2023, respectively. The effective income tax rate ("ETR") was 7.8% for the three months ended September 30, 2024, compared to (30.0)% for the three months ended September 30, 2023, and (12.9)% for the nine months ended September 30, 2024, compared to (87.5)% for the nine months ended September 30, 2023.</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state taxes, foreign taxes, limitations on deductions of certain employees’ compensation under Internal Revenue Code Section 162(m), tax benefits on the exercises and vesting of stock awards, tax credits, and fluctuations in valuation allowances on certain foreign deferred tax assets.</w:t>
      </w:r>
    </w:p>
    <w:p>
      <w:pPr>
        <w:spacing w:after="0" w:line="18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The income tax expense for the three months ended September 30, 2024 was primarily attributable to taxes in profitable jurisdictions, fluctuations in valuation allowances on certain foreign deferred tax assets, and fluctuations in other permanent adjustments. This income tax expense was partially offset by tax benefits from stock-based awards exercised or vested during the quarter, net of the impact from limitations on deductions of certain employees’ compensation, and benefits from tax credits. The income tax benefit for the nine months ended September 30, 2024 was primarily attributable to tax benefits from stock-based awards exercised or vested, net of the impact from limitations on deductions of certain employees’ compensation, and tax credits. This income tax benefit was partially offset by taxes in profitable jurisdictions and fluctuations in valuation allowances on certain foreign deferred tax assets. The income tax expense for the three months ended September 30, 2023 was primarily attributable to fluctuations in valuation allowances on certain foreign deferred tax assets and taxes in profitable jurisdictions partially offset by tax benefits from stock-based awards exercised or vested during the quarter, net of the impact from limitations on deductions of certain employees’ compensation and benefits from tax credits. The income tax expense for the nine months ended September 30, 2023 was primarily attributable to taxes in profitable jurisdictions, fluctuations in valuation allowances on certain foreign deferred tax assets, and limitations on deductions of certain employees’ compensation partially offset by tax benefits from stock-based awards exercised or vested, and benefits from tax credits.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4, 2024, the Company entered into a Fifth Amendment to the Credit Agreement (the “Fifth Amendment”), with a banking syndicate, which amended the previous credit agreement entered into in March 2020, providing for, among other modifications, an increase in the Line of Credit commitment from $200,000 to $300,000 and an extension of the maturity date to November 4, 2029. For further information on the Credit Agreement refer to Note 8 “Debt”.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0" w:right="239"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29, 2024 (the “2023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2023 Annual Report and as may be subsequently updated by our other SEC filings.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1,500 professionals and serves companies across the globe.</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89" w:lineRule="exact"/>
        <w:rPr>
          <w:sz w:val="20"/>
          <w:szCs w:val="20"/>
          <w:color w:val="auto"/>
        </w:rPr>
      </w:pPr>
    </w:p>
    <w:p>
      <w:pPr>
        <w:jc w:val="both"/>
        <w:ind w:left="60" w:right="59" w:firstLine="383"/>
        <w:spacing w:after="0" w:line="253" w:lineRule="auto"/>
        <w:rPr>
          <w:sz w:val="20"/>
          <w:szCs w:val="20"/>
          <w:color w:val="auto"/>
        </w:rPr>
      </w:pPr>
      <w:r>
        <w:rPr>
          <w:rFonts w:ascii="Times New Roman" w:cs="Times New Roman" w:eastAsia="Times New Roman" w:hAnsi="Times New Roman"/>
          <w:sz w:val="18"/>
          <w:szCs w:val="18"/>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49% and 45% of software subscription revenue from cloud-based subscriptions during the three months ended September 30, 2024 and 2023, respectively, and 48% and 44% for the nine months ended September 30, 2024 and 2023, respectively. While our on-premise software subscription revenue comprised 51% and 55% of our software subscription revenue during the three months ended September 30, 2024 and 2023, respectively, and 52% and 56% for the nine months ended September 30, 2024 and 2023, respectively, it continues to decrease as a percentage of total software subscriptions revenues as cloud-based subscriptions grow.</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Shopify,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Workday and Zuora. We also collaborate with numerous accounting firms who have built implementation practices around our software to serve their customer base.</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believe that global commerce and the compliance environment provides durable and accelerating growth opportunities for our business. We generated revenue of $170.4 million and $145.0 million for the three months ended September 30, 2024 and 2023, respectively, and $488.3 and $417.5 for the nine months ended September 30, 2024 and 2023, respectively. We had net income (loss) of $7.2 million and $(3.4) million for the three months ended September 30, 2024 and 2023, respectively, and $15.1 million and $(28.4) million for the nine months ended September 30, 2024 and 2023, respectively These amounts are presented in accordance with United States (“U.S.”) generally accepted accounting principles (“GAAP”).</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was $38.6 million and $26.6 million for the three months ended September 30, 2024 and 2023, respectively and $113.9 million and $68.8 million for the nine months ended September 30, 2024 and 2023,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94"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ecosio GmbH Acquisition</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August 30, 2024, we purchased 100% of the share interests in ecosio GmbH (“ecosio”), a limited liability company incorporated under the laws of Austria and a provider of electronic data interchange (“EDI”) and e-invoicing services. The acquisition was completed with the goal of integrating ecosio’s cloud-based, scalable global network with our indirect tax solutions to enable customers to facilitate the creation, exchange, and clearance of jurisdictionally compliant e-invoices and seamlessly reconcile these invoices with their periodic filing requirements. ecosio’s operations and offerings will be integrated into our one operating segment.</w:t>
      </w:r>
    </w:p>
    <w:p>
      <w:pPr>
        <w:spacing w:after="0" w:line="14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Total purchase consideration for the ecosio acquisition was $169.0 million, net of $0.8 cash acquired and included contingent consideration liabilities included in the consideration are in the form of cash (the “Cash Earn-out”), with an aggregate of up to $76.0 million, and stock, with an aggregate value of up to $35.0 million (the “Stock Earn-out”, together with the Cash-Earnout, the “Earn-outs”), assuming 100% achievement. For further information on the acquisiton refer to Note 3, “Acquisitions” to the condensed consolidated financial statements included in this Quarterly Report on Form 10-Q.</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Issuance of Convertible Senior Notes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26, 2024, we closed our offering of $345.0 million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 million aggregate principal amount of Notes, issued pursuant to the full exercise by the initial purchasers of the Notes of their option to purchase additional Notes.</w:t>
      </w:r>
    </w:p>
    <w:p>
      <w:pPr>
        <w:spacing w:after="0" w:line="147" w:lineRule="exact"/>
        <w:rPr>
          <w:sz w:val="20"/>
          <w:szCs w:val="20"/>
          <w:color w:val="auto"/>
        </w:rPr>
      </w:pPr>
    </w:p>
    <w:p>
      <w:pPr>
        <w:jc w:val="center"/>
        <w:ind w:left="60" w:right="59"/>
        <w:spacing w:after="0" w:line="263" w:lineRule="auto"/>
        <w:rPr>
          <w:sz w:val="20"/>
          <w:szCs w:val="20"/>
          <w:color w:val="auto"/>
        </w:rPr>
      </w:pPr>
      <w:r>
        <w:rPr>
          <w:rFonts w:ascii="Times New Roman" w:cs="Times New Roman" w:eastAsia="Times New Roman" w:hAnsi="Times New Roman"/>
          <w:sz w:val="18"/>
          <w:szCs w:val="18"/>
          <w:color w:val="auto"/>
        </w:rPr>
        <w:t>The net proceeds from the offering of the Notes were $333.7 million after deducting the initial purchasers’ discount and commissions, and other transaction and offering expenses. We used $42.4 million of the net proceeds from this offering to fund the cost of the Capped Call Transactions (as defined in Note, 8 “Debt” to our condensed consolidated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financial statements) and intend to use the remainder for working capital or other general corporate expenses, which may include capital expenditures, potential acquisitions, and strategic transactions.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10, 2024, we repaid our outstanding term loan balance of $46.3 million.</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the Notes or term loan, refer to Note 8, “Debt” to the condensed consolidated financial statements included in this Quarterly Report on Form 10-Q.</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Ryan, LLC Artificial Intelligence Tax Categorization Acquisition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31, 2024, we entered into an asset purchase agreement with Ryan, LLC (“Ryan”) to acquire tax-specific artificial intelligence (“AI”) capabilities, designed to more effectively manage the complexity of tax mapping. The acquisition will accelerate our AI innovation strategy to help global companies manage tax complexity with greater speed and scale. We paid approximately $6.1 million in closing consideration, which included $0.1 million in transaction costs. The purchase agreement includes the potential for earn-out payments and referral fees over a five-year period. For further information, refer to Note 5, “Property and Equipment” to the condensed consolidated financial statements included in this Quarterly Report on Form 10-Q.</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Systax Acquisition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we paid $9.6 million to acquire the remaining 20% equity interest of Systax Sistemas Fiscais LTDA (“Systax”), a provider of Brazilian transaction tax content and software. Systax is now a wholly owned subsidiary of Vertex.</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to the Credit Agreement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we entered into a Fifth Amendment to our Credit Agreement (the “Fifth Amendment”), with a banking syndicate, which amended the previous credit agreement entered into in March 2020, providing for, among other modifications, an increase in the Line of Credit commitment from $200.0 million to $300.0 million and an extension of the maturity date to November 4, 2029. For further information, refer to Note 8, “Debt”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ectPr>
          <w:pgSz w:w="11900" w:h="16838" w:orient="portrait"/>
          <w:cols w:equalWidth="0" w:num="1">
            <w:col w:w="9019"/>
          </w:cols>
          <w:pgMar w:left="1440" w:top="51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infrastructure and personnel as necessary to support our future growth and related increases in our service revenue. We expect growth in our business will result in an increase in the cost of services revenue in absolute dollars.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Times New Roman" w:cs="Times New Roman" w:eastAsia="Times New Roman" w:hAnsi="Times New Roman"/>
          <w:sz w:val="17"/>
          <w:szCs w:val="17"/>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related to our ERP modernization initiative, and other internal support and infrastructure costs.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as we continue to expand our operations, hire additional personnel, integrate current and future acquisitions, and incur additional costs associated with being a publicly-listed company, including costs related to compliance with Section 404(b) of the Sarbanes-Oxley Act of 2002 beginning in 2023, as well as the additional requirements resulting from the Company's loss of emerging growth company status.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(income), net reflects the net amount of our interest expense and interest income within the same period.</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Interest expense consists primarily of interest incurred related to borrowings, the Notes,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Limited (“Systax”) acquisition, which was fully settled on June 5, 2024.</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2023 Annual Report. The period-to-period comparison of financial results is not necessarily indicative of financial results to be achieved in future periods. The following table sets forth our condensed consolidated statements of comprehensive income (loss) for the periods indicated.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0" w:type="dxa"/>
            <w:vAlign w:val="bottom"/>
          </w:tcPr>
          <w:p>
            <w:pPr>
              <w:spacing w:after="0"/>
              <w:rPr>
                <w:sz w:val="1"/>
                <w:szCs w:val="1"/>
                <w:color w:val="auto"/>
              </w:rPr>
            </w:pPr>
          </w:p>
        </w:tc>
      </w:tr>
      <w:tr>
        <w:trPr>
          <w:trHeight w:val="104"/>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9"/>
                <w:szCs w:val="9"/>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4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Software subscriptions</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121,285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24,969</w:t>
            </w:r>
          </w:p>
        </w:tc>
        <w:tc>
          <w:tcPr>
            <w:tcW w:w="40" w:type="dxa"/>
            <w:vAlign w:val="bottom"/>
          </w:tcPr>
          <w:p>
            <w:pPr>
              <w:spacing w:after="0"/>
              <w:rPr>
                <w:sz w:val="17"/>
                <w:szCs w:val="17"/>
                <w:color w:val="auto"/>
              </w:rPr>
            </w:pPr>
          </w:p>
        </w:tc>
        <w:tc>
          <w:tcPr>
            <w:tcW w:w="88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20.6 %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414,527</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350,135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64,392</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23,742</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1.8 %</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67,338</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170,435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145,027</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25,408</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17.5 %</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488,320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417,473</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70,847</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Software subscriptions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41,055</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Services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2.9 %</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45,523</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cost of revenues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56,871</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5.3 %</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179,316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162,497</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16,819</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88,156</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22,368</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25.4 %</w:t>
            </w: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254,976</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54,028</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(1,151)</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Selling and marketing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w:t>
            </w: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103,196</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19,947</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17.3 %</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37.9 %</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expense (income),</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(1,455)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105,628</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17.1 %</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298,128</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269,995</w:t>
            </w: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28,133</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(342.6)%</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25,895</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(2,938)</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(3,535)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(2,471)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w:t>
            </w:r>
          </w:p>
        </w:tc>
        <w:tc>
          <w:tcPr>
            <w:tcW w:w="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(399.6)%</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13,347</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(15,161)</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28,508</w:t>
            </w:r>
          </w:p>
        </w:tc>
        <w:tc>
          <w:tcPr>
            <w:tcW w:w="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(1,722)</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13,266</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(14,988)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10,620</w:t>
            </w: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(312.4)%</w:t>
            </w: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(28,427)</w:t>
            </w: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43,496</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net of tax</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(14,266)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(268.6)%</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(3,189)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9"/>
        </w:trPr>
        <w:tc>
          <w:tcPr>
            <w:tcW w:w="2540" w:type="dxa"/>
            <w:vAlign w:val="bottom"/>
          </w:tcPr>
          <w:p>
            <w:pPr>
              <w:ind w:left="120"/>
              <w:spacing w:after="0" w:line="169" w:lineRule="exact"/>
              <w:rPr>
                <w:sz w:val="20"/>
                <w:szCs w:val="20"/>
                <w:color w:val="auto"/>
              </w:rPr>
            </w:pPr>
            <w:r>
              <w:rPr>
                <w:rFonts w:ascii="Times New Roman" w:cs="Times New Roman" w:eastAsia="Times New Roman" w:hAnsi="Times New Roman"/>
                <w:sz w:val="16"/>
                <w:szCs w:val="16"/>
                <w:color w:val="auto"/>
              </w:rPr>
              <w:t>Total other comprehensive (income)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net of tax</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(8,979)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(14,280)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(1,635)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9"/>
        </w:trPr>
        <w:tc>
          <w:tcPr>
            <w:tcW w:w="2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(8,700)</w:t>
            </w: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(286.2)%</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(29,987)</w:t>
            </w: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3519" w:hanging="20"/>
        <w:spacing w:after="0" w:line="215" w:lineRule="auto"/>
        <w:tabs>
          <w:tab w:leader="none" w:pos="65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stock-based compensation expenses as follows in the table below. * Percentage change not meaningful.</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26"/>
        </w:trPr>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software subscriptions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tcPr>
          <w:p>
            <w:pPr>
              <w:spacing w:after="0"/>
              <w:rPr>
                <w:sz w:val="21"/>
                <w:szCs w:val="2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services</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40" w:type="dxa"/>
            <w:vAlign w:val="bottom"/>
            <w:shd w:val="clear" w:color="auto" w:fill="CCEEFF"/>
          </w:tcPr>
          <w:p>
            <w:pPr>
              <w:spacing w:after="0"/>
              <w:rPr>
                <w:sz w:val="21"/>
                <w:szCs w:val="21"/>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40" w:type="dxa"/>
            <w:vAlign w:val="bottom"/>
          </w:tcPr>
          <w:p>
            <w:pPr>
              <w:spacing w:after="0"/>
              <w:rPr>
                <w:sz w:val="21"/>
                <w:szCs w:val="2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40" w:type="dxa"/>
            <w:vAlign w:val="bottom"/>
            <w:shd w:val="clear" w:color="auto" w:fill="CCEEFF"/>
          </w:tcPr>
          <w:p>
            <w:pPr>
              <w:spacing w:after="0"/>
              <w:rPr>
                <w:sz w:val="21"/>
                <w:szCs w:val="21"/>
                <w:color w:val="auto"/>
              </w:rPr>
            </w:pPr>
          </w:p>
        </w:tc>
      </w:tr>
      <w:tr>
        <w:trPr>
          <w:trHeight w:val="243"/>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40" w:type="dxa"/>
            <w:vAlign w:val="bottom"/>
            <w:tcBorders>
              <w:bottom w:val="single" w:sz="8" w:color="CCEEFF"/>
            </w:tcBorders>
          </w:tcPr>
          <w:p>
            <w:pPr>
              <w:spacing w:after="0"/>
              <w:rPr>
                <w:sz w:val="21"/>
                <w:szCs w:val="21"/>
                <w:color w:val="auto"/>
              </w:rPr>
            </w:pPr>
          </w:p>
        </w:tc>
      </w:tr>
      <w:tr>
        <w:trPr>
          <w:trHeight w:val="209"/>
        </w:trPr>
        <w:tc>
          <w:tcPr>
            <w:tcW w:w="3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revenues for the periods presented.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294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820" w:type="dxa"/>
            <w:vAlign w:val="bottom"/>
            <w:gridSpan w:val="3"/>
          </w:tcPr>
          <w:p>
            <w:pPr>
              <w:jc w:val="center"/>
              <w:ind w:left="77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gridSpan w:val="3"/>
          </w:tcPr>
          <w:p>
            <w:pPr>
              <w:jc w:val="center"/>
              <w:ind w:left="75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85.8 %</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83.6 %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84.9 %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14.2 %</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 subscriptions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25.6 %</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28.3 %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26.8 %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9.5 %</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9.2 %</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24.7 %</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23.4 %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24.3 %</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0.7 %</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30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0.4 %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0.4 %</w:t>
            </w:r>
          </w:p>
        </w:tc>
        <w:tc>
          <w:tcPr>
            <w:tcW w:w="32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net of tax</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gain on investments, net of</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w:t>
            </w:r>
          </w:p>
        </w:tc>
        <w:tc>
          <w:tcPr>
            <w:tcW w:w="18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8"/>
        </w:trPr>
        <w:tc>
          <w:tcPr>
            <w:tcW w:w="31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other comprehensive (income) loss,</w:t>
            </w: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c>
          <w:tcPr>
            <w:tcW w:w="1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60" w:type="dxa"/>
            <w:vAlign w:val="bottom"/>
          </w:tcPr>
          <w:p>
            <w:pPr>
              <w:spacing w:after="0"/>
              <w:rPr>
                <w:sz w:val="24"/>
                <w:szCs w:val="24"/>
                <w:color w:val="auto"/>
              </w:rPr>
            </w:pPr>
          </w:p>
        </w:tc>
        <w:tc>
          <w:tcPr>
            <w:tcW w:w="1500" w:type="dxa"/>
            <w:vAlign w:val="bottom"/>
            <w:gridSpan w:val="2"/>
          </w:tcPr>
          <w:p>
            <w:pPr>
              <w:jc w:val="center"/>
              <w:ind w:left="1032"/>
              <w:spacing w:after="0"/>
              <w:rPr>
                <w:sz w:val="20"/>
                <w:szCs w:val="20"/>
                <w:color w:val="auto"/>
              </w:rPr>
            </w:pPr>
            <w:r>
              <w:rPr>
                <w:rFonts w:ascii="Times New Roman" w:cs="Times New Roman" w:eastAsia="Times New Roman" w:hAnsi="Times New Roman"/>
                <w:sz w:val="18"/>
                <w:szCs w:val="18"/>
                <w:color w:val="auto"/>
                <w:w w:val="99"/>
              </w:rPr>
              <w:t>43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90"/>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28"/>
        </w:trPr>
        <w:tc>
          <w:tcPr>
            <w:tcW w:w="3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cente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146,254</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121,285</w:t>
            </w:r>
          </w:p>
        </w:tc>
        <w:tc>
          <w:tcPr>
            <w:tcW w:w="180" w:type="dxa"/>
            <w:vAlign w:val="bottom"/>
          </w:tcPr>
          <w:p>
            <w:pPr>
              <w:spacing w:after="0"/>
              <w:rPr>
                <w:sz w:val="18"/>
                <w:szCs w:val="18"/>
                <w:color w:val="auto"/>
              </w:rPr>
            </w:pPr>
          </w:p>
        </w:tc>
        <w:tc>
          <w:tcPr>
            <w:tcW w:w="2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145,027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$25.4 million, or 17.5%, to $170.4 million for the three months ended September 30, 2024 compared to $145.0 million for the same period in 2023. The increase in software subscriptions revenues of $25.0 million, or 20.6%, was primarily driven by increases from our existing customers through cross selling new products, and to a lesser extent, increases due to expanded use and price increases. Software subscriptions revenues derived from new customers averaged 6.0% and 6.5% of total software subscriptions revenues in the three months ended September 30, 2024 and 2023, respectively.</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$0.4 million increase in services revenues was primarily driven by a $1.9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These increases were partially offset by a $1.5 million decrease in service revenues primarily from the impact of our previously discussed effort to steer more implementation opportunities to our channel partners, who are an important referral source for new software opportunities.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2,586</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software subscriptions revenues increased $2.6 million, or 6.3%, to $43.6 million for the three months ended September 30, 2024 compared to $41.1 million for the same period in 2023. The increase in cost of software subscriptions revenues was primarily driven by a $2.4 million increase in costs of personnel supporting period-over-period growth of sales and customers, ongoing infrastructure investments and support costs to enable the continued expansion of customer transaction volumes for our cloud-based subscription customers.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2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454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Cost of services revenues increased $0.5 million, or 2.9%, to $16.3 million for the three months ended September 30, 2024, compared to $15.8 million for the same period in 2023. The increase in cost of services revenues was primarily due to an increase in costs of service delivery personnel to support revenue growth in software subscription-related services and our managed services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4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200" w:type="dxa"/>
            <w:vAlign w:val="bottom"/>
            <w:tcBorders>
              <w:bottom w:val="single" w:sz="8" w:color="CCEEFF"/>
            </w:tcBorders>
          </w:tcPr>
          <w:p>
            <w:pPr>
              <w:spacing w:after="0"/>
              <w:rPr>
                <w:sz w:val="12"/>
                <w:szCs w:val="12"/>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(1,151)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$1.2 million, or (6.9)%, to $15.6 million for the three months ended September 30, 2024 compared to $16.8 million for the same period in 2023. The decrease in research and development expenses is due to an increase in capitalized costs over the prior year related to development work associated with new solutions to address end-to-end data analysis and compliance needs of our customers, and continued expansion of connectors and application program interfaces (“APIs”) to customer ERP and other software platforms.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18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8,192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$8.2 million, or 24.2%, to $42.1 million for the three months ended September 30, 2024 compared to $33.9 million for the same period in 2023. This increase was primarily driven by a $4.6 million increase in payroll and related expenses associated with the growth in period-over-period subscription sales and services revenues and expansion of our partner and channel management programs. Additionally, there was an increase of $3.6 million in advertising and promotional spending related to expanded brand awareness efforts.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6" w:lineRule="exact"/>
        <w:rPr>
          <w:sz w:val="20"/>
          <w:szCs w:val="20"/>
          <w:color w:val="auto"/>
        </w:rPr>
      </w:pPr>
    </w:p>
    <w:p>
      <w:pPr>
        <w:jc w:val="center"/>
        <w:ind w:left="2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3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6,114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1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$6.1 million, or 17.3%, to $41.5 million for the three months ended September 30, 2024 compared to $35.4 million for the same period in 2023, primarily driven by a $5.3 million increase in planned strategic investments in information technology infrastructure, business process re-engineering and other initiatives to drive future operating leverage, as well as investments in employees, systems and other resources in support of our growth. Additionally, there was a $0.9 million increase in stock-based compensation expense over the prior year.</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46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20" w:type="dxa"/>
            <w:vAlign w:val="bottom"/>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1,432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$1.4 million, or 37.9%, to $5.2 million for the three months ended September 30, 2024 compared to $3.8 million for the same period in 2023. The increase was primarily due to the impact of infrastructure and technology purchases and other capitalized costs to support our growth.</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867</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(income), net increased to expense of $1.2 million, net for the three months ended September 30, 2024 compared to expense of $0.3 million, net for the same period in 2023. The increase in expense was primarily driven by foreign currency transaction losses incurred.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1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80" w:type="dxa"/>
            <w:vAlign w:val="bottom"/>
            <w:tcBorders>
              <w:bottom w:val="single" w:sz="8" w:color="CCEEFF"/>
            </w:tcBorders>
          </w:tcPr>
          <w:p>
            <w:pPr>
              <w:spacing w:after="0"/>
              <w:rPr>
                <w:sz w:val="15"/>
                <w:szCs w:val="15"/>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(3,535)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(592.1)%</w:t>
            </w: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Interest expense (income), net increased to income of $2.9 million for the three months ended September 30, 2024, compared to an expense of $0.6 million for the same period in 2023. This change was mainly due to several factors: a $3.8 million increase in interest income primarily due to increased dollars invested during the period, a reduction of $0.8 million of interest expense related to the term loan repayment, and $0.2 million related to the valuation of our prior year foreign currency forward contracts due to market fluctuations. These interest income increases were partially offset by $0.7 million of interest expense and a $0.6 million increase in deferred financing costs related to the convertible debt issuance.</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6" w:lineRule="exact"/>
        <w:rPr>
          <w:sz w:val="20"/>
          <w:szCs w:val="20"/>
          <w:color w:val="auto"/>
        </w:rPr>
      </w:pPr>
    </w:p>
    <w:p>
      <w:pPr>
        <w:jc w:val="center"/>
        <w:ind w:left="20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37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160" w:type="dxa"/>
            <w:vAlign w:val="bottom"/>
            <w:tcBorders>
              <w:bottom w:val="single" w:sz="8" w:color="CCEEFF"/>
            </w:tcBorders>
          </w:tcPr>
          <w:p>
            <w:pPr>
              <w:spacing w:after="0"/>
              <w:rPr>
                <w:sz w:val="15"/>
                <w:szCs w:val="15"/>
                <w:color w:val="auto"/>
              </w:rPr>
            </w:pPr>
          </w:p>
        </w:tc>
      </w:tr>
      <w:tr>
        <w:trPr>
          <w:trHeight w:val="20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25"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$0.6 million and $0.8 million for the three months ended September 30, 2024 and 2023, respectively. The change in tax expense was primarily driven by fluctuations in valuation allowances on certain foreign deferred tax assets, tax benefits from stock-based awards exercised or vested during the quarter, net of the impact from limitations on deductions of certain employees’ compensation, and benefits from tax credits partially offset by changes in taxes in profitable jurisdictions.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66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subscriptions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414,527</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350,135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417,473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$70.8 million, or 17.0%, to $488.3 million for the nine months ended September 30, 2024 compared to $417.5 million for the same period in 2023. The increase in software subscriptions revenues of $64.4 million, or 18.4%, was primarily driven by increases from our existing customers through cross selling new products, and to a lesser extent, increases due to expanded use and price increases. Software subscriptions revenues derived from new customers averaged 5.8% and 6.5% of total software subscriptions revenues in the nine months ended September 30, 2024 and 2023, respectively.</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$6.5 million increase in services revenues was primarily driven by an increase of $3.1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$3.3 million increase driven by an increase in recurring services revenues over the prior year due to returns processing volume increases related to customer business growth and regulatory changes as customers expanded their tax filings into more jurisdictions, as well as an increase in interest received from our funds held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Software Subscriptions Revenues</w:t>
      </w:r>
    </w:p>
    <w:p>
      <w:pPr>
        <w:spacing w:after="0" w:line="26" w:lineRule="exact"/>
        <w:rPr>
          <w:sz w:val="20"/>
          <w:szCs w:val="20"/>
          <w:color w:val="auto"/>
        </w:rPr>
      </w:pPr>
    </w:p>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2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subscriptions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131,030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116,974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14,056</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software subscriptions revenues increased $14.1 million, or 12.0%, to $131.0 million for the nine months ended September 30, 2024 compared to $117.0 million for the same period in 2023. The increase in cost of software subscriptions revenues was primarily driven by a $9.1 million increase in costs of personnel supporting period-over-period growth of sales and customers, ongoing infrastructure investments and support costs to enable the continued expansion of customer transaction volumes for our cloud-based subscription customers. In addition, the increase in cost of software subscriptions revenues included an increase in depreciation and amortization of $5.0 million associated with our ongoing investments in internal-use software for cloud-based subscription solutions, software developed for sale for new products and enhancements to existing products, and costs associated with the amortization of acquired intangible assets.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Services Revenues</w:t>
      </w:r>
    </w:p>
    <w:p>
      <w:pPr>
        <w:spacing w:after="0" w:line="26"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20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2,763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Cost of services revenues increased $2.8 million, or 6.1%, to $48.3 million for the nine months ended September 30, 2024, compared to $45.5 million for the same period in 2023. The increase in cost of services revenues was primarily due to an increase in costs of service delivery personnel to support revenue growth in software subscription-related services and our managed services offering.</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6"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3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47,080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45,314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1,766</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$1.8 million, or 3.9%, to $47.1 million for the nine months ended September 30, 2024 compared to $45.3 million for the same period in 2023. The increase in research and development expenses is due primarily to an increase in personnel costs related to development work associated with new solutions to address end-to-end data analysis and compliance needs of our customers, and continued expansion of connectors and APIs to customer ERP and other software platforms. Research and development expense excludes those costs that have been capitalized for solutions that have met our capitalization policy.</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2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182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3"/>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123,143</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103,196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19,947</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$19.9 million, or 19.3%, to $123.1 million for the nine months ended September 30, 2024 compared to $103.2 million for the same period in 2023. This increase was primarily driven by a $14.6 million increase in payroll and related expenses associated with the growth in period-over-period subscription sales and services revenues and expansion of our partner and channel management programs. Additionally, there was an increase of $4.8 million in advertising and promotional spending related to expanded brand awareness efforts.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60" w:type="dxa"/>
            <w:vAlign w:val="bottom"/>
          </w:tcPr>
          <w:p>
            <w:pPr>
              <w:spacing w:after="0"/>
              <w:rPr>
                <w:sz w:val="15"/>
                <w:szCs w:val="15"/>
                <w:color w:val="auto"/>
              </w:rPr>
            </w:pPr>
          </w:p>
        </w:tc>
        <w:tc>
          <w:tcPr>
            <w:tcW w:w="2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31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Borders>
              <w:top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112,915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109,071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3,844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3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$3.8 million, or 3.5%, to $112.9 million for the nine months ended September 30, 2024 compared to $109.1 million for the same period in 2023, driven by a $0.8 million increase in planned strategic investments in information technology infrastructure, business process reengineering and other initiatives to drive future operating leverage, as well as investments in employees, systems and other resources in support of our growth. Additionally, there was an increase of $1.4 million for the amortization of capitalized cloud computing implementation costs related to our ERP modernization initiative. Finally, there was a $1.8 million increase in stock-based compensation expense over the prior year.</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6"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46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15,432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4,031</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$4.0 million, or 35.4%, to $15.4 million for the nine months ended September 30, 2024 compared to $11.4 million for the same period in 2023. The increase was primarily due to the impact of infrastructure and technology purchases and other capitalized costs to support our growth.</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Operating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1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(1,455)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 (income), net increased to income of $0.4 million, net for the nine months ended September 30, 2024 compared to expense of $1.0 million, net for the same period in 2023. The decrease in expense was primarily driven by a decrease in the contingent consideration liability for the Tellutax LLC acquisition.</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p>
      <w:pPr>
        <w:spacing w:after="0" w:line="26" w:lineRule="exact"/>
        <w:rPr>
          <w:sz w:val="20"/>
          <w:szCs w:val="20"/>
          <w:color w:val="auto"/>
        </w:rPr>
      </w:pPr>
    </w:p>
    <w:p>
      <w:pPr>
        <w:jc w:val="center"/>
        <w:ind w:left="2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218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(2,613)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(1,840.1)%</w:t>
            </w: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Interest expense (income), net increased to income of $2.5 million for the nine months ended September 30, 2024, compared to interest expense of $0.1 million for the same period in 2023. The change was primarily due to a $5.0 million increase in interest income due to increased dollars invested during the period and a reduction of $1.2 million of interest expense related to the term loan repayment. This was partially offset by a $0.6 million decrease in the valuation of our foreign currency forward contracts due to market fluctuations, a $1.6 million increase in interest expense and $1.4 million increase in deferred financing costs related to the convertible debt issuance.</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p>
      <w:pPr>
        <w:spacing w:after="0" w:line="2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1940"/>
        <w:spacing w:after="0" w:line="231" w:lineRule="auto"/>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40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(14,988)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r>
    </w:tbl>
    <w:p>
      <w:pPr>
        <w:spacing w:after="0" w:line="198" w:lineRule="exact"/>
        <w:rPr>
          <w:sz w:val="20"/>
          <w:szCs w:val="20"/>
          <w:color w:val="auto"/>
        </w:rPr>
      </w:pPr>
    </w:p>
    <w:p>
      <w:pPr>
        <w:jc w:val="both"/>
        <w:ind w:left="60" w:right="59" w:firstLine="324"/>
        <w:spacing w:after="0" w:line="263" w:lineRule="auto"/>
        <w:rPr>
          <w:sz w:val="20"/>
          <w:szCs w:val="20"/>
          <w:color w:val="auto"/>
        </w:rPr>
      </w:pPr>
      <w:r>
        <w:rPr>
          <w:rFonts w:ascii="Times New Roman" w:cs="Times New Roman" w:eastAsia="Times New Roman" w:hAnsi="Times New Roman"/>
          <w:sz w:val="18"/>
          <w:szCs w:val="18"/>
          <w:color w:val="auto"/>
        </w:rPr>
        <w:t>Income tax (benefit) expense was $(1.7) million and $13.3 million for the nine months ended September 30, 2024 and 2023, respectively. The change in tax (benefit) expense was primarily driven by tax benefits on exercises and vesting of stock awards, net of limitations on deductions of certain employees’ compensation, changes in jurisdictional income or loss allocation, fluctuations in valuation allowances on certain foreign deferred tax assets, and changes in benefits of tax credits.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unrestricted cash and cash equivalents of $279.0 million and retained earnings of $14.5 million. In addition, we had $7.5 million in investment securities with a maturity date exceeding three months as of September 30, 2024, not included in unrestricted cash and cash equivalents. Our primary sources of capital include sales of our solutions, proceeds from bank lending facilities, and the offering of existing or future classes of stock.</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had a credit agreement with a banking syndicate (the “Credit Agreement”) that provides a $200.0 million revolving facility (the “Line of Credit”).</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additional information on the Notes, refer to Note 8, “Debt” to the condensed consolidated financial statements included in this Quarterly Report on Form 10-Q.</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indicated:</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(46,264)</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(87,004)</w:t>
            </w: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(188.1)%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1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216,235</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241,861</w:t>
            </w: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 w:right="59" w:firstLine="324"/>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Net cash provided by operating activities of $123.7 million for the nine months ended September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2024 consisted of net income of $15.1 million, adjusted for non-cash charges of $93.5 million and cash inflows of $19.5 million from changes in operating assets and liabilities, which were partially offset by $4.4 million in payments for purchase commitment and contingent consideration liabilities in excess of their initial fair value. The change in operating assets and liabilities was primarily driven by a decrease in accounts receivable and an increase in deferred revenue, primarily due to cash collections and customer growth during the period. These changes were partially offset by an increase in prepaid expenses and other current assets. These movements were primarily due to the timing of cash payments.</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Times New Roman" w:cs="Times New Roman" w:eastAsia="Times New Roman" w:hAnsi="Times New Roman"/>
          <w:sz w:val="18"/>
          <w:szCs w:val="18"/>
          <w:color w:val="auto"/>
        </w:rPr>
        <w:t>Net cash provided by operating activities of $26.7 million for the nine months ended September 30, 2023 consisted of net loss of $28.4 million, adjusted for non-cash charges of $75.0 million and cash outflows of $19.9 million from changes in operating assets and liabilities. The change in operating assets and liabilities was primarily driven by an increase in accounts receivable which was partially offset by increases in accounts payable and accrued expenses. These movements were primarily due to timing of cash collections and payments during the period.</w:t>
      </w:r>
    </w:p>
    <w:p>
      <w:pPr>
        <w:spacing w:after="0" w:line="182" w:lineRule="exact"/>
        <w:rPr>
          <w:sz w:val="20"/>
          <w:szCs w:val="20"/>
          <w:color w:val="auto"/>
        </w:rPr>
      </w:pPr>
    </w:p>
    <w:p>
      <w:pPr>
        <w:jc w:val="both"/>
        <w:ind w:left="60" w:right="79"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of $133.3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consisted of investments in property and equipment, and capitalized software of $47.5 million and $16.4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respectively, related to investments in infrastructure, new products, and enhancements to existing products. Additionally, we paid $71.8 million related to acquisitions completed during the second and third quarters of 2024. Finally, we invested $12.2 million in available-for-sale investment securities, which was more than offset by proceeds of $14.6 million received during the period for sales and maturities in our investment securities. For additional information on our acquisitions, refer to Note 3, “Acquisitions” to the condensed consolidated financial statements included in this Quarterly Report on Form 10-Q.</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of $46.3 million for the nine months ended September 30, 2023 consisted of investments in property and equipment, and capitalized software of $35.4 million and $14.1 million, respectively, related to infrastructure investments to drive operating leverage and commercial solutions to support our customers. Additionally, we invested $12.9 million in available-for-sale investment securities, which was more than offset by proceeds of $16.0 million received during the period for sales and maturities in our investment securities.</w:t>
      </w:r>
    </w:p>
    <w:p>
      <w:pPr>
        <w:spacing w:after="0" w:line="17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of $225.0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consisted of $345.0 million in gross proceeds from our Notes, as well as a $6.0 million increase in customer funds obligations, primarily due to timing differences between receipt of funds from customers and taxing jurisdiction withdrawals of these funds. These transactions were partly offset by $46.9 million for the repayment of our term loan, $42.4 million for the purchase of the Capped Call Transactions, $3.9 million in payments of third-party debt, $20.0 million in payments for taxes related to the net share settlement of stock-based awards, $11.4 million for payments related to deferred financing costs and $7.6 million for payments on purchase commitment and contingent consideration liabilities.</w:t>
      </w:r>
    </w:p>
    <w:p>
      <w:pPr>
        <w:spacing w:after="0" w:line="189" w:lineRule="exact"/>
        <w:rPr>
          <w:sz w:val="20"/>
          <w:szCs w:val="20"/>
          <w:color w:val="auto"/>
        </w:rPr>
      </w:pPr>
    </w:p>
    <w:p>
      <w:pPr>
        <w:jc w:val="both"/>
        <w:ind w:left="60" w:right="59" w:firstLine="383"/>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of $6.0 million for the nine months ended September 30, 2023 consisted of a $10.0 million payment for a deferred purchase commitment, $9.2 million in payments for taxes related to the net share settlement of stock-based awards, $6.4 million in payments for purchase commitment and contingent consideration liabilities, and $1.6 million used for principal debt repayments. These transactions were partially offset by a $17.0 million increase in customer funds obligations, primarily due to timing differences between receipt of funds from customers and taxing jurisdiction withdrawals of these funds, and $3.1 million in proceeds from the exercise of stock options.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Debt</w:t>
      </w:r>
      <w:r>
        <w:rPr>
          <w:rFonts w:ascii="Times New Roman" w:cs="Times New Roman" w:eastAsia="Times New Roman" w:hAnsi="Times New Roman"/>
          <w:sz w:val="18"/>
          <w:szCs w:val="18"/>
          <w:color w:val="auto"/>
        </w:rPr>
        <w:t>. As of September 30, 2024, we had a $200.0 million Line of Credit with no outstanding borrowings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Credit Agreement. As of September 30, 2024, we had $345.0 million aggregate principal amount of debt outstanding related to our Notes. For additional information on our debt refer to Note 8, “Debt” to the condensed consolidated financial statements included in this Quarterly Report on Form 10-Q.</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pricing of the Notes on April 23, 2024, the Company entered into Capped Call Transactions. For additional information regarding the Capped Call Transactions, refer to Note 8, “Debt” to the condensed consolidated financial statements included in this Quarterly Report on Form 10-Q.</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2024, we have no outstanding borrowings under the term loan or Line of Credit. Our Notes are due in May 2029. We expect to continue to fund debt maturities and interest payments with cash flows generated from operations, existing cash and cash equivalents, or proceeds from additional financing. For additional information on our debt obligations, refer to Note 8, “Debt” to the condensed consolidated financial statements included in this Quarterly Report on Form 10-Q.</w:t>
      </w:r>
    </w:p>
    <w:p>
      <w:pPr>
        <w:sectPr>
          <w:pgSz w:w="11900" w:h="16838" w:orient="portrait"/>
          <w:cols w:equalWidth="0" w:num="1">
            <w:col w:w="9019"/>
          </w:cols>
          <w:pgMar w:left="1440" w:top="513" w:right="1440" w:bottom="1440" w:gutter="0" w:footer="0" w:header="0"/>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August 30, 2024 ecosio acquisition, we may be obligated to make annual payouts for Earn-outs based on ecosio’s achievement of certain financial targets over a three-year period. For additional information on the ecosio acquisition, refer to Note 3, “Acquisitions” to the condensed consolidated financial statements included in this Quarterly Report on Form 10-Q.</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updates or changes to our contractual obligations and commitments compared to contractual obligations and commitments described in our 2023 Annual Report, other than those noted above</w:t>
      </w:r>
      <w:r>
        <w:rPr>
          <w:rFonts w:ascii="Times New Roman" w:cs="Times New Roman" w:eastAsia="Times New Roman" w:hAnsi="Times New Roman"/>
          <w:sz w:val="16"/>
          <w:szCs w:val="16"/>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metrics identified below to evaluate growth trends, measure our performance, formulate financial projections and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 and Average Annual Revenue Per Customer (“AARPC”).</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AARPC represents average annual revenue per customer and is calculated by dividing ARR by the number of software subscription customers at the end of the respective period.</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9"/>
              </w:rPr>
              <w:t>Year-Over-Year Change</w:t>
            </w:r>
          </w:p>
        </w:tc>
        <w:tc>
          <w:tcPr>
            <w:tcW w:w="0" w:type="dxa"/>
            <w:vAlign w:val="bottom"/>
          </w:tcPr>
          <w:p>
            <w:pPr>
              <w:spacing w:after="0"/>
              <w:rPr>
                <w:sz w:val="1"/>
                <w:szCs w:val="1"/>
                <w:color w:val="auto"/>
              </w:rPr>
            </w:pPr>
          </w:p>
        </w:tc>
      </w:tr>
      <w:tr>
        <w:trPr>
          <w:trHeight w:val="142"/>
        </w:trPr>
        <w:tc>
          <w:tcPr>
            <w:tcW w:w="2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Recurring Revenue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91.9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ARR increased by $91.9 million, or 19.0%, at September 30, 2024, as compared to September 30, 2023. The increase was primarily driven by $52.6 million of growth in revenues from existing customers through their expanded use of our solutions as well as price increases, and $25.3 million in growth of subscriptions of our solutions to new customers. Addionally, $5.9 million was added to ARR due to the inclusion of Systax’s ARR, which was included as a result of the acquisition of the remaining ownership interests of Systax during the second quarter of 2024, and $8.1 million was added to ARR due to the ecosio acquisition during the third quarter of 2024. Excluding the impact of Systax and ecosio, the ARR growth rate would have been 16.1%.</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had 4,855 direct customers and AARPC was approximately $118,800 at September 30, 2024. At September 30, 2023, we had 4,303 direct customers and approximately $112,690 of AARPC. The increase in AARPC was primarily due to expansion of usage by existing customers and adding new customers through organic growth. Additionally, the inclusion of Systax and ecosio added 574 customers to the third quarter of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Revenue Retention Rate (“NRR”).</w:t>
      </w:r>
    </w:p>
    <w:p>
      <w:pPr>
        <w:spacing w:after="0" w:line="229" w:lineRule="exact"/>
        <w:rPr>
          <w:sz w:val="20"/>
          <w:szCs w:val="20"/>
          <w:color w:val="auto"/>
        </w:rPr>
      </w:pPr>
    </w:p>
    <w:p>
      <w:pPr>
        <w:jc w:val="both"/>
        <w:ind w:left="60" w:right="59" w:firstLine="369"/>
        <w:spacing w:after="0" w:line="253" w:lineRule="auto"/>
        <w:rPr>
          <w:sz w:val="20"/>
          <w:szCs w:val="20"/>
          <w:color w:val="auto"/>
        </w:rPr>
      </w:pPr>
      <w:r>
        <w:rPr>
          <w:rFonts w:ascii="Times New Roman" w:cs="Times New Roman" w:eastAsia="Times New Roman" w:hAnsi="Times New Roman"/>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Revenue Retention Rate (“GRR”).</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12"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 Retention Rate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margin represents Adjusted EBITDA divided by total revenues for the same period. For purposes of comparison, our net income (loss) was $7.2 million and $(3.4) million for the three months ended September 30, 2024 and 2023, respectively, while our net income (loss) margin was 4.2% and (2.3)% over the same periods, respectively. Additionally,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net income (loss) was $15.1 million and $(28.4) million for the nine months ended September 30, 2024 and 2023, respectively, while our net income (loss) margin was 3.1% and (6.8)% over the same periods, respectively.</w:t>
      </w:r>
    </w:p>
    <w:p>
      <w:pPr>
        <w:spacing w:after="0" w:line="200" w:lineRule="exact"/>
        <w:rPr>
          <w:sz w:val="20"/>
          <w:szCs w:val="20"/>
          <w:color w:val="auto"/>
        </w:rPr>
      </w:pP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0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90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1960" w:type="dxa"/>
            <w:vAlign w:val="bottom"/>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90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4"/>
          </w:tcPr>
          <w:p>
            <w:pPr>
              <w:jc w:val="right"/>
              <w:ind w:right="41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right"/>
              <w:ind w:right="411"/>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(28,427)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 property and equipment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capitalized software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intangible assets – cost of subscription revenues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 selling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implementation costs –</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contingent consideration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145,027</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417,473</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Adjusted EBITDA for the three months ended September 30, 2024 of $12.0 million over the comparable period in 2023 was primarily driven by an increase of $22.8 million in non-GAAP gross profit, partly offset by a $7.5 million increase in non-GAAP selling and marketing expense as well as a $4.9 million increase in non-GAAP general and administrative expense. Adjusted EBITDA margin increased to 22.7% for the three months ended September 30, 2024, compared to 18.4% for the comparable period in 2023, primarily due to increased non-GAAP gross margin from both our software subscriptions and professional services revenue.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increase in Adjusted EBITDA for the nine months ended September 30, 2024 of $45.1 million over the comparable period in 2023 was primarily driven by an increase of $61.0 million in non-GAAP gross profit, partly offset by an $16.3 million increase in non-GAAP selling and marketing expense. Adjusted EBITDA margin increased to 23.3% for the nine months ended September 30, 2024, compared to 16.5% for the comparable period in 2023, primarily due to increased non-GAAP gross margin from both our software subscriptions and professional services revenue.</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increase in Adjusted EBITDA is also partially due to the previously announced strategic investments that were made primarily during 2020 through 2023 into information technology infrastructure, business and re-engineering processes, employees, and other initiatives, which were strategically aimed to deliver consistent revenue growth, drive future earnings leverage, and expand adjusted EBITDA margins.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1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180" w:right="160"/>
        <w:spacing w:after="0" w:line="266" w:lineRule="auto"/>
        <w:rPr>
          <w:sz w:val="20"/>
          <w:szCs w:val="20"/>
          <w:color w:val="auto"/>
        </w:rPr>
      </w:pPr>
      <w:r>
        <w:rPr>
          <w:rFonts w:ascii="Times New Roman" w:cs="Times New Roman" w:eastAsia="Times New Roman" w:hAnsi="Times New Roman"/>
          <w:sz w:val="18"/>
          <w:szCs w:val="18"/>
          <w:color w:val="auto"/>
        </w:rPr>
        <w:t>cash flow margin. We define free cash flow as the total of net cash provided by operating activities less purchases of property and equipment and capitalized software. We define free cash flow margin as free cash flow divided by total revenues for the same period.</w:t>
      </w:r>
    </w:p>
    <w:p>
      <w:pPr>
        <w:spacing w:after="0" w:line="176" w:lineRule="exact"/>
        <w:rPr>
          <w:sz w:val="20"/>
          <w:szCs w:val="20"/>
          <w:color w:val="auto"/>
        </w:rPr>
      </w:pPr>
    </w:p>
    <w:p>
      <w:pPr>
        <w:jc w:val="both"/>
        <w:ind w:left="180" w:right="160" w:firstLine="324"/>
        <w:spacing w:after="0" w:line="258" w:lineRule="auto"/>
        <w:rPr>
          <w:sz w:val="20"/>
          <w:szCs w:val="20"/>
          <w:color w:val="auto"/>
        </w:rPr>
      </w:pPr>
      <w:r>
        <w:rPr>
          <w:rFonts w:ascii="Times New Roman" w:cs="Times New Roman" w:eastAsia="Times New Roman" w:hAnsi="Times New Roman"/>
          <w:sz w:val="18"/>
          <w:szCs w:val="18"/>
          <w:color w:val="auto"/>
        </w:rPr>
        <w:t>Our net cash provided by operating activities was $41.4 million and $27.6 million for the three months ended September 30, 2024 and 2023, respectively, while our operating cash flow margin was 24.3% and 19.0% over the same periods, respectively. Our net cash provided by operating activities was $123.7 million and $26.7 million for the nine months ended September 30, 2024 and 2023, respectively, while our operating cash flow margin was 25.3% and 6.4% over the same periods,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180" w:type="dxa"/>
            <w:vAlign w:val="bottom"/>
            <w:gridSpan w:val="5"/>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2240" w:type="dxa"/>
            <w:vAlign w:val="bottom"/>
            <w:gridSpan w:val="5"/>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180" w:type="dxa"/>
            <w:vAlign w:val="bottom"/>
            <w:gridSpan w:val="5"/>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5"/>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(17,771)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(13,498)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(47,520)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(35,357)</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software additions</w:t>
            </w:r>
          </w:p>
        </w:tc>
        <w:tc>
          <w:tcPr>
            <w:tcW w:w="120" w:type="dxa"/>
            <w:vAlign w:val="bottom"/>
          </w:tcPr>
          <w:p>
            <w:pPr>
              <w:spacing w:after="0"/>
              <w:rPr>
                <w:sz w:val="18"/>
                <w:szCs w:val="18"/>
                <w:color w:val="auto"/>
              </w:rPr>
            </w:pPr>
          </w:p>
        </w:tc>
        <w:tc>
          <w:tcPr>
            <w:tcW w:w="10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tcPr>
          <w:p>
            <w:pPr>
              <w:spacing w:after="0"/>
              <w:rPr>
                <w:sz w:val="18"/>
                <w:szCs w:val="18"/>
                <w:color w:val="auto"/>
              </w:rPr>
            </w:pPr>
          </w:p>
        </w:tc>
        <w:tc>
          <w:tcPr>
            <w:tcW w:w="10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(5,041)</w:t>
            </w:r>
          </w:p>
        </w:tc>
        <w:tc>
          <w:tcPr>
            <w:tcW w:w="16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(16,357)</w:t>
            </w:r>
          </w:p>
        </w:tc>
        <w:tc>
          <w:tcPr>
            <w:tcW w:w="220" w:type="dxa"/>
            <w:vAlign w:val="bottom"/>
          </w:tcPr>
          <w:p>
            <w:pPr>
              <w:spacing w:after="0"/>
              <w:rPr>
                <w:sz w:val="18"/>
                <w:szCs w:val="18"/>
                <w:color w:val="auto"/>
              </w:rPr>
            </w:pPr>
          </w:p>
        </w:tc>
        <w:tc>
          <w:tcPr>
            <w:tcW w:w="10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170,435</w:t>
            </w:r>
          </w:p>
        </w:tc>
        <w:tc>
          <w:tcPr>
            <w:tcW w:w="3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145,027</w:t>
            </w: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488,320</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417,473</w:t>
            </w:r>
          </w:p>
        </w:tc>
        <w:tc>
          <w:tcPr>
            <w:tcW w:w="2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Free cash flow margin</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38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Free cash flow increased by $9.3 million for the three months ended September 30, 2024, as compared to the same period in 2023. This increase was primarily driven by an increase in net cash provided by operating activities of $13.8 million, primarily attributable to customer growth and cash collections during the period. This increase was partly offset by a $4.3 million increase in ongoing investments in internal-use software for cloud-based subscription solutions and software developed for sale for new products and enhancements to existing products. Free cash flow margin increased to 10.8% for the three months ended September 30, 2024, compared to 6.2% for the same period in 2023.</w:t>
      </w:r>
    </w:p>
    <w:p>
      <w:pPr>
        <w:spacing w:after="0" w:line="187"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Free cash flow increased by $82.6 million for the nine months ended September 30, 2024, as compared to the same period in 2023. This increase was primarily driven by an increase in net cash provided by operating activities of $97.0 million, primarily attributable to customer growth and cash collections during the period. This increase was partly offset by a $12.2 million increase in ongoing investments in internal-use software for cloud-based subscription solutions and software developed for sale for new products and enhancements to existing products. Free cash flow margin increased to 12.2% for the nine months ended September 30, 2024, compared to (5.4)% for the same period in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jc w:val="both"/>
        <w:ind w:left="180" w:right="160" w:firstLine="324"/>
        <w:spacing w:after="0" w:line="25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87" w:lineRule="exact"/>
        <w:rPr>
          <w:sz w:val="20"/>
          <w:szCs w:val="20"/>
          <w:color w:val="auto"/>
        </w:rPr>
      </w:pPr>
    </w:p>
    <w:p>
      <w:pPr>
        <w:jc w:val="both"/>
        <w:ind w:left="180" w:right="160" w:firstLine="324"/>
        <w:spacing w:after="0" w:line="253" w:lineRule="auto"/>
        <w:rPr>
          <w:sz w:val="20"/>
          <w:szCs w:val="20"/>
          <w:color w:val="auto"/>
        </w:rPr>
      </w:pPr>
      <w:r>
        <w:rPr>
          <w:rFonts w:ascii="Times New Roman" w:cs="Times New Roman" w:eastAsia="Times New Roman" w:hAnsi="Times New Roman"/>
          <w:sz w:val="18"/>
          <w:szCs w:val="18"/>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348615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240"/>
          </w:cols>
          <w:pgMar w:left="1320" w:top="513" w:right="1339"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76" w:lineRule="exact"/>
        <w:rPr>
          <w:sz w:val="20"/>
          <w:szCs w:val="20"/>
          <w:color w:val="auto"/>
        </w:rPr>
      </w:pPr>
    </w:p>
    <w:p>
      <w:pPr>
        <w:jc w:val="both"/>
        <w:ind w:left="1040" w:right="7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cost of revenues, services is determined by adding back to GAAP cost of revenues, services, the stock-based compensation expense included in cost of revenues, services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is determined by dividing non-GAAP gross profit by total revenues for the respective periods.</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research and development expense is determined by adding back to GAAP research and development expense the stock-based compensation expense and transaction costs related to acquired technology included in research and development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79"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included in GAAP loss or income from operations for the respective periods.</w:t>
      </w:r>
    </w:p>
    <w:p>
      <w:pPr>
        <w:spacing w:after="0" w:line="187"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adjustments to the settlement value of deferred purchase commitment liabilities recorded as interest expense, litigation</w:t>
      </w:r>
    </w:p>
    <w:p>
      <w:pPr>
        <w:spacing w:after="0" w:line="5" w:lineRule="exact"/>
        <w:rPr>
          <w:sz w:val="20"/>
          <w:szCs w:val="20"/>
          <w:color w:val="auto"/>
        </w:rPr>
      </w:pPr>
    </w:p>
    <w:p>
      <w:pPr>
        <w:ind w:left="1040" w:right="79"/>
        <w:spacing w:after="0" w:line="250" w:lineRule="auto"/>
        <w:rPr>
          <w:sz w:val="20"/>
          <w:szCs w:val="20"/>
          <w:color w:val="auto"/>
        </w:rPr>
      </w:pPr>
      <w:r>
        <w:rPr>
          <w:rFonts w:ascii="Times New Roman" w:cs="Times New Roman" w:eastAsia="Times New Roman" w:hAnsi="Times New Roman"/>
          <w:sz w:val="18"/>
          <w:szCs w:val="18"/>
          <w:color w:val="auto"/>
        </w:rPr>
        <w:t>settlements, and transaction costs, included in GAAP net income or loss for the respective periods to determine non-GAAP income or loss before income taxes. Non-GAAP income or loss before income taxes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1040" w:right="79"/>
        <w:spacing w:after="0" w:line="282" w:lineRule="auto"/>
        <w:rPr>
          <w:sz w:val="20"/>
          <w:szCs w:val="20"/>
          <w:color w:val="auto"/>
        </w:rPr>
      </w:pPr>
      <w:r>
        <w:rPr>
          <w:rFonts w:ascii="Times New Roman" w:cs="Times New Roman" w:eastAsia="Times New Roman" w:hAnsi="Times New Roman"/>
          <w:sz w:val="18"/>
          <w:szCs w:val="18"/>
          <w:color w:val="auto"/>
        </w:rPr>
        <w:t>is then adjusted for income taxes calculated using the respective statutory tax rates for applicable jurisdictions, which for purposes of this determination were assumed to be 25.5%.</w:t>
      </w:r>
    </w:p>
    <w:p>
      <w:pPr>
        <w:spacing w:after="0" w:line="162" w:lineRule="exact"/>
        <w:rPr>
          <w:sz w:val="20"/>
          <w:szCs w:val="20"/>
          <w:color w:val="auto"/>
        </w:rPr>
      </w:pPr>
    </w:p>
    <w:p>
      <w:pPr>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40"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schedules reflect our additional non-GAAP financial measures and reconciles our additional non-GAAP financial measures to the related GAAP financial measures.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5"/>
                <w:szCs w:val="15"/>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4"/>
          </w:tcPr>
          <w:p>
            <w:pPr>
              <w:jc w:val="center"/>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revenues, software subscriptions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cost of revenues,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73.5 %</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selling and marketing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900" w:type="dxa"/>
            <w:vAlign w:val="bottom"/>
            <w:gridSpan w:val="6"/>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1860" w:type="dxa"/>
            <w:vAlign w:val="bottom"/>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60" w:type="dxa"/>
            <w:vAlign w:val="bottom"/>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1860" w:type="dxa"/>
            <w:vAlign w:val="bottom"/>
            <w:gridSpan w:val="5"/>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software subscriptions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41,055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131,030</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(3,437)</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40" w:type="dxa"/>
            <w:vAlign w:val="bottom"/>
          </w:tcPr>
          <w:p>
            <w:pPr>
              <w:spacing w:after="0"/>
              <w:rPr>
                <w:sz w:val="18"/>
                <w:szCs w:val="18"/>
                <w:color w:val="auto"/>
              </w:rPr>
            </w:pPr>
          </w:p>
        </w:tc>
        <w:tc>
          <w:tcPr>
            <w:tcW w:w="8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(14,198)</w:t>
            </w:r>
          </w:p>
        </w:tc>
        <w:tc>
          <w:tcPr>
            <w:tcW w:w="140" w:type="dxa"/>
            <w:vAlign w:val="bottom"/>
          </w:tcPr>
          <w:p>
            <w:pPr>
              <w:spacing w:after="0"/>
              <w:rPr>
                <w:sz w:val="18"/>
                <w:szCs w:val="18"/>
                <w:color w:val="auto"/>
              </w:rPr>
            </w:pPr>
          </w:p>
        </w:tc>
        <w:tc>
          <w:tcPr>
            <w:tcW w:w="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(14,029)</w:t>
            </w:r>
          </w:p>
        </w:tc>
        <w:tc>
          <w:tcPr>
            <w:tcW w:w="100" w:type="dxa"/>
            <w:vAlign w:val="bottom"/>
          </w:tcPr>
          <w:p>
            <w:pPr>
              <w:spacing w:after="0"/>
              <w:rPr>
                <w:sz w:val="18"/>
                <w:szCs w:val="18"/>
                <w:color w:val="auto"/>
              </w:rPr>
            </w:pP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(44,123)</w:t>
            </w:r>
          </w:p>
        </w:tc>
        <w:tc>
          <w:tcPr>
            <w:tcW w:w="180" w:type="dxa"/>
            <w:vAlign w:val="bottom"/>
          </w:tcPr>
          <w:p>
            <w:pPr>
              <w:spacing w:after="0"/>
              <w:rPr>
                <w:sz w:val="18"/>
                <w:szCs w:val="18"/>
                <w:color w:val="auto"/>
              </w:rPr>
            </w:pPr>
          </w:p>
        </w:tc>
        <w:tc>
          <w:tcPr>
            <w:tcW w:w="7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(39,150)</w:t>
            </w:r>
          </w:p>
        </w:tc>
        <w:tc>
          <w:tcPr>
            <w:tcW w:w="0" w:type="dxa"/>
            <w:vAlign w:val="bottom"/>
          </w:tcPr>
          <w:p>
            <w:pPr>
              <w:spacing w:after="0"/>
              <w:rPr>
                <w:sz w:val="1"/>
                <w:szCs w:val="1"/>
                <w:color w:val="auto"/>
              </w:rPr>
            </w:pPr>
          </w:p>
        </w:tc>
      </w:tr>
      <w:tr>
        <w:trPr>
          <w:trHeight w:val="199"/>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software subscriptions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Cost of revenues,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16,270</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48,286</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cost of revenues, services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15,712</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46,157</w:t>
            </w:r>
          </w:p>
        </w:tc>
        <w:tc>
          <w:tcPr>
            <w:tcW w:w="2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44,069</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254,976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126,174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103,365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358,693</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297,723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170,435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145,027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488,320</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417,473</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gross margin</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9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2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(1,398)</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(7,296)</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(4,407)</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(723)</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(723)</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research and development expense</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Selling and marketing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w:t>
            </w:r>
          </w:p>
        </w:tc>
        <w:tc>
          <w:tcPr>
            <w:tcW w:w="2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(2,951)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(2,325)</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(10,101)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(6,305)</w:t>
            </w: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(1,893)</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199"/>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General and administrative expense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(3,730)</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(2,869)</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(13,496)</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(11,919)</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(2,388)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(2,103)</w:t>
            </w: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administrative</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(1,005)</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(919)</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(2,994)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199"/>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(15,019)</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administrative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(2,275)</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6"/>
                <w:szCs w:val="16"/>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86"/>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7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20" w:type="dxa"/>
            <w:vAlign w:val="bottom"/>
          </w:tcPr>
          <w:p>
            <w:pPr>
              <w:spacing w:after="0"/>
              <w:rPr>
                <w:sz w:val="17"/>
                <w:szCs w:val="17"/>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7"/>
                <w:szCs w:val="17"/>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(28,427)</w:t>
            </w: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(1,722)</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 of capitalized software and acquired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 – cost of subscription revenues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acquired intangible assets – selling and marketing</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cloud computing implementation costs – general and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administrative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Severance expense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 contingent consideration</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(2,275)</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Transaction costs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settlement value of deferred purchase commitment liability –</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5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Non-GAAP income before income taxes</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Income tax adjustment at statutory rate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(9,268)</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(5,672)</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(25,842)</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(14,603)</w:t>
            </w:r>
          </w:p>
        </w:tc>
        <w:tc>
          <w:tcPr>
            <w:tcW w:w="0" w:type="dxa"/>
            <w:vAlign w:val="bottom"/>
          </w:tcPr>
          <w:p>
            <w:pPr>
              <w:spacing w:after="0"/>
              <w:rPr>
                <w:sz w:val="1"/>
                <w:szCs w:val="1"/>
                <w:color w:val="auto"/>
              </w:rPr>
            </w:pPr>
          </w:p>
        </w:tc>
      </w:tr>
      <w:tr>
        <w:trPr>
          <w:trHeight w:val="194"/>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27,079</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16,572</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75,501</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42,662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-135255</wp:posOffset>
            </wp:positionV>
            <wp:extent cx="564896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60" w:right="239" w:hanging="10"/>
        <w:spacing w:after="0" w:line="190" w:lineRule="auto"/>
        <w:tabs>
          <w:tab w:leader="none" w:pos="222"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Non-GAAP income (loss) before income taxes is adjusted for income taxes using the respective statutory tax rates for applicable jurisdictions, which for purposes of this determination were assumed to be 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-189230</wp:posOffset>
            </wp:positionV>
            <wp:extent cx="23660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critical accounting policies that reflect our more significant judgments and estimates used in the preparation of our condensed consolidated financial statements include revenue recognition and income taxes, which are described in our 2023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Fair Value Estimates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our condensed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spacing w:after="0" w:line="19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spacing w:after="0" w:line="183" w:lineRule="exact"/>
        <w:rPr>
          <w:sz w:val="20"/>
          <w:szCs w:val="20"/>
          <w:color w:val="auto"/>
        </w:rPr>
      </w:pPr>
    </w:p>
    <w:p>
      <w:pPr>
        <w:jc w:val="both"/>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These estimates are inherently uncertain and unpredictable, and if different estimates were used then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spacing w:after="0" w:line="16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updates or changes to our critical accounting estimates compared to the critical accounting estimates described in our 2023 Annual Report.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on recent accounting pronouncements, refer to Note 1, “Summary of Significant Accounting Policies” to the condensed consolidated financial statements included in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had unrestricted cash and cash equivalents of $279.0 million and $68.2 million as of September 30, 2024 and December 31, 2023, respectively, and investments of $7.5 million and $9.5 million as of September 30, 2024 and December 31, 2023,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spacing w:after="0" w:line="3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both the nine months ended September 30, 2024 and 2023, approximately 3% of our revenues were denominated in currencies other than U.S. Dollars.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principal executive officer and principal financial officer concluded that, as of September 30, 2024, our disclosure controls and procedures were effective at a reasonable assurance level.</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prohibit the disclosure in any way of our confidential, proprietary and/or trade secret information. We are also seeking monetary damages, including punitive damages and attorney’s fees. As of September 30, 2024,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This document incorporates by reference various risk factors discussed in the Company’s 2023 Annual Report and Quarterly Report on Form 10-Q for the quarter ended March 31, 2024,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40" w:type="dxa"/>
            <w:vAlign w:val="bottom"/>
          </w:tcPr>
          <w:p>
            <w:pPr>
              <w:spacing w:after="0"/>
              <w:rPr>
                <w:sz w:val="13"/>
                <w:szCs w:val="13"/>
                <w:color w:val="auto"/>
              </w:rPr>
            </w:pPr>
          </w:p>
        </w:tc>
        <w:tc>
          <w:tcPr>
            <w:tcW w:w="2300" w:type="dxa"/>
            <w:vAlign w:val="bottom"/>
            <w:gridSpan w:val="9"/>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130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9"/>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102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p>
        </w:tc>
        <w:tc>
          <w:tcPr>
            <w:tcW w:w="280" w:type="dxa"/>
            <w:vAlign w:val="bottom"/>
          </w:tcPr>
          <w:p>
            <w:pPr>
              <w:spacing w:after="0"/>
              <w:rPr>
                <w:sz w:val="13"/>
                <w:szCs w:val="13"/>
                <w:color w:val="auto"/>
              </w:rPr>
            </w:pPr>
          </w:p>
        </w:tc>
        <w:tc>
          <w:tcPr>
            <w:tcW w:w="2480" w:type="dxa"/>
            <w:vAlign w:val="bottom"/>
            <w:tcBorders>
              <w:top w:val="single" w:sz="8" w:color="auto"/>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16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13a-14(a)</w:t>
            </w:r>
          </w:p>
        </w:tc>
        <w:tc>
          <w:tcPr>
            <w:tcW w:w="30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and 15d-14(a) under the Securities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Adopted</w:t>
            </w:r>
          </w:p>
        </w:tc>
        <w:tc>
          <w:tcPr>
            <w:tcW w:w="32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100" w:type="dxa"/>
            <w:vAlign w:val="bottom"/>
            <w:tcBorders>
              <w:top w:val="single" w:sz="8" w:color="0000EE"/>
            </w:tcBorders>
          </w:tcPr>
          <w:p>
            <w:pPr>
              <w:spacing w:after="0"/>
              <w:rPr>
                <w:sz w:val="15"/>
                <w:szCs w:val="15"/>
                <w:color w:val="auto"/>
              </w:rPr>
            </w:pPr>
          </w:p>
        </w:tc>
        <w:tc>
          <w:tcPr>
            <w:tcW w:w="68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2</w:t>
            </w: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Borders>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Rules 13a-14(a)</w:t>
            </w:r>
          </w:p>
        </w:tc>
        <w:tc>
          <w:tcPr>
            <w:tcW w:w="30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and 15d-14(a) under the Securities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Adopted</w:t>
            </w:r>
          </w:p>
        </w:tc>
        <w:tc>
          <w:tcPr>
            <w:tcW w:w="32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Pursuant to Section 302 of the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Sarbanes-Oxley Act of 2002</w:t>
            </w:r>
          </w:p>
        </w:tc>
        <w:tc>
          <w:tcPr>
            <w:tcW w:w="100" w:type="dxa"/>
            <w:vAlign w:val="bottom"/>
            <w:tcBorders>
              <w:top w:val="single" w:sz="8" w:color="0000EE"/>
            </w:tcBorders>
          </w:tcPr>
          <w:p>
            <w:pPr>
              <w:spacing w:after="0"/>
              <w:rPr>
                <w:sz w:val="15"/>
                <w:szCs w:val="15"/>
                <w:color w:val="auto"/>
              </w:rPr>
            </w:pPr>
          </w:p>
        </w:tc>
        <w:tc>
          <w:tcPr>
            <w:tcW w:w="68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140"/>
              <w:spacing w:after="0" w:line="183" w:lineRule="exact"/>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1</w:t>
            </w: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Executive</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 Section</w:t>
            </w:r>
          </w:p>
        </w:tc>
        <w:tc>
          <w:tcPr>
            <w:tcW w:w="1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1350, as Adopted Pursuant to Section</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tcBorders>
              <w:top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906 of the Sarbanes-Oxley Act of</w:t>
            </w:r>
          </w:p>
        </w:tc>
        <w:tc>
          <w:tcPr>
            <w:tcW w:w="2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9"/>
              </w:rPr>
              <w:t>2002</w:t>
            </w:r>
          </w:p>
        </w:tc>
        <w:tc>
          <w:tcPr>
            <w:tcW w:w="15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83"/>
        </w:trPr>
        <w:tc>
          <w:tcPr>
            <w:tcW w:w="102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EE"/>
              </w:rPr>
              <w:t>32.</w:t>
            </w:r>
            <w:r>
              <w:rPr>
                <w:rFonts w:ascii="Times New Roman" w:cs="Times New Roman" w:eastAsia="Times New Roman" w:hAnsi="Times New Roman"/>
                <w:sz w:val="16"/>
                <w:szCs w:val="16"/>
                <w:u w:val="single" w:color="auto"/>
                <w:color w:val="0000EE"/>
              </w:rPr>
              <w:t>2</w:t>
            </w: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Certification of Principal Financial</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6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Officer Pursuant to 18 U.S.C. Section</w:t>
            </w:r>
          </w:p>
        </w:tc>
        <w:tc>
          <w:tcPr>
            <w:tcW w:w="1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10"/>
          </w:tcPr>
          <w:p>
            <w:pPr>
              <w:spacing w:after="0" w:line="183" w:lineRule="exact"/>
              <w:rPr>
                <w:sz w:val="20"/>
                <w:szCs w:val="20"/>
                <w:color w:val="auto"/>
              </w:rPr>
            </w:pPr>
            <w:r>
              <w:rPr>
                <w:rFonts w:ascii="Times New Roman" w:cs="Times New Roman" w:eastAsia="Times New Roman" w:hAnsi="Times New Roman"/>
                <w:sz w:val="16"/>
                <w:szCs w:val="16"/>
                <w:color w:val="0000EE"/>
              </w:rPr>
              <w:t>1350, as Adopted Pursuant to Section</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tcBorders>
              <w:top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906 of the Sarbanes-Oxley Act of</w:t>
            </w:r>
          </w:p>
        </w:tc>
        <w:tc>
          <w:tcPr>
            <w:tcW w:w="2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9"/>
              </w:rPr>
              <w:t>2002</w:t>
            </w:r>
          </w:p>
        </w:tc>
        <w:tc>
          <w:tcPr>
            <w:tcW w:w="15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09"/>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Schema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Definition Linkbase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Label Linkbase Document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Inline XBRL Taxonomy Extension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86"/>
              </w:rPr>
              <w:t>X</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40" w:right="5539" w:hanging="1290"/>
        <w:spacing w:after="0" w:line="276" w:lineRule="auto"/>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Vertex, Inc.</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David DeStefano</w:t>
            </w:r>
          </w:p>
        </w:tc>
      </w:tr>
      <w:tr>
        <w:trPr>
          <w:trHeight w:val="189"/>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David DeStefano</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Chairperson</w:t>
            </w:r>
          </w:p>
        </w:tc>
      </w:tr>
      <w:tr>
        <w:trPr>
          <w:trHeight w:val="236"/>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John Schwab</w:t>
            </w:r>
          </w:p>
        </w:tc>
      </w:tr>
      <w:tr>
        <w:trPr>
          <w:trHeight w:val="189"/>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John Schwab</w:t>
            </w:r>
          </w:p>
        </w:tc>
      </w:tr>
      <w:tr>
        <w:trPr>
          <w:trHeight w:val="236"/>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tc>
      </w:tr>
      <w:tr>
        <w:trPr>
          <w:trHeight w:val="445"/>
        </w:trPr>
        <w:tc>
          <w:tcPr>
            <w:tcW w:w="308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4200" w:type="dxa"/>
            <w:vAlign w:val="bottom"/>
          </w:tcPr>
          <w:p>
            <w:pPr>
              <w:spacing w:after="0"/>
              <w:rPr>
                <w:sz w:val="24"/>
                <w:szCs w:val="24"/>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64" w:name="page65"/>
    <w:bookmarkEnd w:id="64"/>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DeStefano</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Vertex, Inc.;</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9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7"/>
          <w:szCs w:val="17"/>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Schwab</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September 30, 2024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David DeStefano</w:t>
            </w:r>
          </w:p>
        </w:tc>
      </w:tr>
      <w:tr>
        <w:trPr>
          <w:trHeight w:val="178"/>
        </w:trPr>
        <w:tc>
          <w:tcPr>
            <w:tcW w:w="3360" w:type="dxa"/>
            <w:vAlign w:val="bottom"/>
          </w:tcPr>
          <w:p>
            <w:pPr>
              <w:spacing w:after="0"/>
              <w:rPr>
                <w:sz w:val="15"/>
                <w:szCs w:val="15"/>
                <w:color w:val="auto"/>
              </w:rPr>
            </w:pPr>
          </w:p>
        </w:tc>
        <w:tc>
          <w:tcPr>
            <w:tcW w:w="1920" w:type="dxa"/>
            <w:vAlign w:val="bottom"/>
          </w:tcPr>
          <w:p>
            <w:pPr>
              <w:ind w:left="1560"/>
              <w:spacing w:after="0" w:line="177" w:lineRule="exact"/>
              <w:rPr>
                <w:sz w:val="20"/>
                <w:szCs w:val="20"/>
                <w:color w:val="auto"/>
              </w:rPr>
            </w:pPr>
            <w:r>
              <w:rPr>
                <w:rFonts w:ascii="Times New Roman" w:cs="Times New Roman" w:eastAsia="Times New Roman" w:hAnsi="Times New Roman"/>
                <w:sz w:val="18"/>
                <w:szCs w:val="18"/>
                <w:color w:val="auto"/>
                <w:w w:val="77"/>
              </w:rPr>
              <w:t>David</w:t>
            </w:r>
          </w:p>
        </w:tc>
        <w:tc>
          <w:tcPr>
            <w:tcW w:w="4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DeStefano</w:t>
            </w:r>
          </w:p>
        </w:tc>
      </w:tr>
      <w:tr>
        <w:trPr>
          <w:trHeight w:val="214"/>
        </w:trPr>
        <w:tc>
          <w:tcPr>
            <w:tcW w:w="3360" w:type="dxa"/>
            <w:vAlign w:val="bottom"/>
          </w:tcPr>
          <w:p>
            <w:pPr>
              <w:spacing w:after="0"/>
              <w:rPr>
                <w:sz w:val="18"/>
                <w:szCs w:val="18"/>
                <w:color w:val="auto"/>
              </w:rPr>
            </w:pP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60" w:type="dxa"/>
            <w:vAlign w:val="bottom"/>
          </w:tcPr>
          <w:p>
            <w:pPr>
              <w:spacing w:after="0"/>
              <w:rPr>
                <w:sz w:val="20"/>
                <w:szCs w:val="20"/>
                <w:color w:val="auto"/>
              </w:rPr>
            </w:pPr>
          </w:p>
        </w:tc>
        <w:tc>
          <w:tcPr>
            <w:tcW w:w="6560" w:type="dxa"/>
            <w:vAlign w:val="bottom"/>
            <w:gridSpan w:val="2"/>
          </w:tcPr>
          <w:p>
            <w:pPr>
              <w:ind w:left="1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7"/>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Vertex, Inc. (the “Company”) for the period ended September 30, 2024 as filed with the Securities and Exchange Commission on the date hereof (the “Report”), I certify, pursuant to 18 U.S.C. § 1350, as adopted pursuant to § 906 of the Sarbanes-Oxley Act of 2002, that:</w:t>
      </w:r>
    </w:p>
    <w:p>
      <w:pPr>
        <w:spacing w:after="0" w:line="203" w:lineRule="exact"/>
        <w:rPr>
          <w:sz w:val="20"/>
          <w:szCs w:val="20"/>
          <w:color w:val="auto"/>
        </w:rPr>
      </w:pPr>
    </w:p>
    <w:p>
      <w:pPr>
        <w:ind w:left="1300" w:right="20" w:hanging="320"/>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John Schwab</w:t>
            </w:r>
          </w:p>
        </w:tc>
      </w:tr>
      <w:tr>
        <w:trPr>
          <w:trHeight w:val="178"/>
        </w:trPr>
        <w:tc>
          <w:tcPr>
            <w:tcW w:w="3380" w:type="dxa"/>
            <w:vAlign w:val="bottom"/>
          </w:tcPr>
          <w:p>
            <w:pPr>
              <w:spacing w:after="0"/>
              <w:rPr>
                <w:sz w:val="15"/>
                <w:szCs w:val="15"/>
                <w:color w:val="auto"/>
              </w:rPr>
            </w:pPr>
          </w:p>
        </w:tc>
        <w:tc>
          <w:tcPr>
            <w:tcW w:w="1900" w:type="dxa"/>
            <w:vAlign w:val="bottom"/>
          </w:tcPr>
          <w:p>
            <w:pPr>
              <w:ind w:left="1600"/>
              <w:spacing w:after="0" w:line="177" w:lineRule="exact"/>
              <w:rPr>
                <w:sz w:val="20"/>
                <w:szCs w:val="20"/>
                <w:color w:val="auto"/>
              </w:rPr>
            </w:pPr>
            <w:r>
              <w:rPr>
                <w:rFonts w:ascii="Times New Roman" w:cs="Times New Roman" w:eastAsia="Times New Roman" w:hAnsi="Times New Roman"/>
                <w:sz w:val="18"/>
                <w:szCs w:val="18"/>
                <w:color w:val="auto"/>
                <w:w w:val="82"/>
              </w:rPr>
              <w:t>John</w:t>
            </w:r>
          </w:p>
        </w:tc>
        <w:tc>
          <w:tcPr>
            <w:tcW w:w="464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Schwab</w:t>
            </w:r>
          </w:p>
        </w:tc>
      </w:tr>
      <w:tr>
        <w:trPr>
          <w:trHeight w:val="214"/>
        </w:trPr>
        <w:tc>
          <w:tcPr>
            <w:tcW w:w="3380" w:type="dxa"/>
            <w:vAlign w:val="bottom"/>
          </w:tcPr>
          <w:p>
            <w:pPr>
              <w:spacing w:after="0"/>
              <w:rPr>
                <w:sz w:val="18"/>
                <w:szCs w:val="18"/>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7"/>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lowerRoman"/>
      <w:start w:val="3"/>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4"/>
    </w:lvl>
  </w:abstractNum>
  <w:abstractNum w:abstractNumId="10">
    <w:nsid w:val="436C6125"/>
    <w:multiLevelType w:val="hybridMultilevel"/>
    <w:lvl w:ilvl="0">
      <w:lvlJc w:val="left"/>
      <w:lvlText w:val="%1."/>
      <w:numFmt w:val="decimal"/>
      <w:start w:val="5"/>
    </w:lvl>
  </w:abstractNum>
  <w:abstractNum w:abstractNumId="11">
    <w:nsid w:val="628C895D"/>
    <w:multiLevelType w:val="hybridMultilevel"/>
    <w:lvl w:ilvl="0">
      <w:lvlJc w:val="left"/>
      <w:lvlText w:val="%1."/>
      <w:numFmt w:val="decimal"/>
      <w:start w:val="6"/>
    </w:lvl>
  </w:abstractNum>
  <w:abstractNum w:abstractNumId="12">
    <w:nsid w:val="333AB105"/>
    <w:multiLevelType w:val="hybridMultilevel"/>
    <w:lvl w:ilvl="0">
      <w:lvlJc w:val="left"/>
      <w:lvlText w:val="%1."/>
      <w:numFmt w:val="decimal"/>
      <w:start w:val="7"/>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9"/>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lvl w:ilvl="1">
      <w:lvlJc w:val="left"/>
      <w:lvlText w:val="(%2)"/>
      <w:numFmt w:val="decimal"/>
      <w:start w:val="1"/>
    </w:lvl>
  </w:abstractNum>
  <w:abstractNum w:abstractNumId="21">
    <w:nsid w:val="B03E0C6"/>
    <w:multiLevelType w:val="hybridMultilevel"/>
    <w:lvl w:ilvl="0">
      <w:lvlJc w:val="left"/>
      <w:lvlText w:val="%1."/>
      <w:numFmt w:val="decimal"/>
      <w:start w:val="11"/>
    </w:lvl>
    <w:lvl w:ilvl="1">
      <w:lvlJc w:val="left"/>
      <w:lvlText w:val="%2"/>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2024-11-06T16:39:10Z</dcterms:created>
  <dcterms:modified xsi:type="dcterms:W3CDTF">2024-11-06T16:39:10Z</dcterms:modified>
</cp:coreProperties>
</file>