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494665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563245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85"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540" w:hanging="530"/>
        <w:spacing w:after="0" w:line="267" w:lineRule="auto"/>
        <w:tabs>
          <w:tab w:leader="none" w:pos="5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520" w:right="20" w:hanging="482"/>
        <w:spacing w:after="0" w:line="267" w:lineRule="auto"/>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92"/>
              </w:rPr>
              <w:t>For the transition period from to</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3"/>
          </w:tcPr>
          <w:p>
            <w:pPr>
              <w:jc w:val="center"/>
              <w:ind w:right="680"/>
              <w:spacing w:after="0"/>
              <w:rPr>
                <w:sz w:val="20"/>
                <w:szCs w:val="20"/>
                <w:color w:val="auto"/>
              </w:rPr>
            </w:pPr>
            <w:r>
              <w:rPr>
                <w:rFonts w:ascii="Arial" w:cs="Arial" w:eastAsia="Arial" w:hAnsi="Arial"/>
                <w:sz w:val="16"/>
                <w:szCs w:val="16"/>
                <w:b w:val="1"/>
                <w:bCs w:val="1"/>
                <w:color w:val="auto"/>
                <w:w w:val="91"/>
              </w:rPr>
              <w:t>Commission File Number: 001-39413</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3"/>
          </w:tcPr>
          <w:p>
            <w:pPr>
              <w:jc w:val="center"/>
              <w:ind w:right="660"/>
              <w:spacing w:after="0"/>
              <w:rPr>
                <w:sz w:val="20"/>
                <w:szCs w:val="20"/>
                <w:color w:val="auto"/>
              </w:rPr>
            </w:pPr>
            <w:r>
              <w:rPr>
                <w:rFonts w:ascii="Arial" w:cs="Arial" w:eastAsia="Arial" w:hAnsi="Arial"/>
                <w:sz w:val="41"/>
                <w:szCs w:val="41"/>
                <w:b w:val="1"/>
                <w:bCs w:val="1"/>
                <w:color w:val="auto"/>
              </w:rPr>
              <w:t>VERTEX, INC.</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422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24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80" w:type="dxa"/>
            <w:vAlign w:val="bottom"/>
          </w:tcPr>
          <w:p>
            <w:pPr>
              <w:jc w:val="center"/>
              <w:ind w:right="409"/>
              <w:spacing w:after="0"/>
              <w:rPr>
                <w:sz w:val="20"/>
                <w:szCs w:val="20"/>
                <w:color w:val="auto"/>
              </w:rPr>
            </w:pPr>
            <w:r>
              <w:rPr>
                <w:rFonts w:ascii="Arial" w:cs="Arial" w:eastAsia="Arial" w:hAnsi="Arial"/>
                <w:sz w:val="16"/>
                <w:szCs w:val="16"/>
                <w:b w:val="1"/>
                <w:bCs w:val="1"/>
                <w:color w:val="auto"/>
                <w:w w:val="91"/>
              </w:rPr>
              <w:t>23-2081753</w:t>
            </w:r>
          </w:p>
        </w:tc>
        <w:tc>
          <w:tcPr>
            <w:tcW w:w="0" w:type="dxa"/>
            <w:vAlign w:val="bottom"/>
          </w:tcPr>
          <w:p>
            <w:pPr>
              <w:spacing w:after="0"/>
              <w:rPr>
                <w:sz w:val="1"/>
                <w:szCs w:val="1"/>
                <w:color w:val="auto"/>
              </w:rPr>
            </w:pPr>
          </w:p>
        </w:tc>
      </w:tr>
      <w:tr>
        <w:trPr>
          <w:trHeight w:val="135"/>
        </w:trPr>
        <w:tc>
          <w:tcPr>
            <w:tcW w:w="3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780" w:type="dxa"/>
            <w:vAlign w:val="bottom"/>
          </w:tcPr>
          <w:p>
            <w:pPr>
              <w:jc w:val="center"/>
              <w:ind w:right="389"/>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3240" w:type="dxa"/>
            <w:vAlign w:val="bottom"/>
          </w:tcPr>
          <w:p>
            <w:pPr>
              <w:jc w:val="center"/>
              <w:spacing w:after="0"/>
              <w:rPr>
                <w:sz w:val="20"/>
                <w:szCs w:val="20"/>
                <w:color w:val="auto"/>
              </w:rPr>
            </w:pPr>
            <w:r>
              <w:rPr>
                <w:rFonts w:ascii="Arial" w:cs="Arial" w:eastAsia="Arial" w:hAnsi="Arial"/>
                <w:sz w:val="13"/>
                <w:szCs w:val="13"/>
                <w:b w:val="1"/>
                <w:bCs w:val="1"/>
                <w:color w:val="auto"/>
                <w:w w:val="88"/>
              </w:rPr>
              <w:t>incorporation or organization)</w:t>
            </w:r>
          </w:p>
        </w:tc>
        <w:tc>
          <w:tcPr>
            <w:tcW w:w="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80" w:type="dxa"/>
            <w:vAlign w:val="bottom"/>
          </w:tcPr>
          <w:p>
            <w:pPr>
              <w:jc w:val="center"/>
              <w:ind w:right="409"/>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380"/>
        </w:trPr>
        <w:tc>
          <w:tcPr>
            <w:tcW w:w="3240" w:type="dxa"/>
            <w:vAlign w:val="bottom"/>
          </w:tcPr>
          <w:p>
            <w:pPr>
              <w:jc w:val="center"/>
              <w:spacing w:after="0"/>
              <w:rPr>
                <w:sz w:val="20"/>
                <w:szCs w:val="20"/>
                <w:color w:val="auto"/>
              </w:rPr>
            </w:pPr>
            <w:r>
              <w:rPr>
                <w:rFonts w:ascii="Arial" w:cs="Arial" w:eastAsia="Arial" w:hAnsi="Arial"/>
                <w:sz w:val="16"/>
                <w:szCs w:val="16"/>
                <w:b w:val="1"/>
                <w:bCs w:val="1"/>
                <w:color w:val="auto"/>
                <w:w w:val="89"/>
              </w:rPr>
              <w:t>2301 Renaissance Blvd</w:t>
            </w:r>
          </w:p>
        </w:tc>
        <w:tc>
          <w:tcPr>
            <w:tcW w:w="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80" w:type="dxa"/>
            <w:vAlign w:val="bottom"/>
          </w:tcPr>
          <w:p>
            <w:pPr>
              <w:jc w:val="center"/>
              <w:ind w:right="429"/>
              <w:spacing w:after="0"/>
              <w:rPr>
                <w:sz w:val="20"/>
                <w:szCs w:val="20"/>
                <w:color w:val="auto"/>
              </w:rPr>
            </w:pPr>
            <w:r>
              <w:rPr>
                <w:rFonts w:ascii="Arial" w:cs="Arial" w:eastAsia="Arial" w:hAnsi="Arial"/>
                <w:sz w:val="16"/>
                <w:szCs w:val="16"/>
                <w:b w:val="1"/>
                <w:bCs w:val="1"/>
                <w:color w:val="auto"/>
                <w:w w:val="89"/>
              </w:rPr>
              <w:t>19406</w:t>
            </w:r>
          </w:p>
        </w:tc>
        <w:tc>
          <w:tcPr>
            <w:tcW w:w="0" w:type="dxa"/>
            <w:vAlign w:val="bottom"/>
          </w:tcPr>
          <w:p>
            <w:pPr>
              <w:spacing w:after="0"/>
              <w:rPr>
                <w:sz w:val="1"/>
                <w:szCs w:val="1"/>
                <w:color w:val="auto"/>
              </w:rPr>
            </w:pPr>
          </w:p>
        </w:tc>
      </w:tr>
      <w:tr>
        <w:trPr>
          <w:trHeight w:val="198"/>
        </w:trPr>
        <w:tc>
          <w:tcPr>
            <w:tcW w:w="3240" w:type="dxa"/>
            <w:vAlign w:val="bottom"/>
          </w:tcPr>
          <w:p>
            <w:pPr>
              <w:jc w:val="center"/>
              <w:spacing w:after="0"/>
              <w:rPr>
                <w:sz w:val="20"/>
                <w:szCs w:val="20"/>
                <w:color w:val="auto"/>
              </w:rPr>
            </w:pPr>
            <w:r>
              <w:rPr>
                <w:rFonts w:ascii="Arial" w:cs="Arial" w:eastAsia="Arial" w:hAnsi="Arial"/>
                <w:sz w:val="16"/>
                <w:szCs w:val="16"/>
                <w:b w:val="1"/>
                <w:bCs w:val="1"/>
                <w:color w:val="auto"/>
                <w:w w:val="90"/>
              </w:rPr>
              <w:t>King of Prussia, Pennsylvania</w:t>
            </w:r>
          </w:p>
        </w:tc>
        <w:tc>
          <w:tcPr>
            <w:tcW w:w="2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240" w:type="dxa"/>
            <w:vAlign w:val="bottom"/>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80" w:type="dxa"/>
            <w:vAlign w:val="bottom"/>
          </w:tcPr>
          <w:p>
            <w:pPr>
              <w:jc w:val="center"/>
              <w:ind w:right="409"/>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334"/>
        </w:trPr>
        <w:tc>
          <w:tcPr>
            <w:tcW w:w="7460" w:type="dxa"/>
            <w:vAlign w:val="bottom"/>
            <w:gridSpan w:val="5"/>
          </w:tcPr>
          <w:p>
            <w:pPr>
              <w:jc w:val="center"/>
              <w:ind w:left="2726"/>
              <w:spacing w:after="0"/>
              <w:rPr>
                <w:sz w:val="20"/>
                <w:szCs w:val="20"/>
                <w:color w:val="auto"/>
              </w:rPr>
            </w:pPr>
            <w:r>
              <w:rPr>
                <w:rFonts w:ascii="Arial" w:cs="Arial" w:eastAsia="Arial" w:hAnsi="Arial"/>
                <w:sz w:val="16"/>
                <w:szCs w:val="16"/>
                <w:b w:val="1"/>
                <w:bCs w:val="1"/>
                <w:color w:val="auto"/>
                <w:w w:val="90"/>
              </w:rPr>
              <w:t>Registrant’s telephone number, including area code: (800) 355-3500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460" w:type="dxa"/>
            <w:vAlign w:val="bottom"/>
            <w:gridSpan w:val="5"/>
          </w:tcPr>
          <w:p>
            <w:pPr>
              <w:jc w:val="center"/>
              <w:ind w:left="2706"/>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240" w:type="dxa"/>
            <w:vAlign w:val="bottom"/>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220" w:type="dxa"/>
            <w:vAlign w:val="bottom"/>
          </w:tcPr>
          <w:p>
            <w:pPr>
              <w:spacing w:after="0"/>
              <w:rPr>
                <w:sz w:val="21"/>
                <w:szCs w:val="21"/>
                <w:color w:val="auto"/>
              </w:rPr>
            </w:pPr>
          </w:p>
        </w:tc>
        <w:tc>
          <w:tcPr>
            <w:tcW w:w="4000" w:type="dxa"/>
            <w:vAlign w:val="bottom"/>
            <w:gridSpan w:val="3"/>
          </w:tcPr>
          <w:p>
            <w:pPr>
              <w:jc w:val="center"/>
              <w:ind w:right="660"/>
              <w:spacing w:after="0"/>
              <w:rPr>
                <w:sz w:val="20"/>
                <w:szCs w:val="20"/>
                <w:color w:val="auto"/>
              </w:rPr>
            </w:pPr>
            <w:r>
              <w:rPr>
                <w:rFonts w:ascii="Arial" w:cs="Arial" w:eastAsia="Arial" w:hAnsi="Arial"/>
                <w:sz w:val="13"/>
                <w:szCs w:val="13"/>
                <w:b w:val="1"/>
                <w:bCs w:val="1"/>
                <w:color w:val="auto"/>
                <w:w w:val="88"/>
              </w:rPr>
              <w:t>Trading symbol</w:t>
            </w:r>
          </w:p>
        </w:tc>
        <w:tc>
          <w:tcPr>
            <w:tcW w:w="2780" w:type="dxa"/>
            <w:vAlign w:val="bottom"/>
          </w:tcPr>
          <w:p>
            <w:pPr>
              <w:jc w:val="center"/>
              <w:ind w:right="369"/>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43"/>
        </w:trPr>
        <w:tc>
          <w:tcPr>
            <w:tcW w:w="324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2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0"/>
              </w:rPr>
              <w:t>Class A Common Stock, Par Value $0.001 Per</w:t>
            </w:r>
          </w:p>
        </w:tc>
        <w:tc>
          <w:tcPr>
            <w:tcW w:w="220" w:type="dxa"/>
            <w:vAlign w:val="bottom"/>
            <w:vMerge w:val="continue"/>
          </w:tcPr>
          <w:p>
            <w:pPr>
              <w:spacing w:after="0"/>
              <w:rPr>
                <w:sz w:val="15"/>
                <w:szCs w:val="15"/>
                <w:color w:val="auto"/>
              </w:rPr>
            </w:pPr>
          </w:p>
        </w:tc>
        <w:tc>
          <w:tcPr>
            <w:tcW w:w="33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VERX</w:t>
            </w:r>
          </w:p>
        </w:tc>
        <w:tc>
          <w:tcPr>
            <w:tcW w:w="2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780" w:type="dxa"/>
            <w:vAlign w:val="bottom"/>
          </w:tcPr>
          <w:p>
            <w:pPr>
              <w:jc w:val="center"/>
              <w:ind w:right="389"/>
              <w:spacing w:after="0" w:line="182" w:lineRule="exact"/>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r>
        <w:trPr>
          <w:trHeight w:val="210"/>
        </w:trPr>
        <w:tc>
          <w:tcPr>
            <w:tcW w:w="3240" w:type="dxa"/>
            <w:vAlign w:val="bottom"/>
          </w:tcPr>
          <w:p>
            <w:pPr>
              <w:jc w:val="center"/>
              <w:spacing w:after="0"/>
              <w:rPr>
                <w:sz w:val="20"/>
                <w:szCs w:val="20"/>
                <w:color w:val="auto"/>
              </w:rPr>
            </w:pPr>
            <w:r>
              <w:rPr>
                <w:rFonts w:ascii="Arial" w:cs="Arial" w:eastAsia="Arial" w:hAnsi="Arial"/>
                <w:sz w:val="16"/>
                <w:szCs w:val="16"/>
                <w:b w:val="1"/>
                <w:bCs w:val="1"/>
                <w:color w:val="auto"/>
                <w:w w:val="94"/>
              </w:rPr>
              <w:t>Share</w:t>
            </w:r>
          </w:p>
        </w:tc>
        <w:tc>
          <w:tcPr>
            <w:tcW w:w="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4"/>
          <w:szCs w:val="24"/>
          <w:color w:val="auto"/>
        </w:rPr>
      </w:pPr>
    </w:p>
    <w:p>
      <w:pPr>
        <w:jc w:val="both"/>
        <w:ind w:left="20" w:firstLine="471"/>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jc w:val="both"/>
        <w:ind w:left="20" w:firstLine="471"/>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jc w:val="both"/>
        <w:ind w:left="20" w:firstLine="46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3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96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16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3080" w:type="dxa"/>
            <w:vAlign w:val="bottom"/>
          </w:tcPr>
          <w:p>
            <w:pPr>
              <w:spacing w:after="0"/>
              <w:rPr>
                <w:sz w:val="20"/>
                <w:szCs w:val="20"/>
                <w:color w:val="auto"/>
              </w:rPr>
            </w:pPr>
            <w:r>
              <w:rPr>
                <w:rFonts w:ascii="Arial" w:cs="Arial" w:eastAsia="Arial" w:hAnsi="Arial"/>
                <w:sz w:val="16"/>
                <w:szCs w:val="16"/>
                <w:color w:val="auto"/>
              </w:rPr>
              <w:t>Non-accelerated filer</w:t>
            </w:r>
          </w:p>
        </w:tc>
        <w:tc>
          <w:tcPr>
            <w:tcW w:w="196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60"/>
              <w:spacing w:after="0"/>
              <w:rPr>
                <w:sz w:val="20"/>
                <w:szCs w:val="20"/>
                <w:color w:val="auto"/>
              </w:rPr>
            </w:pPr>
            <w:r>
              <w:rPr>
                <w:rFonts w:ascii="Arial" w:cs="Arial" w:eastAsia="Arial" w:hAnsi="Arial"/>
                <w:sz w:val="16"/>
                <w:szCs w:val="16"/>
                <w:color w:val="auto"/>
              </w:rPr>
              <w:t>Smaller reporting company</w:t>
            </w:r>
          </w:p>
        </w:tc>
        <w:tc>
          <w:tcPr>
            <w:tcW w:w="16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0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4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16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1" w:lineRule="exact"/>
        <w:rPr>
          <w:sz w:val="24"/>
          <w:szCs w:val="24"/>
          <w:color w:val="auto"/>
        </w:rPr>
      </w:pPr>
    </w:p>
    <w:p>
      <w:pPr>
        <w:ind w:left="20" w:firstLine="466"/>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480"/>
        <w:spacing w:after="0" w:line="184" w:lineRule="exact"/>
        <w:tabs>
          <w:tab w:leader="none" w:pos="85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6" w:lineRule="exact"/>
        <w:rPr>
          <w:sz w:val="24"/>
          <w:szCs w:val="24"/>
          <w:color w:val="auto"/>
        </w:rPr>
      </w:pPr>
    </w:p>
    <w:p>
      <w:pPr>
        <w:ind w:left="20" w:firstLine="466"/>
        <w:spacing w:after="0" w:line="293" w:lineRule="auto"/>
        <w:rPr>
          <w:sz w:val="20"/>
          <w:szCs w:val="20"/>
          <w:color w:val="auto"/>
        </w:rPr>
      </w:pPr>
      <w:r>
        <w:rPr>
          <w:rFonts w:ascii="Arial" w:cs="Arial" w:eastAsia="Arial" w:hAnsi="Arial"/>
          <w:sz w:val="16"/>
          <w:szCs w:val="16"/>
          <w:color w:val="auto"/>
        </w:rPr>
        <w:t>As of August 4, 2023, the registrant had 55,245,904 shares of Class A common stock, $0.001 par value per share, and 96,839,000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98425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394335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40" w:type="dxa"/>
            <w:vAlign w:val="bottom"/>
            <w:gridSpan w:val="23"/>
          </w:tcPr>
          <w:p>
            <w:pPr>
              <w:spacing w:after="0"/>
              <w:rPr>
                <w:sz w:val="20"/>
                <w:szCs w:val="20"/>
                <w:color w:val="auto"/>
              </w:rPr>
            </w:pPr>
            <w:r>
              <w:rPr>
                <w:rFonts w:ascii="Arial" w:cs="Arial" w:eastAsia="Arial" w:hAnsi="Arial"/>
                <w:sz w:val="18"/>
                <w:szCs w:val="18"/>
                <w:color w:val="0000EE"/>
              </w:rPr>
              <w:t>Table of Contents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0" w:type="dxa"/>
            <w:vAlign w:val="bottom"/>
            <w:gridSpan w:val="10"/>
          </w:tcPr>
          <w:p>
            <w:pPr>
              <w:ind w:left="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gridSpan w:val="10"/>
            <w:vMerge w:val="restart"/>
          </w:tcPr>
          <w:p>
            <w:pPr>
              <w:ind w:left="40"/>
              <w:spacing w:after="0"/>
              <w:rPr>
                <w:sz w:val="20"/>
                <w:szCs w:val="20"/>
                <w:color w:val="auto"/>
              </w:rPr>
            </w:pPr>
            <w:r>
              <w:rPr>
                <w:rFonts w:ascii="Arial" w:cs="Arial" w:eastAsia="Arial" w:hAnsi="Arial"/>
                <w:sz w:val="18"/>
                <w:szCs w:val="18"/>
                <w:color w:val="0000EE"/>
              </w:rPr>
              <w:t>Part I - Financial Information</w:t>
            </w: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8"/>
                <w:szCs w:val="18"/>
                <w:color w:val="0000EE"/>
              </w:rPr>
              <w:t>Item 1.</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20" w:type="dxa"/>
            <w:vAlign w:val="bottom"/>
            <w:gridSpan w:val="10"/>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620" w:type="dxa"/>
            <w:vAlign w:val="bottom"/>
            <w:gridSpan w:val="10"/>
            <w:vMerge w:val="restart"/>
          </w:tcPr>
          <w:p>
            <w:pPr>
              <w:spacing w:after="0"/>
              <w:rPr>
                <w:sz w:val="20"/>
                <w:szCs w:val="20"/>
                <w:color w:val="auto"/>
              </w:rPr>
            </w:pPr>
            <w:r>
              <w:rPr>
                <w:rFonts w:ascii="Arial" w:cs="Arial" w:eastAsia="Arial" w:hAnsi="Arial"/>
                <w:sz w:val="18"/>
                <w:szCs w:val="18"/>
                <w:color w:val="0000EE"/>
              </w:rPr>
              <w:t>Financial Statements</w:t>
            </w:r>
          </w:p>
        </w:tc>
        <w:tc>
          <w:tcPr>
            <w:tcW w:w="2160" w:type="dxa"/>
            <w:vAlign w:val="bottom"/>
            <w:tcBorders>
              <w:top w:val="single" w:sz="8" w:color="0000EE"/>
            </w:tcBorders>
            <w:gridSpan w:val="5"/>
            <w:vMerge w:val="restart"/>
          </w:tcPr>
          <w:p>
            <w:pPr>
              <w:spacing w:after="0"/>
              <w:rPr>
                <w:sz w:val="17"/>
                <w:szCs w:val="17"/>
                <w:color w:val="auto"/>
              </w:rPr>
            </w:pPr>
          </w:p>
        </w:tc>
        <w:tc>
          <w:tcPr>
            <w:tcW w:w="2640" w:type="dxa"/>
            <w:vAlign w:val="bottom"/>
            <w:gridSpan w:val="5"/>
            <w:vMerge w:val="restart"/>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20" w:type="dxa"/>
            <w:vAlign w:val="bottom"/>
            <w:gridSpan w:val="10"/>
            <w:vMerge w:val="continue"/>
          </w:tcPr>
          <w:p>
            <w:pPr>
              <w:spacing w:after="0"/>
              <w:rPr>
                <w:sz w:val="8"/>
                <w:szCs w:val="8"/>
                <w:color w:val="auto"/>
              </w:rPr>
            </w:pPr>
          </w:p>
        </w:tc>
        <w:tc>
          <w:tcPr>
            <w:tcW w:w="2160" w:type="dxa"/>
            <w:vAlign w:val="bottom"/>
            <w:tcBorders>
              <w:top w:val="single" w:sz="8" w:color="0000EE"/>
            </w:tcBorders>
            <w:gridSpan w:val="5"/>
            <w:vMerge w:val="continue"/>
          </w:tcPr>
          <w:p>
            <w:pPr>
              <w:spacing w:after="0"/>
              <w:rPr>
                <w:sz w:val="8"/>
                <w:szCs w:val="8"/>
                <w:color w:val="auto"/>
              </w:rPr>
            </w:pPr>
          </w:p>
        </w:tc>
        <w:tc>
          <w:tcPr>
            <w:tcW w:w="264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w w:val="93"/>
              </w:rPr>
              <w:t>Condensed Consolidated Balance Sheets as of June 30, 2023 and December 31, 2022 (unaudited)</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4"/>
              </w:rPr>
              <w:t>Condensed Consolidated Statements of Comprehensive Loss for the Three and Six Months Ended</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June 30, 2023 and 2022 (unaudited)</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Condensed Consolidated Statements of Changes in Stockholders’ Equity for the Three and Six Months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Ended June 30, 2023 and 2022 (unaudited)</w:t>
            </w:r>
          </w:p>
        </w:tc>
        <w:tc>
          <w:tcPr>
            <w:tcW w:w="432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9"/>
              </w:rPr>
              <w:t>Condensed Consolidated Statements of Cash Flows for the Six Months Ended June 30, 2023 and 2022</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(unaudited)</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Notes to Condensed Consolidated Financial Statements (unaudited)</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Controls and Procedures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Part II - Other Information</w:t>
            </w:r>
          </w:p>
        </w:tc>
        <w:tc>
          <w:tcPr>
            <w:tcW w:w="276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1.</w:t>
            </w: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Legal Proceedings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180" w:type="dxa"/>
            <w:vAlign w:val="bottom"/>
          </w:tcPr>
          <w:p>
            <w:pPr>
              <w:spacing w:after="0"/>
              <w:rPr>
                <w:sz w:val="17"/>
                <w:szCs w:val="17"/>
                <w:color w:val="auto"/>
              </w:rPr>
            </w:pP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Risk Factors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rPr>
              <w:t>Item 2.</w:t>
            </w:r>
          </w:p>
        </w:tc>
        <w:tc>
          <w:tcPr>
            <w:tcW w:w="180" w:type="dxa"/>
            <w:vAlign w:val="bottom"/>
          </w:tcPr>
          <w:p>
            <w:pPr>
              <w:spacing w:after="0"/>
              <w:rPr>
                <w:sz w:val="17"/>
                <w:szCs w:val="17"/>
                <w:color w:val="auto"/>
              </w:rPr>
            </w:pP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10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Mine Safety Disclosures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6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Other Information</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10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420" w:type="dxa"/>
            <w:vAlign w:val="bottom"/>
            <w:gridSpan w:val="20"/>
          </w:tcPr>
          <w:p>
            <w:pPr>
              <w:spacing w:after="0" w:line="196" w:lineRule="exact"/>
              <w:rPr>
                <w:sz w:val="20"/>
                <w:szCs w:val="20"/>
                <w:color w:val="auto"/>
              </w:rPr>
            </w:pPr>
            <w:r>
              <w:rPr>
                <w:rFonts w:ascii="Arial" w:cs="Arial" w:eastAsia="Arial" w:hAnsi="Arial"/>
                <w:sz w:val="18"/>
                <w:szCs w:val="18"/>
                <w:color w:val="0000EE"/>
              </w:rPr>
              <w:t>Exhibits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1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Signatures</w:t>
            </w:r>
          </w:p>
        </w:tc>
        <w:tc>
          <w:tcPr>
            <w:tcW w:w="660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gridSpan w:val="13"/>
          </w:tcPr>
          <w:p>
            <w:pPr>
              <w:ind w:left="35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76" w:lineRule="exact"/>
        <w:rPr>
          <w:sz w:val="20"/>
          <w:szCs w:val="20"/>
          <w:color w:val="auto"/>
        </w:rPr>
      </w:pPr>
    </w:p>
    <w:p>
      <w:pPr>
        <w:ind w:left="1040" w:right="53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customers on a cost-effective basis and the extent to which existing customers renew and upgrade their subscriptions;</w:t>
      </w:r>
    </w:p>
    <w:p>
      <w:pPr>
        <w:spacing w:after="0" w:line="21" w:lineRule="exact"/>
        <w:rPr>
          <w:rFonts w:ascii="Arial" w:cs="Arial" w:eastAsia="Arial" w:hAnsi="Arial"/>
          <w:sz w:val="18"/>
          <w:szCs w:val="18"/>
          <w:color w:val="auto"/>
        </w:rPr>
      </w:pPr>
    </w:p>
    <w:p>
      <w:pPr>
        <w:ind w:left="1040" w:right="25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sustain and expand revenues, maintain profitability, and to effectively manage our anticipated growth;</w:t>
      </w:r>
    </w:p>
    <w:p>
      <w:pPr>
        <w:spacing w:after="0" w:line="2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introduction of new solutions or updates to existing solutions;</w:t>
      </w:r>
    </w:p>
    <w:p>
      <w:pPr>
        <w:spacing w:after="0" w:line="90" w:lineRule="exact"/>
        <w:rPr>
          <w:rFonts w:ascii="Arial" w:cs="Arial" w:eastAsia="Arial" w:hAnsi="Arial"/>
          <w:sz w:val="18"/>
          <w:szCs w:val="18"/>
          <w:color w:val="auto"/>
        </w:rPr>
      </w:pPr>
    </w:p>
    <w:p>
      <w:pPr>
        <w:ind w:left="1040" w:right="35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diversify our solutions by developing or introducing new solutions or acquiring and integrating additional businesses, products, services or content;</w:t>
      </w:r>
    </w:p>
    <w:p>
      <w:pPr>
        <w:spacing w:after="0" w:line="3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strategic relationships with third parties;</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expanding international operations;</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deliver our solutions to customers without disruption or delay;</w:t>
      </w:r>
    </w:p>
    <w:p>
      <w:pPr>
        <w:spacing w:after="0" w:line="90" w:lineRule="exact"/>
        <w:rPr>
          <w:rFonts w:ascii="Arial" w:cs="Arial" w:eastAsia="Arial" w:hAnsi="Arial"/>
          <w:sz w:val="18"/>
          <w:szCs w:val="18"/>
          <w:color w:val="auto"/>
        </w:rPr>
      </w:pPr>
    </w:p>
    <w:p>
      <w:pPr>
        <w:ind w:left="1040" w:right="83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liability from errors, delays, fraud or system failures, which may not be covered by insurance;</w:t>
      </w:r>
    </w:p>
    <w:p>
      <w:pPr>
        <w:spacing w:after="0" w:line="2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determinations of customers’ transaction tax and tax payments;</w:t>
      </w:r>
    </w:p>
    <w:p>
      <w:pPr>
        <w:spacing w:after="0" w:line="103"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changes in tax laws and regulations or their interpretation or enforcement;</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cybersecurity and data privacy risks;</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failures in information technology, infrastructure and third-party service providers;</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protect, maintain and enhance our brand;</w:t>
      </w:r>
    </w:p>
    <w:p>
      <w:pPr>
        <w:spacing w:after="0" w:line="103"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economic weakness and uncertainties, and disruption in the capital and credit markets;</w:t>
      </w:r>
    </w:p>
    <w:p>
      <w:pPr>
        <w:spacing w:after="0" w:line="90" w:lineRule="exact"/>
        <w:rPr>
          <w:rFonts w:ascii="Arial" w:cs="Arial" w:eastAsia="Arial" w:hAnsi="Arial"/>
          <w:sz w:val="18"/>
          <w:szCs w:val="18"/>
          <w:color w:val="auto"/>
        </w:rPr>
      </w:pPr>
    </w:p>
    <w:p>
      <w:pPr>
        <w:ind w:left="1040" w:right="31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disruptions related to natural disasters, epidemic outbreaks, terrorist acts, political events or other events outside of our control;</w:t>
      </w:r>
    </w:p>
    <w:p>
      <w:pPr>
        <w:spacing w:after="0" w:line="2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on our business from the existence of a global endemic or pandemic;</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anti-corruption, anti-bribery and similar laws;</w:t>
      </w:r>
    </w:p>
    <w:p>
      <w:pPr>
        <w:spacing w:after="0" w:line="90" w:lineRule="exact"/>
        <w:rPr>
          <w:rFonts w:ascii="Arial" w:cs="Arial" w:eastAsia="Arial" w:hAnsi="Arial"/>
          <w:sz w:val="18"/>
          <w:szCs w:val="18"/>
          <w:color w:val="auto"/>
        </w:rPr>
      </w:pPr>
    </w:p>
    <w:p>
      <w:pPr>
        <w:ind w:left="1040" w:right="21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security ratings and market perceptions of the industry in which we operate, or our ability to obtain capital on commercially reasonable terms or at all;</w:t>
      </w:r>
    </w:p>
    <w:p>
      <w:pPr>
        <w:spacing w:after="0" w:line="3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statements of belief and any statements of assumptions underlying any of the foregoing; and</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beyond our control.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risks included here are not exhaustive, and additional factors could adversely affect our business and financial performance, including factors and risks included in our Annual Report on Form 10-K for the year ended December 31, 2022, filed with the Securities and Exchange Commission (the “SEC”) on March 10, 2023 (the “2022 Annual Report”).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PART I - FINANCIAL INFORMATION</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Item 1. FINANCIAL STATEMENTS</w:t>
            </w: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820" w:type="dxa"/>
            <w:vAlign w:val="bottom"/>
          </w:tcPr>
          <w:p>
            <w:pPr>
              <w:jc w:val="center"/>
              <w:ind w:left="3028"/>
              <w:spacing w:after="0"/>
              <w:rPr>
                <w:sz w:val="20"/>
                <w:szCs w:val="20"/>
                <w:color w:val="auto"/>
              </w:rPr>
            </w:pPr>
            <w:r>
              <w:rPr>
                <w:rFonts w:ascii="Arial" w:cs="Arial" w:eastAsia="Arial" w:hAnsi="Arial"/>
                <w:sz w:val="14"/>
                <w:szCs w:val="14"/>
                <w:b w:val="1"/>
                <w:bCs w:val="1"/>
                <w:color w:val="auto"/>
                <w:w w:val="92"/>
              </w:rPr>
              <w:t>Vertex, Inc. and Subsidiaries</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820" w:type="dxa"/>
            <w:vAlign w:val="bottom"/>
          </w:tcPr>
          <w:p>
            <w:pPr>
              <w:jc w:val="center"/>
              <w:ind w:left="3028"/>
              <w:spacing w:after="0" w:line="149" w:lineRule="exact"/>
              <w:rPr>
                <w:sz w:val="20"/>
                <w:szCs w:val="20"/>
                <w:color w:val="auto"/>
              </w:rPr>
            </w:pPr>
            <w:r>
              <w:rPr>
                <w:rFonts w:ascii="Arial" w:cs="Arial" w:eastAsia="Arial" w:hAnsi="Arial"/>
                <w:sz w:val="14"/>
                <w:szCs w:val="14"/>
                <w:b w:val="1"/>
                <w:bCs w:val="1"/>
                <w:color w:val="auto"/>
                <w:w w:val="89"/>
              </w:rPr>
              <w:t>Condensed Consolidated Balance Sheets</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jc w:val="center"/>
              <w:ind w:left="3028"/>
              <w:spacing w:after="0" w:line="149" w:lineRule="exact"/>
              <w:rPr>
                <w:sz w:val="20"/>
                <w:szCs w:val="20"/>
                <w:color w:val="auto"/>
              </w:rPr>
            </w:pPr>
            <w:r>
              <w:rPr>
                <w:rFonts w:ascii="Arial" w:cs="Arial" w:eastAsia="Arial" w:hAnsi="Arial"/>
                <w:sz w:val="14"/>
                <w:szCs w:val="14"/>
                <w:b w:val="1"/>
                <w:bCs w:val="1"/>
                <w:color w:val="auto"/>
                <w:w w:val="91"/>
              </w:rPr>
              <w:t>As of June 30, 2023 and December 31, 2022</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060" w:type="dxa"/>
            <w:vAlign w:val="bottom"/>
            <w:gridSpan w:val="3"/>
          </w:tcPr>
          <w:p>
            <w:pPr>
              <w:jc w:val="right"/>
              <w:ind w:right="1098"/>
              <w:spacing w:after="0"/>
              <w:rPr>
                <w:sz w:val="20"/>
                <w:szCs w:val="20"/>
                <w:color w:val="auto"/>
              </w:rPr>
            </w:pPr>
            <w:r>
              <w:rPr>
                <w:rFonts w:ascii="Arial" w:cs="Arial" w:eastAsia="Arial" w:hAnsi="Arial"/>
                <w:sz w:val="14"/>
                <w:szCs w:val="14"/>
                <w:b w:val="1"/>
                <w:bCs w:val="1"/>
                <w:color w:val="auto"/>
              </w:rPr>
              <w:t>(Amounts in thousands, except per share data)</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24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ind w:left="20"/>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1240" w:type="dxa"/>
            <w:vAlign w:val="bottom"/>
            <w:gridSpan w:val="2"/>
            <w:shd w:val="clear" w:color="auto" w:fill="CCEEFF"/>
          </w:tcPr>
          <w:p>
            <w:pPr>
              <w:jc w:val="right"/>
              <w:ind w:right="109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41,865</w:t>
            </w:r>
          </w:p>
        </w:tc>
        <w:tc>
          <w:tcPr>
            <w:tcW w:w="1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91,803</w:t>
            </w:r>
          </w:p>
        </w:tc>
        <w:tc>
          <w:tcPr>
            <w:tcW w:w="0" w:type="dxa"/>
            <w:vAlign w:val="bottom"/>
          </w:tcPr>
          <w:p>
            <w:pPr>
              <w:spacing w:after="0"/>
              <w:rPr>
                <w:sz w:val="1"/>
                <w:szCs w:val="1"/>
                <w:color w:val="auto"/>
              </w:rPr>
            </w:pPr>
          </w:p>
        </w:tc>
      </w:tr>
      <w:tr>
        <w:trPr>
          <w:trHeight w:val="148"/>
        </w:trPr>
        <w:tc>
          <w:tcPr>
            <w:tcW w:w="5820" w:type="dxa"/>
            <w:vAlign w:val="bottom"/>
          </w:tcPr>
          <w:p>
            <w:pPr>
              <w:ind w:left="120"/>
              <w:spacing w:after="0" w:line="149" w:lineRule="exact"/>
              <w:rPr>
                <w:sz w:val="20"/>
                <w:szCs w:val="20"/>
                <w:color w:val="auto"/>
              </w:rPr>
            </w:pPr>
            <w:r>
              <w:rPr>
                <w:rFonts w:ascii="Arial" w:cs="Arial" w:eastAsia="Arial" w:hAnsi="Arial"/>
                <w:sz w:val="14"/>
                <w:szCs w:val="14"/>
                <w:color w:val="auto"/>
              </w:rPr>
              <w:t>Funds held for customers</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30,156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14,945</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receivable, net of allowance of $14,218 and $9,554, respectively</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129,093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102,885</w:t>
            </w:r>
          </w:p>
        </w:tc>
        <w:tc>
          <w:tcPr>
            <w:tcW w:w="0" w:type="dxa"/>
            <w:vAlign w:val="bottom"/>
          </w:tcPr>
          <w:p>
            <w:pPr>
              <w:spacing w:after="0"/>
              <w:rPr>
                <w:sz w:val="1"/>
                <w:szCs w:val="1"/>
                <w:color w:val="auto"/>
              </w:rPr>
            </w:pPr>
          </w:p>
        </w:tc>
      </w:tr>
      <w:tr>
        <w:trPr>
          <w:trHeight w:val="149"/>
        </w:trPr>
        <w:tc>
          <w:tcPr>
            <w:tcW w:w="5820" w:type="dxa"/>
            <w:vAlign w:val="bottom"/>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22,340</w:t>
            </w:r>
          </w:p>
        </w:tc>
        <w:tc>
          <w:tcPr>
            <w:tcW w:w="0" w:type="dxa"/>
            <w:vAlign w:val="bottom"/>
          </w:tcPr>
          <w:p>
            <w:pPr>
              <w:spacing w:after="0"/>
              <w:rPr>
                <w:sz w:val="1"/>
                <w:szCs w:val="1"/>
                <w:color w:val="auto"/>
              </w:rPr>
            </w:pPr>
          </w:p>
        </w:tc>
      </w:tr>
      <w:tr>
        <w:trPr>
          <w:trHeight w:val="130"/>
        </w:trPr>
        <w:tc>
          <w:tcPr>
            <w:tcW w:w="58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Investment securities available-for-sale, at fair value (amortized cost of $11,235 and $11,220,</w:t>
            </w:r>
          </w:p>
        </w:tc>
        <w:tc>
          <w:tcPr>
            <w:tcW w:w="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11,201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11,173</w:t>
            </w:r>
          </w:p>
        </w:tc>
        <w:tc>
          <w:tcPr>
            <w:tcW w:w="0" w:type="dxa"/>
            <w:vAlign w:val="bottom"/>
          </w:tcPr>
          <w:p>
            <w:pPr>
              <w:spacing w:after="0"/>
              <w:rPr>
                <w:sz w:val="1"/>
                <w:szCs w:val="1"/>
                <w:color w:val="auto"/>
              </w:rPr>
            </w:pPr>
          </w:p>
        </w:tc>
      </w:tr>
      <w:tr>
        <w:trPr>
          <w:trHeight w:val="154"/>
        </w:trPr>
        <w:tc>
          <w:tcPr>
            <w:tcW w:w="5820" w:type="dxa"/>
            <w:vAlign w:val="bottom"/>
            <w:tcBorders>
              <w:bottom w:val="single" w:sz="8" w:color="CCEEFF"/>
            </w:tcBorders>
            <w:shd w:val="clear" w:color="auto" w:fill="CCEEFF"/>
          </w:tcPr>
          <w:p>
            <w:pPr>
              <w:ind w:left="120"/>
              <w:spacing w:after="0" w:line="154" w:lineRule="exact"/>
              <w:rPr>
                <w:sz w:val="20"/>
                <w:szCs w:val="20"/>
                <w:color w:val="auto"/>
              </w:rPr>
            </w:pPr>
            <w:r>
              <w:rPr>
                <w:rFonts w:ascii="Arial" w:cs="Arial" w:eastAsia="Arial" w:hAnsi="Arial"/>
                <w:sz w:val="14"/>
                <w:szCs w:val="14"/>
                <w:color w:val="auto"/>
              </w:rPr>
              <w:t>respectively)</w:t>
            </w:r>
          </w:p>
        </w:tc>
        <w:tc>
          <w:tcPr>
            <w:tcW w:w="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20" w:type="dxa"/>
            <w:vAlign w:val="bottom"/>
          </w:tcPr>
          <w:p>
            <w:pPr>
              <w:ind w:left="120"/>
              <w:spacing w:after="0" w:line="142" w:lineRule="exact"/>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234,341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243,146</w:t>
            </w:r>
          </w:p>
        </w:tc>
        <w:tc>
          <w:tcPr>
            <w:tcW w:w="0" w:type="dxa"/>
            <w:vAlign w:val="bottom"/>
          </w:tcPr>
          <w:p>
            <w:pPr>
              <w:spacing w:after="0"/>
              <w:rPr>
                <w:sz w:val="1"/>
                <w:szCs w:val="1"/>
                <w:color w:val="auto"/>
              </w:rPr>
            </w:pPr>
          </w:p>
        </w:tc>
      </w:tr>
      <w:tr>
        <w:trPr>
          <w:trHeight w:val="142"/>
        </w:trPr>
        <w:tc>
          <w:tcPr>
            <w:tcW w:w="58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Property and equipment, net of accumulated depreciation</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98,912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101,090</w:t>
            </w:r>
          </w:p>
        </w:tc>
        <w:tc>
          <w:tcPr>
            <w:tcW w:w="0" w:type="dxa"/>
            <w:vAlign w:val="bottom"/>
          </w:tcPr>
          <w:p>
            <w:pPr>
              <w:spacing w:after="0"/>
              <w:rPr>
                <w:sz w:val="1"/>
                <w:szCs w:val="1"/>
                <w:color w:val="auto"/>
              </w:rPr>
            </w:pPr>
          </w:p>
        </w:tc>
      </w:tr>
      <w:tr>
        <w:trPr>
          <w:trHeight w:val="148"/>
        </w:trPr>
        <w:tc>
          <w:tcPr>
            <w:tcW w:w="5820" w:type="dxa"/>
            <w:vAlign w:val="bottom"/>
          </w:tcPr>
          <w:p>
            <w:pPr>
              <w:ind w:left="20"/>
              <w:spacing w:after="0" w:line="149" w:lineRule="exact"/>
              <w:rPr>
                <w:sz w:val="20"/>
                <w:szCs w:val="20"/>
                <w:color w:val="auto"/>
              </w:rPr>
            </w:pPr>
            <w:r>
              <w:rPr>
                <w:rFonts w:ascii="Arial" w:cs="Arial" w:eastAsia="Arial" w:hAnsi="Arial"/>
                <w:sz w:val="14"/>
                <w:szCs w:val="14"/>
                <w:color w:val="auto"/>
              </w:rPr>
              <w:t>Capitalized software, net of accumulated amortization</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39,461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39,012</w:t>
            </w:r>
          </w:p>
        </w:tc>
        <w:tc>
          <w:tcPr>
            <w:tcW w:w="0" w:type="dxa"/>
            <w:vAlign w:val="bottom"/>
          </w:tcPr>
          <w:p>
            <w:pPr>
              <w:spacing w:after="0"/>
              <w:rPr>
                <w:sz w:val="1"/>
                <w:szCs w:val="1"/>
                <w:color w:val="auto"/>
              </w:rPr>
            </w:pPr>
          </w:p>
        </w:tc>
      </w:tr>
      <w:tr>
        <w:trPr>
          <w:trHeight w:val="162"/>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and other intangible assets</w:t>
            </w: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259,587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257,023</w:t>
            </w:r>
          </w:p>
        </w:tc>
        <w:tc>
          <w:tcPr>
            <w:tcW w:w="0" w:type="dxa"/>
            <w:vAlign w:val="bottom"/>
          </w:tcPr>
          <w:p>
            <w:pPr>
              <w:spacing w:after="0"/>
              <w:rPr>
                <w:sz w:val="1"/>
                <w:szCs w:val="1"/>
                <w:color w:val="auto"/>
              </w:rPr>
            </w:pPr>
          </w:p>
        </w:tc>
      </w:tr>
      <w:tr>
        <w:trPr>
          <w:trHeight w:val="148"/>
        </w:trPr>
        <w:tc>
          <w:tcPr>
            <w:tcW w:w="5820" w:type="dxa"/>
            <w:vAlign w:val="bottom"/>
          </w:tcPr>
          <w:p>
            <w:pPr>
              <w:ind w:left="20"/>
              <w:spacing w:after="0" w:line="149" w:lineRule="exact"/>
              <w:rPr>
                <w:sz w:val="20"/>
                <w:szCs w:val="20"/>
                <w:color w:val="auto"/>
              </w:rPr>
            </w:pPr>
            <w:r>
              <w:rPr>
                <w:rFonts w:ascii="Arial" w:cs="Arial" w:eastAsia="Arial" w:hAnsi="Arial"/>
                <w:sz w:val="14"/>
                <w:szCs w:val="14"/>
                <w:color w:val="auto"/>
              </w:rPr>
              <w:t>Deferred commissions</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16,726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15,463</w:t>
            </w:r>
          </w:p>
        </w:tc>
        <w:tc>
          <w:tcPr>
            <w:tcW w:w="0" w:type="dxa"/>
            <w:vAlign w:val="bottom"/>
          </w:tcPr>
          <w:p>
            <w:pPr>
              <w:spacing w:after="0"/>
              <w:rPr>
                <w:sz w:val="1"/>
                <w:szCs w:val="1"/>
                <w:color w:val="auto"/>
              </w:rPr>
            </w:pPr>
          </w:p>
        </w:tc>
      </w:tr>
      <w:tr>
        <w:trPr>
          <w:trHeight w:val="149"/>
        </w:trPr>
        <w:tc>
          <w:tcPr>
            <w:tcW w:w="5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income tax asset</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42,855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30,938</w:t>
            </w:r>
          </w:p>
        </w:tc>
        <w:tc>
          <w:tcPr>
            <w:tcW w:w="0" w:type="dxa"/>
            <w:vAlign w:val="bottom"/>
          </w:tcPr>
          <w:p>
            <w:pPr>
              <w:spacing w:after="0"/>
              <w:rPr>
                <w:sz w:val="1"/>
                <w:szCs w:val="1"/>
                <w:color w:val="auto"/>
              </w:rPr>
            </w:pPr>
          </w:p>
        </w:tc>
      </w:tr>
      <w:tr>
        <w:trPr>
          <w:trHeight w:val="148"/>
        </w:trPr>
        <w:tc>
          <w:tcPr>
            <w:tcW w:w="5820" w:type="dxa"/>
            <w:vAlign w:val="bottom"/>
          </w:tcPr>
          <w:p>
            <w:pPr>
              <w:ind w:left="20"/>
              <w:spacing w:after="0" w:line="149" w:lineRule="exact"/>
              <w:rPr>
                <w:sz w:val="20"/>
                <w:szCs w:val="20"/>
                <w:color w:val="auto"/>
              </w:rPr>
            </w:pPr>
            <w:r>
              <w:rPr>
                <w:rFonts w:ascii="Arial" w:cs="Arial" w:eastAsia="Arial" w:hAnsi="Arial"/>
                <w:sz w:val="14"/>
                <w:szCs w:val="14"/>
                <w:color w:val="auto"/>
              </w:rPr>
              <w:t>Operating lease right-of-use assets</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16,564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17,187</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16,624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15,333</w:t>
            </w:r>
          </w:p>
        </w:tc>
        <w:tc>
          <w:tcPr>
            <w:tcW w:w="0" w:type="dxa"/>
            <w:vAlign w:val="bottom"/>
          </w:tcPr>
          <w:p>
            <w:pPr>
              <w:spacing w:after="0"/>
              <w:rPr>
                <w:sz w:val="1"/>
                <w:szCs w:val="1"/>
                <w:color w:val="auto"/>
              </w:rPr>
            </w:pPr>
          </w:p>
        </w:tc>
      </w:tr>
      <w:tr>
        <w:trPr>
          <w:trHeight w:val="182"/>
        </w:trPr>
        <w:tc>
          <w:tcPr>
            <w:tcW w:w="582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assets</w:t>
            </w:r>
          </w:p>
        </w:tc>
        <w:tc>
          <w:tcPr>
            <w:tcW w:w="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09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725,070</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719,192</w:t>
            </w:r>
          </w:p>
        </w:tc>
        <w:tc>
          <w:tcPr>
            <w:tcW w:w="0" w:type="dxa"/>
            <w:vAlign w:val="bottom"/>
          </w:tcPr>
          <w:p>
            <w:pPr>
              <w:spacing w:after="0"/>
              <w:rPr>
                <w:sz w:val="1"/>
                <w:szCs w:val="1"/>
                <w:color w:val="auto"/>
              </w:rPr>
            </w:pPr>
          </w:p>
        </w:tc>
      </w:tr>
      <w:tr>
        <w:trPr>
          <w:trHeight w:val="129"/>
        </w:trPr>
        <w:tc>
          <w:tcPr>
            <w:tcW w:w="58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Liabilities and Stockholders' Equity</w:t>
            </w:r>
          </w:p>
        </w:tc>
        <w:tc>
          <w:tcPr>
            <w:tcW w:w="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20" w:type="dxa"/>
            <w:vAlign w:val="bottom"/>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1240" w:type="dxa"/>
            <w:vAlign w:val="bottom"/>
            <w:gridSpan w:val="2"/>
            <w:shd w:val="clear" w:color="auto" w:fill="CCEEFF"/>
          </w:tcPr>
          <w:p>
            <w:pPr>
              <w:jc w:val="right"/>
              <w:ind w:right="109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48"/>
        </w:trPr>
        <w:tc>
          <w:tcPr>
            <w:tcW w:w="582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22,009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14,329</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38,234</w:t>
            </w:r>
          </w:p>
        </w:tc>
        <w:tc>
          <w:tcPr>
            <w:tcW w:w="0" w:type="dxa"/>
            <w:vAlign w:val="bottom"/>
          </w:tcPr>
          <w:p>
            <w:pPr>
              <w:spacing w:after="0"/>
              <w:rPr>
                <w:sz w:val="1"/>
                <w:szCs w:val="1"/>
                <w:color w:val="auto"/>
              </w:rPr>
            </w:pPr>
          </w:p>
        </w:tc>
      </w:tr>
      <w:tr>
        <w:trPr>
          <w:trHeight w:val="148"/>
        </w:trPr>
        <w:tc>
          <w:tcPr>
            <w:tcW w:w="5820" w:type="dxa"/>
            <w:vAlign w:val="bottom"/>
          </w:tcPr>
          <w:p>
            <w:pPr>
              <w:ind w:left="120"/>
              <w:spacing w:after="0" w:line="149" w:lineRule="exact"/>
              <w:rPr>
                <w:sz w:val="20"/>
                <w:szCs w:val="20"/>
                <w:color w:val="auto"/>
              </w:rPr>
            </w:pPr>
            <w:r>
              <w:rPr>
                <w:rFonts w:ascii="Arial" w:cs="Arial" w:eastAsia="Arial" w:hAnsi="Arial"/>
                <w:sz w:val="14"/>
                <w:szCs w:val="14"/>
                <w:color w:val="auto"/>
              </w:rPr>
              <w:t>Customer funds obligations</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26,594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12,121</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salaries and benefits</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12,332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10,790</w:t>
            </w:r>
          </w:p>
        </w:tc>
        <w:tc>
          <w:tcPr>
            <w:tcW w:w="0" w:type="dxa"/>
            <w:vAlign w:val="bottom"/>
          </w:tcPr>
          <w:p>
            <w:pPr>
              <w:spacing w:after="0"/>
              <w:rPr>
                <w:sz w:val="1"/>
                <w:szCs w:val="1"/>
                <w:color w:val="auto"/>
              </w:rPr>
            </w:pPr>
          </w:p>
        </w:tc>
      </w:tr>
      <w:tr>
        <w:trPr>
          <w:trHeight w:val="149"/>
        </w:trPr>
        <w:tc>
          <w:tcPr>
            <w:tcW w:w="5820" w:type="dxa"/>
            <w:vAlign w:val="bottom"/>
          </w:tcPr>
          <w:p>
            <w:pPr>
              <w:ind w:left="120"/>
              <w:spacing w:after="0" w:line="149" w:lineRule="exact"/>
              <w:rPr>
                <w:sz w:val="20"/>
                <w:szCs w:val="20"/>
                <w:color w:val="auto"/>
              </w:rPr>
            </w:pPr>
            <w:r>
              <w:rPr>
                <w:rFonts w:ascii="Arial" w:cs="Arial" w:eastAsia="Arial" w:hAnsi="Arial"/>
                <w:sz w:val="14"/>
                <w:szCs w:val="14"/>
                <w:color w:val="auto"/>
              </w:rPr>
              <w:t>Accrued variable compensation</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15,027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23,729</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compensation, current</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w:t>
            </w:r>
          </w:p>
        </w:tc>
        <w:tc>
          <w:tcPr>
            <w:tcW w:w="0" w:type="dxa"/>
            <w:vAlign w:val="bottom"/>
          </w:tcPr>
          <w:p>
            <w:pPr>
              <w:spacing w:after="0"/>
              <w:rPr>
                <w:sz w:val="1"/>
                <w:szCs w:val="1"/>
                <w:color w:val="auto"/>
              </w:rPr>
            </w:pPr>
          </w:p>
        </w:tc>
      </w:tr>
      <w:tr>
        <w:trPr>
          <w:trHeight w:val="149"/>
        </w:trPr>
        <w:tc>
          <w:tcPr>
            <w:tcW w:w="5820" w:type="dxa"/>
            <w:vAlign w:val="bottom"/>
          </w:tcPr>
          <w:p>
            <w:pPr>
              <w:ind w:left="120"/>
              <w:spacing w:after="0" w:line="149" w:lineRule="exact"/>
              <w:rPr>
                <w:sz w:val="20"/>
                <w:szCs w:val="20"/>
                <w:color w:val="auto"/>
              </w:rPr>
            </w:pPr>
            <w:r>
              <w:rPr>
                <w:rFonts w:ascii="Arial" w:cs="Arial" w:eastAsia="Arial" w:hAnsi="Arial"/>
                <w:sz w:val="14"/>
                <w:szCs w:val="14"/>
                <w:color w:val="auto"/>
              </w:rPr>
              <w:t>Deferred revenue, current</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86"/>
              </w:rPr>
              <w:t>274,094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268,847</w:t>
            </w:r>
          </w:p>
        </w:tc>
        <w:tc>
          <w:tcPr>
            <w:tcW w:w="0" w:type="dxa"/>
            <w:vAlign w:val="bottom"/>
          </w:tcPr>
          <w:p>
            <w:pPr>
              <w:spacing w:after="0"/>
              <w:rPr>
                <w:sz w:val="1"/>
                <w:szCs w:val="1"/>
                <w:color w:val="auto"/>
              </w:rPr>
            </w:pPr>
          </w:p>
        </w:tc>
      </w:tr>
      <w:tr>
        <w:trPr>
          <w:trHeight w:val="162"/>
        </w:trPr>
        <w:tc>
          <w:tcPr>
            <w:tcW w:w="5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operating lease liabilities</w:t>
            </w: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w:t>
            </w:r>
          </w:p>
        </w:tc>
        <w:tc>
          <w:tcPr>
            <w:tcW w:w="0" w:type="dxa"/>
            <w:vAlign w:val="bottom"/>
          </w:tcPr>
          <w:p>
            <w:pPr>
              <w:spacing w:after="0"/>
              <w:rPr>
                <w:sz w:val="1"/>
                <w:szCs w:val="1"/>
                <w:color w:val="auto"/>
              </w:rPr>
            </w:pPr>
          </w:p>
        </w:tc>
      </w:tr>
      <w:tr>
        <w:trPr>
          <w:trHeight w:val="148"/>
        </w:trPr>
        <w:tc>
          <w:tcPr>
            <w:tcW w:w="582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finance lease liabilities</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purchase consideration, current</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19,824</w:t>
            </w:r>
          </w:p>
        </w:tc>
        <w:tc>
          <w:tcPr>
            <w:tcW w:w="0" w:type="dxa"/>
            <w:vAlign w:val="bottom"/>
          </w:tcPr>
          <w:p>
            <w:pPr>
              <w:spacing w:after="0"/>
              <w:rPr>
                <w:sz w:val="1"/>
                <w:szCs w:val="1"/>
                <w:color w:val="auto"/>
              </w:rPr>
            </w:pPr>
          </w:p>
        </w:tc>
      </w:tr>
      <w:tr>
        <w:trPr>
          <w:trHeight w:val="149"/>
        </w:trPr>
        <w:tc>
          <w:tcPr>
            <w:tcW w:w="58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Purchase commitment and contingent consideration liabilities, current</w:t>
            </w:r>
          </w:p>
        </w:tc>
        <w:tc>
          <w:tcPr>
            <w:tcW w:w="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7,866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6,149</w:t>
            </w:r>
          </w:p>
        </w:tc>
        <w:tc>
          <w:tcPr>
            <w:tcW w:w="0" w:type="dxa"/>
            <w:vAlign w:val="bottom"/>
          </w:tcPr>
          <w:p>
            <w:pPr>
              <w:spacing w:after="0"/>
              <w:rPr>
                <w:sz w:val="1"/>
                <w:szCs w:val="1"/>
                <w:color w:val="auto"/>
              </w:rPr>
            </w:pPr>
          </w:p>
        </w:tc>
      </w:tr>
      <w:tr>
        <w:trPr>
          <w:trHeight w:val="142"/>
        </w:trPr>
        <w:tc>
          <w:tcPr>
            <w:tcW w:w="58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430,900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403,209</w:t>
            </w:r>
          </w:p>
        </w:tc>
        <w:tc>
          <w:tcPr>
            <w:tcW w:w="0" w:type="dxa"/>
            <w:vAlign w:val="bottom"/>
          </w:tcPr>
          <w:p>
            <w:pPr>
              <w:spacing w:after="0"/>
              <w:rPr>
                <w:sz w:val="1"/>
                <w:szCs w:val="1"/>
                <w:color w:val="auto"/>
              </w:rPr>
            </w:pPr>
          </w:p>
        </w:tc>
      </w:tr>
      <w:tr>
        <w:trPr>
          <w:trHeight w:val="142"/>
        </w:trPr>
        <w:tc>
          <w:tcPr>
            <w:tcW w:w="5820" w:type="dxa"/>
            <w:vAlign w:val="bottom"/>
          </w:tcPr>
          <w:p>
            <w:pPr>
              <w:ind w:left="20"/>
              <w:spacing w:after="0" w:line="142" w:lineRule="exact"/>
              <w:rPr>
                <w:sz w:val="20"/>
                <w:szCs w:val="20"/>
                <w:color w:val="auto"/>
              </w:rPr>
            </w:pPr>
            <w:r>
              <w:rPr>
                <w:rFonts w:ascii="Arial" w:cs="Arial" w:eastAsia="Arial" w:hAnsi="Arial"/>
                <w:sz w:val="14"/>
                <w:szCs w:val="14"/>
                <w:color w:val="auto"/>
              </w:rPr>
              <w:t>Deferred revenue, net of current portion</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2,959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4"/>
                <w:szCs w:val="14"/>
                <w:color w:val="auto"/>
              </w:rPr>
              <w:t>10,289</w:t>
            </w:r>
          </w:p>
        </w:tc>
        <w:tc>
          <w:tcPr>
            <w:tcW w:w="0" w:type="dxa"/>
            <w:vAlign w:val="bottom"/>
          </w:tcPr>
          <w:p>
            <w:pPr>
              <w:spacing w:after="0"/>
              <w:rPr>
                <w:sz w:val="1"/>
                <w:szCs w:val="1"/>
                <w:color w:val="auto"/>
              </w:rPr>
            </w:pPr>
          </w:p>
        </w:tc>
      </w:tr>
      <w:tr>
        <w:trPr>
          <w:trHeight w:val="149"/>
        </w:trPr>
        <w:tc>
          <w:tcPr>
            <w:tcW w:w="5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Debt, net of current portion</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45,478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46,709</w:t>
            </w:r>
          </w:p>
        </w:tc>
        <w:tc>
          <w:tcPr>
            <w:tcW w:w="0" w:type="dxa"/>
            <w:vAlign w:val="bottom"/>
          </w:tcPr>
          <w:p>
            <w:pPr>
              <w:spacing w:after="0"/>
              <w:rPr>
                <w:sz w:val="1"/>
                <w:szCs w:val="1"/>
                <w:color w:val="auto"/>
              </w:rPr>
            </w:pPr>
          </w:p>
        </w:tc>
      </w:tr>
      <w:tr>
        <w:trPr>
          <w:trHeight w:val="148"/>
        </w:trPr>
        <w:tc>
          <w:tcPr>
            <w:tcW w:w="5820" w:type="dxa"/>
            <w:vAlign w:val="bottom"/>
          </w:tcPr>
          <w:p>
            <w:pPr>
              <w:ind w:left="20"/>
              <w:spacing w:after="0" w:line="149" w:lineRule="exact"/>
              <w:rPr>
                <w:sz w:val="20"/>
                <w:szCs w:val="20"/>
                <w:color w:val="auto"/>
              </w:rPr>
            </w:pPr>
            <w:r>
              <w:rPr>
                <w:rFonts w:ascii="Arial" w:cs="Arial" w:eastAsia="Arial" w:hAnsi="Arial"/>
                <w:sz w:val="14"/>
                <w:szCs w:val="14"/>
                <w:color w:val="auto"/>
              </w:rPr>
              <w:t>Operating lease liabilities, net of current portion</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18,330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20,421</w:t>
            </w:r>
          </w:p>
        </w:tc>
        <w:tc>
          <w:tcPr>
            <w:tcW w:w="0" w:type="dxa"/>
            <w:vAlign w:val="bottom"/>
          </w:tcPr>
          <w:p>
            <w:pPr>
              <w:spacing w:after="0"/>
              <w:rPr>
                <w:sz w:val="1"/>
                <w:szCs w:val="1"/>
                <w:color w:val="auto"/>
              </w:rPr>
            </w:pPr>
          </w:p>
        </w:tc>
      </w:tr>
      <w:tr>
        <w:trPr>
          <w:trHeight w:val="149"/>
        </w:trPr>
        <w:tc>
          <w:tcPr>
            <w:tcW w:w="5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Finance lease liabilities, net of current portion</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5820" w:type="dxa"/>
            <w:vAlign w:val="bottom"/>
          </w:tcPr>
          <w:p>
            <w:pPr>
              <w:ind w:left="20"/>
              <w:spacing w:after="0" w:line="149" w:lineRule="exact"/>
              <w:rPr>
                <w:sz w:val="20"/>
                <w:szCs w:val="20"/>
                <w:color w:val="auto"/>
              </w:rPr>
            </w:pPr>
            <w:r>
              <w:rPr>
                <w:rFonts w:ascii="Arial" w:cs="Arial" w:eastAsia="Arial" w:hAnsi="Arial"/>
                <w:sz w:val="14"/>
                <w:szCs w:val="14"/>
                <w:color w:val="auto"/>
              </w:rPr>
              <w:t>Purchase commitment and contingent consideration liabilities, net of current portion</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8,412</w:t>
            </w:r>
          </w:p>
        </w:tc>
        <w:tc>
          <w:tcPr>
            <w:tcW w:w="0" w:type="dxa"/>
            <w:vAlign w:val="bottom"/>
          </w:tcPr>
          <w:p>
            <w:pPr>
              <w:spacing w:after="0"/>
              <w:rPr>
                <w:sz w:val="1"/>
                <w:szCs w:val="1"/>
                <w:color w:val="auto"/>
              </w:rPr>
            </w:pPr>
          </w:p>
        </w:tc>
      </w:tr>
      <w:tr>
        <w:trPr>
          <w:trHeight w:val="148"/>
        </w:trPr>
        <w:tc>
          <w:tcPr>
            <w:tcW w:w="58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other liabilities</w:t>
            </w:r>
          </w:p>
        </w:tc>
        <w:tc>
          <w:tcPr>
            <w:tcW w:w="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42"/>
        </w:trPr>
        <w:tc>
          <w:tcPr>
            <w:tcW w:w="5820" w:type="dxa"/>
            <w:vAlign w:val="bottom"/>
          </w:tcPr>
          <w:p>
            <w:pPr>
              <w:ind w:left="120"/>
              <w:spacing w:after="0" w:line="142" w:lineRule="exact"/>
              <w:rPr>
                <w:sz w:val="20"/>
                <w:szCs w:val="20"/>
                <w:color w:val="auto"/>
              </w:rPr>
            </w:pPr>
            <w:r>
              <w:rPr>
                <w:rFonts w:ascii="Arial" w:cs="Arial" w:eastAsia="Arial" w:hAnsi="Arial"/>
                <w:sz w:val="14"/>
                <w:szCs w:val="14"/>
                <w:color w:val="auto"/>
              </w:rPr>
              <w:t>Total liabilities</w:t>
            </w:r>
          </w:p>
        </w:tc>
        <w:tc>
          <w:tcPr>
            <w:tcW w:w="2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499,355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489,467</w:t>
            </w:r>
          </w:p>
        </w:tc>
        <w:tc>
          <w:tcPr>
            <w:tcW w:w="0" w:type="dxa"/>
            <w:vAlign w:val="bottom"/>
          </w:tcPr>
          <w:p>
            <w:pPr>
              <w:spacing w:after="0"/>
              <w:rPr>
                <w:sz w:val="1"/>
                <w:szCs w:val="1"/>
                <w:color w:val="auto"/>
              </w:rPr>
            </w:pPr>
          </w:p>
        </w:tc>
      </w:tr>
      <w:tr>
        <w:trPr>
          <w:trHeight w:val="142"/>
        </w:trPr>
        <w:tc>
          <w:tcPr>
            <w:tcW w:w="58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Commitments and contingencies (Note 11)</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ind w:left="20"/>
              <w:spacing w:after="0" w:line="149" w:lineRule="exact"/>
              <w:rPr>
                <w:sz w:val="20"/>
                <w:szCs w:val="20"/>
                <w:color w:val="auto"/>
              </w:rPr>
            </w:pPr>
            <w:r>
              <w:rPr>
                <w:rFonts w:ascii="Arial" w:cs="Arial" w:eastAsia="Arial" w:hAnsi="Arial"/>
                <w:sz w:val="14"/>
                <w:szCs w:val="14"/>
                <w:color w:val="auto"/>
              </w:rPr>
              <w:t>Stockholders' equity:</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4"/>
              </w:rPr>
              <w:t>Preferred shares, $0.001 par value, 30,000 shares authorized; no shares issued and outstanding</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5820" w:type="dxa"/>
            <w:vAlign w:val="bottom"/>
          </w:tcPr>
          <w:p>
            <w:pPr>
              <w:ind w:left="120"/>
              <w:spacing w:after="0" w:line="130" w:lineRule="exact"/>
              <w:rPr>
                <w:sz w:val="20"/>
                <w:szCs w:val="20"/>
                <w:color w:val="auto"/>
              </w:rPr>
            </w:pPr>
            <w:r>
              <w:rPr>
                <w:rFonts w:ascii="Arial" w:cs="Arial" w:eastAsia="Arial" w:hAnsi="Arial"/>
                <w:sz w:val="14"/>
                <w:szCs w:val="14"/>
                <w:color w:val="auto"/>
                <w:w w:val="95"/>
              </w:rPr>
              <w:t>Class A voting common stock, $0.001 par value, 300,000 shares authorized; 54,054 and 50,014</w:t>
            </w: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820" w:type="dxa"/>
            <w:vAlign w:val="bottom"/>
          </w:tcPr>
          <w:p>
            <w:pPr>
              <w:ind w:left="120"/>
              <w:spacing w:after="0"/>
              <w:rPr>
                <w:sz w:val="20"/>
                <w:szCs w:val="20"/>
                <w:color w:val="auto"/>
              </w:rPr>
            </w:pPr>
            <w:r>
              <w:rPr>
                <w:rFonts w:ascii="Arial" w:cs="Arial" w:eastAsia="Arial" w:hAnsi="Arial"/>
                <w:sz w:val="14"/>
                <w:szCs w:val="14"/>
                <w:color w:val="auto"/>
              </w:rPr>
              <w:t>shares issued and outstanding, respectively</w:t>
            </w: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58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Class B voting common stock, $0.001 par value, 150,000 shares authorized; 97,718 and 100,307</w:t>
            </w:r>
          </w:p>
        </w:tc>
        <w:tc>
          <w:tcPr>
            <w:tcW w:w="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 issued and outstanding, respectively</w:t>
            </w: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5820" w:type="dxa"/>
            <w:vAlign w:val="bottom"/>
          </w:tcPr>
          <w:p>
            <w:pPr>
              <w:ind w:left="120"/>
              <w:spacing w:after="0" w:line="149" w:lineRule="exact"/>
              <w:rPr>
                <w:sz w:val="20"/>
                <w:szCs w:val="20"/>
                <w:color w:val="auto"/>
              </w:rPr>
            </w:pPr>
            <w:r>
              <w:rPr>
                <w:rFonts w:ascii="Arial" w:cs="Arial" w:eastAsia="Arial" w:hAnsi="Arial"/>
                <w:sz w:val="14"/>
                <w:szCs w:val="14"/>
                <w:color w:val="auto"/>
              </w:rPr>
              <w:t>Additional paid in capital</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86"/>
              </w:rPr>
              <w:t>262,095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244,820</w:t>
            </w:r>
          </w:p>
        </w:tc>
        <w:tc>
          <w:tcPr>
            <w:tcW w:w="0" w:type="dxa"/>
            <w:vAlign w:val="bottom"/>
          </w:tcPr>
          <w:p>
            <w:pPr>
              <w:spacing w:after="0"/>
              <w:rPr>
                <w:sz w:val="1"/>
                <w:szCs w:val="1"/>
                <w:color w:val="auto"/>
              </w:rPr>
            </w:pPr>
          </w:p>
        </w:tc>
      </w:tr>
      <w:tr>
        <w:trPr>
          <w:trHeight w:val="148"/>
        </w:trPr>
        <w:tc>
          <w:tcPr>
            <w:tcW w:w="5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 retained earnings</w:t>
            </w:r>
          </w:p>
        </w:tc>
        <w:tc>
          <w:tcPr>
            <w:tcW w:w="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(12,521)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12,507</w:t>
            </w:r>
          </w:p>
        </w:tc>
        <w:tc>
          <w:tcPr>
            <w:tcW w:w="0" w:type="dxa"/>
            <w:vAlign w:val="bottom"/>
          </w:tcPr>
          <w:p>
            <w:pPr>
              <w:spacing w:after="0"/>
              <w:rPr>
                <w:sz w:val="1"/>
                <w:szCs w:val="1"/>
                <w:color w:val="auto"/>
              </w:rPr>
            </w:pPr>
          </w:p>
        </w:tc>
      </w:tr>
      <w:tr>
        <w:trPr>
          <w:trHeight w:val="149"/>
        </w:trPr>
        <w:tc>
          <w:tcPr>
            <w:tcW w:w="5820" w:type="dxa"/>
            <w:vAlign w:val="bottom"/>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(24,011)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(27,752)</w:t>
            </w:r>
          </w:p>
        </w:tc>
        <w:tc>
          <w:tcPr>
            <w:tcW w:w="0" w:type="dxa"/>
            <w:vAlign w:val="bottom"/>
          </w:tcPr>
          <w:p>
            <w:pPr>
              <w:spacing w:after="0"/>
              <w:rPr>
                <w:sz w:val="1"/>
                <w:szCs w:val="1"/>
                <w:color w:val="auto"/>
              </w:rPr>
            </w:pPr>
          </w:p>
        </w:tc>
      </w:tr>
      <w:tr>
        <w:trPr>
          <w:trHeight w:val="142"/>
        </w:trPr>
        <w:tc>
          <w:tcPr>
            <w:tcW w:w="582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stockholders' equity</w:t>
            </w:r>
          </w:p>
        </w:tc>
        <w:tc>
          <w:tcPr>
            <w:tcW w:w="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225,715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229,725</w:t>
            </w:r>
          </w:p>
        </w:tc>
        <w:tc>
          <w:tcPr>
            <w:tcW w:w="0" w:type="dxa"/>
            <w:vAlign w:val="bottom"/>
          </w:tcPr>
          <w:p>
            <w:pPr>
              <w:spacing w:after="0"/>
              <w:rPr>
                <w:sz w:val="1"/>
                <w:szCs w:val="1"/>
                <w:color w:val="auto"/>
              </w:rPr>
            </w:pPr>
          </w:p>
        </w:tc>
      </w:tr>
      <w:tr>
        <w:trPr>
          <w:trHeight w:val="142"/>
        </w:trPr>
        <w:tc>
          <w:tcPr>
            <w:tcW w:w="5820" w:type="dxa"/>
            <w:vAlign w:val="bottom"/>
          </w:tcPr>
          <w:p>
            <w:pPr>
              <w:ind w:left="2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09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725,070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719,192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320"/>
          </w:cols>
          <w:pgMar w:left="1440" w:top="517" w:right="11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Vertex, Inc. and Subsidiaries</w:t>
      </w:r>
    </w:p>
    <w:p>
      <w:pPr>
        <w:spacing w:after="0" w:line="26"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9"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For the three and six months ended June 30, 2023 and 2022</w:t>
      </w:r>
    </w:p>
    <w:p>
      <w:pPr>
        <w:spacing w:after="0" w:line="19"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(Amounts in thousands, except per share data)</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6"/>
                <w:szCs w:val="16"/>
                <w:b w:val="1"/>
                <w:bCs w:val="1"/>
                <w:color w:val="auto"/>
                <w:w w:val="91"/>
              </w:rPr>
              <w:t>Three months ended June 30,</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6"/>
                <w:szCs w:val="16"/>
                <w:b w:val="1"/>
                <w:bCs w:val="1"/>
                <w:color w:val="auto"/>
                <w:w w:val="89"/>
              </w:rPr>
              <w:t>Six months ended June 30,</w:t>
            </w:r>
          </w:p>
        </w:tc>
        <w:tc>
          <w:tcPr>
            <w:tcW w:w="0" w:type="dxa"/>
            <w:vAlign w:val="bottom"/>
          </w:tcPr>
          <w:p>
            <w:pPr>
              <w:spacing w:after="0"/>
              <w:rPr>
                <w:sz w:val="1"/>
                <w:szCs w:val="1"/>
                <w:color w:val="auto"/>
              </w:rPr>
            </w:pPr>
          </w:p>
        </w:tc>
      </w:tr>
      <w:tr>
        <w:trPr>
          <w:trHeight w:val="199"/>
        </w:trPr>
        <w:tc>
          <w:tcPr>
            <w:tcW w:w="4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b w:val="1"/>
                <w:bCs w:val="1"/>
                <w:color w:val="auto"/>
              </w:rPr>
              <w:t>(unaudited)</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4"/>
          </w:tcPr>
          <w:p>
            <w:pPr>
              <w:jc w:val="right"/>
              <w:spacing w:after="0"/>
              <w:rPr>
                <w:sz w:val="20"/>
                <w:szCs w:val="20"/>
                <w:color w:val="auto"/>
              </w:rPr>
            </w:pPr>
            <w:r>
              <w:rPr>
                <w:rFonts w:ascii="Arial" w:cs="Arial" w:eastAsia="Arial" w:hAnsi="Arial"/>
                <w:sz w:val="16"/>
                <w:szCs w:val="16"/>
                <w:b w:val="1"/>
                <w:bCs w:val="1"/>
                <w:color w:val="auto"/>
              </w:rPr>
              <w:t>(unaudited)</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120"/>
              <w:spacing w:after="0"/>
              <w:rPr>
                <w:sz w:val="20"/>
                <w:szCs w:val="20"/>
                <w:color w:val="auto"/>
              </w:rPr>
            </w:pPr>
            <w:r>
              <w:rPr>
                <w:rFonts w:ascii="Arial" w:cs="Arial" w:eastAsia="Arial" w:hAnsi="Arial"/>
                <w:sz w:val="16"/>
                <w:szCs w:val="16"/>
                <w:color w:val="auto"/>
              </w:rPr>
              <w:t>Software subscriptions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117,836</w:t>
            </w:r>
          </w:p>
        </w:tc>
        <w:tc>
          <w:tcPr>
            <w:tcW w:w="100" w:type="dxa"/>
            <w:vAlign w:val="bottom"/>
          </w:tcPr>
          <w:p>
            <w:pPr>
              <w:spacing w:after="0"/>
              <w:rPr>
                <w:sz w:val="17"/>
                <w:szCs w:val="17"/>
                <w:color w:val="auto"/>
              </w:rPr>
            </w:pPr>
          </w:p>
        </w:tc>
        <w:tc>
          <w:tcPr>
            <w:tcW w:w="440" w:type="dxa"/>
            <w:vAlign w:val="bottom"/>
            <w:gridSpan w:val="2"/>
          </w:tcPr>
          <w:p>
            <w:pPr>
              <w:jc w:val="right"/>
              <w:ind w:right="20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101,088</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228,850</w:t>
            </w:r>
          </w:p>
        </w:tc>
        <w:tc>
          <w:tcPr>
            <w:tcW w:w="100" w:type="dxa"/>
            <w:vAlign w:val="bottom"/>
          </w:tcPr>
          <w:p>
            <w:pPr>
              <w:spacing w:after="0"/>
              <w:rPr>
                <w:sz w:val="17"/>
                <w:szCs w:val="17"/>
                <w:color w:val="auto"/>
              </w:rPr>
            </w:pP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198,219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Services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18,188</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36,041</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139,695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119,276</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272,446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234,260</w:t>
            </w: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120"/>
              <w:spacing w:after="0"/>
              <w:rPr>
                <w:sz w:val="20"/>
                <w:szCs w:val="20"/>
                <w:color w:val="auto"/>
              </w:rPr>
            </w:pPr>
            <w:r>
              <w:rPr>
                <w:rFonts w:ascii="Arial" w:cs="Arial" w:eastAsia="Arial" w:hAnsi="Arial"/>
                <w:sz w:val="16"/>
                <w:szCs w:val="16"/>
                <w:color w:val="auto"/>
              </w:rPr>
              <w:t>Software subscriptions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36,209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75,919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69,122</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Services</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11,920</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23,873</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cost of revenues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53,879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48,129</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105,626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92,995</w:t>
            </w: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71,147</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141,265</w:t>
            </w:r>
          </w:p>
        </w:tc>
        <w:tc>
          <w:tcPr>
            <w:tcW w:w="0" w:type="dxa"/>
            <w:vAlign w:val="bottom"/>
          </w:tcPr>
          <w:p>
            <w:pPr>
              <w:spacing w:after="0"/>
              <w:rPr>
                <w:sz w:val="1"/>
                <w:szCs w:val="1"/>
                <w:color w:val="auto"/>
              </w:rPr>
            </w:pPr>
          </w:p>
        </w:tc>
      </w:tr>
      <w:tr>
        <w:trPr>
          <w:trHeight w:val="193"/>
        </w:trPr>
        <w:tc>
          <w:tcPr>
            <w:tcW w:w="47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19,943</w:t>
            </w:r>
          </w:p>
        </w:tc>
        <w:tc>
          <w:tcPr>
            <w:tcW w:w="0" w:type="dxa"/>
            <w:vAlign w:val="bottom"/>
          </w:tcPr>
          <w:p>
            <w:pPr>
              <w:spacing w:after="0"/>
              <w:rPr>
                <w:sz w:val="1"/>
                <w:szCs w:val="1"/>
                <w:color w:val="auto"/>
              </w:rPr>
            </w:pPr>
          </w:p>
        </w:tc>
      </w:tr>
      <w:tr>
        <w:trPr>
          <w:trHeight w:val="203"/>
        </w:trPr>
        <w:tc>
          <w:tcPr>
            <w:tcW w:w="4760" w:type="dxa"/>
            <w:vAlign w:val="bottom"/>
          </w:tcPr>
          <w:p>
            <w:pPr>
              <w:ind w:left="120"/>
              <w:spacing w:after="0"/>
              <w:rPr>
                <w:sz w:val="20"/>
                <w:szCs w:val="20"/>
                <w:color w:val="auto"/>
              </w:rPr>
            </w:pPr>
            <w:r>
              <w:rPr>
                <w:rFonts w:ascii="Arial" w:cs="Arial" w:eastAsia="Arial" w:hAnsi="Arial"/>
                <w:sz w:val="16"/>
                <w:szCs w:val="16"/>
                <w:color w:val="auto"/>
              </w:rPr>
              <w:t>Selling and marketing</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33,541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31,979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69,277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59,431</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58,841</w:t>
            </w:r>
          </w:p>
        </w:tc>
        <w:tc>
          <w:tcPr>
            <w:tcW w:w="0" w:type="dxa"/>
            <w:vAlign w:val="bottom"/>
          </w:tcPr>
          <w:p>
            <w:pPr>
              <w:spacing w:after="0"/>
              <w:rPr>
                <w:sz w:val="1"/>
                <w:szCs w:val="1"/>
                <w:color w:val="auto"/>
              </w:rPr>
            </w:pPr>
          </w:p>
        </w:tc>
      </w:tr>
      <w:tr>
        <w:trPr>
          <w:trHeight w:val="203"/>
        </w:trPr>
        <w:tc>
          <w:tcPr>
            <w:tcW w:w="47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3,224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6,184</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operating expense (income), net</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196"/>
        </w:trPr>
        <w:tc>
          <w:tcPr>
            <w:tcW w:w="4760" w:type="dxa"/>
            <w:vAlign w:val="bottom"/>
          </w:tcPr>
          <w:p>
            <w:pPr>
              <w:ind w:left="1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75,443</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145,093</w:t>
            </w: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operations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(3,828)</w:t>
            </w:r>
          </w:p>
        </w:tc>
        <w:tc>
          <w:tcPr>
            <w:tcW w:w="0" w:type="dxa"/>
            <w:vAlign w:val="bottom"/>
          </w:tcPr>
          <w:p>
            <w:pPr>
              <w:spacing w:after="0"/>
              <w:rPr>
                <w:sz w:val="1"/>
                <w:szCs w:val="1"/>
                <w:color w:val="auto"/>
              </w:rPr>
            </w:pPr>
          </w:p>
        </w:tc>
      </w:tr>
      <w:tr>
        <w:trPr>
          <w:trHeight w:val="202"/>
        </w:trPr>
        <w:tc>
          <w:tcPr>
            <w:tcW w:w="476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before income taxes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(4,546)</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(5,520)</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(5,854)</w:t>
            </w:r>
          </w:p>
        </w:tc>
        <w:tc>
          <w:tcPr>
            <w:tcW w:w="0" w:type="dxa"/>
            <w:vAlign w:val="bottom"/>
          </w:tcPr>
          <w:p>
            <w:pPr>
              <w:spacing w:after="0"/>
              <w:rPr>
                <w:sz w:val="1"/>
                <w:szCs w:val="1"/>
                <w:color w:val="auto"/>
              </w:rPr>
            </w:pPr>
          </w:p>
        </w:tc>
      </w:tr>
      <w:tr>
        <w:trPr>
          <w:trHeight w:val="193"/>
        </w:trPr>
        <w:tc>
          <w:tcPr>
            <w:tcW w:w="476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Foreign currency translation adjustments and revaluations, net of tax</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13,826</w:t>
            </w:r>
          </w:p>
        </w:tc>
        <w:tc>
          <w:tcPr>
            <w:tcW w:w="0" w:type="dxa"/>
            <w:vAlign w:val="bottom"/>
          </w:tcPr>
          <w:p>
            <w:pPr>
              <w:spacing w:after="0"/>
              <w:rPr>
                <w:sz w:val="1"/>
                <w:szCs w:val="1"/>
                <w:color w:val="auto"/>
              </w:rPr>
            </w:pPr>
          </w:p>
        </w:tc>
      </w:tr>
      <w:tr>
        <w:trPr>
          <w:trHeight w:val="203"/>
        </w:trPr>
        <w:tc>
          <w:tcPr>
            <w:tcW w:w="4760" w:type="dxa"/>
            <w:vAlign w:val="bottom"/>
          </w:tcPr>
          <w:p>
            <w:pPr>
              <w:ind w:left="120"/>
              <w:spacing w:after="0"/>
              <w:rPr>
                <w:sz w:val="20"/>
                <w:szCs w:val="20"/>
                <w:color w:val="auto"/>
              </w:rPr>
            </w:pPr>
            <w:r>
              <w:rPr>
                <w:rFonts w:ascii="Arial" w:cs="Arial" w:eastAsia="Arial" w:hAnsi="Arial"/>
                <w:sz w:val="16"/>
                <w:szCs w:val="16"/>
                <w:color w:val="auto"/>
              </w:rPr>
              <w:t>Unrealized (gain) loss on investments, net of tax</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loss, net of tax</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11,775</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13,824</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(17,295)</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(19,678)</w:t>
            </w: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6"/>
                <w:szCs w:val="16"/>
                <w:color w:val="auto"/>
              </w:rPr>
              <w:t>Net loss attributable to Class A stockholders, 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(2,447)</w:t>
            </w:r>
          </w:p>
        </w:tc>
        <w:tc>
          <w:tcPr>
            <w:tcW w:w="440" w:type="dxa"/>
            <w:vAlign w:val="bottom"/>
            <w:gridSpan w:val="2"/>
          </w:tcPr>
          <w:p>
            <w:pPr>
              <w:jc w:val="right"/>
              <w:ind w:right="20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(1,598)</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(8,633)</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Class A share,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83"/>
        </w:trPr>
        <w:tc>
          <w:tcPr>
            <w:tcW w:w="4760" w:type="dxa"/>
            <w:vAlign w:val="bottom"/>
          </w:tcPr>
          <w:p>
            <w:pPr>
              <w:ind w:left="20"/>
              <w:spacing w:after="0"/>
              <w:rPr>
                <w:sz w:val="20"/>
                <w:szCs w:val="20"/>
                <w:color w:val="auto"/>
              </w:rPr>
            </w:pPr>
            <w:r>
              <w:rPr>
                <w:rFonts w:ascii="Arial" w:cs="Arial" w:eastAsia="Arial" w:hAnsi="Arial"/>
                <w:sz w:val="16"/>
                <w:szCs w:val="16"/>
                <w:color w:val="auto"/>
              </w:rPr>
              <w:t>Weighted average Class A common stock, basic</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43,286</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42,818</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Class A stockholders,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183"/>
        </w:trPr>
        <w:tc>
          <w:tcPr>
            <w:tcW w:w="4760" w:type="dxa"/>
            <w:vAlign w:val="bottom"/>
          </w:tcPr>
          <w:p>
            <w:pPr>
              <w:ind w:left="20"/>
              <w:spacing w:after="0"/>
              <w:rPr>
                <w:sz w:val="20"/>
                <w:szCs w:val="20"/>
                <w:color w:val="auto"/>
              </w:rPr>
            </w:pPr>
            <w:r>
              <w:rPr>
                <w:rFonts w:ascii="Arial" w:cs="Arial" w:eastAsia="Arial" w:hAnsi="Arial"/>
                <w:sz w:val="16"/>
                <w:szCs w:val="16"/>
                <w:color w:val="auto"/>
              </w:rPr>
              <w:t>Net loss per Class A share,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2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Class A common stock, diluted</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43,286</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52,109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42,818</w:t>
            </w:r>
          </w:p>
        </w:tc>
        <w:tc>
          <w:tcPr>
            <w:tcW w:w="0" w:type="dxa"/>
            <w:vAlign w:val="bottom"/>
          </w:tcPr>
          <w:p>
            <w:pPr>
              <w:spacing w:after="0"/>
              <w:rPr>
                <w:sz w:val="1"/>
                <w:szCs w:val="1"/>
                <w:color w:val="auto"/>
              </w:rPr>
            </w:pPr>
          </w:p>
        </w:tc>
      </w:tr>
      <w:tr>
        <w:trPr>
          <w:trHeight w:val="183"/>
        </w:trPr>
        <w:tc>
          <w:tcPr>
            <w:tcW w:w="4760" w:type="dxa"/>
            <w:vAlign w:val="bottom"/>
          </w:tcPr>
          <w:p>
            <w:pPr>
              <w:ind w:left="20"/>
              <w:spacing w:after="0"/>
              <w:rPr>
                <w:sz w:val="20"/>
                <w:szCs w:val="20"/>
                <w:color w:val="auto"/>
              </w:rPr>
            </w:pPr>
            <w:r>
              <w:rPr>
                <w:rFonts w:ascii="Arial" w:cs="Arial" w:eastAsia="Arial" w:hAnsi="Arial"/>
                <w:sz w:val="16"/>
                <w:szCs w:val="16"/>
                <w:color w:val="auto"/>
              </w:rPr>
              <w:t>Net loss attributable to Class B stockholders,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(3,922)</w:t>
            </w:r>
          </w:p>
        </w:tc>
        <w:tc>
          <w:tcPr>
            <w:tcW w:w="2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(4,175)</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Class B share,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
              <w:spacing w:after="0"/>
              <w:rPr>
                <w:sz w:val="20"/>
                <w:szCs w:val="20"/>
                <w:color w:val="auto"/>
              </w:rPr>
            </w:pPr>
            <w:r>
              <w:rPr>
                <w:rFonts w:ascii="Arial" w:cs="Arial" w:eastAsia="Arial" w:hAnsi="Arial"/>
                <w:sz w:val="16"/>
                <w:szCs w:val="16"/>
                <w:color w:val="auto"/>
              </w:rPr>
              <w:t>Weighted average Class B common stock, basic</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106,203</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98,969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106,505</w:t>
            </w:r>
          </w:p>
        </w:tc>
        <w:tc>
          <w:tcPr>
            <w:tcW w:w="0" w:type="dxa"/>
            <w:vAlign w:val="bottom"/>
          </w:tcPr>
          <w:p>
            <w:pPr>
              <w:spacing w:after="0"/>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Class B stockholders,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(3,922)</w:t>
            </w: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
              <w:spacing w:after="0"/>
              <w:rPr>
                <w:sz w:val="20"/>
                <w:szCs w:val="20"/>
                <w:color w:val="auto"/>
              </w:rPr>
            </w:pPr>
            <w:r>
              <w:rPr>
                <w:rFonts w:ascii="Arial" w:cs="Arial" w:eastAsia="Arial" w:hAnsi="Arial"/>
                <w:sz w:val="16"/>
                <w:szCs w:val="16"/>
                <w:color w:val="auto"/>
              </w:rPr>
              <w:t>Net loss per Class B share, diluted</w:t>
            </w: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tcBorders>
              <w:bottom w:val="single" w:sz="8" w:color="CCEEFF"/>
            </w:tcBorders>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2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8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Class B common stock, diluted</w:t>
            </w: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106,203</w:t>
            </w: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98,969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106,505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3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352425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640"/>
          </w:cols>
          <w:pgMar w:left="1440" w:top="517" w:right="8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both"/>
        <w:ind w:right="4740"/>
        <w:spacing w:after="0" w:line="255" w:lineRule="auto"/>
        <w:rPr>
          <w:sz w:val="20"/>
          <w:szCs w:val="20"/>
          <w:color w:val="auto"/>
        </w:rPr>
      </w:pPr>
      <w:r>
        <w:rPr>
          <w:rFonts w:ascii="Arial" w:cs="Arial" w:eastAsia="Arial" w:hAnsi="Arial"/>
          <w:sz w:val="18"/>
          <w:szCs w:val="18"/>
          <w:b w:val="1"/>
          <w:bCs w:val="1"/>
          <w:color w:val="auto"/>
        </w:rPr>
        <w:t>Condensed Consolidated Statements of Changes in Stockholders’ Equity For the three and six months ended June 30, 2023 and 2022 (unaudited)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6480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35"/>
        </w:trPr>
        <w:tc>
          <w:tcPr>
            <w:tcW w:w="3320" w:type="dxa"/>
            <w:vAlign w:val="bottom"/>
          </w:tcPr>
          <w:p>
            <w:pPr>
              <w:spacing w:after="0"/>
              <w:rPr>
                <w:sz w:val="11"/>
                <w:szCs w:val="11"/>
                <w:color w:val="auto"/>
              </w:rPr>
            </w:pPr>
          </w:p>
        </w:tc>
        <w:tc>
          <w:tcPr>
            <w:tcW w:w="80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Class A</w:t>
            </w:r>
          </w:p>
        </w:tc>
        <w:tc>
          <w:tcPr>
            <w:tcW w:w="80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Class B</w:t>
            </w:r>
          </w:p>
        </w:tc>
        <w:tc>
          <w:tcPr>
            <w:tcW w:w="6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Class 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Class B</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Common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3"/>
              </w:rPr>
              <w:t>Paid In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53"/>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Stock</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Earnings</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0"/>
              </w:rPr>
              <w:t>Equity</w:t>
            </w:r>
          </w:p>
        </w:tc>
      </w:tr>
      <w:tr>
        <w:trPr>
          <w:trHeight w:val="129"/>
        </w:trPr>
        <w:tc>
          <w:tcPr>
            <w:tcW w:w="3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January 1, 2023</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50,014</w:t>
            </w:r>
          </w:p>
        </w:tc>
        <w:tc>
          <w:tcPr>
            <w:tcW w:w="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100,307</w:t>
            </w:r>
          </w:p>
        </w:tc>
        <w:tc>
          <w:tcPr>
            <w:tcW w:w="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244,820</w:t>
            </w:r>
          </w:p>
        </w:tc>
        <w:tc>
          <w:tcPr>
            <w:tcW w:w="220" w:type="dxa"/>
            <w:vAlign w:val="bottom"/>
            <w:gridSpan w:val="2"/>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12,507</w:t>
            </w:r>
          </w:p>
        </w:tc>
        <w:tc>
          <w:tcPr>
            <w:tcW w:w="300" w:type="dxa"/>
            <w:vAlign w:val="bottom"/>
            <w:gridSpan w:val="2"/>
            <w:shd w:val="clear" w:color="auto" w:fill="CCEEFF"/>
          </w:tcPr>
          <w:p>
            <w:pPr>
              <w:jc w:val="right"/>
              <w:ind w:right="61"/>
              <w:spacing w:after="0" w:line="129"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(27,752)</w:t>
            </w:r>
          </w:p>
        </w:tc>
        <w:tc>
          <w:tcPr>
            <w:tcW w:w="260" w:type="dxa"/>
            <w:vAlign w:val="bottom"/>
            <w:gridSpan w:val="2"/>
            <w:shd w:val="clear" w:color="auto" w:fill="CCEEFF"/>
          </w:tcPr>
          <w:p>
            <w:pPr>
              <w:jc w:val="right"/>
              <w:ind w:right="55"/>
              <w:spacing w:after="0" w:line="129"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229,725</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rPr>
              <w:t>Exercise of stock options, net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1,279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1,280</w:t>
            </w:r>
          </w:p>
        </w:tc>
      </w:tr>
      <w:tr>
        <w:trPr>
          <w:trHeight w:val="135"/>
        </w:trPr>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Shares issued upon vesting of Restricted Stock Units, net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(3,471)</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w w:val="95"/>
              </w:rPr>
              <w:t>Shares issued upon vesting of Restricted Stock Awards, net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10,938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10,938</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rPr>
              <w:t>Shares issued in connection with ESPP</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Class B shares exchanged for Class A shares</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2,589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(2,589)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320" w:type="dxa"/>
            <w:vAlign w:val="bottom"/>
          </w:tcPr>
          <w:p>
            <w:pPr>
              <w:spacing w:after="0" w:line="121" w:lineRule="exact"/>
              <w:rPr>
                <w:sz w:val="20"/>
                <w:szCs w:val="20"/>
                <w:color w:val="auto"/>
              </w:rPr>
            </w:pPr>
            <w:r>
              <w:rPr>
                <w:rFonts w:ascii="Arial" w:cs="Arial" w:eastAsia="Arial" w:hAnsi="Arial"/>
                <w:sz w:val="13"/>
                <w:szCs w:val="13"/>
                <w:color w:val="auto"/>
                <w:w w:val="91"/>
              </w:rPr>
              <w:t>Foreign currency translation adjustments and revaluations, net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9"/>
        </w:trPr>
        <w:tc>
          <w:tcPr>
            <w:tcW w:w="3320" w:type="dxa"/>
            <w:vAlign w:val="bottom"/>
          </w:tcPr>
          <w:p>
            <w:pPr>
              <w:spacing w:after="0"/>
              <w:rPr>
                <w:sz w:val="20"/>
                <w:szCs w:val="20"/>
                <w:color w:val="auto"/>
              </w:rPr>
            </w:pPr>
            <w:r>
              <w:rPr>
                <w:rFonts w:ascii="Arial" w:cs="Arial" w:eastAsia="Arial" w:hAnsi="Arial"/>
                <w:sz w:val="13"/>
                <w:szCs w:val="13"/>
                <w:color w:val="auto"/>
              </w:rPr>
              <w:t>of tax</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3,122</w:t>
            </w:r>
          </w:p>
        </w:tc>
      </w:tr>
      <w:tr>
        <w:trPr>
          <w:trHeight w:val="135"/>
        </w:trPr>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Unrealized gain from available-for-sale investments, net of tax</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(18,132)</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(18,132)</w:t>
            </w:r>
          </w:p>
        </w:tc>
      </w:tr>
      <w:tr>
        <w:trPr>
          <w:trHeight w:val="129"/>
        </w:trPr>
        <w:tc>
          <w:tcPr>
            <w:tcW w:w="3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March 31, 2023</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53,586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53</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97,718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253,566</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(5,625)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(24,617)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223,475</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rPr>
              <w:t>Exercise of stock options, net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668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669</w:t>
            </w:r>
          </w:p>
        </w:tc>
      </w:tr>
      <w:tr>
        <w:trPr>
          <w:trHeight w:val="135"/>
        </w:trPr>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Shares issued upon vesting of Restricted Stock Units, net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w w:val="95"/>
              </w:rPr>
              <w:t>Shares issued upon vesting of Restricted Stock Awards, net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in connection with ESPP</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1,178</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6,904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6,904</w:t>
            </w:r>
          </w:p>
        </w:tc>
      </w:tr>
      <w:tr>
        <w:trPr>
          <w:trHeight w:val="121"/>
        </w:trPr>
        <w:tc>
          <w:tcPr>
            <w:tcW w:w="3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Foreign currency translation adjustments and revaluations, net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49"/>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of tax</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w w:val="93"/>
              </w:rPr>
              <w:t>Unrealized loss from available-for-sale investments, net of tax</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3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(6,896)</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(6,896)</w:t>
            </w:r>
          </w:p>
        </w:tc>
      </w:tr>
      <w:tr>
        <w:trPr>
          <w:trHeight w:val="128"/>
        </w:trPr>
        <w:tc>
          <w:tcPr>
            <w:tcW w:w="3320" w:type="dxa"/>
            <w:vAlign w:val="bottom"/>
          </w:tcPr>
          <w:p>
            <w:pPr>
              <w:spacing w:after="0" w:line="115" w:lineRule="exact"/>
              <w:rPr>
                <w:sz w:val="20"/>
                <w:szCs w:val="20"/>
                <w:color w:val="auto"/>
              </w:rPr>
            </w:pPr>
            <w:r>
              <w:rPr>
                <w:rFonts w:ascii="Arial" w:cs="Arial" w:eastAsia="Arial" w:hAnsi="Arial"/>
                <w:sz w:val="13"/>
                <w:szCs w:val="13"/>
                <w:color w:val="auto"/>
              </w:rPr>
              <w:t>Balance, June 30, 2023</w:t>
            </w:r>
          </w:p>
        </w:tc>
        <w:tc>
          <w:tcPr>
            <w:tcW w:w="80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54,054</w:t>
            </w:r>
          </w:p>
        </w:tc>
        <w:tc>
          <w:tcPr>
            <w:tcW w:w="24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15" w:lineRule="exact"/>
              <w:rPr>
                <w:sz w:val="20"/>
                <w:szCs w:val="20"/>
                <w:color w:val="auto"/>
              </w:rPr>
            </w:pPr>
            <w:r>
              <w:rPr>
                <w:rFonts w:ascii="Arial" w:cs="Arial" w:eastAsia="Arial" w:hAnsi="Arial"/>
                <w:sz w:val="13"/>
                <w:szCs w:val="13"/>
                <w:color w:val="auto"/>
              </w:rPr>
              <w:t>54</w:t>
            </w:r>
          </w:p>
        </w:tc>
        <w:tc>
          <w:tcPr>
            <w:tcW w:w="80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97,718</w:t>
            </w:r>
          </w:p>
        </w:tc>
        <w:tc>
          <w:tcPr>
            <w:tcW w:w="24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15" w:lineRule="exact"/>
              <w:rPr>
                <w:sz w:val="20"/>
                <w:szCs w:val="20"/>
                <w:color w:val="auto"/>
              </w:rPr>
            </w:pPr>
            <w:r>
              <w:rPr>
                <w:rFonts w:ascii="Arial" w:cs="Arial" w:eastAsia="Arial" w:hAnsi="Arial"/>
                <w:sz w:val="13"/>
                <w:szCs w:val="13"/>
                <w:color w:val="auto"/>
              </w:rPr>
              <w:t>98</w:t>
            </w:r>
          </w:p>
        </w:tc>
        <w:tc>
          <w:tcPr>
            <w:tcW w:w="40" w:type="dxa"/>
            <w:vAlign w:val="bottom"/>
          </w:tcPr>
          <w:p>
            <w:pPr>
              <w:spacing w:after="0"/>
              <w:rPr>
                <w:sz w:val="11"/>
                <w:szCs w:val="11"/>
                <w:color w:val="auto"/>
              </w:rPr>
            </w:pPr>
          </w:p>
        </w:tc>
        <w:tc>
          <w:tcPr>
            <w:tcW w:w="20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15" w:lineRule="exact"/>
              <w:rPr>
                <w:sz w:val="20"/>
                <w:szCs w:val="20"/>
                <w:color w:val="auto"/>
              </w:rPr>
            </w:pPr>
            <w:r>
              <w:rPr>
                <w:rFonts w:ascii="Arial" w:cs="Arial" w:eastAsia="Arial" w:hAnsi="Arial"/>
                <w:sz w:val="13"/>
                <w:szCs w:val="13"/>
                <w:color w:val="auto"/>
              </w:rPr>
              <w:t>262,095</w:t>
            </w:r>
          </w:p>
        </w:tc>
        <w:tc>
          <w:tcPr>
            <w:tcW w:w="2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15" w:lineRule="exact"/>
              <w:rPr>
                <w:sz w:val="20"/>
                <w:szCs w:val="20"/>
                <w:color w:val="auto"/>
              </w:rPr>
            </w:pPr>
            <w:r>
              <w:rPr>
                <w:rFonts w:ascii="Arial" w:cs="Arial" w:eastAsia="Arial" w:hAnsi="Arial"/>
                <w:sz w:val="13"/>
                <w:szCs w:val="13"/>
                <w:color w:val="auto"/>
              </w:rPr>
              <w:t>(12,521)</w:t>
            </w:r>
          </w:p>
        </w:tc>
        <w:tc>
          <w:tcPr>
            <w:tcW w:w="300" w:type="dxa"/>
            <w:vAlign w:val="bottom"/>
            <w:gridSpan w:val="2"/>
          </w:tcPr>
          <w:p>
            <w:pPr>
              <w:jc w:val="right"/>
              <w:ind w:right="1"/>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15" w:lineRule="exact"/>
              <w:rPr>
                <w:sz w:val="20"/>
                <w:szCs w:val="20"/>
                <w:color w:val="auto"/>
              </w:rPr>
            </w:pPr>
            <w:r>
              <w:rPr>
                <w:rFonts w:ascii="Arial" w:cs="Arial" w:eastAsia="Arial" w:hAnsi="Arial"/>
                <w:sz w:val="13"/>
                <w:szCs w:val="13"/>
                <w:color w:val="auto"/>
              </w:rPr>
              <w:t>(24,011)</w:t>
            </w:r>
          </w:p>
        </w:tc>
        <w:tc>
          <w:tcPr>
            <w:tcW w:w="26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15" w:lineRule="exact"/>
              <w:rPr>
                <w:sz w:val="20"/>
                <w:szCs w:val="20"/>
                <w:color w:val="auto"/>
              </w:rPr>
            </w:pPr>
            <w:r>
              <w:rPr>
                <w:rFonts w:ascii="Arial" w:cs="Arial" w:eastAsia="Arial" w:hAnsi="Arial"/>
                <w:sz w:val="13"/>
                <w:szCs w:val="13"/>
                <w:color w:val="auto"/>
              </w:rPr>
              <w:t>225,715</w:t>
            </w: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381"/>
        </w:trPr>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35"/>
        </w:trPr>
        <w:tc>
          <w:tcPr>
            <w:tcW w:w="3320" w:type="dxa"/>
            <w:vAlign w:val="bottom"/>
          </w:tcPr>
          <w:p>
            <w:pPr>
              <w:spacing w:after="0"/>
              <w:rPr>
                <w:sz w:val="11"/>
                <w:szCs w:val="11"/>
                <w:color w:val="auto"/>
              </w:rPr>
            </w:pPr>
          </w:p>
        </w:tc>
        <w:tc>
          <w:tcPr>
            <w:tcW w:w="80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Class A</w:t>
            </w:r>
          </w:p>
        </w:tc>
        <w:tc>
          <w:tcPr>
            <w:tcW w:w="80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Class B</w:t>
            </w:r>
          </w:p>
        </w:tc>
        <w:tc>
          <w:tcPr>
            <w:tcW w:w="6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48"/>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3"/>
              </w:rPr>
              <w:t>Class 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3"/>
              </w:rPr>
              <w:t>Class B</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Common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97"/>
              <w:spacing w:after="0"/>
              <w:rPr>
                <w:sz w:val="20"/>
                <w:szCs w:val="20"/>
                <w:color w:val="auto"/>
              </w:rPr>
            </w:pPr>
            <w:r>
              <w:rPr>
                <w:rFonts w:ascii="Arial" w:cs="Arial" w:eastAsia="Arial" w:hAnsi="Arial"/>
                <w:sz w:val="13"/>
                <w:szCs w:val="13"/>
                <w:b w:val="1"/>
                <w:bCs w:val="1"/>
                <w:color w:val="auto"/>
                <w:w w:val="93"/>
              </w:rPr>
              <w:t>Paid In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97"/>
              <w:spacing w:after="0"/>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Stockholders'</w:t>
            </w:r>
          </w:p>
        </w:tc>
      </w:tr>
      <w:tr>
        <w:trPr>
          <w:trHeight w:val="153"/>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Earnings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7"/>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97"/>
              <w:spacing w:after="0"/>
              <w:rPr>
                <w:sz w:val="20"/>
                <w:szCs w:val="20"/>
                <w:color w:val="auto"/>
              </w:rPr>
            </w:pPr>
            <w:r>
              <w:rPr>
                <w:rFonts w:ascii="Arial" w:cs="Arial" w:eastAsia="Arial" w:hAnsi="Arial"/>
                <w:sz w:val="13"/>
                <w:szCs w:val="13"/>
                <w:b w:val="1"/>
                <w:bCs w:val="1"/>
                <w:color w:val="auto"/>
                <w:w w:val="90"/>
              </w:rPr>
              <w:t>Equity</w:t>
            </w:r>
          </w:p>
        </w:tc>
      </w:tr>
      <w:tr>
        <w:trPr>
          <w:trHeight w:val="128"/>
        </w:trPr>
        <w:tc>
          <w:tcPr>
            <w:tcW w:w="3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January 1, 2022</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42,286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106,807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222,621</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24,811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(17,497)</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230,084</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rPr>
              <w:t>Exercise of stock options, net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278</w:t>
            </w:r>
          </w:p>
        </w:tc>
      </w:tr>
      <w:tr>
        <w:trPr>
          <w:trHeight w:val="135"/>
        </w:trPr>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Shares issued upon vesting of Restricted Stock Units, net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4,867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4,867</w:t>
            </w:r>
          </w:p>
        </w:tc>
      </w:tr>
      <w:tr>
        <w:trPr>
          <w:trHeight w:val="121"/>
        </w:trPr>
        <w:tc>
          <w:tcPr>
            <w:tcW w:w="3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Foreign currency translation adjustments and revaluations, net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49"/>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of tax</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(334)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(334)</w:t>
            </w:r>
          </w:p>
        </w:tc>
      </w:tr>
      <w:tr>
        <w:trPr>
          <w:trHeight w:val="128"/>
        </w:trPr>
        <w:tc>
          <w:tcPr>
            <w:tcW w:w="3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March 31, 2022</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42,561</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106,807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227,751</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24,477</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(19,546)</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232,831</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rPr>
              <w:t>Exercise of stock options, net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r>
      <w:tr>
        <w:trPr>
          <w:trHeight w:val="135"/>
        </w:trPr>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5"/>
              </w:rPr>
              <w:t>Shares issued upon vesting of Restricted Stock Awards, net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4,166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4,166</w:t>
            </w:r>
          </w:p>
        </w:tc>
      </w:tr>
      <w:tr>
        <w:trPr>
          <w:trHeight w:val="135"/>
        </w:trPr>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in connection with ESPP</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967</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967</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rPr>
              <w:t>Class B shares exchanged for Class A shares</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5,500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(5,500)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Foreign currency translation adjustments and revaluations, net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49"/>
        </w:trPr>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of tax</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(11,777)</w:t>
            </w:r>
          </w:p>
        </w:tc>
      </w:tr>
      <w:tr>
        <w:trPr>
          <w:trHeight w:val="135"/>
        </w:trPr>
        <w:tc>
          <w:tcPr>
            <w:tcW w:w="3320" w:type="dxa"/>
            <w:vAlign w:val="bottom"/>
          </w:tcPr>
          <w:p>
            <w:pPr>
              <w:spacing w:after="0" w:line="135" w:lineRule="exact"/>
              <w:rPr>
                <w:sz w:val="20"/>
                <w:szCs w:val="20"/>
                <w:color w:val="auto"/>
              </w:rPr>
            </w:pPr>
            <w:r>
              <w:rPr>
                <w:rFonts w:ascii="Arial" w:cs="Arial" w:eastAsia="Arial" w:hAnsi="Arial"/>
                <w:sz w:val="13"/>
                <w:szCs w:val="13"/>
                <w:color w:val="auto"/>
                <w:w w:val="93"/>
              </w:rPr>
              <w:t>Unrealized gain from available for sale investments, net of tax</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3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(5,520)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(5,520)</w:t>
            </w:r>
          </w:p>
        </w:tc>
      </w:tr>
      <w:tr>
        <w:trPr>
          <w:trHeight w:val="129"/>
        </w:trPr>
        <w:tc>
          <w:tcPr>
            <w:tcW w:w="3320" w:type="dxa"/>
            <w:vAlign w:val="bottom"/>
          </w:tcPr>
          <w:p>
            <w:pPr>
              <w:spacing w:after="0" w:line="129" w:lineRule="exact"/>
              <w:rPr>
                <w:sz w:val="20"/>
                <w:szCs w:val="20"/>
                <w:color w:val="auto"/>
              </w:rPr>
            </w:pPr>
            <w:r>
              <w:rPr>
                <w:rFonts w:ascii="Arial" w:cs="Arial" w:eastAsia="Arial" w:hAnsi="Arial"/>
                <w:sz w:val="13"/>
                <w:szCs w:val="13"/>
                <w:color w:val="auto"/>
              </w:rPr>
              <w:t>Balance, June 30, 2022</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48,316</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101,307</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232,850</w:t>
            </w: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18,957</w:t>
            </w:r>
          </w:p>
        </w:tc>
        <w:tc>
          <w:tcPr>
            <w:tcW w:w="12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(31,321)</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220,635</w:t>
            </w: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80"/>
          </w:cols>
          <w:pgMar w:left="840" w:top="517" w:right="77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Vertex, Inc. and Subsidiaries</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For the six months ended June 30, 2023 and 2022</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15875</wp:posOffset>
            </wp:positionV>
            <wp:extent cx="5657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2022</w:t>
            </w:r>
          </w:p>
        </w:tc>
      </w:tr>
      <w:tr>
        <w:trPr>
          <w:trHeight w:val="142"/>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ind w:right="49"/>
              <w:spacing w:after="0" w:line="142" w:lineRule="exact"/>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2"/>
                <w:szCs w:val="12"/>
                <w:color w:val="auto"/>
              </w:rPr>
            </w:pPr>
          </w:p>
        </w:tc>
      </w:tr>
      <w:tr>
        <w:trPr>
          <w:trHeight w:val="148"/>
        </w:trPr>
        <w:tc>
          <w:tcPr>
            <w:tcW w:w="67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operating activities: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1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(25,028)</w:t>
            </w:r>
          </w:p>
        </w:tc>
        <w:tc>
          <w:tcPr>
            <w:tcW w:w="46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(5,854)</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9"/>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34,190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30,535</w:t>
            </w: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cloud computing implementation costs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Provision for subscription cancellations and non-renewals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1,374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(611)</w:t>
            </w: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Change in fair value of contingent consideration liability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Write-off of deferred financing costs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r>
      <w:tr>
        <w:trPr>
          <w:trHeight w:val="149"/>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18,456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9,127</w:t>
            </w: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 (benefit)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(12,331)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Non-cash operating lease costs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1,534</w:t>
            </w: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w:t>
            </w:r>
          </w:p>
        </w:tc>
      </w:tr>
      <w:tr>
        <w:trPr>
          <w:trHeight w:val="162"/>
        </w:trPr>
        <w:tc>
          <w:tcPr>
            <w:tcW w:w="674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(30,512)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(10,900)</w:t>
            </w: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(3,124)</w:t>
            </w: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commissions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7,655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4,732</w:t>
            </w:r>
          </w:p>
        </w:tc>
      </w:tr>
      <w:tr>
        <w:trPr>
          <w:trHeight w:val="149"/>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w:t>
            </w: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Accrued and deferred compensation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(10,705)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(17,550)</w:t>
            </w: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6,288</w:t>
            </w: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Operating lease liabilities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(1,722)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(1,868)</w:t>
            </w:r>
          </w:p>
        </w:tc>
      </w:tr>
      <w:tr>
        <w:trPr>
          <w:trHeight w:val="148"/>
        </w:trPr>
        <w:tc>
          <w:tcPr>
            <w:tcW w:w="6740" w:type="dxa"/>
            <w:vAlign w:val="bottom"/>
            <w:tcBorders>
              <w:bottom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(1,717)</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(6,445)</w:t>
            </w:r>
          </w:p>
        </w:tc>
      </w:tr>
      <w:tr>
        <w:trPr>
          <w:trHeight w:val="142"/>
        </w:trPr>
        <w:tc>
          <w:tcPr>
            <w:tcW w:w="6740" w:type="dxa"/>
            <w:vAlign w:val="bottom"/>
          </w:tcPr>
          <w:p>
            <w:pPr>
              <w:ind w:left="220"/>
              <w:spacing w:after="0" w:line="142" w:lineRule="exact"/>
              <w:rPr>
                <w:sz w:val="20"/>
                <w:szCs w:val="20"/>
                <w:color w:val="auto"/>
              </w:rPr>
            </w:pPr>
            <w:r>
              <w:rPr>
                <w:rFonts w:ascii="Arial" w:cs="Arial" w:eastAsia="Arial" w:hAnsi="Arial"/>
                <w:sz w:val="14"/>
                <w:szCs w:val="14"/>
                <w:color w:val="auto"/>
              </w:rPr>
              <w:t>Net cash (used in) provided by operating activities</w:t>
            </w: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(898)</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8,588</w:t>
            </w:r>
          </w:p>
        </w:tc>
      </w:tr>
      <w:tr>
        <w:trPr>
          <w:trHeight w:val="142"/>
        </w:trPr>
        <w:tc>
          <w:tcPr>
            <w:tcW w:w="67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investing activities: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9"/>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business, net of cash acquired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and equipment additions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(21,859)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(21,839)</w:t>
            </w:r>
          </w:p>
        </w:tc>
      </w:tr>
      <w:tr>
        <w:trPr>
          <w:trHeight w:val="149"/>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Capitalized software additions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(9,042)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(5,926)</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of investment securities, available-for-sale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(6,943)</w:t>
            </w:r>
          </w:p>
        </w:tc>
      </w:tr>
      <w:tr>
        <w:trPr>
          <w:trHeight w:val="162"/>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Proceeds from maturities of investment securities, available-for-sale</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8,600</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42"/>
        </w:trPr>
        <w:tc>
          <w:tcPr>
            <w:tcW w:w="67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(30,728)</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(35,182)</w:t>
            </w:r>
          </w:p>
        </w:tc>
      </w:tr>
      <w:tr>
        <w:trPr>
          <w:trHeight w:val="142"/>
        </w:trPr>
        <w:tc>
          <w:tcPr>
            <w:tcW w:w="6740" w:type="dxa"/>
            <w:vAlign w:val="bottom"/>
          </w:tcPr>
          <w:p>
            <w:pPr>
              <w:ind w:left="20"/>
              <w:spacing w:after="0" w:line="142" w:lineRule="exact"/>
              <w:rPr>
                <w:sz w:val="20"/>
                <w:szCs w:val="20"/>
                <w:color w:val="auto"/>
              </w:rPr>
            </w:pPr>
            <w:r>
              <w:rPr>
                <w:rFonts w:ascii="Arial" w:cs="Arial" w:eastAsia="Arial" w:hAnsi="Arial"/>
                <w:sz w:val="14"/>
                <w:szCs w:val="14"/>
                <w:color w:val="auto"/>
              </w:rPr>
              <w:t>Cash flows from financing activities: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increase (decrease) in customer funds obligations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14,473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(4,571)</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Proceeds from term loan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r>
      <w:tr>
        <w:trPr>
          <w:trHeight w:val="149"/>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Principal payments on long-term debt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Payments for deferred financing costs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(983)</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purchases of stock under ESPP</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w:t>
            </w:r>
          </w:p>
        </w:tc>
      </w:tr>
      <w:tr>
        <w:trPr>
          <w:trHeight w:val="149"/>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Payments for taxes related to net share settlement of stock-based awards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(3,986)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(489)</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exercise of stock options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Distributions under Tax Sharing Agreement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r>
      <w:tr>
        <w:trPr>
          <w:trHeight w:val="149"/>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purchase commitment and contingent consideration liabilities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Payments of finance lease liabilities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r>
      <w:tr>
        <w:trPr>
          <w:trHeight w:val="149"/>
        </w:trPr>
        <w:tc>
          <w:tcPr>
            <w:tcW w:w="674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deferred purchase commitments</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r>
      <w:tr>
        <w:trPr>
          <w:trHeight w:val="142"/>
        </w:trPr>
        <w:tc>
          <w:tcPr>
            <w:tcW w:w="6740" w:type="dxa"/>
            <w:vAlign w:val="bottom"/>
          </w:tcPr>
          <w:p>
            <w:pPr>
              <w:ind w:left="12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(3,481)</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34,489</w:t>
            </w:r>
          </w:p>
        </w:tc>
      </w:tr>
      <w:tr>
        <w:trPr>
          <w:trHeight w:val="142"/>
        </w:trPr>
        <w:tc>
          <w:tcPr>
            <w:tcW w:w="674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380</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w:t>
            </w:r>
          </w:p>
        </w:tc>
      </w:tr>
      <w:tr>
        <w:trPr>
          <w:trHeight w:val="155"/>
        </w:trPr>
        <w:tc>
          <w:tcPr>
            <w:tcW w:w="6740" w:type="dxa"/>
            <w:vAlign w:val="bottom"/>
          </w:tcPr>
          <w:p>
            <w:pPr>
              <w:ind w:left="120"/>
              <w:spacing w:after="0" w:line="155" w:lineRule="exact"/>
              <w:rPr>
                <w:sz w:val="20"/>
                <w:szCs w:val="20"/>
                <w:color w:val="auto"/>
              </w:rPr>
            </w:pPr>
            <w:r>
              <w:rPr>
                <w:rFonts w:ascii="Arial" w:cs="Arial" w:eastAsia="Arial" w:hAnsi="Arial"/>
                <w:sz w:val="14"/>
                <w:szCs w:val="14"/>
                <w:color w:val="auto"/>
              </w:rPr>
              <w:t>Net (decrease) increase in cash, cash equivalents and restricted cash</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(34,727)</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7,283</w:t>
            </w:r>
          </w:p>
        </w:tc>
      </w:tr>
      <w:tr>
        <w:trPr>
          <w:trHeight w:val="149"/>
        </w:trPr>
        <w:tc>
          <w:tcPr>
            <w:tcW w:w="67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beginning of period</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106,748</w:t>
            </w: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98,206</w:t>
            </w:r>
          </w:p>
        </w:tc>
      </w:tr>
      <w:tr>
        <w:trPr>
          <w:trHeight w:val="182"/>
        </w:trPr>
        <w:tc>
          <w:tcPr>
            <w:tcW w:w="674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72,021</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105,489</w:t>
            </w:r>
          </w:p>
        </w:tc>
      </w:tr>
      <w:tr>
        <w:trPr>
          <w:trHeight w:val="83"/>
        </w:trPr>
        <w:tc>
          <w:tcPr>
            <w:tcW w:w="6740" w:type="dxa"/>
            <w:vAlign w:val="bottom"/>
            <w:shd w:val="clear" w:color="auto" w:fill="CCEEFF"/>
          </w:tcPr>
          <w:p>
            <w:pPr>
              <w:ind w:left="20"/>
              <w:spacing w:after="0" w:line="84" w:lineRule="exact"/>
              <w:rPr>
                <w:sz w:val="20"/>
                <w:szCs w:val="20"/>
                <w:color w:val="auto"/>
              </w:rPr>
            </w:pPr>
            <w:r>
              <w:rPr>
                <w:rFonts w:ascii="Arial" w:cs="Arial" w:eastAsia="Arial" w:hAnsi="Arial"/>
                <w:sz w:val="9"/>
                <w:szCs w:val="9"/>
                <w:color w:val="auto"/>
              </w:rPr>
              <w:t>Reconciliation of cash, cash equivalents and restricted cash to the Condensed Consolidated Balance Sheets, end of</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67"/>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41,865</w:t>
            </w:r>
          </w:p>
        </w:tc>
        <w:tc>
          <w:tcPr>
            <w:tcW w:w="46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85,554</w:t>
            </w:r>
          </w:p>
        </w:tc>
      </w:tr>
      <w:tr>
        <w:trPr>
          <w:trHeight w:val="149"/>
        </w:trPr>
        <w:tc>
          <w:tcPr>
            <w:tcW w:w="674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cash—funds held for customers</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30,156</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19,935</w:t>
            </w:r>
          </w:p>
        </w:tc>
      </w:tr>
      <w:tr>
        <w:trPr>
          <w:trHeight w:val="142"/>
        </w:trPr>
        <w:tc>
          <w:tcPr>
            <w:tcW w:w="6740" w:type="dxa"/>
            <w:vAlign w:val="bottom"/>
          </w:tcPr>
          <w:p>
            <w:pPr>
              <w:ind w:left="120"/>
              <w:spacing w:after="0" w:line="129" w:lineRule="exact"/>
              <w:rPr>
                <w:sz w:val="20"/>
                <w:szCs w:val="20"/>
                <w:color w:val="auto"/>
              </w:rPr>
            </w:pPr>
            <w:r>
              <w:rPr>
                <w:rFonts w:ascii="Arial" w:cs="Arial" w:eastAsia="Arial" w:hAnsi="Arial"/>
                <w:sz w:val="14"/>
                <w:szCs w:val="14"/>
                <w:color w:val="auto"/>
              </w:rPr>
              <w:t>Total cash, cash equivalents and restricted cash, end of period</w:t>
            </w:r>
          </w:p>
        </w:tc>
        <w:tc>
          <w:tcPr>
            <w:tcW w:w="160" w:type="dxa"/>
            <w:vAlign w:val="bottom"/>
            <w:gridSpan w:val="2"/>
          </w:tcPr>
          <w:p>
            <w:pPr>
              <w:jc w:val="right"/>
              <w:ind w:right="29"/>
              <w:spacing w:after="0" w:line="12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29" w:lineRule="exact"/>
              <w:rPr>
                <w:sz w:val="20"/>
                <w:szCs w:val="20"/>
                <w:color w:val="auto"/>
              </w:rPr>
            </w:pPr>
            <w:r>
              <w:rPr>
                <w:rFonts w:ascii="Arial" w:cs="Arial" w:eastAsia="Arial" w:hAnsi="Arial"/>
                <w:sz w:val="14"/>
                <w:szCs w:val="14"/>
                <w:color w:val="auto"/>
              </w:rPr>
              <w:t>72,021</w:t>
            </w:r>
          </w:p>
        </w:tc>
        <w:tc>
          <w:tcPr>
            <w:tcW w:w="460" w:type="dxa"/>
            <w:vAlign w:val="bottom"/>
            <w:gridSpan w:val="2"/>
          </w:tcPr>
          <w:p>
            <w:pPr>
              <w:jc w:val="right"/>
              <w:ind w:right="149"/>
              <w:spacing w:after="0" w:line="12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105,489</w:t>
            </w:r>
          </w:p>
        </w:tc>
      </w:tr>
      <w:tr>
        <w:trPr>
          <w:trHeight w:val="20"/>
        </w:trPr>
        <w:tc>
          <w:tcPr>
            <w:tcW w:w="6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0" w:right="3979" w:hanging="330"/>
        <w:spacing w:after="0" w:line="503" w:lineRule="auto"/>
        <w:tabs>
          <w:tab w:leader="none" w:pos="37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Nature of Business</w:t>
      </w:r>
    </w:p>
    <w:p>
      <w:pPr>
        <w:jc w:val="both"/>
        <w:ind w:left="60" w:right="59" w:firstLine="324"/>
        <w:spacing w:after="0" w:line="255" w:lineRule="auto"/>
        <w:rPr>
          <w:sz w:val="20"/>
          <w:szCs w:val="20"/>
          <w:color w:val="auto"/>
        </w:rPr>
      </w:pPr>
      <w:r>
        <w:rPr>
          <w:rFonts w:ascii="Arial" w:cs="Arial" w:eastAsia="Arial" w:hAnsi="Arial"/>
          <w:sz w:val="18"/>
          <w:szCs w:val="18"/>
          <w:color w:val="auto"/>
        </w:rPr>
        <w:t>Vertex, Inc. (“Vertex”) and its consolidated subsidiaries and variable interest entities (“VIE”)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condensed consolidated financial statements are prepared in accordance with accounting principles generally accepted in the U.S. (“U.S. GAAP”) and include the accounts of the Company. All intercompany transactions have been eliminated in consolidation.</w:t>
      </w:r>
    </w:p>
    <w:p>
      <w:pPr>
        <w:spacing w:after="0" w:line="184"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has a 80% controlling equity interest in Systax Sistemas Fiscais LTDA (“Systax”), a provider of Brazilian transaction tax content and software. Systax was determined to be a VIE and the accounts are included in the condensed consolidated condensed financial statements. Vertex does not have full decision-making authority over Systax; however, Vertex is the entity that most significantly participates in the variability of the fair value of Systax’s net assets and is considered the entity most closely associated to Systax. As such, Vertex is deemed the primary beneficiary of Systax and consolidates Systax into its condensed consolidated financial statements.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U.S. GAAP have been condensed or omitted. Accordingly, these interim condensed consolidated financial statements should be read in conjunction with the audited consolidated financial statements and the related notes for the year ended December 31, 2022 included in the Company’s Annual Report on Form 10-K for the year ended December 31, 2022 (the “2022 Annual Report”) filed with the SEC on March 10, 2023. The condensed consolidated balance sheet as of December 31, 2022 has been derived from audited financial statements included in the 2022 Annual Report. The accompanying interim condensed consolidated balance sheet as of June 30, 2023, the interim condensed consolidated statements of comprehensive loss and changes in stockholders’ equity for the three and six months ended June 30, 2023 and 2022, and the interim condensed consolidated statements of cash flows for the six months ended June 30, 2023 and 2022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and six months ended June 30, 2023 are not necessarily indicative of the results expected for the full year ending December 31, 2023.</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Revision of Previously Issued Financial Statements</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Certain prior period amounts on the condensed consolidated balance sheets and condensed consolidated statements of cash flows, reflected in the tables below, have been revised to correct for certain immaterial errors, as described below.</w:t>
      </w:r>
    </w:p>
    <w:p>
      <w:pPr>
        <w:spacing w:after="0" w:line="12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During the second quarter of 2023, management identified certain immaterial errors impacting previously issued financial statements beginning as of December 31, 2021, and subsequent annual and quarterly reporting periods through March 31, 2023. Specifically, management identified an error in financial statement presentation required to be corrected to correctly reflect Cloud Computing Arrangement (“CCA”) software implementation costs in accordance with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Accounting Standards Codification (“ASC”) 350-40, </w:t>
      </w:r>
      <w:r>
        <w:rPr>
          <w:rFonts w:ascii="Arial" w:cs="Arial" w:eastAsia="Arial" w:hAnsi="Arial"/>
          <w:sz w:val="17"/>
          <w:szCs w:val="17"/>
          <w:i w:val="1"/>
          <w:iCs w:val="1"/>
          <w:color w:val="auto"/>
        </w:rPr>
        <w:t>Goodwill and Other, Internal-Use Software</w:t>
      </w:r>
      <w:r>
        <w:rPr>
          <w:rFonts w:ascii="Arial" w:cs="Arial" w:eastAsia="Arial" w:hAnsi="Arial"/>
          <w:sz w:val="17"/>
          <w:szCs w:val="17"/>
          <w:color w:val="auto"/>
        </w:rPr>
        <w:t xml:space="preserve"> (“ASC 350-40”). Management determined that these software implementation costs were subject to the internal-use software guidance under ASC 350-40 and appropriately capitalized these implementation costs in accordance with this guidance. Although the costs were correctly capitalized, they were incorrectly presented as property and equipment in the consolidated balance sheets, and as property and equipment additions in the consolidated statements of cash flows.</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Management assessed the materiality of this presentation on prior period consolidated financial statements in accordance with the SEC Staff Accounting Bulletin No. 99, “Materiality,” codified in ASC Topic 250, Accounting Changes and Error Corrections (“ASC 250”). Based on this assessment, management concluded that the error correction is not material to any previously presented interim or annual financial statements.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effect on the consolidated balance sheets is as follows:</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December 31, 2021</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3"/>
              </w:rPr>
              <w:t>As Reported</w:t>
            </w:r>
          </w:p>
        </w:tc>
        <w:tc>
          <w:tcPr>
            <w:tcW w:w="3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Revision</w:t>
            </w:r>
          </w:p>
        </w:tc>
        <w:tc>
          <w:tcPr>
            <w:tcW w:w="2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As Revised</w:t>
            </w:r>
          </w:p>
        </w:tc>
      </w:tr>
      <w:tr>
        <w:trPr>
          <w:trHeight w:val="209"/>
        </w:trPr>
        <w:tc>
          <w:tcPr>
            <w:tcW w:w="45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6"/>
              </w:rPr>
              <w:t>Property and equipment, net of accumulated depreciation</w:t>
            </w:r>
          </w:p>
        </w:tc>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98,390</w:t>
            </w:r>
          </w:p>
        </w:tc>
        <w:tc>
          <w:tcPr>
            <w:tcW w:w="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96,710</w:t>
            </w: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1,900</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3,580</w:t>
            </w:r>
          </w:p>
        </w:tc>
      </w:tr>
      <w:tr>
        <w:trPr>
          <w:trHeight w:val="216"/>
        </w:trPr>
        <w:tc>
          <w:tcPr>
            <w:tcW w:w="4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March 31, 2022 (unaudited)</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Property and equipment, net of accumulated depreciation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97,586</w:t>
            </w: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3,158</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7,800</w:t>
            </w:r>
          </w:p>
        </w:tc>
      </w:tr>
      <w:tr>
        <w:trPr>
          <w:trHeight w:val="216"/>
        </w:trPr>
        <w:tc>
          <w:tcPr>
            <w:tcW w:w="4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June 30, 2022 (unaudited)</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Property and equipment, net of accumulated depreciation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98,858</w:t>
            </w: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10,260</w:t>
            </w:r>
          </w:p>
        </w:tc>
      </w:tr>
      <w:tr>
        <w:trPr>
          <w:trHeight w:val="216"/>
        </w:trPr>
        <w:tc>
          <w:tcPr>
            <w:tcW w:w="4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September 30, 2022 (unaudited)</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Property and equipment, net of accumulated depreciation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98,016</w:t>
            </w: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13,529</w:t>
            </w:r>
          </w:p>
        </w:tc>
      </w:tr>
      <w:tr>
        <w:trPr>
          <w:trHeight w:val="216"/>
        </w:trPr>
        <w:tc>
          <w:tcPr>
            <w:tcW w:w="4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22,340</w:t>
            </w: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241,189</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243,146</w:t>
            </w: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Property and equipment, net of accumulated depreciation</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115,768</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101,090</w:t>
            </w: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15,333</w:t>
            </w:r>
          </w:p>
        </w:tc>
      </w:tr>
      <w:tr>
        <w:trPr>
          <w:trHeight w:val="216"/>
        </w:trPr>
        <w:tc>
          <w:tcPr>
            <w:tcW w:w="4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March 31, 2023 (unaudited)</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26,124</w:t>
            </w: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231,435</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235,023</w:t>
            </w: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Property and equipment, net of accumulated depreciation</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117,444</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(17,942)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99,502</w:t>
            </w: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2,621</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16,975</w:t>
            </w:r>
          </w:p>
        </w:tc>
      </w:tr>
    </w:tbl>
    <w:p>
      <w:pPr>
        <w:spacing w:after="0" w:line="200" w:lineRule="exact"/>
        <w:rPr>
          <w:sz w:val="20"/>
          <w:szCs w:val="20"/>
          <w:color w:val="auto"/>
        </w:rPr>
      </w:pPr>
    </w:p>
    <w:p>
      <w:pPr>
        <w:sectPr>
          <w:pgSz w:w="11900" w:h="16838" w:orient="portrait"/>
          <w:cols w:equalWidth="0" w:num="1">
            <w:col w:w="9019"/>
          </w:cols>
          <w:pgMar w:left="1440" w:top="6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606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The effect on the consolidated statements of cash flows are as follows:</w:t>
            </w: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445"/>
        </w:trPr>
        <w:tc>
          <w:tcPr>
            <w:tcW w:w="4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4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8"/>
                <w:szCs w:val="18"/>
                <w:b w:val="1"/>
                <w:bCs w:val="1"/>
                <w:color w:val="auto"/>
                <w:w w:val="99"/>
              </w:rPr>
              <w:t>Twelve months ended December 31, 2021</w:t>
            </w:r>
          </w:p>
        </w:tc>
      </w:tr>
      <w:tr>
        <w:trPr>
          <w:trHeight w:val="210"/>
        </w:trPr>
        <w:tc>
          <w:tcPr>
            <w:tcW w:w="4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3"/>
              </w:rPr>
              <w:t>As Reported</w:t>
            </w:r>
          </w:p>
        </w:tc>
        <w:tc>
          <w:tcPr>
            <w:tcW w:w="3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Revision</w:t>
            </w:r>
          </w:p>
        </w:tc>
        <w:tc>
          <w:tcPr>
            <w:tcW w:w="2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As Revised</w:t>
            </w:r>
          </w:p>
        </w:tc>
      </w:tr>
      <w:tr>
        <w:trPr>
          <w:trHeight w:val="196"/>
        </w:trPr>
        <w:tc>
          <w:tcPr>
            <w:tcW w:w="4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Other changes in operating assets and liabilities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(1,344)</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91,969</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90,289</w:t>
            </w:r>
          </w:p>
        </w:tc>
      </w:tr>
      <w:tr>
        <w:trPr>
          <w:trHeight w:val="216"/>
        </w:trPr>
        <w:tc>
          <w:tcPr>
            <w:tcW w:w="4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Property and equipment additions</w:t>
            </w: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(33,386)</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(31,706)</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(296,458)</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(294,778)</w:t>
            </w:r>
          </w:p>
        </w:tc>
      </w:tr>
    </w:tbl>
    <w:p>
      <w:pPr>
        <w:spacing w:after="0" w:line="198" w:lineRule="exact"/>
        <w:rPr>
          <w:sz w:val="20"/>
          <w:szCs w:val="20"/>
          <w:color w:val="auto"/>
        </w:rPr>
      </w:pPr>
    </w:p>
    <w:p>
      <w:pPr>
        <w:sectPr>
          <w:pgSz w:w="11900" w:h="16838" w:orient="portrait"/>
          <w:cols w:equalWidth="0" w:num="1">
            <w:col w:w="9019"/>
          </w:cols>
          <w:pgMar w:left="1440" w:top="675" w:right="1440" w:bottom="1440" w:gutter="0" w:footer="0" w:header="0"/>
        </w:sect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(unaudited)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operating activities:</w:t>
      </w:r>
    </w:p>
    <w:p>
      <w:pPr>
        <w:spacing w:after="0" w:line="7" w:lineRule="exact"/>
        <w:rPr>
          <w:sz w:val="20"/>
          <w:szCs w:val="20"/>
          <w:color w:val="auto"/>
        </w:rPr>
      </w:pPr>
    </w:p>
    <w:p>
      <w:pPr>
        <w:ind w:left="60" w:right="480" w:firstLine="108"/>
        <w:spacing w:after="0" w:line="323" w:lineRule="auto"/>
        <w:rPr>
          <w:sz w:val="20"/>
          <w:szCs w:val="20"/>
          <w:color w:val="auto"/>
        </w:rPr>
      </w:pPr>
      <w:r>
        <w:rPr>
          <w:rFonts w:ascii="Arial" w:cs="Arial" w:eastAsia="Arial" w:hAnsi="Arial"/>
          <w:sz w:val="16"/>
          <w:szCs w:val="16"/>
          <w:color w:val="auto"/>
        </w:rPr>
        <w:t>Other changes in operating assets and liabilities Net cash (used in) provided by operating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39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Three months ended March 31, 2022</w:t>
            </w:r>
          </w:p>
        </w:tc>
      </w:tr>
      <w:tr>
        <w:trPr>
          <w:trHeight w:val="209"/>
        </w:trPr>
        <w:tc>
          <w:tcPr>
            <w:tcW w:w="1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As Reported</w:t>
            </w:r>
          </w:p>
        </w:tc>
        <w:tc>
          <w:tcPr>
            <w:tcW w:w="34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Revision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As Revised</w:t>
            </w:r>
          </w:p>
        </w:tc>
      </w:tr>
      <w:tr>
        <w:trPr>
          <w:trHeight w:val="41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(2,962)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(3,912)</w:t>
            </w:r>
          </w:p>
        </w:tc>
      </w:tr>
      <w:tr>
        <w:trPr>
          <w:trHeight w:val="230"/>
        </w:trPr>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2,595</w:t>
            </w:r>
          </w:p>
        </w:tc>
        <w:tc>
          <w:tcPr>
            <w:tcW w:w="3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(2,962)</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-410845</wp:posOffset>
            </wp:positionV>
            <wp:extent cx="56578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-136525</wp:posOffset>
            </wp:positionV>
            <wp:extent cx="56578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4160" w:space="720"/>
            <w:col w:w="4139"/>
          </w:cols>
          <w:pgMar w:left="1440" w:top="675" w:right="1440"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Property and equipment additions</w:t>
            </w:r>
          </w:p>
        </w:tc>
        <w:tc>
          <w:tcPr>
            <w:tcW w:w="2500" w:type="dxa"/>
            <w:vAlign w:val="bottom"/>
          </w:tcPr>
          <w:p>
            <w:pPr>
              <w:jc w:val="right"/>
              <w:ind w:right="390"/>
              <w:spacing w:after="0"/>
              <w:rPr>
                <w:sz w:val="20"/>
                <w:szCs w:val="20"/>
                <w:color w:val="auto"/>
              </w:rPr>
            </w:pPr>
            <w:r>
              <w:rPr>
                <w:rFonts w:ascii="Arial" w:cs="Arial" w:eastAsia="Arial" w:hAnsi="Arial"/>
                <w:sz w:val="18"/>
                <w:szCs w:val="18"/>
                <w:color w:val="auto"/>
              </w:rPr>
              <w:t>(13,873)</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2,962</w:t>
            </w:r>
          </w:p>
        </w:tc>
        <w:tc>
          <w:tcPr>
            <w:tcW w:w="1060" w:type="dxa"/>
            <w:vAlign w:val="bottom"/>
          </w:tcPr>
          <w:p>
            <w:pPr>
              <w:jc w:val="right"/>
              <w:spacing w:after="0"/>
              <w:rPr>
                <w:sz w:val="20"/>
                <w:szCs w:val="20"/>
                <w:color w:val="auto"/>
              </w:rPr>
            </w:pPr>
            <w:r>
              <w:rPr>
                <w:rFonts w:ascii="Arial" w:cs="Arial" w:eastAsia="Arial" w:hAnsi="Arial"/>
                <w:sz w:val="18"/>
                <w:szCs w:val="18"/>
                <w:color w:val="auto"/>
              </w:rPr>
              <w:t>(10,911)</w:t>
            </w: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(17,259)</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w:t>
            </w:r>
          </w:p>
        </w:tc>
      </w:tr>
    </w:tbl>
    <w:p>
      <w:pPr>
        <w:spacing w:after="0" w:line="198" w:lineRule="exact"/>
        <w:rPr>
          <w:sz w:val="20"/>
          <w:szCs w:val="20"/>
          <w:color w:val="auto"/>
        </w:rPr>
      </w:pPr>
    </w:p>
    <w:p>
      <w:pPr>
        <w:sectPr>
          <w:pgSz w:w="11900" w:h="16838" w:orient="portrait"/>
          <w:cols w:equalWidth="0" w:num="1">
            <w:col w:w="9019"/>
          </w:cols>
          <w:pgMar w:left="1440" w:top="675" w:right="1440" w:bottom="1440" w:gutter="0" w:footer="0" w:header="0"/>
          <w:type w:val="continuous"/>
        </w:sect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(unaudited)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operating activities:</w:t>
      </w:r>
    </w:p>
    <w:p>
      <w:pPr>
        <w:spacing w:after="0" w:line="7" w:lineRule="exact"/>
        <w:rPr>
          <w:sz w:val="20"/>
          <w:szCs w:val="20"/>
          <w:color w:val="auto"/>
        </w:rPr>
      </w:pPr>
    </w:p>
    <w:p>
      <w:pPr>
        <w:ind w:left="60" w:right="480" w:firstLine="108"/>
        <w:spacing w:after="0" w:line="323" w:lineRule="auto"/>
        <w:rPr>
          <w:sz w:val="20"/>
          <w:szCs w:val="20"/>
          <w:color w:val="auto"/>
        </w:rPr>
      </w:pPr>
      <w:r>
        <w:rPr>
          <w:rFonts w:ascii="Arial" w:cs="Arial" w:eastAsia="Arial" w:hAnsi="Arial"/>
          <w:sz w:val="16"/>
          <w:szCs w:val="16"/>
          <w:color w:val="auto"/>
        </w:rPr>
        <w:t>Other changes in operating assets and liabilities Net cash (used in) provided by operating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39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Six months ended June 30, 2022</w:t>
            </w:r>
          </w:p>
        </w:tc>
      </w:tr>
      <w:tr>
        <w:trPr>
          <w:trHeight w:val="210"/>
        </w:trPr>
        <w:tc>
          <w:tcPr>
            <w:tcW w:w="1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As Reported</w:t>
            </w:r>
          </w:p>
        </w:tc>
        <w:tc>
          <w:tcPr>
            <w:tcW w:w="34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Revision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As Revised</w:t>
            </w:r>
          </w:p>
        </w:tc>
      </w:tr>
      <w:tr>
        <w:trPr>
          <w:trHeight w:val="41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(5,988)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(6,445)</w:t>
            </w:r>
          </w:p>
        </w:tc>
      </w:tr>
      <w:tr>
        <w:trPr>
          <w:trHeight w:val="230"/>
        </w:trPr>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14,576</w:t>
            </w:r>
          </w:p>
        </w:tc>
        <w:tc>
          <w:tcPr>
            <w:tcW w:w="3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(5,988)</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-410845</wp:posOffset>
            </wp:positionV>
            <wp:extent cx="56578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-136525</wp:posOffset>
            </wp:positionV>
            <wp:extent cx="56578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4160" w:space="720"/>
            <w:col w:w="4139"/>
          </w:cols>
          <w:pgMar w:left="1440" w:top="675" w:right="1440"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Property and equipment additions</w:t>
            </w:r>
          </w:p>
        </w:tc>
        <w:tc>
          <w:tcPr>
            <w:tcW w:w="2500" w:type="dxa"/>
            <w:vAlign w:val="bottom"/>
          </w:tcPr>
          <w:p>
            <w:pPr>
              <w:jc w:val="right"/>
              <w:ind w:right="390"/>
              <w:spacing w:after="0"/>
              <w:rPr>
                <w:sz w:val="20"/>
                <w:szCs w:val="20"/>
                <w:color w:val="auto"/>
              </w:rPr>
            </w:pPr>
            <w:r>
              <w:rPr>
                <w:rFonts w:ascii="Arial" w:cs="Arial" w:eastAsia="Arial" w:hAnsi="Arial"/>
                <w:sz w:val="18"/>
                <w:szCs w:val="18"/>
                <w:color w:val="auto"/>
              </w:rPr>
              <w:t>(27,827)</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5,988</w:t>
            </w:r>
          </w:p>
        </w:tc>
        <w:tc>
          <w:tcPr>
            <w:tcW w:w="1060" w:type="dxa"/>
            <w:vAlign w:val="bottom"/>
          </w:tcPr>
          <w:p>
            <w:pPr>
              <w:jc w:val="right"/>
              <w:spacing w:after="0"/>
              <w:rPr>
                <w:sz w:val="20"/>
                <w:szCs w:val="20"/>
                <w:color w:val="auto"/>
              </w:rPr>
            </w:pPr>
            <w:r>
              <w:rPr>
                <w:rFonts w:ascii="Arial" w:cs="Arial" w:eastAsia="Arial" w:hAnsi="Arial"/>
                <w:sz w:val="18"/>
                <w:szCs w:val="18"/>
                <w:color w:val="auto"/>
              </w:rPr>
              <w:t>(21,839)</w:t>
            </w: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(41,170)</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5,988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(35,182)</w:t>
            </w:r>
          </w:p>
        </w:tc>
      </w:tr>
    </w:tbl>
    <w:p>
      <w:pPr>
        <w:spacing w:after="0" w:line="198" w:lineRule="exact"/>
        <w:rPr>
          <w:sz w:val="20"/>
          <w:szCs w:val="20"/>
          <w:color w:val="auto"/>
        </w:rPr>
      </w:pPr>
    </w:p>
    <w:p>
      <w:pPr>
        <w:sectPr>
          <w:pgSz w:w="11900" w:h="16838" w:orient="portrait"/>
          <w:cols w:equalWidth="0" w:num="1">
            <w:col w:w="9019"/>
          </w:cols>
          <w:pgMar w:left="1440" w:top="675" w:right="1440" w:bottom="1440" w:gutter="0" w:footer="0" w:header="0"/>
          <w:type w:val="continuous"/>
        </w:sect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(unaudited)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operating activities:</w:t>
      </w:r>
    </w:p>
    <w:p>
      <w:pPr>
        <w:spacing w:after="0" w:line="7" w:lineRule="exact"/>
        <w:rPr>
          <w:sz w:val="20"/>
          <w:szCs w:val="20"/>
          <w:color w:val="auto"/>
        </w:rPr>
      </w:pPr>
    </w:p>
    <w:p>
      <w:pPr>
        <w:ind w:left="60" w:right="480" w:firstLine="108"/>
        <w:spacing w:after="0" w:line="323" w:lineRule="auto"/>
        <w:rPr>
          <w:sz w:val="20"/>
          <w:szCs w:val="20"/>
          <w:color w:val="auto"/>
        </w:rPr>
      </w:pPr>
      <w:r>
        <w:rPr>
          <w:rFonts w:ascii="Arial" w:cs="Arial" w:eastAsia="Arial" w:hAnsi="Arial"/>
          <w:sz w:val="16"/>
          <w:szCs w:val="16"/>
          <w:color w:val="auto"/>
        </w:rPr>
        <w:t>Other changes in operating assets and liabilities Net cash (used in) provided by operating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39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Nine months ended September 30, 2022</w:t>
            </w:r>
          </w:p>
        </w:tc>
      </w:tr>
      <w:tr>
        <w:trPr>
          <w:trHeight w:val="210"/>
        </w:trPr>
        <w:tc>
          <w:tcPr>
            <w:tcW w:w="1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As Reported</w:t>
            </w:r>
          </w:p>
        </w:tc>
        <w:tc>
          <w:tcPr>
            <w:tcW w:w="34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Revision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As Revised</w:t>
            </w:r>
          </w:p>
        </w:tc>
      </w:tr>
      <w:tr>
        <w:trPr>
          <w:trHeight w:val="41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(9,427)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(9,776)</w:t>
            </w:r>
          </w:p>
        </w:tc>
      </w:tr>
      <w:tr>
        <w:trPr>
          <w:trHeight w:val="230"/>
        </w:trPr>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33,026</w:t>
            </w:r>
          </w:p>
        </w:tc>
        <w:tc>
          <w:tcPr>
            <w:tcW w:w="3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(9,427)</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-410845</wp:posOffset>
            </wp:positionV>
            <wp:extent cx="56578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-136525</wp:posOffset>
            </wp:positionV>
            <wp:extent cx="56578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4160" w:space="720"/>
            <w:col w:w="4139"/>
          </w:cols>
          <w:pgMar w:left="1440" w:top="675" w:right="1440"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Property and equipment additions</w:t>
            </w: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(42,973)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(33,546)</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(50,435)</w:t>
            </w:r>
          </w:p>
        </w:tc>
      </w:tr>
      <w:tr>
        <w:trPr>
          <w:trHeight w:val="432"/>
        </w:trPr>
        <w:tc>
          <w:tcPr>
            <w:tcW w:w="4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4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8"/>
                <w:szCs w:val="18"/>
                <w:b w:val="1"/>
                <w:bCs w:val="1"/>
                <w:color w:val="auto"/>
                <w:w w:val="99"/>
              </w:rPr>
              <w:t>Twelve months ended December 31, 2022</w:t>
            </w:r>
          </w:p>
        </w:tc>
      </w:tr>
      <w:tr>
        <w:trPr>
          <w:trHeight w:val="210"/>
        </w:trPr>
        <w:tc>
          <w:tcPr>
            <w:tcW w:w="4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3"/>
              </w:rPr>
              <w:t>As Reported</w:t>
            </w:r>
          </w:p>
        </w:tc>
        <w:tc>
          <w:tcPr>
            <w:tcW w:w="3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Revision</w:t>
            </w:r>
          </w:p>
        </w:tc>
        <w:tc>
          <w:tcPr>
            <w:tcW w:w="2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As Revised</w:t>
            </w:r>
          </w:p>
        </w:tc>
      </w:tr>
      <w:tr>
        <w:trPr>
          <w:trHeight w:val="21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(2,171)</w:t>
            </w: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changes in operating assets and liabilities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76,846</w:t>
            </w:r>
          </w:p>
        </w:tc>
        <w:tc>
          <w:tcPr>
            <w:tcW w:w="3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(12,998)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63,848</w:t>
            </w:r>
          </w:p>
        </w:tc>
      </w:tr>
      <w:tr>
        <w:trPr>
          <w:trHeight w:val="216"/>
        </w:trPr>
        <w:tc>
          <w:tcPr>
            <w:tcW w:w="4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additions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(58,530)</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(45,532)</w:t>
            </w: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(85,046)</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(72,048)</w:t>
            </w:r>
          </w:p>
        </w:tc>
      </w:tr>
    </w:tbl>
    <w:p>
      <w:pPr>
        <w:spacing w:after="0" w:line="200" w:lineRule="exact"/>
        <w:rPr>
          <w:sz w:val="20"/>
          <w:szCs w:val="20"/>
          <w:color w:val="auto"/>
        </w:rPr>
      </w:pPr>
    </w:p>
    <w:p>
      <w:pPr>
        <w:sectPr>
          <w:pgSz w:w="11900" w:h="16838" w:orient="portrait"/>
          <w:cols w:equalWidth="0" w:num="1">
            <w:col w:w="9019"/>
          </w:cols>
          <w:pgMar w:left="1440" w:top="67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2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940" w:type="dxa"/>
            <w:vAlign w:val="bottom"/>
            <w:tcBorders>
              <w:top w:val="single" w:sz="8" w:color="auto"/>
              <w:bottom w:val="single" w:sz="8" w:color="auto"/>
            </w:tcBorders>
            <w:gridSpan w:val="6"/>
          </w:tcPr>
          <w:p>
            <w:pPr>
              <w:jc w:val="right"/>
              <w:ind w:right="470"/>
              <w:spacing w:after="0"/>
              <w:rPr>
                <w:sz w:val="20"/>
                <w:szCs w:val="20"/>
                <w:color w:val="auto"/>
              </w:rPr>
            </w:pPr>
            <w:r>
              <w:rPr>
                <w:rFonts w:ascii="Arial" w:cs="Arial" w:eastAsia="Arial" w:hAnsi="Arial"/>
                <w:sz w:val="18"/>
                <w:szCs w:val="18"/>
                <w:b w:val="1"/>
                <w:bCs w:val="1"/>
                <w:color w:val="auto"/>
              </w:rPr>
              <w:t>Three months ended March 31, 2023</w:t>
            </w:r>
          </w:p>
        </w:tc>
      </w:tr>
      <w:tr>
        <w:trPr>
          <w:trHeight w:val="20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As Reported</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Revision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As Revised</w:t>
            </w:r>
          </w:p>
        </w:tc>
      </w:tr>
      <w:tr>
        <w:trPr>
          <w:trHeight w:val="210"/>
        </w:trPr>
        <w:tc>
          <w:tcPr>
            <w:tcW w:w="4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Other changes in operating assets and liabilities</w:t>
            </w: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(1,633)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(1,691)</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r>
      <w:tr>
        <w:trPr>
          <w:trHeight w:val="216"/>
        </w:trPr>
        <w:tc>
          <w:tcPr>
            <w:tcW w:w="4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Property and equipment additions</w:t>
            </w: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(13,313)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(10,049)</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(17,561)</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w:t>
            </w:r>
          </w:p>
        </w:tc>
      </w:tr>
    </w:tbl>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condensed consolidated balance sheet as of December 31, 2022 and the condensed consolidated statement of cash flows for the six months ended June 30, 2022 have been revised in this Quarterly Report on Form 10-Q. The Company intends to revise the remaining quarterly and annual amounts affected in future filings in which they appear, as applicable.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Segments</w:t>
      </w:r>
    </w:p>
    <w:p>
      <w:pPr>
        <w:spacing w:after="0" w:line="243" w:lineRule="exact"/>
        <w:rPr>
          <w:sz w:val="20"/>
          <w:szCs w:val="20"/>
          <w:color w:val="auto"/>
        </w:rPr>
      </w:pPr>
    </w:p>
    <w:p>
      <w:pPr>
        <w:jc w:val="both"/>
        <w:ind w:left="100" w:right="119" w:firstLine="292"/>
        <w:spacing w:after="0" w:line="272" w:lineRule="auto"/>
        <w:rPr>
          <w:sz w:val="20"/>
          <w:szCs w:val="20"/>
          <w:color w:val="auto"/>
        </w:rPr>
      </w:pPr>
      <w:r>
        <w:rPr>
          <w:rFonts w:ascii="Arial" w:cs="Arial" w:eastAsia="Arial" w:hAnsi="Arial"/>
          <w:sz w:val="18"/>
          <w:szCs w:val="18"/>
          <w:color w:val="auto"/>
        </w:rPr>
        <w:t>The Company operates its business as one operating segment. For the three and six months ended June 30, 2023, approximately 7% of the Company’s revenues were generated from customers located outside the U.S. For the three and six months ended June 30, 2022, revenues generated from customers located outside the U.S. were approximately 10% and 8%, respectively. As of June 30, 2023 and December 31, 2022, $1,056 and $827, respectively, of the Company’s property and equipment assets were held outside the U.S.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w:t>
      </w:r>
    </w:p>
    <w:p>
      <w:pPr>
        <w:spacing w:after="0" w:line="1" w:lineRule="exact"/>
        <w:rPr>
          <w:sz w:val="20"/>
          <w:szCs w:val="20"/>
          <w:color w:val="auto"/>
        </w:rPr>
      </w:pPr>
    </w:p>
    <w:p>
      <w:pPr>
        <w:jc w:val="both"/>
        <w:ind w:left="60" w:right="59" w:hanging="10"/>
        <w:spacing w:after="0" w:line="286" w:lineRule="auto"/>
        <w:tabs>
          <w:tab w:leader="none" w:pos="398"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and intangible assets, (viii) potential impairment of goodwill, (ix) determination of the fair value of tangible and intangible assets acquired, liabilities assumed and consideration transferred in acquisitions, (x) amortization period of material rights and deferred commissions (xi) Black-Scholes-Merton option pricing model (“Black-Scholes model”) input assumptions used to determine the fair value of certain stock-based compensation awards, and Employee Stock Purchase Plan (“ESPP”) purchase rights (xii) measurement of future purchase commitment, contingent consideration liabilities and deferred purchase consideration liabilities associated with acquisitions, and (xiii) the potential outcome of future tax consequences of events that have been recognized in the condensed consolidated financial statements or tax returns. Actual results may differ from these estimates.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Cloud Computing Software Implementation Costs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 xml:space="preserve">The Company follows ASC 350-40, </w:t>
      </w:r>
      <w:r>
        <w:rPr>
          <w:rFonts w:ascii="Arial" w:cs="Arial" w:eastAsia="Arial" w:hAnsi="Arial"/>
          <w:sz w:val="16"/>
          <w:szCs w:val="16"/>
          <w:i w:val="1"/>
          <w:iCs w:val="1"/>
          <w:color w:val="auto"/>
        </w:rPr>
        <w:t>Goodwill and Other, Internal-Use Software,</w:t>
      </w:r>
      <w:r>
        <w:rPr>
          <w:rFonts w:ascii="Arial" w:cs="Arial" w:eastAsia="Arial" w:hAnsi="Arial"/>
          <w:sz w:val="16"/>
          <w:szCs w:val="16"/>
          <w:color w:val="auto"/>
        </w:rPr>
        <w:t xml:space="preserve"> to account for development costs incurred for cloud computing software implementations. ASC 350-40 requires such costs to be capitalized once certain criteria are met. Costs are primarily comprised of third-party consulting fees, direct labor, and related expenses. ASC 350-40 includes specific guidance on costs not to be capitalized, such as overhead, general and administrative and training costs. Costs are capitalized once the project is defined, funding is committed and it is confirmed the software will be used for its intended use. Capitalization of these costs concludes once the project is substantially complete and the software is ready for its intended purpose. Post-configuration training and maintenance costs are expensed as incurred.</w:t>
      </w:r>
    </w:p>
    <w:p>
      <w:pPr>
        <w:spacing w:after="0" w:line="166" w:lineRule="exact"/>
        <w:rPr>
          <w:sz w:val="20"/>
          <w:szCs w:val="20"/>
          <w:color w:val="auto"/>
        </w:rPr>
      </w:pPr>
    </w:p>
    <w:p>
      <w:pPr>
        <w:jc w:val="center"/>
        <w:ind w:left="1500"/>
        <w:spacing w:after="0" w:line="259" w:lineRule="auto"/>
        <w:rPr>
          <w:sz w:val="20"/>
          <w:szCs w:val="20"/>
          <w:color w:val="auto"/>
        </w:rPr>
      </w:pPr>
      <w:r>
        <w:rPr>
          <w:rFonts w:ascii="Arial" w:cs="Arial" w:eastAsia="Arial" w:hAnsi="Arial"/>
          <w:sz w:val="18"/>
          <w:szCs w:val="18"/>
          <w:color w:val="auto"/>
        </w:rPr>
        <w:t>Cloud computing software implementation costs incurred in hosting arrangements are capitalized and reported as a component of prepaid expenses and other current assets, or other assets, once available for their intended use. These costs are amortized using the straight-line method over their respective contract service periods, including periods covered by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 option to extend, ranging from two to five years and are included in general and administrative expenses in the consolidated statements of comprehensive loss.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Costs related to cloud computing implementation incurred in hosting arrangements are capitalized and reported as a component of prepaid expenses and other current assets, or non-current assets. At June 30, 2023, $4,639 and $16,615 were reported in prepaid expenses and other current assets, and non-current assets, respectively, in the condensed consolidated balance sheets.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Amortization expense for capitalized cloud computing implementation costs for both the three and six month periods ended June 30, 2023 was $699 and is included in general and administrative expense in the condensed consolidated statements of comprehensive loss. There was no amortization expense for the three and six month periods ended June 30, 2022.</w:t>
      </w:r>
    </w:p>
    <w:p>
      <w:pPr>
        <w:spacing w:after="0" w:line="3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Supplemental Balance Sheet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balance sheet disclosures are as follows for the respective periods: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114"/>
              <w:spacing w:after="0"/>
              <w:rPr>
                <w:sz w:val="20"/>
                <w:szCs w:val="20"/>
                <w:color w:val="auto"/>
              </w:rPr>
            </w:pPr>
            <w:r>
              <w:rPr>
                <w:rFonts w:ascii="Arial" w:cs="Arial" w:eastAsia="Arial" w:hAnsi="Arial"/>
                <w:sz w:val="14"/>
                <w:szCs w:val="14"/>
                <w:b w:val="1"/>
                <w:bCs w:val="1"/>
                <w:color w:val="auto"/>
              </w:rPr>
              <w:t>As of 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1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0"/>
        </w:trPr>
        <w:tc>
          <w:tcPr>
            <w:tcW w:w="6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Prepaid expenses and other current assets:</w:t>
            </w:r>
          </w:p>
        </w:tc>
        <w:tc>
          <w:tcPr>
            <w:tcW w:w="120" w:type="dxa"/>
            <w:vAlign w:val="bottom"/>
          </w:tcPr>
          <w:p>
            <w:pPr>
              <w:spacing w:after="0"/>
              <w:rPr>
                <w:sz w:val="15"/>
                <w:szCs w:val="15"/>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Unamortized cloud computing implementation costs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insurance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licenses and support</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12,217</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Unamortized cloud computing implementation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14,545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50"/>
        </w:trPr>
        <w:tc>
          <w:tcPr>
            <w:tcW w:w="6000" w:type="dxa"/>
            <w:vAlign w:val="bottom"/>
          </w:tcPr>
          <w:p>
            <w:pPr>
              <w:ind w:left="220"/>
              <w:spacing w:after="0"/>
              <w:rPr>
                <w:sz w:val="20"/>
                <w:szCs w:val="20"/>
                <w:color w:val="auto"/>
              </w:rPr>
            </w:pPr>
            <w:r>
              <w:rPr>
                <w:rFonts w:ascii="Arial" w:cs="Arial" w:eastAsia="Arial" w:hAnsi="Arial"/>
                <w:sz w:val="18"/>
                <w:szCs w:val="18"/>
                <w:color w:val="auto"/>
              </w:rPr>
              <w:t>Total other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16,624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15,333</w:t>
            </w:r>
          </w:p>
        </w:tc>
        <w:tc>
          <w:tcPr>
            <w:tcW w:w="0" w:type="dxa"/>
            <w:vAlign w:val="bottom"/>
          </w:tcPr>
          <w:p>
            <w:pPr>
              <w:spacing w:after="0"/>
              <w:rPr>
                <w:sz w:val="1"/>
                <w:szCs w:val="1"/>
                <w:color w:val="auto"/>
              </w:rPr>
            </w:pPr>
          </w:p>
        </w:tc>
      </w:tr>
      <w:tr>
        <w:trPr>
          <w:trHeight w:val="196"/>
        </w:trPr>
        <w:tc>
          <w:tcPr>
            <w:tcW w:w="6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Accrued expenses: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general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w:t>
            </w: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Accrued contract labor and professional fees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17,421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income and other taxes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0"/>
        </w:trPr>
        <w:tc>
          <w:tcPr>
            <w:tcW w:w="600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October 2021, the Financial Accounting Standard Board issued ASU No. 2021-08, Business Combinations (“ASU 2021-08”). ASU 2021-08 provides specific guidance on how to recognize and measure contract assets and contract liabilities related to revenue contracts with customers acquired in a business combination. This will align the accounting for these acquired contracts to the accounting for revenue contracts originated by the acquirer and will provide more comparable information to investors and other financial statement users seeking to better understand the financial impact of these acquisitions. The Company adopted this standard effective January 1, 2023 on a prospective basis for business combinations occurring on or after this date. Although this standard does not have a material impact on the Company’s current condensed consolidated financial statements, adoption could have a material impact on the accounting for future acquisitions reflected in the Company’s condensed consolidated financial statements.</w:t>
      </w:r>
    </w:p>
    <w:p>
      <w:pPr>
        <w:spacing w:after="0" w:line="378" w:lineRule="exact"/>
        <w:rPr>
          <w:sz w:val="20"/>
          <w:szCs w:val="20"/>
          <w:color w:val="auto"/>
        </w:rPr>
      </w:pPr>
    </w:p>
    <w:p>
      <w:pPr>
        <w:ind w:left="420" w:hanging="370"/>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reflects revenue by major source for the following periods: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Three months ended June 30,</w:t>
            </w:r>
          </w:p>
        </w:tc>
        <w:tc>
          <w:tcPr>
            <w:tcW w:w="160" w:type="dxa"/>
            <w:vAlign w:val="bottom"/>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0"/>
        </w:trPr>
        <w:tc>
          <w:tcPr>
            <w:tcW w:w="3380" w:type="dxa"/>
            <w:vAlign w:val="bottom"/>
            <w:vMerge w:val="restart"/>
          </w:tcPr>
          <w:p>
            <w:pPr>
              <w:spacing w:after="0"/>
              <w:rPr>
                <w:sz w:val="20"/>
                <w:szCs w:val="20"/>
                <w:color w:val="auto"/>
              </w:rPr>
            </w:pPr>
            <w:r>
              <w:rPr>
                <w:rFonts w:ascii="Arial" w:cs="Arial" w:eastAsia="Arial" w:hAnsi="Arial"/>
                <w:sz w:val="18"/>
                <w:szCs w:val="18"/>
                <w:color w:val="auto"/>
              </w:rPr>
              <w:t>Software subscriptions:</w:t>
            </w: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78"/>
        </w:trPr>
        <w:tc>
          <w:tcPr>
            <w:tcW w:w="338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licenses</w:t>
            </w:r>
          </w:p>
        </w:tc>
        <w:tc>
          <w:tcPr>
            <w:tcW w:w="18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129,433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$ 119,731</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Cloud subscriptions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51,211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99,417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78,488</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subscriptions</w:t>
            </w:r>
          </w:p>
        </w:tc>
        <w:tc>
          <w:tcPr>
            <w:tcW w:w="1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117,836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101,088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228,850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198,219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Services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43,596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36,041</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139,695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119,276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272,446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$ 234,260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$14,218 and $9,554 at June 30, 2023 and December 31, 2022, respectively. The allowance for potentially uncollectible accounts represents future expected credit losses over the life of the receivables based on past experience, current information and forward-looking economic considerations.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beginning and ending balances of accounts receivable, net of allowance,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For the six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117"/>
              <w:spacing w:after="0"/>
              <w:rPr>
                <w:sz w:val="20"/>
                <w:szCs w:val="20"/>
                <w:color w:val="auto"/>
              </w:rPr>
            </w:pPr>
            <w:r>
              <w:rPr>
                <w:rFonts w:ascii="Arial" w:cs="Arial" w:eastAsia="Arial" w:hAnsi="Arial"/>
                <w:sz w:val="14"/>
                <w:szCs w:val="14"/>
                <w:b w:val="1"/>
                <w:bCs w:val="1"/>
                <w:color w:val="auto"/>
                <w:w w:val="95"/>
              </w:rPr>
              <w:t>For the year ended</w:t>
            </w:r>
          </w:p>
        </w:tc>
      </w:tr>
      <w:tr>
        <w:trPr>
          <w:trHeight w:val="171"/>
        </w:trPr>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5"/>
              </w:rPr>
              <w:t>December 31, 2022</w:t>
            </w:r>
          </w:p>
        </w:tc>
      </w:tr>
      <w:tr>
        <w:trPr>
          <w:trHeight w:val="142"/>
        </w:trPr>
        <w:tc>
          <w:tcPr>
            <w:tcW w:w="3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357"/>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9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102,885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76,929</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129,093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102,885</w:t>
            </w:r>
          </w:p>
        </w:tc>
      </w:tr>
      <w:tr>
        <w:trPr>
          <w:trHeight w:val="230"/>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net</w:t>
            </w:r>
          </w:p>
        </w:tc>
        <w:tc>
          <w:tcPr>
            <w:tcW w:w="19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25,956</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 contract liability is recorded as deferred revenue on the condensed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$10,409 and $7,133 at June 30, 2023 and December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31, 2022, respectively. The deferred allowance represents the portion of the allowance for subscription cancellations associated with deferred revenue.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beginning and ending balances of and changes to the allowance and the deferred allowance are as follows: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60" w:type="dxa"/>
            <w:vAlign w:val="bottom"/>
            <w:tcBorders>
              <w:bottom w:val="single" w:sz="8" w:color="auto"/>
            </w:tcBorders>
            <w:gridSpan w:val="9"/>
          </w:tcPr>
          <w:p>
            <w:pPr>
              <w:jc w:val="center"/>
              <w:ind w:left="625"/>
              <w:spacing w:after="0"/>
              <w:rPr>
                <w:sz w:val="20"/>
                <w:szCs w:val="20"/>
                <w:color w:val="auto"/>
              </w:rPr>
            </w:pPr>
            <w:r>
              <w:rPr>
                <w:rFonts w:ascii="Arial" w:cs="Arial" w:eastAsia="Arial" w:hAnsi="Arial"/>
                <w:sz w:val="14"/>
                <w:szCs w:val="14"/>
                <w:b w:val="1"/>
                <w:bCs w:val="1"/>
                <w:color w:val="auto"/>
                <w:w w:val="91"/>
              </w:rPr>
              <w:t>For the three months ended June 30,</w:t>
            </w:r>
          </w:p>
        </w:tc>
        <w:tc>
          <w:tcPr>
            <w:tcW w:w="740" w:type="dxa"/>
            <w:vAlign w:val="bottom"/>
            <w:tcBorders>
              <w:bottom w:val="single" w:sz="8" w:color="auto"/>
            </w:tcBorders>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Borders>
              <w:bottom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Balance</w:t>
            </w:r>
          </w:p>
        </w:tc>
        <w:tc>
          <w:tcPr>
            <w:tcW w:w="300" w:type="dxa"/>
            <w:vAlign w:val="bottom"/>
            <w:gridSpan w:val="2"/>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Net Change</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Balance</w:t>
            </w:r>
          </w:p>
        </w:tc>
        <w:tc>
          <w:tcPr>
            <w:tcW w:w="300" w:type="dxa"/>
            <w:vAlign w:val="bottom"/>
            <w:gridSpan w:val="2"/>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Net Change</w:t>
            </w:r>
          </w:p>
        </w:tc>
      </w:tr>
      <w:tr>
        <w:trPr>
          <w:trHeight w:val="142"/>
        </w:trPr>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6"/>
          </w:tcPr>
          <w:p>
            <w:pPr>
              <w:jc w:val="center"/>
              <w:ind w:right="250"/>
              <w:spacing w:after="0" w:line="142" w:lineRule="exact"/>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12"/>
                <w:szCs w:val="12"/>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balance, April 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Allowance balance, June 30,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(14,218)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39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allowance</w:t>
            </w:r>
          </w:p>
        </w:tc>
        <w:tc>
          <w:tcPr>
            <w:tcW w:w="1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Deferred allowance balance, April 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7,516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allowance balance, June 30,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6"/>
        </w:trPr>
        <w:tc>
          <w:tcPr>
            <w:tcW w:w="3980" w:type="dxa"/>
            <w:vAlign w:val="bottom"/>
          </w:tcPr>
          <w:p>
            <w:pPr>
              <w:ind w:left="120"/>
              <w:spacing w:after="0" w:line="196" w:lineRule="exact"/>
              <w:rPr>
                <w:sz w:val="20"/>
                <w:szCs w:val="20"/>
                <w:color w:val="auto"/>
              </w:rPr>
            </w:pPr>
            <w:r>
              <w:rPr>
                <w:rFonts w:ascii="Arial" w:cs="Arial" w:eastAsia="Arial" w:hAnsi="Arial"/>
                <w:sz w:val="18"/>
                <w:szCs w:val="18"/>
                <w:color w:val="auto"/>
              </w:rPr>
              <w:t>Change in deferred allowance</w:t>
            </w:r>
          </w:p>
        </w:tc>
        <w:tc>
          <w:tcPr>
            <w:tcW w:w="1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(2,893)</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w:t>
            </w:r>
          </w:p>
        </w:tc>
      </w:tr>
      <w:tr>
        <w:trPr>
          <w:trHeight w:val="249"/>
        </w:trPr>
        <w:tc>
          <w:tcPr>
            <w:tcW w:w="3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amount charged to revenues</w:t>
            </w:r>
          </w:p>
        </w:tc>
        <w:tc>
          <w:tcPr>
            <w:tcW w:w="2100" w:type="dxa"/>
            <w:vAlign w:val="bottom"/>
            <w:tcBorders>
              <w:bottom w:val="single" w:sz="8" w:color="CCEEFF"/>
            </w:tcBorders>
            <w:gridSpan w:val="3"/>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345"/>
        </w:trPr>
        <w:tc>
          <w:tcPr>
            <w:tcW w:w="3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ind w:right="10"/>
              <w:spacing w:after="0"/>
              <w:rPr>
                <w:sz w:val="20"/>
                <w:szCs w:val="20"/>
                <w:color w:val="auto"/>
              </w:rPr>
            </w:pPr>
            <w:r>
              <w:rPr>
                <w:rFonts w:ascii="Arial" w:cs="Arial" w:eastAsia="Arial" w:hAnsi="Arial"/>
                <w:sz w:val="14"/>
                <w:szCs w:val="14"/>
                <w:b w:val="1"/>
                <w:bCs w:val="1"/>
                <w:color w:val="auto"/>
                <w:w w:val="91"/>
              </w:rPr>
              <w:t>For the six months ended June 30,</w:t>
            </w:r>
          </w:p>
        </w:tc>
        <w:tc>
          <w:tcPr>
            <w:tcW w:w="740" w:type="dxa"/>
            <w:vAlign w:val="bottom"/>
            <w:tcBorders>
              <w:bottom w:val="single" w:sz="8" w:color="auto"/>
            </w:tcBorders>
          </w:tcPr>
          <w:p>
            <w:pPr>
              <w:spacing w:after="0"/>
              <w:rPr>
                <w:sz w:val="24"/>
                <w:szCs w:val="24"/>
                <w:color w:val="auto"/>
              </w:rPr>
            </w:pPr>
          </w:p>
        </w:tc>
      </w:tr>
      <w:tr>
        <w:trPr>
          <w:trHeight w:val="142"/>
        </w:trPr>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Borders>
              <w:bottom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Balance</w:t>
            </w:r>
          </w:p>
        </w:tc>
        <w:tc>
          <w:tcPr>
            <w:tcW w:w="300" w:type="dxa"/>
            <w:vAlign w:val="bottom"/>
            <w:gridSpan w:val="2"/>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Net Change</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Balance</w:t>
            </w:r>
          </w:p>
        </w:tc>
        <w:tc>
          <w:tcPr>
            <w:tcW w:w="300" w:type="dxa"/>
            <w:vAlign w:val="bottom"/>
            <w:gridSpan w:val="2"/>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Net Change</w:t>
            </w:r>
          </w:p>
        </w:tc>
      </w:tr>
      <w:tr>
        <w:trPr>
          <w:trHeight w:val="142"/>
        </w:trPr>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6"/>
          </w:tcPr>
          <w:p>
            <w:pPr>
              <w:jc w:val="center"/>
              <w:ind w:right="250"/>
              <w:spacing w:after="0" w:line="142" w:lineRule="exact"/>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12"/>
                <w:szCs w:val="12"/>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balance, January 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Allowance balance, June 30,</w:t>
            </w:r>
          </w:p>
        </w:tc>
        <w:tc>
          <w:tcPr>
            <w:tcW w:w="1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allowance</w:t>
            </w:r>
          </w:p>
        </w:tc>
        <w:tc>
          <w:tcPr>
            <w:tcW w:w="2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Deferred allowance balance, January 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allowance balance, June 30,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3980" w:type="dxa"/>
            <w:vAlign w:val="bottom"/>
            <w:tcBorders>
              <w:top w:val="single" w:sz="8" w:color="CCEEFF"/>
              <w:bottom w:val="single" w:sz="8" w:color="CCEEFF"/>
            </w:tcBorders>
          </w:tcPr>
          <w:p>
            <w:pPr>
              <w:ind w:left="120"/>
              <w:spacing w:after="0"/>
              <w:rPr>
                <w:sz w:val="20"/>
                <w:szCs w:val="20"/>
                <w:color w:val="auto"/>
              </w:rPr>
            </w:pPr>
            <w:r>
              <w:rPr>
                <w:rFonts w:ascii="Arial" w:cs="Arial" w:eastAsia="Arial" w:hAnsi="Arial"/>
                <w:sz w:val="18"/>
                <w:szCs w:val="18"/>
                <w:color w:val="auto"/>
              </w:rPr>
              <w:t>Change in deferred allowance</w:t>
            </w:r>
          </w:p>
        </w:tc>
        <w:tc>
          <w:tcPr>
            <w:tcW w:w="114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7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7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09"/>
        </w:trPr>
        <w:tc>
          <w:tcPr>
            <w:tcW w:w="3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amount charged to revenues</w:t>
            </w:r>
          </w:p>
        </w:tc>
        <w:tc>
          <w:tcPr>
            <w:tcW w:w="21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0"/>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portion of deferred revenue expected to be recognized in revenue beyond one year is included in deferred revenue, net of current portion in the condensed consolidated balance sheets. The tables provide information about the balances of and changes to deferred revenue for the following periods: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As of June 30,</w:t>
            </w:r>
          </w:p>
        </w:tc>
        <w:tc>
          <w:tcPr>
            <w:tcW w:w="2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0"/>
        </w:trPr>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Balances:</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35"/>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274,094</w:t>
            </w: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268,847</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 non-current</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deferred revenue</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277,053</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279,136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2480" w:type="dxa"/>
            <w:vAlign w:val="bottom"/>
            <w:gridSpan w:val="7"/>
          </w:tcPr>
          <w:p>
            <w:pPr>
              <w:jc w:val="right"/>
              <w:ind w:right="108"/>
              <w:spacing w:after="0"/>
              <w:rPr>
                <w:sz w:val="20"/>
                <w:szCs w:val="20"/>
                <w:color w:val="auto"/>
              </w:rPr>
            </w:pPr>
            <w:r>
              <w:rPr>
                <w:rFonts w:ascii="Arial" w:cs="Arial" w:eastAsia="Arial" w:hAnsi="Arial"/>
                <w:sz w:val="14"/>
                <w:szCs w:val="14"/>
                <w:b w:val="1"/>
                <w:bCs w:val="1"/>
                <w:color w:val="auto"/>
                <w:w w:val="93"/>
              </w:rPr>
              <w:t>For the three months ended June 30,</w:t>
            </w:r>
          </w:p>
        </w:tc>
        <w:tc>
          <w:tcPr>
            <w:tcW w:w="80" w:type="dxa"/>
            <w:vAlign w:val="bottom"/>
          </w:tcPr>
          <w:p>
            <w:pPr>
              <w:spacing w:after="0"/>
              <w:rPr>
                <w:sz w:val="24"/>
                <w:szCs w:val="24"/>
                <w:color w:val="auto"/>
              </w:rPr>
            </w:pPr>
          </w:p>
        </w:tc>
        <w:tc>
          <w:tcPr>
            <w:tcW w:w="2220" w:type="dxa"/>
            <w:vAlign w:val="bottom"/>
            <w:gridSpan w:val="8"/>
          </w:tcPr>
          <w:p>
            <w:pPr>
              <w:jc w:val="right"/>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0"/>
        </w:trPr>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Changes to deferred revenue:</w:t>
            </w:r>
          </w:p>
        </w:tc>
        <w:tc>
          <w:tcPr>
            <w:tcW w:w="160" w:type="dxa"/>
            <w:vAlign w:val="bottom"/>
          </w:tcPr>
          <w:p>
            <w:pPr>
              <w:spacing w:after="0"/>
              <w:rPr>
                <w:sz w:val="15"/>
                <w:szCs w:val="15"/>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7"/>
          </w:tcPr>
          <w:p>
            <w:pPr>
              <w:jc w:val="right"/>
              <w:ind w:right="654"/>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78"/>
        </w:trPr>
        <w:tc>
          <w:tcPr>
            <w:tcW w:w="4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283,116</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279,136</w:t>
            </w:r>
          </w:p>
        </w:tc>
        <w:tc>
          <w:tcPr>
            <w:tcW w:w="4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249,010</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Additional amounts deferred</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133,632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128,635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270,363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240,324</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(139,695)</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(119,276)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(272,446)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(234,260)</w:t>
            </w: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277,053</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255,074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277,053</w:t>
            </w:r>
          </w:p>
        </w:tc>
        <w:tc>
          <w:tcPr>
            <w:tcW w:w="4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255,074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555"/>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75"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condensed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condensed consolidated statements of comprehensive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changes to contract cost balances as of and for the following periods are:</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5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3"/>
              </w:rPr>
              <w:t>For the three months ended June 30,</w:t>
            </w:r>
          </w:p>
        </w:tc>
        <w:tc>
          <w:tcPr>
            <w:tcW w:w="2260" w:type="dxa"/>
            <w:vAlign w:val="bottom"/>
            <w:gridSpan w:val="5"/>
          </w:tcPr>
          <w:p>
            <w:pPr>
              <w:jc w:val="right"/>
              <w:ind w:right="14"/>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0"/>
        </w:trPr>
        <w:tc>
          <w:tcPr>
            <w:tcW w:w="4100" w:type="dxa"/>
            <w:vAlign w:val="bottom"/>
            <w:vMerge w:val="restart"/>
          </w:tcPr>
          <w:p>
            <w:pPr>
              <w:ind w:left="20"/>
              <w:spacing w:after="0"/>
              <w:rPr>
                <w:sz w:val="20"/>
                <w:szCs w:val="20"/>
                <w:color w:val="auto"/>
              </w:rPr>
            </w:pPr>
            <w:r>
              <w:rPr>
                <w:rFonts w:ascii="Arial" w:cs="Arial" w:eastAsia="Arial" w:hAnsi="Arial"/>
                <w:sz w:val="18"/>
                <w:szCs w:val="18"/>
                <w:color w:val="auto"/>
              </w:rPr>
              <w:t>Deferred commissions:</w:t>
            </w:r>
          </w:p>
        </w:tc>
        <w:tc>
          <w:tcPr>
            <w:tcW w:w="240" w:type="dxa"/>
            <w:vAlign w:val="bottom"/>
          </w:tcPr>
          <w:p>
            <w:pPr>
              <w:spacing w:after="0"/>
              <w:rPr>
                <w:sz w:val="15"/>
                <w:szCs w:val="15"/>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70"/>
              </w:rPr>
              <w:t>(unaudited)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12,555</w:t>
            </w:r>
          </w:p>
        </w:tc>
        <w:tc>
          <w:tcPr>
            <w:tcW w:w="0" w:type="dxa"/>
            <w:vAlign w:val="bottom"/>
          </w:tcPr>
          <w:p>
            <w:pPr>
              <w:spacing w:after="0"/>
              <w:rPr>
                <w:sz w:val="1"/>
                <w:szCs w:val="1"/>
                <w:color w:val="auto"/>
              </w:rPr>
            </w:pPr>
          </w:p>
        </w:tc>
      </w:tr>
      <w:tr>
        <w:trPr>
          <w:trHeight w:val="216"/>
        </w:trPr>
        <w:tc>
          <w:tcPr>
            <w:tcW w:w="4100" w:type="dxa"/>
            <w:vAlign w:val="bottom"/>
          </w:tcPr>
          <w:p>
            <w:pPr>
              <w:ind w:left="10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tcPr>
          <w:p>
            <w:pPr>
              <w:ind w:left="200"/>
              <w:spacing w:after="0"/>
              <w:rPr>
                <w:sz w:val="20"/>
                <w:szCs w:val="20"/>
                <w:color w:val="auto"/>
              </w:rPr>
            </w:pPr>
            <w:r>
              <w:rPr>
                <w:rFonts w:ascii="Arial" w:cs="Arial" w:eastAsia="Arial" w:hAnsi="Arial"/>
                <w:sz w:val="18"/>
                <w:szCs w:val="18"/>
                <w:color w:val="auto"/>
              </w:rPr>
              <w:t>Ending balance</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16,726</w:t>
            </w:r>
          </w:p>
        </w:tc>
        <w:tc>
          <w:tcPr>
            <w:tcW w:w="1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12,168</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16,726</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12,168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right="3059" w:hanging="330"/>
        <w:spacing w:after="0" w:line="532" w:lineRule="auto"/>
        <w:tabs>
          <w:tab w:leader="none" w:pos="461"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AND FAIR VALUE MEASUREMENTS Assets and Liabilities Measured at Fair Value on a Recurring Basis</w:t>
      </w:r>
    </w:p>
    <w:p>
      <w:pPr>
        <w:spacing w:after="0" w:line="1" w:lineRule="exact"/>
        <w:rPr>
          <w:sz w:val="20"/>
          <w:szCs w:val="20"/>
          <w:color w:val="auto"/>
        </w:rPr>
      </w:pPr>
    </w:p>
    <w:p>
      <w:pPr>
        <w:ind w:left="60" w:right="199" w:firstLine="324"/>
        <w:spacing w:after="0" w:line="258" w:lineRule="auto"/>
        <w:rPr>
          <w:sz w:val="20"/>
          <w:szCs w:val="20"/>
          <w:color w:val="auto"/>
        </w:rPr>
      </w:pPr>
      <w:r>
        <w:rPr>
          <w:rFonts w:ascii="Arial" w:cs="Arial" w:eastAsia="Arial" w:hAnsi="Arial"/>
          <w:sz w:val="18"/>
          <w:szCs w:val="18"/>
          <w:color w:val="auto"/>
        </w:rPr>
        <w:t>The following table summarizes the Company’s fair value for its financial assets and liabilities measured at fair value on a recurring basis: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Fair Value Measurements Using</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Prices in active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2023 (unaudited)</w:t>
            </w:r>
          </w:p>
        </w:tc>
        <w:tc>
          <w:tcPr>
            <w:tcW w:w="120" w:type="dxa"/>
            <w:vAlign w:val="bottom"/>
          </w:tcPr>
          <w:p>
            <w:pPr>
              <w:spacing w:after="0"/>
              <w:rPr>
                <w:sz w:val="12"/>
                <w:szCs w:val="12"/>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020" w:type="dxa"/>
            <w:vAlign w:val="bottom"/>
            <w:gridSpan w:val="2"/>
          </w:tcPr>
          <w:p>
            <w:pPr>
              <w:jc w:val="right"/>
              <w:ind w:right="3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Tellutax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Fair Value Measurements Using</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Prices in active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3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Tellutax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The Company has investments in high quality, short-term money market instruments which are issued and payable in U.S. dollars (“Money Market Funds”), which are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The Company has investments in bank and corporate issued commercial paper (“Commercial Paper”), and U.S. treasury securities (“U.S. Treasury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Securities”), the Company believes that Level 2 designation is appropriate under Accounting Standards Codification,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 these securities are fixed income securities, none are exchange traded, and all are priced by correlation to observed market data. For these securities the Company obtains fair value measurements from an independent pricing service.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9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connection with the January 2021 Tellutax LLC (“Tellutax”) acquisition, the sellers are entitled to contingent consideration if sales targets are met during a period of time following the acquisition (the “Tellutax Contingent Consideration”).</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the payments specified in the purchase agreement. Such payments have no maximum limit, but if certain targets are not met, there will be no payment for the applicable measurement period.</w:t>
      </w:r>
    </w:p>
    <w:p>
      <w:pPr>
        <w:spacing w:after="0" w:line="16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 fair value adjustment of $249 and $449 was recorded in other operating expense (income), net for the three and six months ended June 30, 2023, respectively. A fair value adjustment of $0 and $700 was recorded in other operating expense (income), net for the three and six months ended June 30, 2022, respectively. At June 30, 2023, the Tellutax Contingent Consideration of $2,300 and $1,500 is included in purchase commitment and contingent consideration liabilities, current, and purchase commitment and contingent consideration liabilities, net of current portion, respectively, in the condensed consolidated balance sheets. At December 31, 2022, the Tellutax Contingent Consideration of $1,400 and $3,400 is included in purchase commitment and contingent consideration liabilities, current, and purchase commitment and contingent consideration liabilities, net of current portion, respectively, in the condensed consolidated balance sheets.</w:t>
      </w:r>
    </w:p>
    <w:p>
      <w:pPr>
        <w:spacing w:after="0" w:line="16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Tellutax Contingent Consideration fair value as of June 30, 2023 and December 31, 2022 and unobservable inputs used for the Monte Carlo Simulation valuation were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Liability</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3"/>
          </w:tcPr>
          <w:p>
            <w:pPr>
              <w:jc w:val="center"/>
              <w:ind w:right="182"/>
              <w:spacing w:after="0"/>
              <w:rPr>
                <w:sz w:val="20"/>
                <w:szCs w:val="20"/>
                <w:color w:val="auto"/>
              </w:rPr>
            </w:pPr>
            <w:r>
              <w:rPr>
                <w:rFonts w:ascii="Arial" w:cs="Arial" w:eastAsia="Arial" w:hAnsi="Arial"/>
                <w:sz w:val="14"/>
                <w:szCs w:val="14"/>
                <w:b w:val="1"/>
                <w:bCs w:val="1"/>
                <w:color w:val="auto"/>
                <w:w w:val="92"/>
              </w:rPr>
              <w:t>June 30, 2023 (unaudited)</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gridSpan w:val="2"/>
            <w:vMerge w:val="continue"/>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2260" w:type="dxa"/>
            <w:vAlign w:val="bottom"/>
          </w:tcPr>
          <w:p>
            <w:pPr>
              <w:ind w:left="500"/>
              <w:spacing w:after="0" w:line="142" w:lineRule="exact"/>
              <w:rPr>
                <w:sz w:val="20"/>
                <w:szCs w:val="20"/>
                <w:color w:val="auto"/>
              </w:rPr>
            </w:pPr>
            <w:r>
              <w:rPr>
                <w:rFonts w:ascii="Arial" w:cs="Arial" w:eastAsia="Arial" w:hAnsi="Arial"/>
                <w:sz w:val="14"/>
                <w:szCs w:val="14"/>
                <w:b w:val="1"/>
                <w:bCs w:val="1"/>
                <w:color w:val="auto"/>
              </w:rPr>
              <w:t>Valuation Technique</w:t>
            </w:r>
          </w:p>
        </w:tc>
        <w:tc>
          <w:tcPr>
            <w:tcW w:w="140" w:type="dxa"/>
            <w:vAlign w:val="bottom"/>
          </w:tcPr>
          <w:p>
            <w:pPr>
              <w:spacing w:after="0"/>
              <w:rPr>
                <w:sz w:val="12"/>
                <w:szCs w:val="12"/>
                <w:color w:val="auto"/>
              </w:rPr>
            </w:pPr>
          </w:p>
        </w:tc>
        <w:tc>
          <w:tcPr>
            <w:tcW w:w="2080" w:type="dxa"/>
            <w:vAlign w:val="bottom"/>
          </w:tcPr>
          <w:p>
            <w:pPr>
              <w:ind w:left="720"/>
              <w:spacing w:after="0" w:line="142" w:lineRule="exact"/>
              <w:rPr>
                <w:sz w:val="20"/>
                <w:szCs w:val="20"/>
                <w:color w:val="auto"/>
              </w:rPr>
            </w:pPr>
            <w:r>
              <w:rPr>
                <w:rFonts w:ascii="Arial" w:cs="Arial" w:eastAsia="Arial" w:hAnsi="Arial"/>
                <w:sz w:val="14"/>
                <w:szCs w:val="14"/>
                <w:b w:val="1"/>
                <w:bCs w:val="1"/>
                <w:color w:val="auto"/>
                <w:w w:val="96"/>
              </w:rPr>
              <w:t>Unobservable Inputs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Tellutax Contingent Consideration</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Monte Carlo Simulation</w:t>
            </w:r>
          </w:p>
        </w:tc>
        <w:tc>
          <w:tcPr>
            <w:tcW w:w="1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20" w:type="dxa"/>
            <w:vAlign w:val="bottom"/>
            <w:gridSpan w:val="2"/>
          </w:tcPr>
          <w:p>
            <w:pPr>
              <w:ind w:left="140"/>
              <w:spacing w:after="0"/>
              <w:rPr>
                <w:sz w:val="20"/>
                <w:szCs w:val="20"/>
                <w:color w:val="auto"/>
              </w:rPr>
            </w:pPr>
            <w:r>
              <w:rPr>
                <w:rFonts w:ascii="Arial" w:cs="Arial" w:eastAsia="Arial" w:hAnsi="Arial"/>
                <w:sz w:val="18"/>
                <w:szCs w:val="18"/>
                <w:color w:val="auto"/>
              </w:rPr>
              <w:t>Revenue 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80" w:type="dxa"/>
            <w:vAlign w:val="bottom"/>
            <w:tcBorders>
              <w:bottom w:val="single" w:sz="8" w:color="auto"/>
            </w:tcBorders>
            <w:gridSpan w:val="3"/>
            <w:shd w:val="clear" w:color="auto" w:fill="CCEEFF"/>
          </w:tcPr>
          <w:p>
            <w:pPr>
              <w:jc w:val="center"/>
              <w:ind w:right="202"/>
              <w:spacing w:after="0" w:line="149" w:lineRule="exact"/>
              <w:rPr>
                <w:sz w:val="20"/>
                <w:szCs w:val="20"/>
                <w:color w:val="auto"/>
              </w:rPr>
            </w:pPr>
            <w:r>
              <w:rPr>
                <w:rFonts w:ascii="Arial" w:cs="Arial" w:eastAsia="Arial" w:hAnsi="Arial"/>
                <w:sz w:val="14"/>
                <w:szCs w:val="14"/>
                <w:b w:val="1"/>
                <w:bCs w:val="1"/>
                <w:color w:val="auto"/>
                <w:w w:val="91"/>
              </w:rPr>
              <w:t>December 31, 2022</w:t>
            </w:r>
          </w:p>
        </w:tc>
        <w:tc>
          <w:tcPr>
            <w:tcW w:w="4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Liability</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2260" w:type="dxa"/>
            <w:vAlign w:val="bottom"/>
            <w:tcBorders>
              <w:bottom w:val="single" w:sz="8" w:color="auto"/>
            </w:tcBorders>
          </w:tcPr>
          <w:p>
            <w:pPr>
              <w:ind w:left="500"/>
              <w:spacing w:after="0" w:line="142" w:lineRule="exact"/>
              <w:rPr>
                <w:sz w:val="20"/>
                <w:szCs w:val="20"/>
                <w:color w:val="auto"/>
              </w:rPr>
            </w:pPr>
            <w:r>
              <w:rPr>
                <w:rFonts w:ascii="Arial" w:cs="Arial" w:eastAsia="Arial" w:hAnsi="Arial"/>
                <w:sz w:val="14"/>
                <w:szCs w:val="14"/>
                <w:b w:val="1"/>
                <w:bCs w:val="1"/>
                <w:color w:val="auto"/>
              </w:rPr>
              <w:t>Valuation Technique</w:t>
            </w:r>
          </w:p>
        </w:tc>
        <w:tc>
          <w:tcPr>
            <w:tcW w:w="140" w:type="dxa"/>
            <w:vAlign w:val="bottom"/>
          </w:tcPr>
          <w:p>
            <w:pPr>
              <w:spacing w:after="0"/>
              <w:rPr>
                <w:sz w:val="12"/>
                <w:szCs w:val="12"/>
                <w:color w:val="auto"/>
              </w:rPr>
            </w:pPr>
          </w:p>
        </w:tc>
        <w:tc>
          <w:tcPr>
            <w:tcW w:w="2080" w:type="dxa"/>
            <w:vAlign w:val="bottom"/>
            <w:tcBorders>
              <w:bottom w:val="single" w:sz="8" w:color="auto"/>
            </w:tcBorders>
          </w:tcPr>
          <w:p>
            <w:pPr>
              <w:ind w:left="720"/>
              <w:spacing w:after="0" w:line="142" w:lineRule="exact"/>
              <w:rPr>
                <w:sz w:val="20"/>
                <w:szCs w:val="20"/>
                <w:color w:val="auto"/>
              </w:rPr>
            </w:pPr>
            <w:r>
              <w:rPr>
                <w:rFonts w:ascii="Arial" w:cs="Arial" w:eastAsia="Arial" w:hAnsi="Arial"/>
                <w:sz w:val="14"/>
                <w:szCs w:val="14"/>
                <w:b w:val="1"/>
                <w:bCs w:val="1"/>
                <w:color w:val="auto"/>
                <w:w w:val="96"/>
              </w:rPr>
              <w:t>Unobservable Inputs</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Tellutax Contingent Consideration</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Monte Carlo Simulation</w:t>
            </w:r>
          </w:p>
        </w:tc>
        <w:tc>
          <w:tcPr>
            <w:tcW w:w="2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 volatility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20" w:type="dxa"/>
            <w:vAlign w:val="bottom"/>
            <w:gridSpan w:val="2"/>
          </w:tcPr>
          <w:p>
            <w:pPr>
              <w:ind w:left="140"/>
              <w:spacing w:after="0"/>
              <w:rPr>
                <w:sz w:val="20"/>
                <w:szCs w:val="20"/>
                <w:color w:val="auto"/>
              </w:rPr>
            </w:pPr>
            <w:r>
              <w:rPr>
                <w:rFonts w:ascii="Arial" w:cs="Arial" w:eastAsia="Arial" w:hAnsi="Arial"/>
                <w:sz w:val="18"/>
                <w:szCs w:val="18"/>
                <w:color w:val="auto"/>
              </w:rPr>
              <w:t>Revenue 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61" w:lineRule="auto"/>
        <w:rPr>
          <w:sz w:val="20"/>
          <w:szCs w:val="20"/>
          <w:color w:val="auto"/>
        </w:rPr>
      </w:pPr>
      <w:r>
        <w:rPr>
          <w:rFonts w:ascii="Arial" w:cs="Arial" w:eastAsia="Arial" w:hAnsi="Arial"/>
          <w:sz w:val="18"/>
          <w:szCs w:val="18"/>
          <w:color w:val="auto"/>
        </w:rPr>
        <w:t>Changes in the fair value of Tellutax Contingent Consideration during the six months ended June 30, 2023 were as follows:</w:t>
      </w:r>
    </w:p>
    <w:tbl>
      <w:tblPr>
        <w:tblLayout w:type="fixed"/>
        <w:tblInd w:w="40" w:type="dxa"/>
        <w:tblCellMar>
          <w:top w:w="0" w:type="dxa"/>
          <w:left w:w="0" w:type="dxa"/>
          <w:bottom w:w="0" w:type="dxa"/>
          <w:right w:w="0" w:type="dxa"/>
        </w:tblCellMar>
      </w:tblPr>
      <w:tr>
        <w:trPr>
          <w:trHeight w:val="149"/>
        </w:trPr>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4"/>
              </w:rPr>
              <w:t>Tellutax</w:t>
            </w:r>
          </w:p>
        </w:tc>
      </w:tr>
      <w:tr>
        <w:trPr>
          <w:trHeight w:val="148"/>
        </w:trPr>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1"/>
              </w:rPr>
              <w:t>Contingent</w:t>
            </w:r>
          </w:p>
        </w:tc>
      </w:tr>
      <w:tr>
        <w:trPr>
          <w:trHeight w:val="171"/>
        </w:trPr>
        <w:tc>
          <w:tcPr>
            <w:tcW w:w="6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3"/>
              </w:rPr>
              <w:t>Consideration</w:t>
            </w:r>
          </w:p>
        </w:tc>
      </w:tr>
      <w:tr>
        <w:trPr>
          <w:trHeight w:val="180"/>
        </w:trPr>
        <w:tc>
          <w:tcPr>
            <w:tcW w:w="6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jc w:val="center"/>
              <w:ind w:right="259"/>
              <w:spacing w:after="0"/>
              <w:rPr>
                <w:sz w:val="20"/>
                <w:szCs w:val="20"/>
                <w:color w:val="auto"/>
              </w:rPr>
            </w:pPr>
            <w:r>
              <w:rPr>
                <w:rFonts w:ascii="Arial" w:cs="Arial" w:eastAsia="Arial" w:hAnsi="Arial"/>
                <w:sz w:val="14"/>
                <w:szCs w:val="14"/>
                <w:b w:val="1"/>
                <w:bCs w:val="1"/>
                <w:color w:val="auto"/>
                <w:w w:val="94"/>
              </w:rPr>
              <w:t>(unaudited)</w:t>
            </w:r>
          </w:p>
        </w:tc>
      </w:tr>
      <w:tr>
        <w:trPr>
          <w:trHeight w:val="111"/>
        </w:trPr>
        <w:tc>
          <w:tcPr>
            <w:tcW w:w="6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 2023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Fair value adjustments</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10"/>
        </w:trPr>
        <w:tc>
          <w:tcPr>
            <w:tcW w:w="688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r>
      <w:tr>
        <w:trPr>
          <w:trHeight w:val="20"/>
        </w:trPr>
        <w:tc>
          <w:tcPr>
            <w:tcW w:w="6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75"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Assets and Liabilities for Which Fair Value is Only Disclosed</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carrying amounts of cash and cash equivalents and the carrying amount of funds held for customers were the same as their respective fair values and are considered Level 1 measurements.</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carrying amount of our bank debt approximates fair value as the variable rates on the debt approximate those commercially available in the market, and is considered a Level 3 measurement.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LCR-Dixon Corporation (“LCR”) acquisition on September 22, 2021, the acquisition of EVAT Solutions Limited (“EVAT”) and its wholly owned subsidiaries (collectively, “Taxamo”) on May 12, 2021,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Deferred purchase consideration associated with the LCR acquisition was $9,974 and $19,824 at June 30, 2023 and December 31, 2022, respectively.</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has a contractual commitment to acquire the remaining equity interest from the original Systax Quotaholders incrementally through 2024. Future purchase commitment payments for these incremental acquisition amounts are based on a multiple of Systax revenue and earnings before interest, depreciation, amortization and income taxes (“EBITDA”) performance at the end of 2022 and 2023, whereby the Company will have full ownership after the final transaction in 2024.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at the acquisition date was finalized to be $12,592. This amount will fluctuate as a result of changes in foreign currency exchange rates and is reflected in purchase commitment and contingent consideration liabilities in the condensed consolidated balance sheets, with such changes in exchange rates being reflected in other comprehensive loss or income in the condensed consolidated statements of comprehensive loss. Adjustments to the settlement date value that arise as a result of remeasurement at future balance sheet dates will be recorded as interest expense related to financing costs in the condensed consolidated statements of comprehensive income (loss) in the period the change is identified. No such adjustments have been recorded for the three or six months ended June 30, 2023 or 2022.</w:t>
      </w:r>
    </w:p>
    <w:p>
      <w:pPr>
        <w:spacing w:after="0" w:line="17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Company acquired an additional 15% equity interest of Systax through a Purchase Commitment Liability payment of $4,975 during the three and six months ended June 30, 2023, increasing the Company’s equity interest in Systax to 80%. The remaining Purchase Commitment Liability at June 30, 2023 was $5,566, and is included in purchase commitment and contingent consideration liabilities, current, in the condensed consolidated balance sheet.</w:t>
      </w:r>
    </w:p>
    <w:p>
      <w:pPr>
        <w:spacing w:after="0" w:line="17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Purchase Commitment Liability included in purchase commitment and contingent consideration liabilities, current and purchase commitment and contingent consideration liabilities, net of current portion in the consolidated balance sheets on December 31, 2022 was $4,749 and $5,012, respectively.</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carrying amounts of both the LCR deferred purchase consideration and the Systax Purchase Commitment Liability amounts discussed above approximated their respective fair values at such dates and are considered Level 3 non-recurring fair value measurements.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left="100" w:right="119" w:firstLine="292"/>
        <w:spacing w:after="0" w:line="311" w:lineRule="auto"/>
        <w:rPr>
          <w:sz w:val="20"/>
          <w:szCs w:val="20"/>
          <w:color w:val="auto"/>
        </w:rPr>
      </w:pPr>
      <w:r>
        <w:rPr>
          <w:rFonts w:ascii="Arial" w:cs="Arial" w:eastAsia="Arial" w:hAnsi="Arial"/>
          <w:sz w:val="16"/>
          <w:szCs w:val="16"/>
          <w:color w:val="auto"/>
        </w:rPr>
        <w:t>The Company may periodically enter into derivative contracts to reduce our exposure to foreign currency exchange rates. Historically, the Company has not designated derivative contracts as hedges. Such derivative contracts are typically designed to manage specific risks according to our strategies, which may change from time to time.</w:t>
      </w:r>
    </w:p>
    <w:p>
      <w:pPr>
        <w:spacing w:after="0" w:line="149" w:lineRule="exact"/>
        <w:rPr>
          <w:sz w:val="20"/>
          <w:szCs w:val="20"/>
          <w:color w:val="auto"/>
        </w:rPr>
      </w:pPr>
    </w:p>
    <w:p>
      <w:pPr>
        <w:jc w:val="center"/>
        <w:ind w:left="60" w:right="59"/>
        <w:spacing w:after="0" w:line="259" w:lineRule="auto"/>
        <w:rPr>
          <w:sz w:val="20"/>
          <w:szCs w:val="20"/>
          <w:color w:val="auto"/>
        </w:rPr>
      </w:pPr>
      <w:r>
        <w:rPr>
          <w:rFonts w:ascii="Arial" w:cs="Arial" w:eastAsia="Arial" w:hAnsi="Arial"/>
          <w:sz w:val="18"/>
          <w:szCs w:val="18"/>
          <w:color w:val="auto"/>
        </w:rPr>
        <w:t>The Company entered into a series of foreign currency forward contracts to reduce our exposure to adverse fluctuations in the Brazilian Real associated with a portion of the Systax Purchase Commitment Liability. Such forward contracts, have not been designated as a hedge, do not qualify for hedge accounting and are not material to our condensed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consolidated financial statements. These forward contacts are remeasured at fair value on a recurring basis and are included in other assets in our condensed consolidated balance sheets with changes in their estimated fair value recognized as interest expense in our condensed consolidated statements of comprehensive loss. Our fair value determinations are based on foreign currency exchange rates in active markets, which are considered to be Level 2 measurements within the Fair Value Hierarchy.</w:t>
      </w:r>
    </w:p>
    <w:p>
      <w:pPr>
        <w:spacing w:after="0" w:line="400" w:lineRule="exact"/>
        <w:rPr>
          <w:sz w:val="20"/>
          <w:szCs w:val="20"/>
          <w:color w:val="auto"/>
        </w:rPr>
      </w:pPr>
    </w:p>
    <w:p>
      <w:pPr>
        <w:ind w:left="780" w:hanging="406"/>
        <w:spacing w:after="0"/>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property and equipment are as follows: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As of 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0"/>
              </w:rPr>
              <w:t>As of December 31,</w:t>
            </w:r>
          </w:p>
        </w:tc>
      </w:tr>
      <w:tr>
        <w:trPr>
          <w:trHeight w:val="171"/>
        </w:trPr>
        <w:tc>
          <w:tcPr>
            <w:tcW w:w="4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142"/>
        </w:trPr>
        <w:tc>
          <w:tcPr>
            <w:tcW w:w="4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9"/>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20,929</w:t>
            </w: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39,238</w:t>
            </w: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purchased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Internal-use software developed: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Cloud-based customer solutions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142,980</w:t>
            </w: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Internal systems and tools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42,035</w:t>
            </w: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r>
      <w:tr>
        <w:trPr>
          <w:trHeight w:val="216"/>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In-process internal-use software</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18,200</w:t>
            </w:r>
          </w:p>
        </w:tc>
      </w:tr>
      <w:tr>
        <w:trPr>
          <w:trHeight w:val="209"/>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282,939</w:t>
            </w: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(136,871)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(181,849)</w:t>
            </w:r>
          </w:p>
        </w:tc>
      </w:tr>
      <w:tr>
        <w:trPr>
          <w:trHeight w:val="210"/>
        </w:trPr>
        <w:tc>
          <w:tcPr>
            <w:tcW w:w="4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101,090</w:t>
            </w:r>
          </w:p>
        </w:tc>
      </w:tr>
      <w:tr>
        <w:trPr>
          <w:trHeight w:val="20"/>
        </w:trPr>
        <w:tc>
          <w:tcPr>
            <w:tcW w:w="4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Depreciation expense for property and equipment, excluding all internal-use software developed and finance leases, was $1,967 and $1,671 for the three months ended June 30, 2023 and 2022, respectively, and $3,484 and $3,389 for the six months ended June 30, 2023 and 2022, respectively, and is reflected in depreciation and amortization in the condensed consolidated statements of comprehensive loss.</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Finance lease amortization was $237 and $535 for the three months ended June 30, 2023 and 2022, respectively, and $516 and $770 for the six months ended June 30, 2023 and 2022, respectively, and is included in depreciation and amortization expense in the condensed consolidated statements of comprehensive loss.</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Assets under finance leases of $393 and $1,461, net of accumulated amortization of $316 and $861, respectively, at June 30, 2023 and December 31, 2022, respectively, are included in property and equipment in the condensed consolidated balance sheets.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internal-use software are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As of June 30,</w:t>
            </w:r>
          </w:p>
        </w:tc>
        <w:tc>
          <w:tcPr>
            <w:tcW w:w="2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88"/>
        </w:trPr>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Internal-use software developed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175,882</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185,015</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(98,320)</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(119,603)</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Internal-use software developed, net of accumulated depreciation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65,412</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In-process internal-use software</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Internal-use software developed, net</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84,620</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83,612</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38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75"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Amounts included in property and equipment additions related to capitalized internal-use software on the condensed consolidated statements of cash flows are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142"/>
        </w:trPr>
        <w:tc>
          <w:tcPr>
            <w:tcW w:w="6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2022</w:t>
            </w:r>
          </w:p>
        </w:tc>
      </w:tr>
      <w:tr>
        <w:trPr>
          <w:trHeight w:val="142"/>
        </w:trPr>
        <w:tc>
          <w:tcPr>
            <w:tcW w:w="6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Cloud-based customer solutions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14,406</w:t>
            </w:r>
          </w:p>
        </w:tc>
      </w:tr>
      <w:tr>
        <w:trPr>
          <w:trHeight w:val="216"/>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 systems and tools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w:t>
            </w:r>
          </w:p>
        </w:tc>
      </w:tr>
      <w:tr>
        <w:trPr>
          <w:trHeight w:val="21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21,816</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18,587</w:t>
            </w:r>
          </w:p>
        </w:tc>
      </w:tr>
      <w:tr>
        <w:trPr>
          <w:trHeight w:val="20"/>
        </w:trPr>
        <w:tc>
          <w:tcPr>
            <w:tcW w:w="6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In-process internal-use software developed is not depreciated until it is available for its intended use. Depreciation expense for internal-use software developed for cloud-based customer solutions for the three months ended June 30, 2023 and 2022 was $8,260 and $6,927, respectively, and $16,408 and $13,258, for the six months ended June 30, 2023 and 2022, respectively, and is included in cost of revenues, software subscriptions in the condensed consolidated statements of comprehensive loss.</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Depreciation expense for internal-use software developed for internal systems and tools for the three months ended June 30, 2023 and 2022 was $1,674 and $1,018, respectively, and $3,619 and $2,025 for the six months ended June 30, 2023 and 2022, respectively, and is included in depreciation and amortization in the condensed 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0" w:hanging="306"/>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SOFTWARE</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Capitalized software includes acquired software and direct labor and related expenses for software developed for sale for new products and enhancements to existing products.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capitalized software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As of June 30,   As of December 31,</w:t>
            </w:r>
          </w:p>
        </w:tc>
      </w:tr>
      <w:tr>
        <w:trPr>
          <w:trHeight w:val="171"/>
        </w:trPr>
        <w:tc>
          <w:tcPr>
            <w:tcW w:w="6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142"/>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96,577</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(70,790)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(62,197)</w:t>
            </w:r>
          </w:p>
        </w:tc>
      </w:tr>
      <w:tr>
        <w:trPr>
          <w:trHeight w:val="210"/>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Capitalized software, net of accumulated depreciation</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39,396</w:t>
            </w:r>
          </w:p>
        </w:tc>
        <w:tc>
          <w:tcPr>
            <w:tcW w:w="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34,380</w:t>
            </w: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In-process capitalized software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r>
      <w:tr>
        <w:trPr>
          <w:trHeight w:val="250"/>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Capitalized software,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39,012</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Software development costs capitalized for the three months ended June 30, 2023 and 2022, excluding acquisitions, were $5,035 and $3,014, respectively, and $9,042 and $5,926 for the six months ended June 30, 2023 and 2022, respectively.</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Capitalized software amortization expense, including amortization of acquired technology, was $4,364 and $5,405 for the three months ended June 30, 2023 and 2022, respectively, and $8,593 and $8,706 for the six months ended June 30, 2023 and 2022, respectively, and is included in cost of revenues, software subscriptions in the condensed consolidated statements of comprehensive loss.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8"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Goodwill and other intangible assets are as follows for the periods presented:</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As of June 30,</w:t>
            </w:r>
          </w:p>
        </w:tc>
        <w:tc>
          <w:tcPr>
            <w:tcW w:w="2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 of December 31,</w:t>
            </w:r>
          </w:p>
        </w:tc>
      </w:tr>
      <w:tr>
        <w:trPr>
          <w:trHeight w:val="188"/>
        </w:trPr>
        <w:tc>
          <w:tcPr>
            <w:tcW w:w="6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r>
      <w:tr>
        <w:trPr>
          <w:trHeight w:val="210"/>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255,868</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251,842</w:t>
            </w:r>
          </w:p>
        </w:tc>
      </w:tr>
      <w:tr>
        <w:trPr>
          <w:trHeight w:val="21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 assets, net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r>
      <w:tr>
        <w:trPr>
          <w:trHeight w:val="209"/>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259,587</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257,023</w:t>
            </w: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339" w:firstLine="324"/>
        <w:spacing w:after="0" w:line="259" w:lineRule="auto"/>
        <w:rPr>
          <w:sz w:val="20"/>
          <w:szCs w:val="20"/>
          <w:color w:val="auto"/>
        </w:rPr>
      </w:pPr>
      <w:r>
        <w:rPr>
          <w:rFonts w:ascii="Arial" w:cs="Arial" w:eastAsia="Arial" w:hAnsi="Arial"/>
          <w:sz w:val="18"/>
          <w:szCs w:val="18"/>
          <w:color w:val="auto"/>
        </w:rPr>
        <w:t>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of June 30,</w:t>
            </w:r>
          </w:p>
        </w:tc>
        <w:tc>
          <w:tcPr>
            <w:tcW w:w="240" w:type="dxa"/>
            <w:vAlign w:val="bottom"/>
          </w:tcPr>
          <w:p>
            <w:pPr>
              <w:spacing w:after="0"/>
              <w:rPr>
                <w:sz w:val="14"/>
                <w:szCs w:val="14"/>
                <w:color w:val="auto"/>
              </w:rPr>
            </w:pPr>
          </w:p>
        </w:tc>
        <w:tc>
          <w:tcPr>
            <w:tcW w:w="1520" w:type="dxa"/>
            <w:vAlign w:val="bottom"/>
          </w:tcPr>
          <w:p>
            <w:pPr>
              <w:jc w:val="right"/>
              <w:ind w:right="116"/>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amortization period</w:t>
            </w: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(years)</w:t>
            </w: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1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(7,234)</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amortization of other intangible assets: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8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Cost of Revenues, Software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Selling and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Total Expense</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7"/>
              </w:rPr>
              <w:t>Subscriptions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4"/>
              </w:rPr>
              <w:t>Marketing Expense</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193"/>
        </w:trPr>
        <w:tc>
          <w:tcPr>
            <w:tcW w:w="3200" w:type="dxa"/>
            <w:vAlign w:val="bottom"/>
          </w:tcPr>
          <w:p>
            <w:pPr>
              <w:ind w:left="20"/>
              <w:spacing w:after="0" w:line="194"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line="194"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Arial" w:cs="Arial" w:eastAsia="Arial" w:hAnsi="Arial"/>
                <w:sz w:val="18"/>
                <w:szCs w:val="18"/>
                <w:color w:val="auto"/>
              </w:rPr>
              <w:t>2,019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line="194" w:lineRule="exact"/>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six months ended June 30,</w:t>
            </w:r>
          </w:p>
        </w:tc>
        <w:tc>
          <w:tcPr>
            <w:tcW w:w="18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Cost of Revenues, Software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Selling and</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Total Expense</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7"/>
              </w:rPr>
              <w:t>Subscriptions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4"/>
              </w:rPr>
              <w:t>Marketing Expense</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2,268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647"/>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ind w:right="455"/>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75"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8"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On March 8, 2022, the Company entered into the Second Amendment to the Credit Agreement, with a banking syndicate, which provides (i) a term loan in the aggregate amount of $50,000 (the “Term Loan”); and (ii) a $200,000 revolving facility (the “Line of Credit”). Our indebtedness at June 30, 2023 and December 31, 2022 was as follows: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As of June 30,</w:t>
            </w:r>
          </w:p>
        </w:tc>
        <w:tc>
          <w:tcPr>
            <w:tcW w:w="280" w:type="dxa"/>
            <w:vAlign w:val="bottom"/>
          </w:tcPr>
          <w:p>
            <w:pPr>
              <w:spacing w:after="0"/>
              <w:rPr>
                <w:sz w:val="16"/>
                <w:szCs w:val="16"/>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As of December 31,</w:t>
            </w:r>
          </w:p>
        </w:tc>
      </w:tr>
      <w:tr>
        <w:trPr>
          <w:trHeight w:val="188"/>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24"/>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1"/>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0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r>
      <w:tr>
        <w:trPr>
          <w:trHeight w:val="210"/>
        </w:trPr>
        <w:tc>
          <w:tcPr>
            <w:tcW w:w="5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2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net of current portion</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46,709</w:t>
            </w:r>
          </w:p>
        </w:tc>
      </w:tr>
      <w:tr>
        <w:trPr>
          <w:trHeight w:val="209"/>
        </w:trPr>
        <w:tc>
          <w:tcPr>
            <w:tcW w:w="5200" w:type="dxa"/>
            <w:vAlign w:val="bottom"/>
          </w:tcPr>
          <w:p>
            <w:pPr>
              <w:ind w:left="140"/>
              <w:spacing w:after="0"/>
              <w:rPr>
                <w:sz w:val="20"/>
                <w:szCs w:val="20"/>
                <w:color w:val="auto"/>
              </w:rPr>
            </w:pPr>
            <w:r>
              <w:rPr>
                <w:rFonts w:ascii="Arial" w:cs="Arial" w:eastAsia="Arial" w:hAnsi="Arial"/>
                <w:sz w:val="18"/>
                <w:szCs w:val="18"/>
                <w:color w:val="auto"/>
              </w:rPr>
              <w:t>Total debt, net of financing costs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47,978</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48,897</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80" w:right="6339" w:hanging="330"/>
        <w:spacing w:after="0" w:line="503" w:lineRule="auto"/>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jc w:val="both"/>
        <w:ind w:left="60" w:right="59" w:firstLine="324"/>
        <w:spacing w:after="0" w:line="263" w:lineRule="auto"/>
        <w:rPr>
          <w:sz w:val="20"/>
          <w:szCs w:val="20"/>
          <w:color w:val="auto"/>
        </w:rPr>
      </w:pPr>
      <w:r>
        <w:rPr>
          <w:rFonts w:ascii="Arial" w:cs="Arial" w:eastAsia="Arial" w:hAnsi="Arial"/>
          <w:sz w:val="18"/>
          <w:szCs w:val="18"/>
          <w:color w:val="auto"/>
        </w:rPr>
        <w:t>During the three and six months ended and June 30, 2023, the Company issued 259 and 851 shares of Class A common stock, respectively, related to the exercise of options, net of 6 and 23 shares, respectively, returned to the Company in lieu of payment of the exercise price and taxes due on these exercises.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During the three and six months ended June 30, 2023, the Company issued 22 and 413 shares of Class A common stock, respectively, in connection with the vesting of Restricted Stock Units (“RSUs”), net of 11 and 242 shares, respectively, returned to the Company in lieu of payment of taxes due on the vesting of these RSUs.</w:t>
      </w:r>
    </w:p>
    <w:p>
      <w:pPr>
        <w:spacing w:after="0" w:line="16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three and six months ended June 30, 2023, the Company issued 106 shares of Class A common stock, in connection with the vesting of Restricted Stock Awards (“RSAs”).</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three and six months ended June 30, 2023, a stockholder exchanged 2,589 shares of Class B common stock, for an equivalent number of shares of Class A common stock.</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three and six months ended and June 30, 2022, the Company issued 93 and 365 shares of Class A, respectively, related to the exercise of options, net of 23 and 70 shares, respectively, returned to the Company in lieu of payment of the exercise price and taxes due on these exercises.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three and six months ended June 30, 2022, the Company issued 0 and 3 shares of Class A, respectively, in connection with the vesting of RSUs, net of 0 and 1 share, respectively, returned to the Company in lieu of payment of taxes due on the vesting of these RSUs.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2"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During the three and six months ended June 30, 2022, the Company issued 59 shares of Class A common stock in connection with the vesting of Restricted Stock Awards (“RSAs”).</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three and six months ended June 30, 2022, a stockholder exchanged 5,500 shares of Class B common stock for an equivalent number of shares of Class A common stock.</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Tax Sharing Agreement Payments</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 connection with termination of the Company’s S-Corporation election effective July 27, 2020, the Company entered into a tax sharing agreement (“Tax Sharing Agreement”) with the former S-Corporation shareholders. All obligations of the Company under the Tax Sharing Agreement are satisfied by adjustments of additional paid in capital.</w:t>
      </w:r>
    </w:p>
    <w:p>
      <w:pPr>
        <w:spacing w:after="0" w:line="14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During the three and six months ended June 30, 2022, the Company distributed $0 and $536, respectively, to the former S-Corporation shareholders under the Tax Sharing Agreement to settle the Company’s obligation for income taxes related to the allocation of taxable income to the S-Corporation short tax period ended July 26, 2020.</w:t>
      </w:r>
    </w:p>
    <w:p>
      <w:pPr>
        <w:spacing w:after="0" w:line="377" w:lineRule="exact"/>
        <w:rPr>
          <w:sz w:val="20"/>
          <w:szCs w:val="20"/>
          <w:color w:val="auto"/>
        </w:rPr>
      </w:pPr>
    </w:p>
    <w:p>
      <w:pPr>
        <w:ind w:left="360" w:hanging="310"/>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tables below illustrate the calculation of basic and diluted net loss per common share for the Class A common stock and Class B common stock for the periods reflected below.</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Class A 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For the three months ended June 30,</w:t>
            </w:r>
          </w:p>
        </w:tc>
        <w:tc>
          <w:tcPr>
            <w:tcW w:w="24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96"/>
        </w:trPr>
        <w:tc>
          <w:tcPr>
            <w:tcW w:w="36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basic: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80"/>
              <w:spacing w:after="0"/>
              <w:rPr>
                <w:sz w:val="20"/>
                <w:szCs w:val="20"/>
                <w:color w:val="auto"/>
              </w:rPr>
            </w:pPr>
            <w:r>
              <w:rPr>
                <w:rFonts w:ascii="Arial" w:cs="Arial" w:eastAsia="Arial" w:hAnsi="Arial"/>
                <w:sz w:val="18"/>
                <w:szCs w:val="18"/>
                <w:color w:val="auto"/>
              </w:rPr>
              <w:t>Net loss attributable to all stockholders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(6,896)</w:t>
            </w:r>
          </w:p>
        </w:tc>
        <w:tc>
          <w:tcPr>
            <w:tcW w:w="3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(5,520)</w:t>
            </w:r>
          </w:p>
        </w:tc>
        <w:tc>
          <w:tcPr>
            <w:tcW w:w="24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(25,028)</w:t>
            </w:r>
          </w:p>
        </w:tc>
        <w:tc>
          <w:tcPr>
            <w:tcW w:w="220" w:type="dxa"/>
            <w:vAlign w:val="bottom"/>
          </w:tcPr>
          <w:p>
            <w:pPr>
              <w:spacing w:after="0"/>
              <w:rPr>
                <w:sz w:val="18"/>
                <w:szCs w:val="18"/>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Class A common stock as a percentage of total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35.49 %</w:t>
            </w:r>
          </w:p>
        </w:tc>
        <w:tc>
          <w:tcPr>
            <w:tcW w:w="2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28.96 %</w:t>
            </w:r>
          </w:p>
        </w:tc>
        <w:tc>
          <w:tcPr>
            <w:tcW w:w="2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34.49 %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28.67 %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shares outstanding, basic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66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9"/>
              </w:rPr>
              <w:t>Net loss attributable to Class A stockholders,</w:t>
            </w:r>
          </w:p>
        </w:tc>
        <w:tc>
          <w:tcPr>
            <w:tcW w:w="8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(2,447)</w:t>
            </w:r>
          </w:p>
        </w:tc>
        <w:tc>
          <w:tcPr>
            <w:tcW w:w="320" w:type="dxa"/>
            <w:vAlign w:val="bottom"/>
          </w:tcPr>
          <w:p>
            <w:pPr>
              <w:spacing w:after="0"/>
              <w:rPr>
                <w:sz w:val="16"/>
                <w:szCs w:val="16"/>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(1,598)</w:t>
            </w:r>
          </w:p>
        </w:tc>
        <w:tc>
          <w:tcPr>
            <w:tcW w:w="240" w:type="dxa"/>
            <w:vAlign w:val="bottom"/>
          </w:tcPr>
          <w:p>
            <w:pPr>
              <w:spacing w:after="0"/>
              <w:rPr>
                <w:sz w:val="16"/>
                <w:szCs w:val="16"/>
                <w:color w:val="auto"/>
              </w:rPr>
            </w:pPr>
          </w:p>
        </w:tc>
        <w:tc>
          <w:tcPr>
            <w:tcW w:w="220" w:type="dxa"/>
            <w:vAlign w:val="bottom"/>
            <w:vMerge w:val="restart"/>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(8,633)</w:t>
            </w:r>
          </w:p>
        </w:tc>
        <w:tc>
          <w:tcPr>
            <w:tcW w:w="220" w:type="dxa"/>
            <w:vAlign w:val="bottom"/>
          </w:tcPr>
          <w:p>
            <w:pPr>
              <w:spacing w:after="0"/>
              <w:rPr>
                <w:sz w:val="16"/>
                <w:szCs w:val="16"/>
                <w:color w:val="auto"/>
              </w:rPr>
            </w:pPr>
          </w:p>
        </w:tc>
        <w:tc>
          <w:tcPr>
            <w:tcW w:w="340" w:type="dxa"/>
            <w:vAlign w:val="bottom"/>
            <w:gridSpan w:val="2"/>
            <w:vMerge w:val="restart"/>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basic</w:t>
            </w:r>
          </w:p>
        </w:tc>
        <w:tc>
          <w:tcPr>
            <w:tcW w:w="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Numerator, diluted: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loss attributable to all stockholders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4"/>
              </w:rPr>
              <w:t>Class A common stock as a percentage of total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tcPr>
          <w:p>
            <w:pPr>
              <w:ind w:left="80"/>
              <w:spacing w:after="0"/>
              <w:rPr>
                <w:sz w:val="20"/>
                <w:szCs w:val="20"/>
                <w:color w:val="auto"/>
              </w:rPr>
            </w:pPr>
            <w:r>
              <w:rPr>
                <w:rFonts w:ascii="Arial" w:cs="Arial" w:eastAsia="Arial" w:hAnsi="Arial"/>
                <w:sz w:val="18"/>
                <w:szCs w:val="18"/>
                <w:color w:val="auto"/>
              </w:rPr>
              <w:t>shares outstanding, diluted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35.49 %</w:t>
            </w:r>
          </w:p>
        </w:tc>
        <w:tc>
          <w:tcPr>
            <w:tcW w:w="2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28.96 %</w:t>
            </w: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34.49 %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28.67 %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gridSpan w:val="2"/>
            <w:vMerge w:val="restart"/>
            <w:shd w:val="clear" w:color="auto" w:fill="CCEEFF"/>
          </w:tcPr>
          <w:p>
            <w:pPr>
              <w:ind w:left="80"/>
              <w:spacing w:after="0" w:line="201" w:lineRule="exact"/>
              <w:rPr>
                <w:sz w:val="20"/>
                <w:szCs w:val="20"/>
                <w:color w:val="auto"/>
              </w:rPr>
            </w:pPr>
            <w:r>
              <w:rPr>
                <w:rFonts w:ascii="Arial" w:cs="Arial" w:eastAsia="Arial" w:hAnsi="Arial"/>
                <w:sz w:val="18"/>
                <w:szCs w:val="18"/>
                <w:color w:val="auto"/>
                <w:w w:val="99"/>
              </w:rPr>
              <w:t>Net loss attributable to Class A stockholders,</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gridSpan w:val="2"/>
            <w:vMerge w:val="continue"/>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3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40" w:type="dxa"/>
            <w:vAlign w:val="bottom"/>
            <w:tcBorders>
              <w:right w:val="single" w:sz="8" w:color="CCEEFF"/>
            </w:tcBorders>
            <w:shd w:val="clear" w:color="auto" w:fill="CCEEFF"/>
          </w:tcPr>
          <w:p>
            <w:pPr>
              <w:spacing w:after="0"/>
              <w:rPr>
                <w:sz w:val="15"/>
                <w:szCs w:val="15"/>
                <w:color w:val="auto"/>
              </w:rPr>
            </w:pP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220" w:type="dxa"/>
            <w:vAlign w:val="bottom"/>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basic and diluted: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80"/>
              <w:spacing w:after="0"/>
              <w:rPr>
                <w:sz w:val="20"/>
                <w:szCs w:val="20"/>
                <w:color w:val="auto"/>
              </w:rPr>
            </w:pPr>
            <w:r>
              <w:rPr>
                <w:rFonts w:ascii="Arial" w:cs="Arial" w:eastAsia="Arial" w:hAnsi="Arial"/>
                <w:sz w:val="18"/>
                <w:szCs w:val="18"/>
                <w:color w:val="auto"/>
                <w:w w:val="92"/>
              </w:rPr>
              <w:t>Weighted average Class A common stock, basic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53,762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8"/>
                <w:szCs w:val="18"/>
                <w:color w:val="auto"/>
                <w:w w:val="91"/>
              </w:rPr>
              <w:t>Dilutive effect of common stock equivalents</w:t>
            </w:r>
            <w:r>
              <w:rPr>
                <w:rFonts w:ascii="Arial" w:cs="Arial" w:eastAsia="Arial" w:hAnsi="Arial"/>
                <w:sz w:val="24"/>
                <w:szCs w:val="24"/>
                <w:color w:val="auto"/>
                <w:w w:val="91"/>
                <w:vertAlign w:val="superscript"/>
              </w:rPr>
              <w:t>(1) (2)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Weighted average Class A common stock,</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53,762</w:t>
            </w:r>
          </w:p>
        </w:tc>
        <w:tc>
          <w:tcPr>
            <w:tcW w:w="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43,286</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52,109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42,818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Net loss per Class A share, basic</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2"/>
                <w:szCs w:val="22"/>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per Class A share, 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80" w:right="119" w:hanging="322"/>
        <w:spacing w:after="0" w:line="289" w:lineRule="auto"/>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the three months ended June 30, 2023, the following weighted-average outstanding shares of common stock equivalents by award type were excluded from the computation of diluted net loss per share attributable to Class A stockholders, as the impact of including them would have been anti-dilutive: 7,788 options (including 261 out-of-the-money options), 225 restricted stock awards (“RSAs”), 4,161 RSUs and 47 shares under the ESPP. For the three months ended June 30, 2022, the following weighted-average outstanding shares of common stock equivalents by award type were excluded from the computation of diluted net loss per share attributable to Class A stockholders, as the impact of including them would have been anti-dilutive: 9,024 options (including 763 out-of-the-money options), 306 RSAs, 2,417 RSUs and 49 shares under the ESPP.</w:t>
      </w:r>
    </w:p>
    <w:p>
      <w:pPr>
        <w:sectPr>
          <w:pgSz w:w="11900" w:h="16838" w:orient="portrait"/>
          <w:cols w:equalWidth="0" w:num="1">
            <w:col w:w="9019"/>
          </w:cols>
          <w:pgMar w:left="1440" w:top="675"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7" w:lineRule="exact"/>
        <w:rPr>
          <w:sz w:val="20"/>
          <w:szCs w:val="20"/>
          <w:color w:val="auto"/>
        </w:rPr>
      </w:pPr>
    </w:p>
    <w:p>
      <w:pPr>
        <w:ind w:left="480" w:right="119" w:hanging="322"/>
        <w:spacing w:after="0" w:line="289" w:lineRule="auto"/>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 the six months ended June 30, 2023, the following weighted-average outstanding shares of common stock equivalents by award type were excluded from the computation of diluted net loss per share attributable to Class A stockholders, as the impact of including them would have been anti-dilutive: 8,060 options (including 483 out-of-the-money options), 230 RSAs, 3,654 RSUs and 46 shares under the ESPP. For the six months ended June 30, 2022, the following weighted-average outstanding shares of common stock equivalents by award type were excluded from the computation of diluted net loss per share attributable to Class A stockholders, as the impact of including them would have been anti-dilutive: 9,226 options (including 765 out-of-the-money options), 316 RSAs, 1,984 RSUs and 45 shares under the ESPP.</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Class B common stock:</w:t>
            </w:r>
          </w:p>
        </w:tc>
        <w:tc>
          <w:tcPr>
            <w:tcW w:w="80" w:type="dxa"/>
            <w:vAlign w:val="bottom"/>
          </w:tcPr>
          <w:p>
            <w:pPr>
              <w:spacing w:after="0"/>
              <w:rPr>
                <w:sz w:val="14"/>
                <w:szCs w:val="14"/>
                <w:color w:val="auto"/>
              </w:rPr>
            </w:pPr>
          </w:p>
        </w:tc>
        <w:tc>
          <w:tcPr>
            <w:tcW w:w="2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For the three months ended June 30,</w:t>
            </w:r>
          </w:p>
        </w:tc>
        <w:tc>
          <w:tcPr>
            <w:tcW w:w="24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basic:</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Net loss attributable to all stockholders</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(6,896)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(5,520)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(25,028)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Class B common stock as a percentage of total</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64.51 %</w:t>
            </w:r>
          </w:p>
        </w:tc>
        <w:tc>
          <w:tcPr>
            <w:tcW w:w="3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71.04 %</w:t>
            </w: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65.51 %</w:t>
            </w:r>
          </w:p>
        </w:tc>
        <w:tc>
          <w:tcPr>
            <w:tcW w:w="2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71.33 %</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outstanding, basic</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780" w:type="dxa"/>
            <w:vAlign w:val="bottom"/>
          </w:tcPr>
          <w:p>
            <w:pPr>
              <w:ind w:left="120"/>
              <w:spacing w:after="0" w:line="195" w:lineRule="exact"/>
              <w:rPr>
                <w:sz w:val="20"/>
                <w:szCs w:val="20"/>
                <w:color w:val="auto"/>
              </w:rPr>
            </w:pPr>
            <w:r>
              <w:rPr>
                <w:rFonts w:ascii="Arial" w:cs="Arial" w:eastAsia="Arial" w:hAnsi="Arial"/>
                <w:sz w:val="18"/>
                <w:szCs w:val="18"/>
                <w:color w:val="auto"/>
              </w:rPr>
              <w:t>Net loss attributable to Class B stockholders,</w:t>
            </w:r>
          </w:p>
        </w:tc>
        <w:tc>
          <w:tcPr>
            <w:tcW w:w="300" w:type="dxa"/>
            <w:vAlign w:val="bottom"/>
            <w:gridSpan w:val="2"/>
            <w:vMerge w:val="restart"/>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(4,449)</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(3,922)</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(16,395)</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(4,175)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120"/>
              <w:spacing w:after="0" w:line="203" w:lineRule="exact"/>
              <w:rPr>
                <w:sz w:val="20"/>
                <w:szCs w:val="20"/>
                <w:color w:val="auto"/>
              </w:rPr>
            </w:pPr>
            <w:r>
              <w:rPr>
                <w:rFonts w:ascii="Arial" w:cs="Arial" w:eastAsia="Arial" w:hAnsi="Arial"/>
                <w:sz w:val="18"/>
                <w:szCs w:val="18"/>
                <w:color w:val="auto"/>
              </w:rPr>
              <w:t>basic</w:t>
            </w:r>
          </w:p>
        </w:tc>
        <w:tc>
          <w:tcPr>
            <w:tcW w:w="30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Numerator, diluted: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attributable to all stockholders</w:t>
            </w: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(25,028)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120"/>
              <w:spacing w:after="0" w:line="201" w:lineRule="exact"/>
              <w:rPr>
                <w:sz w:val="20"/>
                <w:szCs w:val="20"/>
                <w:color w:val="auto"/>
              </w:rPr>
            </w:pPr>
            <w:r>
              <w:rPr>
                <w:rFonts w:ascii="Arial" w:cs="Arial" w:eastAsia="Arial" w:hAnsi="Arial"/>
                <w:sz w:val="18"/>
                <w:szCs w:val="18"/>
                <w:color w:val="auto"/>
                <w:w w:val="96"/>
              </w:rPr>
              <w:t>Class B common stock as a percentage of total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rPr>
              <w:t>shares outstanding, diluted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64.51 %</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71.04 %</w:t>
            </w: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65.51 %</w:t>
            </w: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71.33 %</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ind w:left="120"/>
              <w:spacing w:after="0" w:line="201" w:lineRule="exact"/>
              <w:rPr>
                <w:sz w:val="20"/>
                <w:szCs w:val="20"/>
                <w:color w:val="auto"/>
              </w:rPr>
            </w:pPr>
            <w:r>
              <w:rPr>
                <w:rFonts w:ascii="Arial" w:cs="Arial" w:eastAsia="Arial" w:hAnsi="Arial"/>
                <w:sz w:val="18"/>
                <w:szCs w:val="18"/>
                <w:color w:val="auto"/>
              </w:rPr>
              <w:t>Net loss attributable to Class B stockholders,</w:t>
            </w: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780" w:type="dxa"/>
            <w:vAlign w:val="bottom"/>
            <w:vMerge w:val="continue"/>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(4,449)</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(3,922)</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(16,395)</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basic and diluted:</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w w:val="94"/>
              </w:rPr>
              <w:t>Weighted average Class B common stock, basic</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97,718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106,203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98,969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106,505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Dilutive effect of common stock equivalents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1"/>
              </w:rPr>
              <w:t>Weighted average Class B common stock, diluted</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97,718</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106,203</w:t>
            </w:r>
          </w:p>
        </w:tc>
        <w:tc>
          <w:tcPr>
            <w:tcW w:w="2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98,969</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106,505</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80" w:type="dxa"/>
            <w:vAlign w:val="bottom"/>
          </w:tcPr>
          <w:p>
            <w:pPr>
              <w:ind w:left="20"/>
              <w:spacing w:after="0"/>
              <w:rPr>
                <w:sz w:val="20"/>
                <w:szCs w:val="20"/>
                <w:color w:val="auto"/>
              </w:rPr>
            </w:pPr>
            <w:r>
              <w:rPr>
                <w:rFonts w:ascii="Arial" w:cs="Arial" w:eastAsia="Arial" w:hAnsi="Arial"/>
                <w:sz w:val="18"/>
                <w:szCs w:val="18"/>
                <w:color w:val="auto"/>
              </w:rPr>
              <w:t>Net loss per Class B share, basic</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(0.05)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7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Class B share, 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3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60" w:hanging="410"/>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 PLANS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2020 Plan provides the ability to grant cash and equity-based incentive awards to eligible employees, directors and service providers in order to attract, retain and motivate those that make important contributions to the Company. The Company issued stock options, RSAs, and RSUs under the 2020 Plan. As of June 30, 2023, 14,555 shares of Class A common stock were available for issuance under the 2020 Plan.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Options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activity for options outstanding under the 2020 Plan for the six months ended June 30, 2023:</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2020 Plan Option Activity</w:t>
            </w: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Exercise</w:t>
            </w:r>
          </w:p>
        </w:tc>
        <w:tc>
          <w:tcPr>
            <w:tcW w:w="1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5"/>
        </w:trPr>
        <w:tc>
          <w:tcPr>
            <w:tcW w:w="528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4"/>
                <w:szCs w:val="14"/>
                <w:color w:val="auto"/>
              </w:rPr>
            </w:pPr>
          </w:p>
        </w:tc>
        <w:tc>
          <w:tcPr>
            <w:tcW w:w="8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Life (Years)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9"/>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9"/>
              </w:rPr>
              <w:t>(unaudited)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Exercised</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2020 Plan options outstanding at June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920" w:type="dxa"/>
            <w:vAlign w:val="bottom"/>
            <w:tcBorders>
              <w:top w:val="single" w:sz="8" w:color="CCEEFF"/>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114,311</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ind w:left="20"/>
              <w:spacing w:after="0"/>
              <w:rPr>
                <w:sz w:val="20"/>
                <w:szCs w:val="20"/>
                <w:color w:val="auto"/>
              </w:rPr>
            </w:pPr>
            <w:r>
              <w:rPr>
                <w:rFonts w:ascii="Arial" w:cs="Arial" w:eastAsia="Arial" w:hAnsi="Arial"/>
                <w:sz w:val="18"/>
                <w:szCs w:val="18"/>
                <w:color w:val="auto"/>
              </w:rPr>
              <w:t>2020 Plan options exercisable at June 30, 2023</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3.31</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95,091</w:t>
            </w:r>
          </w:p>
        </w:tc>
        <w:tc>
          <w:tcPr>
            <w:tcW w:w="0" w:type="dxa"/>
            <w:vAlign w:val="bottom"/>
          </w:tcPr>
          <w:p>
            <w:pPr>
              <w:spacing w:after="0" w:line="20" w:lineRule="exact"/>
              <w:rPr>
                <w:sz w:val="1"/>
                <w:szCs w:val="1"/>
                <w:color w:val="auto"/>
              </w:rPr>
            </w:pPr>
          </w:p>
        </w:tc>
      </w:tr>
      <w:tr>
        <w:trPr>
          <w:trHeight w:val="196"/>
        </w:trPr>
        <w:tc>
          <w:tcPr>
            <w:tcW w:w="5280" w:type="dxa"/>
            <w:vAlign w:val="bottom"/>
            <w:gridSpan w:val="3"/>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5,875</w:t>
            </w: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*Amended Options have indefinite contractual lives</w:t>
      </w:r>
    </w:p>
    <w:p>
      <w:pPr>
        <w:sectPr>
          <w:pgSz w:w="11900" w:h="16838" w:orient="portrait"/>
          <w:cols w:equalWidth="0" w:num="1">
            <w:col w:w="9019"/>
          </w:cols>
          <w:pgMar w:left="1440" w:top="675" w:right="1440"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detail of options outstanding, vested and exercisable under the 2020 Plan as of June 30, 2023 is as follows: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w w:val="93"/>
              </w:rPr>
              <w:t>Options Vested and Exercisable</w:t>
            </w: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8"/>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Exercise Prices</w:t>
            </w:r>
          </w:p>
        </w:tc>
        <w:tc>
          <w:tcPr>
            <w:tcW w:w="160" w:type="dxa"/>
            <w:vAlign w:val="bottom"/>
            <w:vMerge w:val="restart"/>
          </w:tcPr>
          <w:p>
            <w:pPr>
              <w:spacing w:after="0"/>
              <w:rPr>
                <w:sz w:val="12"/>
                <w:szCs w:val="12"/>
                <w:color w:val="auto"/>
              </w:rPr>
            </w:pPr>
          </w:p>
        </w:tc>
        <w:tc>
          <w:tcPr>
            <w:tcW w:w="8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482"/>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$0.15 to $0.71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1,636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212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2,096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172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482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$3.73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683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286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$18.47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53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$18.96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105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17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$32.16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133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7,634</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5,875</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Board of Directors (“the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loss over the period during which the participant is required to perform the requisite services. The vesting period is generally one to four years. The grant date fair value of options is estimated using the Black-Scholes model.</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were no options issued under the 2020 Plan during the three or six months ended June 30, 2023 or 2022.</w:t>
      </w:r>
    </w:p>
    <w:p>
      <w:pPr>
        <w:spacing w:after="0" w:line="237"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At June 30, 2023, $7,286 of unrecognized compensation expense associated with options is expected to be recognized over a weighted average period of approximately 1.6 years.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RSU activity for the six months ended June 30, 2023:</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55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2,355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5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Stock-based compensation cost for RSUs is measured based on the fair value of the Company’s underlying common stock on the date of grant and is recognized on a straight-line basis in the condensed consolidated statements of comprehensive loss over the period during which the participant is required to perform services in exchange for the award, which is generally one to four years. Vested RSUs are settled by issuing Class A shares or the equivalent value in cash at the Board’s discretion. At June 30, 2023, $52,793 of unrecognized compensation cost for RSUs is expected to be recognized over a weighted average period of approximately 3.1 years.</w:t>
      </w:r>
    </w:p>
    <w:p>
      <w:pPr>
        <w:spacing w:after="0" w:line="17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connection with the Taxamo acquisition, certain continuing employees of Taxamo received RSUs with service and performance conditions (“PSUs”). At June 30, 2023, there are 895 shares of our Class A common stock with an aggregate grant date fair value of $15,803 that will be accounted for as post-acquisition compensation expense over the vesting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period if targets are achieved. The performance-based condition will be satisfied upon meeting certain performance targets for the year ended 2023. As of June 30, 2023, it is not probable that these targets will be met, thus no compensation expense has been recorded to date related to these PSUs.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RSA activity for the six months ended June 30, 2023:</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12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Stock-based compensation cost for RSAs is measured based on the fair value of the Company’s underlying common stock on the date of grant and is recognized on a straight-line basis in the condensed consolidated statements of comprehensive loss over the period during which the participants are required to perform services in exchange for the award, which is generally one to four years. At June 30, 2023, $2,038 of unrecognized compensation cost for RSAs is expected to be recognized over a weighted average period of approximately 1.0 years.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ESPP provides eligible employees with rights during each six-month ESPP offering period to purchase shares of the Company’s Class A common stock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reflected in accrued salaries and benefits in the condensed consolidated balance sheets until such shares are purchased. Amounts withheld from participants for the offering period ending November 30, 2023 aggregated $363 as of June 30, 2023. As of June 30, 2023, 4,985 shares of Class A common stock were available for issuance under the ESPP.</w:t>
      </w:r>
    </w:p>
    <w:p>
      <w:pPr>
        <w:spacing w:after="0" w:line="166"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As of June 30, 2023 there was approximately $345 of unrecognized ESPP stock-based compensation cost expected to be recognized on a straight-line basis over the remaining term of the six-month offering period ending November 30, 2023.</w:t>
      </w:r>
    </w:p>
    <w:p>
      <w:pPr>
        <w:spacing w:after="0" w:line="12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At June 30, 2023 and 2022, there were two ESPP offering periods open that end November 30, 2023 and 2022, respectively. The fair value of ESPP purchase rights for the offering periods is comprised of the value of the 15% ESPP discount and the value associated with the call or put over the respective ESPP offering period. ESPP offering periods reflected in the June 30, 2023 and 2022 financial statements include the periods noted below in the table. The value of the call or put was estimated using the Black-Scholes model with the following assumptions:</w:t>
      </w: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53"/>
              <w:spacing w:after="0"/>
              <w:rPr>
                <w:sz w:val="20"/>
                <w:szCs w:val="20"/>
                <w:color w:val="auto"/>
              </w:rPr>
            </w:pPr>
            <w:r>
              <w:rPr>
                <w:rFonts w:ascii="Arial" w:cs="Arial" w:eastAsia="Arial" w:hAnsi="Arial"/>
                <w:sz w:val="14"/>
                <w:szCs w:val="14"/>
                <w:b w:val="1"/>
                <w:bCs w:val="1"/>
                <w:color w:val="auto"/>
              </w:rPr>
              <w:t>Offering Period Ending</w:t>
            </w:r>
          </w:p>
        </w:tc>
        <w:tc>
          <w:tcPr>
            <w:tcW w:w="280" w:type="dxa"/>
            <w:vAlign w:val="bottom"/>
            <w:tcBorders>
              <w:bottom w:val="single" w:sz="8" w:color="auto"/>
            </w:tcBorders>
          </w:tcPr>
          <w:p>
            <w:pPr>
              <w:spacing w:after="0"/>
              <w:rPr>
                <w:sz w:val="14"/>
                <w:szCs w:val="14"/>
                <w:color w:val="auto"/>
              </w:rPr>
            </w:pPr>
          </w:p>
        </w:tc>
      </w:tr>
      <w:tr>
        <w:trPr>
          <w:trHeight w:val="142"/>
        </w:trPr>
        <w:tc>
          <w:tcPr>
            <w:tcW w:w="348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11/30/2023</w:t>
            </w: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4"/>
              </w:rPr>
              <w:t>11/30/2022</w:t>
            </w:r>
          </w:p>
        </w:tc>
        <w:tc>
          <w:tcPr>
            <w:tcW w:w="280" w:type="dxa"/>
            <w:vAlign w:val="bottom"/>
            <w:tcBorders>
              <w:bottom w:val="single" w:sz="8" w:color="CCEEFF"/>
            </w:tcBorders>
          </w:tcPr>
          <w:p>
            <w:pPr>
              <w:spacing w:after="0"/>
              <w:rPr>
                <w:sz w:val="12"/>
                <w:szCs w:val="12"/>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market value of common stock</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80" w:type="dxa"/>
            <w:vAlign w:val="bottom"/>
            <w:shd w:val="clear" w:color="auto" w:fill="CCEEFF"/>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r>
      <w:tr>
        <w:trPr>
          <w:trHeight w:val="310"/>
        </w:trPr>
        <w:tc>
          <w:tcPr>
            <w:tcW w:w="3480" w:type="dxa"/>
            <w:vAlign w:val="bottom"/>
          </w:tcPr>
          <w:p>
            <w:pPr>
              <w:spacing w:after="0"/>
              <w:rPr>
                <w:sz w:val="24"/>
                <w:szCs w:val="24"/>
                <w:color w:val="auto"/>
              </w:rPr>
            </w:pPr>
          </w:p>
        </w:tc>
        <w:tc>
          <w:tcPr>
            <w:tcW w:w="2940" w:type="dxa"/>
            <w:vAlign w:val="bottom"/>
          </w:tcPr>
          <w:p>
            <w:pPr>
              <w:jc w:val="right"/>
              <w:ind w:right="177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60"/>
        </w:trPr>
        <w:tc>
          <w:tcPr>
            <w:tcW w:w="34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75"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Volatility is representative of expected stock price volatility over the offering period. Effective with the offering period beginning December 1, 2022, the Company’s volatility was applied and will be applied to future offering periods. Prior to this offering period, volatility was based on the historical and implied volatility of comparable publicly traded companies over a similar expected term for the respective offering periods. The expected term represents the term of the ESPP offering period, which is generally six months. The Company does not expect to pay dividends after the Offering. The risk-free interest rate was based on the rate for a U.S. Treasury zero-coupon issue with a term that closely approximates the expected term of the award at the date nearest the offering term.</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recognized total stock-based compensation cost related to incentive awards, net of forfeitures, as follows: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42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w w:val="93"/>
              </w:rPr>
              <w:t>For the three months ended June 30,</w:t>
            </w:r>
          </w:p>
        </w:tc>
        <w:tc>
          <w:tcPr>
            <w:tcW w:w="16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4080" w:type="dxa"/>
            <w:vAlign w:val="bottom"/>
            <w:vMerge w:val="restart"/>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RSUs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13,310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RSAs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ESPP</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18,456</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recognized stock-based compensation cost in the condensed consolidated statements of comprehensive loss as follows:</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For the three months ended June 30,</w:t>
            </w:r>
          </w:p>
        </w:tc>
        <w:tc>
          <w:tcPr>
            <w:tcW w:w="18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5"/>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revenues, software subscriptions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Cost of revenues,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0"/>
        </w:trPr>
        <w:tc>
          <w:tcPr>
            <w:tcW w:w="4160" w:type="dxa"/>
            <w:vAlign w:val="bottom"/>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7,022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4,194</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18,456</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condensed consolidated financial statements.</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Company reported income tax expense of $2,929 and $500 for the three months ended June 30, 2023, and 2022, respectively. The Company reported income tax expense of $12,482 and $1,308 for the six months ended June 30, 2023, and 2022, respectively. The effective income tax rate ("ETR") was (73.8)% for the three months ended June 30, 2023, compared to (10.0)% for the three months ended June 30, 2022. The ETR was (99.5)% for the six months ended June 30, 2023, compared to (28.8)% for the six months ended June 30, 2022. The ETR for the three and six months ended June 30,</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2023 and 2022 differ from the U.S. federal statutory income tax rate of 21% primarily due to income tax expense on income allocated to state jurisdictions, differences in tax rates on foreign jurisdiction income or loss, and limitations on deductions of certain employees’ compensation under Internal Revenue Code Section 162(m). In addition, the ETR for June 30, 2023 includes a valuation allowance recorded on certain foreign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700" w:right="279" w:hanging="647"/>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March 10, 2023 (the “2022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2022 Annual Report and as may be subsequently updated by our other SEC filings.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1,400 professionals and serves companies across the globe.</w:t>
      </w:r>
    </w:p>
    <w:p>
      <w:pPr>
        <w:spacing w:after="0" w:line="1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95" w:lineRule="exact"/>
        <w:rPr>
          <w:sz w:val="20"/>
          <w:szCs w:val="20"/>
          <w:color w:val="auto"/>
        </w:rPr>
      </w:pPr>
    </w:p>
    <w:p>
      <w:pPr>
        <w:jc w:val="both"/>
        <w:ind w:left="60" w:right="59" w:firstLine="395"/>
        <w:spacing w:after="0" w:line="269" w:lineRule="auto"/>
        <w:rPr>
          <w:sz w:val="20"/>
          <w:szCs w:val="20"/>
          <w:color w:val="auto"/>
        </w:rPr>
      </w:pPr>
      <w:r>
        <w:rPr>
          <w:rFonts w:ascii="Arial" w:cs="Arial" w:eastAsia="Arial" w:hAnsi="Arial"/>
          <w:sz w:val="17"/>
          <w:szCs w:val="17"/>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43% and 40% of software subscription revenue from cloud-based subscriptions during the three months ended June 30, 2023 and 2022, respectively, and 43% and 40% for the six months ended June 30, 2023 and 2022, respectively. While our on-premise software subscription revenue comprised 57% and 60% of our software subscription revenue during the three months ended June 30, 2023 and 2022, respectively, and 57% and 60% for the six months ended June 30, 2023 and 2022, respectively, it continues to decrease as a percentage of total software subscriptions revenues as cloud-based subscriptions grow.</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partner ecosystem is a differentiating, competitive strength in both our software development and our sales and marketing activities. We integrate with key technology partners that span Enterprise Resource Planning (“ERP”), Customer Relationship Management (“CRM”), procurement, billing, Point of Sale (“POS”) and e-commerce. These partners include Adobe/Magento, Coupa, Microsoft Dynamics, NetSuite, Oracle, Salesforce, SAP, SAP Ariba, Workday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and Zuora. We also collaborate with numerous accounting firms who have built implementation practices around our software to serve their customer base.</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believe that global commerce and the compliance environment provides durable and accelerating growth opportunities for our business. We generated revenue of $139.7 million and $119.3 million for the three months ended June 30, 2023 and 2022, respectively and $272.4 and $234.3 for the six months ended June 30, 2023 and 2022, respectively. We had a net loss of $(6.9) million and $(5.5) million for the three months ended June 30, 2023 and 2022, respectively, and $(25.0) million and $(5.9) million for the six months ended June 30, 2023 and 2022, respectively. These amounts are presented in accordance with United States (“ U.S.”) generally accepted accounting principles (“GAAP”).</w:t>
      </w:r>
    </w:p>
    <w:p>
      <w:pPr>
        <w:spacing w:after="0" w:line="16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define Adjusted EBITDA as net loss or income before interest, taxes, depreciation, and amortization, as adjusted to exclude charges for asset impairments, stock-based compensation expense, amortization of cloud computing implementaion costs, severance expense, acquisition contingent consideration, litigation settlements, and transaction costs (which includes offering costs related to the sale of shares of certain of our Class B shareholders which are not representative of normal business operations). Adjusted EBITDA was $22.0 million and $17.8 million for the three months ended June 30, 2023 and 2022, respectively, and $42.2 million and $36.9 for the six months ended June 30, 2023 and 2022,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spacing w:after="0" w:line="16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generate revenue from software subscriptions and services.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were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 Effective January 1, 2022, we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remaining estimated period of benefit to the customer.</w:t>
      </w:r>
    </w:p>
    <w:p>
      <w:pPr>
        <w:spacing w:after="0" w:line="16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spacing w:after="0" w:line="16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Services Revenue</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8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and Marketing Expenses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Selling expenses consist primarily of personnel and related expenses in support of sales and marketing efforts. These costs include salaries, benefits, bonuses and stock-based compensation. In addition, selling expense includes costs related</w:t>
      </w: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and other internal support and infrastructure costs</w:t>
      </w:r>
    </w:p>
    <w:p>
      <w:pPr>
        <w:spacing w:after="0" w:line="171"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expect our general and administrative expenses to increase in absolute dollars as we continue to expand our operations, hire additional personnel, integrate current and future acquisitions, invest in our systems and tools to support improvements in future operating leverage, and incur additional costs associated with being a publicly listed company. As a public company, we expect to incur increased expenses related to accounting, tax and auditing activities, legal, insurance, SEC compliance and internal control compliance, including the design, implementation and testing of increasingly formalized systems of internal control over financial reporting.</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Operating Expense (Income), net</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Other operating expense (income), net consists primarily of transactions costs associated with merger and acquisition activities, periodic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(Income) Expense, net</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Interest (income) expense, net reflects the net amount of our interest expense and interest income within the same period.</w:t>
      </w:r>
    </w:p>
    <w:p>
      <w:pPr>
        <w:spacing w:after="0" w:line="17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Interest expense consists primarily of interest incurred related to borrowings, bank credit facility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Sistemas Fiscais Limited (“Systax”) acquisition and amortization of the discount on deferred purchase consideration associated with the LCR-Dixon Corporation acquisition will be recorded as interest expense.</w:t>
      </w:r>
    </w:p>
    <w:p>
      <w:pPr>
        <w:spacing w:after="0" w:line="19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Interest income reflects earnings on investments of our cash on hand and our investment securities. Interest income will vary as a result of fluctuations in the future level of funds available for investment and the rate of return available in the market on such funds.</w:t>
      </w:r>
    </w:p>
    <w:p>
      <w:pPr>
        <w:sectPr>
          <w:pgSz w:w="11900" w:h="16838" w:orient="portrait"/>
          <w:cols w:equalWidth="0" w:num="1">
            <w:col w:w="9019"/>
          </w:cols>
          <w:pgMar w:left="1440" w:top="517"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 Expense (Benefit)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carryforwards, applicable tax rates, and transfer pricing methodologies. Judgments and estimates related to our projections and assumptions are inherently uncertain; therefore, actual results could materially differ from our projections.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2022 Annual Report. The period-to-period comparison of financial results is not necessarily indicative of financial results to be achieved in future periods. The following table sets forth our condensed consolidated statements of comprehensive loss for the periods indicated.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8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For the three months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0"/>
              </w:rPr>
              <w:t>For the six months ended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6"/>
              </w:rPr>
              <w:t>Period-Over-</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left="288"/>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Period-Over-</w:t>
            </w:r>
          </w:p>
        </w:tc>
        <w:tc>
          <w:tcPr>
            <w:tcW w:w="0" w:type="dxa"/>
            <w:vAlign w:val="bottom"/>
          </w:tcPr>
          <w:p>
            <w:pPr>
              <w:spacing w:after="0"/>
              <w:rPr>
                <w:sz w:val="1"/>
                <w:szCs w:val="1"/>
                <w:color w:val="auto"/>
              </w:rPr>
            </w:pPr>
          </w:p>
        </w:tc>
      </w:tr>
      <w:tr>
        <w:trPr>
          <w:trHeight w:val="106"/>
        </w:trPr>
        <w:tc>
          <w:tcPr>
            <w:tcW w:w="2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1"/>
              </w:rPr>
              <w:t>Period Change</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1"/>
              </w:rPr>
              <w:t>Period 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left="308"/>
              <w:spacing w:after="0" w:line="142" w:lineRule="exact"/>
              <w:rPr>
                <w:sz w:val="20"/>
                <w:szCs w:val="20"/>
                <w:color w:val="auto"/>
              </w:rPr>
            </w:pPr>
            <w:r>
              <w:rPr>
                <w:rFonts w:ascii="Arial" w:cs="Arial" w:eastAsia="Arial" w:hAnsi="Arial"/>
                <w:sz w:val="14"/>
                <w:szCs w:val="14"/>
                <w:b w:val="1"/>
                <w:bCs w:val="1"/>
                <w:color w:val="auto"/>
                <w:w w:val="94"/>
              </w:rPr>
              <w:t>(unaudited)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6"/>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Revenues: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ind w:left="120"/>
              <w:spacing w:after="0" w:line="149" w:lineRule="exact"/>
              <w:rPr>
                <w:sz w:val="20"/>
                <w:szCs w:val="20"/>
                <w:color w:val="auto"/>
              </w:rPr>
            </w:pPr>
            <w:r>
              <w:rPr>
                <w:rFonts w:ascii="Arial" w:cs="Arial" w:eastAsia="Arial" w:hAnsi="Arial"/>
                <w:sz w:val="14"/>
                <w:szCs w:val="14"/>
                <w:color w:val="auto"/>
              </w:rPr>
              <w:t>Software subscriptions</w:t>
            </w:r>
          </w:p>
        </w:tc>
        <w:tc>
          <w:tcPr>
            <w:tcW w:w="180" w:type="dxa"/>
            <w:vAlign w:val="bottom"/>
          </w:tcPr>
          <w:p>
            <w:pPr>
              <w:jc w:val="right"/>
              <w:ind w:right="6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117,836</w:t>
            </w:r>
          </w:p>
        </w:tc>
        <w:tc>
          <w:tcPr>
            <w:tcW w:w="18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4"/>
              </w:rPr>
              <w:t>101,088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16,748</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16.6 %</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228,850</w:t>
            </w:r>
          </w:p>
        </w:tc>
        <w:tc>
          <w:tcPr>
            <w:tcW w:w="100" w:type="dxa"/>
            <w:vAlign w:val="bottom"/>
          </w:tcPr>
          <w:p>
            <w:pPr>
              <w:spacing w:after="0"/>
              <w:rPr>
                <w:sz w:val="12"/>
                <w:szCs w:val="12"/>
                <w:color w:val="auto"/>
              </w:rPr>
            </w:pPr>
          </w:p>
        </w:tc>
        <w:tc>
          <w:tcPr>
            <w:tcW w:w="2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8"/>
              </w:rPr>
              <w:t>198,219</w:t>
            </w:r>
          </w:p>
        </w:tc>
        <w:tc>
          <w:tcPr>
            <w:tcW w:w="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30,631</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15.5 %</w:t>
            </w:r>
          </w:p>
        </w:tc>
        <w:tc>
          <w:tcPr>
            <w:tcW w:w="0" w:type="dxa"/>
            <w:vAlign w:val="bottom"/>
          </w:tcPr>
          <w:p>
            <w:pPr>
              <w:spacing w:after="0"/>
              <w:rPr>
                <w:sz w:val="1"/>
                <w:szCs w:val="1"/>
                <w:color w:val="auto"/>
              </w:rPr>
            </w:pPr>
          </w:p>
        </w:tc>
      </w:tr>
      <w:tr>
        <w:trPr>
          <w:trHeight w:val="148"/>
        </w:trPr>
        <w:tc>
          <w:tcPr>
            <w:tcW w:w="282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Services</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21,859</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18,188</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3,671</w:t>
            </w:r>
          </w:p>
        </w:tc>
        <w:tc>
          <w:tcPr>
            <w:tcW w:w="640" w:type="dxa"/>
            <w:vAlign w:val="bottom"/>
            <w:tcBorders>
              <w:bottom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20.2 %</w:t>
            </w: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43,596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36,041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7,555</w:t>
            </w:r>
          </w:p>
        </w:tc>
        <w:tc>
          <w:tcPr>
            <w:tcW w:w="56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42"/>
        </w:trPr>
        <w:tc>
          <w:tcPr>
            <w:tcW w:w="2820" w:type="dxa"/>
            <w:vAlign w:val="bottom"/>
          </w:tcPr>
          <w:p>
            <w:pPr>
              <w:ind w:left="120"/>
              <w:spacing w:after="0" w:line="142" w:lineRule="exact"/>
              <w:rPr>
                <w:sz w:val="20"/>
                <w:szCs w:val="20"/>
                <w:color w:val="auto"/>
              </w:rPr>
            </w:pPr>
            <w:r>
              <w:rPr>
                <w:rFonts w:ascii="Arial" w:cs="Arial" w:eastAsia="Arial" w:hAnsi="Arial"/>
                <w:sz w:val="14"/>
                <w:szCs w:val="14"/>
                <w:color w:val="auto"/>
              </w:rPr>
              <w:t>Total revenues</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139,695</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94"/>
              </w:rPr>
              <w:t>119,276</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20,419</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17.1 %</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272,446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234,260</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38,186</w:t>
            </w:r>
          </w:p>
        </w:tc>
        <w:tc>
          <w:tcPr>
            <w:tcW w:w="5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16.3 %</w:t>
            </w: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Cost of revenues: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ind w:left="120"/>
              <w:spacing w:after="0" w:line="149" w:lineRule="exact"/>
              <w:rPr>
                <w:sz w:val="20"/>
                <w:szCs w:val="20"/>
                <w:color w:val="auto"/>
              </w:rPr>
            </w:pPr>
            <w:r>
              <w:rPr>
                <w:rFonts w:ascii="Arial" w:cs="Arial" w:eastAsia="Arial" w:hAnsi="Arial"/>
                <w:sz w:val="14"/>
                <w:szCs w:val="14"/>
                <w:color w:val="auto"/>
              </w:rPr>
              <w:t>Software subscriptions</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38,516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36,209</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2,307</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6.4 %</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75,919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69,122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6,797</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148"/>
        </w:trPr>
        <w:tc>
          <w:tcPr>
            <w:tcW w:w="282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Services</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15,363</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11,920</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3,443</w:t>
            </w:r>
          </w:p>
        </w:tc>
        <w:tc>
          <w:tcPr>
            <w:tcW w:w="640" w:type="dxa"/>
            <w:vAlign w:val="bottom"/>
            <w:tcBorders>
              <w:bottom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28.9 %</w:t>
            </w: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29,707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23,873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5,834</w:t>
            </w:r>
          </w:p>
        </w:tc>
        <w:tc>
          <w:tcPr>
            <w:tcW w:w="56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24.4 %</w:t>
            </w:r>
          </w:p>
        </w:tc>
        <w:tc>
          <w:tcPr>
            <w:tcW w:w="0" w:type="dxa"/>
            <w:vAlign w:val="bottom"/>
          </w:tcPr>
          <w:p>
            <w:pPr>
              <w:spacing w:after="0"/>
              <w:rPr>
                <w:sz w:val="1"/>
                <w:szCs w:val="1"/>
                <w:color w:val="auto"/>
              </w:rPr>
            </w:pPr>
          </w:p>
        </w:tc>
      </w:tr>
      <w:tr>
        <w:trPr>
          <w:trHeight w:val="142"/>
        </w:trPr>
        <w:tc>
          <w:tcPr>
            <w:tcW w:w="2820" w:type="dxa"/>
            <w:vAlign w:val="bottom"/>
          </w:tcPr>
          <w:p>
            <w:pPr>
              <w:ind w:left="120"/>
              <w:spacing w:after="0" w:line="142" w:lineRule="exact"/>
              <w:rPr>
                <w:sz w:val="20"/>
                <w:szCs w:val="20"/>
                <w:color w:val="auto"/>
              </w:rPr>
            </w:pPr>
            <w:r>
              <w:rPr>
                <w:rFonts w:ascii="Arial" w:cs="Arial" w:eastAsia="Arial" w:hAnsi="Arial"/>
                <w:sz w:val="14"/>
                <w:szCs w:val="14"/>
                <w:color w:val="auto"/>
              </w:rPr>
              <w:t>Total cost of revenues</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53,879</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48,129</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5,750</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11.9 %</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105,626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92,995</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12,631</w:t>
            </w:r>
          </w:p>
        </w:tc>
        <w:tc>
          <w:tcPr>
            <w:tcW w:w="5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Gross profit</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85,816</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71,147</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14,669</w:t>
            </w:r>
          </w:p>
        </w:tc>
        <w:tc>
          <w:tcPr>
            <w:tcW w:w="640" w:type="dxa"/>
            <w:vAlign w:val="bottom"/>
            <w:tcBorders>
              <w:bottom w:val="single" w:sz="8" w:color="CCEEFF"/>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20.6 %</w:t>
            </w: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166,820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141,265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righ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25,555</w:t>
            </w:r>
          </w:p>
        </w:tc>
        <w:tc>
          <w:tcPr>
            <w:tcW w:w="560" w:type="dxa"/>
            <w:vAlign w:val="bottom"/>
            <w:tcBorders>
              <w:bottom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18.1 %</w:t>
            </w:r>
          </w:p>
        </w:tc>
        <w:tc>
          <w:tcPr>
            <w:tcW w:w="0" w:type="dxa"/>
            <w:vAlign w:val="bottom"/>
          </w:tcPr>
          <w:p>
            <w:pPr>
              <w:spacing w:after="0"/>
              <w:rPr>
                <w:sz w:val="1"/>
                <w:szCs w:val="1"/>
                <w:color w:val="auto"/>
              </w:rPr>
            </w:pPr>
          </w:p>
        </w:tc>
      </w:tr>
      <w:tr>
        <w:trPr>
          <w:trHeight w:val="142"/>
        </w:trPr>
        <w:tc>
          <w:tcPr>
            <w:tcW w:w="2820" w:type="dxa"/>
            <w:vAlign w:val="bottom"/>
          </w:tcPr>
          <w:p>
            <w:pPr>
              <w:ind w:left="20"/>
              <w:spacing w:after="0" w:line="142" w:lineRule="exact"/>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12,680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10,310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2,370</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23.0 %</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8,599</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43.1 %</w:t>
            </w:r>
          </w:p>
        </w:tc>
        <w:tc>
          <w:tcPr>
            <w:tcW w:w="0" w:type="dxa"/>
            <w:vAlign w:val="bottom"/>
          </w:tcPr>
          <w:p>
            <w:pPr>
              <w:spacing w:after="0"/>
              <w:rPr>
                <w:sz w:val="1"/>
                <w:szCs w:val="1"/>
                <w:color w:val="auto"/>
              </w:rPr>
            </w:pPr>
          </w:p>
        </w:tc>
      </w:tr>
      <w:tr>
        <w:trPr>
          <w:trHeight w:val="148"/>
        </w:trPr>
        <w:tc>
          <w:tcPr>
            <w:tcW w:w="2820" w:type="dxa"/>
            <w:vAlign w:val="bottom"/>
          </w:tcPr>
          <w:p>
            <w:pPr>
              <w:ind w:left="120"/>
              <w:spacing w:after="0" w:line="149" w:lineRule="exact"/>
              <w:rPr>
                <w:sz w:val="20"/>
                <w:szCs w:val="20"/>
                <w:color w:val="auto"/>
              </w:rPr>
            </w:pPr>
            <w:r>
              <w:rPr>
                <w:rFonts w:ascii="Arial" w:cs="Arial" w:eastAsia="Arial" w:hAnsi="Arial"/>
                <w:sz w:val="14"/>
                <w:szCs w:val="14"/>
                <w:color w:val="auto"/>
              </w:rPr>
              <w:t>Selling and marketing</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33,541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31,979</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1,562</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4.9 %</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69,277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59,431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9,846</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39,376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30,084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9,292</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30.9 %</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14,845</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25.2 %</w:t>
            </w:r>
          </w:p>
        </w:tc>
        <w:tc>
          <w:tcPr>
            <w:tcW w:w="0" w:type="dxa"/>
            <w:vAlign w:val="bottom"/>
          </w:tcPr>
          <w:p>
            <w:pPr>
              <w:spacing w:after="0"/>
              <w:rPr>
                <w:sz w:val="1"/>
                <w:szCs w:val="1"/>
                <w:color w:val="auto"/>
              </w:rPr>
            </w:pPr>
          </w:p>
        </w:tc>
      </w:tr>
      <w:tr>
        <w:trPr>
          <w:trHeight w:val="148"/>
        </w:trPr>
        <w:tc>
          <w:tcPr>
            <w:tcW w:w="282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3,878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3,224</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654</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20.3 %</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7,619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1,435</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23.2 %</w:t>
            </w:r>
          </w:p>
        </w:tc>
        <w:tc>
          <w:tcPr>
            <w:tcW w:w="0" w:type="dxa"/>
            <w:vAlign w:val="bottom"/>
          </w:tcPr>
          <w:p>
            <w:pPr>
              <w:spacing w:after="0"/>
              <w:rPr>
                <w:sz w:val="1"/>
                <w:szCs w:val="1"/>
                <w:color w:val="auto"/>
              </w:rPr>
            </w:pPr>
          </w:p>
        </w:tc>
      </w:tr>
      <w:tr>
        <w:trPr>
          <w:trHeight w:val="148"/>
        </w:trPr>
        <w:tc>
          <w:tcPr>
            <w:tcW w:w="282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operating expense (income), net</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c>
          <w:tcPr>
            <w:tcW w:w="640" w:type="dxa"/>
            <w:vAlign w:val="bottom"/>
            <w:tcBorders>
              <w:bottom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w:t>
            </w: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w:t>
            </w:r>
          </w:p>
        </w:tc>
        <w:tc>
          <w:tcPr>
            <w:tcW w:w="56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2"/>
        </w:trPr>
        <w:tc>
          <w:tcPr>
            <w:tcW w:w="2820" w:type="dxa"/>
            <w:vAlign w:val="bottom"/>
          </w:tcPr>
          <w:p>
            <w:pPr>
              <w:ind w:left="120"/>
              <w:spacing w:after="0" w:line="142" w:lineRule="exact"/>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89,888</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75,443</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14,445</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19.1 %</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179,821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145,093</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34,728</w:t>
            </w:r>
          </w:p>
        </w:tc>
        <w:tc>
          <w:tcPr>
            <w:tcW w:w="5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23.9 %</w:t>
            </w: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(4,072)</w:t>
            </w:r>
          </w:p>
        </w:tc>
        <w:tc>
          <w:tcPr>
            <w:tcW w:w="22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(4,296)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224</w:t>
            </w: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(13,001)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(3,828)</w:t>
            </w: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(9,173)</w:t>
            </w:r>
          </w:p>
        </w:tc>
        <w:tc>
          <w:tcPr>
            <w:tcW w:w="5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239.6 %</w:t>
            </w:r>
          </w:p>
        </w:tc>
        <w:tc>
          <w:tcPr>
            <w:tcW w:w="0" w:type="dxa"/>
            <w:vAlign w:val="bottom"/>
          </w:tcPr>
          <w:p>
            <w:pPr>
              <w:spacing w:after="0"/>
              <w:rPr>
                <w:sz w:val="1"/>
                <w:szCs w:val="1"/>
                <w:color w:val="auto"/>
              </w:rPr>
            </w:pPr>
          </w:p>
        </w:tc>
      </w:tr>
      <w:tr>
        <w:trPr>
          <w:trHeight w:val="148"/>
        </w:trPr>
        <w:tc>
          <w:tcPr>
            <w:tcW w:w="2820" w:type="dxa"/>
            <w:vAlign w:val="bottom"/>
          </w:tcPr>
          <w:p>
            <w:pPr>
              <w:ind w:left="20"/>
              <w:spacing w:after="0" w:line="149" w:lineRule="exact"/>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(income) expense, net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724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(1,173)</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tcPr>
          <w:p>
            <w:pPr>
              <w:ind w:left="220"/>
              <w:spacing w:after="0" w:line="142" w:lineRule="exact"/>
              <w:rPr>
                <w:sz w:val="20"/>
                <w:szCs w:val="20"/>
                <w:color w:val="auto"/>
              </w:rPr>
            </w:pPr>
            <w:r>
              <w:rPr>
                <w:rFonts w:ascii="Arial" w:cs="Arial" w:eastAsia="Arial" w:hAnsi="Arial"/>
                <w:sz w:val="14"/>
                <w:szCs w:val="14"/>
                <w:color w:val="auto"/>
              </w:rPr>
              <w:t>Loss before income taxes</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(3,967)</w:t>
            </w:r>
          </w:p>
        </w:tc>
        <w:tc>
          <w:tcPr>
            <w:tcW w:w="2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(5,020)</w:t>
            </w: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1,053</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(21.0)%</w:t>
            </w:r>
          </w:p>
        </w:tc>
        <w:tc>
          <w:tcPr>
            <w:tcW w:w="16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(12,546)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(4,546)</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(8,000)</w:t>
            </w:r>
          </w:p>
        </w:tc>
        <w:tc>
          <w:tcPr>
            <w:tcW w:w="5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176.0 %</w:t>
            </w:r>
          </w:p>
        </w:tc>
        <w:tc>
          <w:tcPr>
            <w:tcW w:w="0" w:type="dxa"/>
            <w:vAlign w:val="bottom"/>
          </w:tcPr>
          <w:p>
            <w:pPr>
              <w:spacing w:after="0"/>
              <w:rPr>
                <w:sz w:val="1"/>
                <w:szCs w:val="1"/>
                <w:color w:val="auto"/>
              </w:rPr>
            </w:pPr>
          </w:p>
        </w:tc>
      </w:tr>
      <w:tr>
        <w:trPr>
          <w:trHeight w:val="149"/>
        </w:trPr>
        <w:tc>
          <w:tcPr>
            <w:tcW w:w="28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2,929</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500</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2,429</w:t>
            </w:r>
          </w:p>
        </w:tc>
        <w:tc>
          <w:tcPr>
            <w:tcW w:w="640" w:type="dxa"/>
            <w:vAlign w:val="bottom"/>
            <w:tcBorders>
              <w:bottom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w:t>
            </w: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12,482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11,174</w:t>
            </w:r>
          </w:p>
        </w:tc>
        <w:tc>
          <w:tcPr>
            <w:tcW w:w="56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2"/>
        </w:trPr>
        <w:tc>
          <w:tcPr>
            <w:tcW w:w="2820" w:type="dxa"/>
            <w:vAlign w:val="bottom"/>
          </w:tcPr>
          <w:p>
            <w:pPr>
              <w:ind w:left="120"/>
              <w:spacing w:after="0" w:line="142" w:lineRule="exact"/>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(6,896)</w:t>
            </w:r>
          </w:p>
        </w:tc>
        <w:tc>
          <w:tcPr>
            <w:tcW w:w="2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(5,520)</w:t>
            </w: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(1,376)</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24.9 %</w:t>
            </w:r>
          </w:p>
        </w:tc>
        <w:tc>
          <w:tcPr>
            <w:tcW w:w="16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(25,028)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(5,854)</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5"/>
              </w:rPr>
              <w:t>(19,174)</w:t>
            </w:r>
          </w:p>
        </w:tc>
        <w:tc>
          <w:tcPr>
            <w:tcW w:w="5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327.5 %</w:t>
            </w: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Other comprehensive (income) loss:</w:t>
            </w: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tcPr>
          <w:p>
            <w:pPr>
              <w:ind w:left="220"/>
              <w:spacing w:after="0" w:line="130" w:lineRule="exact"/>
              <w:rPr>
                <w:sz w:val="20"/>
                <w:szCs w:val="20"/>
                <w:color w:val="auto"/>
              </w:rPr>
            </w:pPr>
            <w:r>
              <w:rPr>
                <w:rFonts w:ascii="Arial" w:cs="Arial" w:eastAsia="Arial" w:hAnsi="Arial"/>
                <w:sz w:val="14"/>
                <w:szCs w:val="14"/>
                <w:color w:val="auto"/>
              </w:rPr>
              <w:t>Foreign currency translation adjustments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20"/>
              <w:spacing w:after="0"/>
              <w:rPr>
                <w:sz w:val="20"/>
                <w:szCs w:val="20"/>
                <w:color w:val="auto"/>
              </w:rPr>
            </w:pPr>
            <w:r>
              <w:rPr>
                <w:rFonts w:ascii="Arial" w:cs="Arial" w:eastAsia="Arial" w:hAnsi="Arial"/>
                <w:sz w:val="14"/>
                <w:szCs w:val="14"/>
                <w:color w:val="auto"/>
              </w:rPr>
              <w:t>and revaluations, net of tax</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(609)</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11,777</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(12,386)</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(3,731)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13,826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5"/>
              </w:rPr>
              <w:t>(17,557)</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8"/>
              </w:rPr>
              <w:t>Unrealized (gain) loss on investments, net</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 tax</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10"/>
        </w:trPr>
        <w:tc>
          <w:tcPr>
            <w:tcW w:w="2820" w:type="dxa"/>
            <w:vAlign w:val="bottom"/>
          </w:tcPr>
          <w:p>
            <w:pPr>
              <w:ind w:left="120"/>
              <w:spacing w:after="0" w:line="110" w:lineRule="exact"/>
              <w:rPr>
                <w:sz w:val="20"/>
                <w:szCs w:val="20"/>
                <w:color w:val="auto"/>
              </w:rPr>
            </w:pPr>
            <w:r>
              <w:rPr>
                <w:rFonts w:ascii="Arial" w:cs="Arial" w:eastAsia="Arial" w:hAnsi="Arial"/>
                <w:sz w:val="12"/>
                <w:szCs w:val="12"/>
                <w:color w:val="auto"/>
              </w:rPr>
              <w:t>Total other comprehensive (income) loss,</w:t>
            </w: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(606)</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11,775</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(12,381)</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(3,741)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13,824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5"/>
              </w:rPr>
              <w:t>(17,565)</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2"/>
        </w:trPr>
        <w:tc>
          <w:tcPr>
            <w:tcW w:w="282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comprehensive loss</w:t>
            </w:r>
          </w:p>
        </w:tc>
        <w:tc>
          <w:tcPr>
            <w:tcW w:w="18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(6,290)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(17,295)</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11,005</w:t>
            </w:r>
          </w:p>
        </w:tc>
        <w:tc>
          <w:tcPr>
            <w:tcW w:w="640" w:type="dxa"/>
            <w:vAlign w:val="bottom"/>
            <w:tcBorders>
              <w:top w:val="single" w:sz="8" w:color="CCEEFF"/>
              <w:bottom w:val="single" w:sz="8" w:color="CCEEFF"/>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(63.6)%</w:t>
            </w: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(21,287)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(19,678)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(1,609)</w:t>
            </w:r>
          </w:p>
        </w:tc>
        <w:tc>
          <w:tcPr>
            <w:tcW w:w="560" w:type="dxa"/>
            <w:vAlign w:val="bottom"/>
            <w:tcBorders>
              <w:top w:val="single" w:sz="8" w:color="CCEEFF"/>
              <w:bottom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Percentage change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55245</wp:posOffset>
            </wp:positionV>
            <wp:extent cx="14147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1"/>
              </w:rPr>
              <w:t>For the three months ended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0"/>
              </w:rPr>
              <w:t>For the six months ended</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51"/>
        </w:trPr>
        <w:tc>
          <w:tcPr>
            <w:tcW w:w="4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160" w:type="dxa"/>
            <w:vAlign w:val="bottom"/>
          </w:tcPr>
          <w:p>
            <w:pPr>
              <w:spacing w:after="0"/>
              <w:rPr>
                <w:sz w:val="21"/>
                <w:szCs w:val="21"/>
                <w:color w:val="auto"/>
              </w:rPr>
            </w:pPr>
          </w:p>
        </w:tc>
        <w:tc>
          <w:tcPr>
            <w:tcW w:w="132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w w:val="94"/>
              </w:rPr>
              <w:t>(unaudited)</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software subscriptions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Cost of revenues, services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09"/>
        </w:trPr>
        <w:tc>
          <w:tcPr>
            <w:tcW w:w="462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7,022</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4,194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18,456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our results of operations as a percentage of our total revenues for the periods presented.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For the three months ended June 30,</w:t>
            </w: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For the six months ended June 30,</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1660" w:type="dxa"/>
            <w:vAlign w:val="bottom"/>
            <w:gridSpan w:val="3"/>
          </w:tcPr>
          <w:p>
            <w:pPr>
              <w:jc w:val="center"/>
              <w:ind w:left="652"/>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4"/>
              </w:rPr>
              <w:t>(unaudited)</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subscriptions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84.4 %</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84.8 %</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84.0 %</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84.6 %</w:t>
            </w: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15.6 %</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15.2 %</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16.0 %</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100.0 %</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100.0 %</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100.0 %</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subscriptions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27.6 %</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30.4 %</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27.9 %</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11.0 %</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10.0 %</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10.9 %</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cost of revenues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38.6 %</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40.4 %</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38.8 %</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61.4 %</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59.6 %</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61.2 %</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60.3 %</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9.1 %</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8.6 %</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10.5 %</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24.0 %</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26.8 %</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25.4 %</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28.2 %</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25.2 %</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27.0 %</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2.8 %</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2.7 %</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2.8 %</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Arial" w:cs="Arial" w:eastAsia="Arial" w:hAnsi="Arial"/>
                <w:sz w:val="18"/>
                <w:szCs w:val="18"/>
                <w:color w:val="auto"/>
              </w:rPr>
              <w:t>Other operating expense (income), net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0.3 %</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0.3 %</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64.4 %</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63.2 %</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66.0 %</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61.9 %</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0.6 %</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2.1 %</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0.4 %</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4.6 %</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tcPr>
          <w:p>
            <w:pPr>
              <w:ind w:left="120"/>
              <w:spacing w:after="0" w:line="201" w:lineRule="exact"/>
              <w:rPr>
                <w:sz w:val="20"/>
                <w:szCs w:val="20"/>
                <w:color w:val="auto"/>
              </w:rPr>
            </w:pPr>
            <w:r>
              <w:rPr>
                <w:rFonts w:ascii="Arial" w:cs="Arial" w:eastAsia="Arial" w:hAnsi="Arial"/>
                <w:sz w:val="18"/>
                <w:szCs w:val="18"/>
                <w:color w:val="auto"/>
              </w:rPr>
              <w:t>Foreign currency translation adjustments and</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20"/>
              <w:spacing w:after="0"/>
              <w:rPr>
                <w:sz w:val="20"/>
                <w:szCs w:val="20"/>
                <w:color w:val="auto"/>
              </w:rPr>
            </w:pPr>
            <w:r>
              <w:rPr>
                <w:rFonts w:ascii="Arial" w:cs="Arial" w:eastAsia="Arial" w:hAnsi="Arial"/>
                <w:sz w:val="18"/>
                <w:szCs w:val="18"/>
                <w:color w:val="auto"/>
              </w:rPr>
              <w:t>revaluations, net of tax</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9.9 %</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Unrealized (gain) loss on investments, net of tax</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5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40" w:type="dxa"/>
            <w:vAlign w:val="bottom"/>
          </w:tcPr>
          <w:p>
            <w:pPr>
              <w:ind w:left="20"/>
              <w:spacing w:after="0" w:line="195" w:lineRule="exact"/>
              <w:rPr>
                <w:sz w:val="20"/>
                <w:szCs w:val="20"/>
                <w:color w:val="auto"/>
              </w:rPr>
            </w:pPr>
            <w:r>
              <w:rPr>
                <w:rFonts w:ascii="Arial" w:cs="Arial" w:eastAsia="Arial" w:hAnsi="Arial"/>
                <w:sz w:val="18"/>
                <w:szCs w:val="18"/>
                <w:color w:val="auto"/>
                <w:w w:val="99"/>
              </w:rPr>
              <w:t>Total other comprehensive (income) loss, net of</w:t>
            </w: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9.9 %</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Arial" w:cs="Arial" w:eastAsia="Arial" w:hAnsi="Arial"/>
                <w:sz w:val="18"/>
                <w:szCs w:val="18"/>
                <w:color w:val="auto"/>
              </w:rPr>
              <w:t>tax</w:t>
            </w:r>
          </w:p>
        </w:tc>
        <w:tc>
          <w:tcPr>
            <w:tcW w:w="14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comprehensive loss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628"/>
        </w:trPr>
        <w:tc>
          <w:tcPr>
            <w:tcW w:w="384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35</w:t>
            </w:r>
          </w:p>
        </w:tc>
        <w:tc>
          <w:tcPr>
            <w:tcW w:w="3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Revenues</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92"/>
              </w:rPr>
              <w:t>For the 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96"/>
              </w:rPr>
              <w:t>Period-over-Period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820" w:type="dxa"/>
            <w:vAlign w:val="bottom"/>
            <w:tcBorders>
              <w:bottom w:val="single" w:sz="8" w:color="auto"/>
            </w:tcBorders>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subscriptions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117,836</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101,088</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8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20.2</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119,276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Revenues increased $20.4 million, or 17.1%, to $139.7 million for the three months ended June 30, 2023 compared to $119.3 million for the three months ended June 30, 2022. The increase in software subscriptions revenues of $16.7 million, or 16.6%, was primarily driven by increases from our existing customers in cross selling new products to existing customers, and to a lesser extent, increases due to expanded use and price increases. Software subscriptions revenues derived from new customers averaged 6.3% and 8.9% of total software subscriptions revenues in the three months ended June 30, 2023 and 2022, respectively.</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$3.7 million increase in services revenues was primarily driven by an increase of $2.1 million in software subscription-related services associated with the growth in subscription revenues, which includes new customers implementing our solutions and existing customers upgrading to newer versions of our solutions. In addition, our managed services offering experienced a $1.6 million increase in recurring services revenues over the prior year due to returns processing volume increases related to customer business growth and regulatory changes as customers expanded their tax filings into more jurisdictions.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Software Subscriptions Revenues</w:t>
      </w:r>
    </w:p>
    <w:p>
      <w:pPr>
        <w:spacing w:after="0" w:line="22" w:lineRule="exact"/>
        <w:rPr>
          <w:sz w:val="20"/>
          <w:szCs w:val="20"/>
          <w:color w:val="auto"/>
        </w:rPr>
      </w:pPr>
    </w:p>
    <w:p>
      <w:pPr>
        <w:jc w:val="center"/>
        <w:ind w:left="2240"/>
        <w:spacing w:after="0"/>
        <w:rPr>
          <w:sz w:val="20"/>
          <w:szCs w:val="20"/>
          <w:color w:val="auto"/>
        </w:rPr>
      </w:pPr>
      <w:r>
        <w:rPr>
          <w:rFonts w:ascii="Arial" w:cs="Arial" w:eastAsia="Arial" w:hAnsi="Arial"/>
          <w:sz w:val="14"/>
          <w:szCs w:val="14"/>
          <w:b w:val="1"/>
          <w:bCs w:val="1"/>
          <w:color w:val="auto"/>
        </w:rPr>
        <w:t>For the three months ended</w:t>
      </w:r>
    </w:p>
    <w:p>
      <w:pPr>
        <w:jc w:val="center"/>
        <w:ind w:left="222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3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w w:val="92"/>
              </w:rPr>
              <w:t>Period-over-Period change</w:t>
            </w: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software subscriptions revenues</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2,307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1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Cost of software subscriptions revenues increased $2.3 million, or 6.4%, to $38.5 million for the three months ended June 30, 2023 compared to $36.2 million for the three months ended June 30, 2022. This was driven by a $2.0 million increase in costs of personnel supporting period-over-period growth of sales and customers and ongoing infrastructure investments and support costs to enable the continued expansion of customer transaction volumes for our cloud-based subscription customers. In addition, this included an increase in depreciation and amortization of capitalized software and acquired intangible assets of $0.3 million associated with our ongoing investments in internal-use software for cloud-based subscription solutions, software developed for sale for new products and enhancements to existing products, and costs associated with the amortization of acquired intangible assets. As a percentage of software subscriptions revenues, the cost of software subscriptions revenues decreased to 32.7% in the three months ended June 30, 2023 compared to 35.8% for the same period in 2022.</w:t>
      </w:r>
    </w:p>
    <w:p>
      <w:pPr>
        <w:spacing w:after="0" w:line="200" w:lineRule="exact"/>
        <w:rPr>
          <w:sz w:val="20"/>
          <w:szCs w:val="20"/>
          <w:color w:val="auto"/>
        </w:rPr>
      </w:pP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Services Revenues</w:t>
      </w:r>
    </w:p>
    <w:p>
      <w:pPr>
        <w:spacing w:after="0" w:line="22" w:lineRule="exact"/>
        <w:rPr>
          <w:sz w:val="20"/>
          <w:szCs w:val="20"/>
          <w:color w:val="auto"/>
        </w:rPr>
      </w:pPr>
    </w:p>
    <w:p>
      <w:pPr>
        <w:jc w:val="center"/>
        <w:ind w:left="2240"/>
        <w:spacing w:after="0"/>
        <w:rPr>
          <w:sz w:val="20"/>
          <w:szCs w:val="20"/>
          <w:color w:val="auto"/>
        </w:rPr>
      </w:pPr>
      <w:r>
        <w:rPr>
          <w:rFonts w:ascii="Arial" w:cs="Arial" w:eastAsia="Arial" w:hAnsi="Arial"/>
          <w:sz w:val="14"/>
          <w:szCs w:val="14"/>
          <w:b w:val="1"/>
          <w:bCs w:val="1"/>
          <w:color w:val="auto"/>
        </w:rPr>
        <w:t>For the three months ended</w:t>
      </w:r>
    </w:p>
    <w:p>
      <w:pPr>
        <w:jc w:val="center"/>
        <w:ind w:left="222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32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9"/>
              </w:rPr>
              <w:t>Period-over-Period change</w:t>
            </w:r>
          </w:p>
        </w:tc>
        <w:tc>
          <w:tcPr>
            <w:tcW w:w="160" w:type="dxa"/>
            <w:vAlign w:val="bottom"/>
          </w:tcPr>
          <w:p>
            <w:pPr>
              <w:spacing w:after="0"/>
              <w:rPr>
                <w:sz w:val="12"/>
                <w:szCs w:val="12"/>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revenues</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3,443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28.9 %</w:t>
            </w: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Cost of services revenues increased $3.4 million, or 28.9%, to $15.4 million for the three months ended June 30, 2023 compared to $11.9 million for the three months ended June 30, 2022. The increase in cost of services revenues was primarily due to an increase in costs of service delivery personnel to support revenue growth in software subscription-related services and our managed services offering. As a percentage of services revenues, cost of services revenues increased to 70.3% in the three months ended June 30, 2023 compared to 65.5% for the same period in 2022.</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 w:lineRule="exact"/>
        <w:rPr>
          <w:sz w:val="20"/>
          <w:szCs w:val="20"/>
          <w:color w:val="auto"/>
        </w:rPr>
      </w:pPr>
    </w:p>
    <w:p>
      <w:pPr>
        <w:jc w:val="center"/>
        <w:ind w:left="2360"/>
        <w:spacing w:after="0"/>
        <w:rPr>
          <w:sz w:val="20"/>
          <w:szCs w:val="20"/>
          <w:color w:val="auto"/>
        </w:rPr>
      </w:pPr>
      <w:r>
        <w:rPr>
          <w:rFonts w:ascii="Arial" w:cs="Arial" w:eastAsia="Arial" w:hAnsi="Arial"/>
          <w:sz w:val="14"/>
          <w:szCs w:val="14"/>
          <w:b w:val="1"/>
          <w:bCs w:val="1"/>
          <w:color w:val="auto"/>
        </w:rPr>
        <w:t>For the three months ended</w:t>
      </w:r>
    </w:p>
    <w:p>
      <w:pPr>
        <w:jc w:val="center"/>
        <w:ind w:left="232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33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3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Period-over-Period change</w:t>
            </w:r>
          </w:p>
        </w:tc>
        <w:tc>
          <w:tcPr>
            <w:tcW w:w="200" w:type="dxa"/>
            <w:vAlign w:val="bottom"/>
          </w:tcPr>
          <w:p>
            <w:pPr>
              <w:spacing w:after="0"/>
              <w:rPr>
                <w:sz w:val="12"/>
                <w:szCs w:val="12"/>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12,680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2,370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23.0 %</w:t>
            </w:r>
          </w:p>
        </w:tc>
      </w:tr>
    </w:tbl>
    <w:p>
      <w:pPr>
        <w:spacing w:after="0" w:line="20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Research and development expenses increased $2.4 million, or 23.0%, to $12.7 million for the three months ended June 30, 2023 compared to $10.3 million for the three months ended June 30, 2022. The increase in research and development expenses is due primarily to an increase in personnel costs related to development work associated with new solutions to address end-to-end data analysis and compliance needs of our customers, and continued expansion of connectors and application program interfaces (“APIs”) to customer ERP and other software platforms. As a percentage of total revenues, research and development expenses increased to 9.1% in the three months ended June 30, 2023 compared to 8.6% for the same period in 2022. Research and development expense excludes those costs that have been capitalized for solutions that have met our capitalization policy.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and Marketing</w:t>
      </w:r>
    </w:p>
    <w:p>
      <w:pPr>
        <w:spacing w:after="0" w:line="22"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76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294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3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Period-over-Period change</w:t>
            </w:r>
          </w:p>
        </w:tc>
        <w:tc>
          <w:tcPr>
            <w:tcW w:w="220" w:type="dxa"/>
            <w:vAlign w:val="bottom"/>
          </w:tcPr>
          <w:p>
            <w:pPr>
              <w:spacing w:after="0"/>
              <w:rPr>
                <w:sz w:val="12"/>
                <w:szCs w:val="12"/>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1,562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4.9 %</w:t>
            </w:r>
          </w:p>
        </w:tc>
      </w:tr>
    </w:tbl>
    <w:p>
      <w:pPr>
        <w:spacing w:after="0" w:line="21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Selling and marketing expenses increased $1.6 million, or 4.9%, to $33.5 million for the three months ended June 30, 2023 compared to $32.0 million for the same period in 2022. This increase was primarily driven by a $2.9 million increase in payroll and related expenses associated with the growth in period-over-period subscription sales and services revenues and expansion of our partner and channel management programs. This was partly offset by a decrease of $1.3 million in amortization of acquired intangible assets associated with prior acquisitions. As a percentage of total revenues, selling and marketing expenses decreased to 24.0% in the three months ended June 30, 2023 compared to 26.8% for the same period in 2022.</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and Administrative</w:t>
      </w:r>
    </w:p>
    <w:p>
      <w:pPr>
        <w:spacing w:after="0" w:line="32" w:lineRule="exact"/>
        <w:rPr>
          <w:sz w:val="20"/>
          <w:szCs w:val="20"/>
          <w:color w:val="auto"/>
        </w:rPr>
      </w:pPr>
    </w:p>
    <w:p>
      <w:pPr>
        <w:jc w:val="center"/>
        <w:ind w:left="2280"/>
        <w:spacing w:after="0"/>
        <w:rPr>
          <w:sz w:val="20"/>
          <w:szCs w:val="20"/>
          <w:color w:val="auto"/>
        </w:rPr>
      </w:pPr>
      <w:r>
        <w:rPr>
          <w:rFonts w:ascii="Arial" w:cs="Arial" w:eastAsia="Arial" w:hAnsi="Arial"/>
          <w:sz w:val="14"/>
          <w:szCs w:val="14"/>
          <w:b w:val="1"/>
          <w:bCs w:val="1"/>
          <w:color w:val="auto"/>
        </w:rPr>
        <w:t>For the three months ended</w:t>
      </w:r>
    </w:p>
    <w:p>
      <w:pPr>
        <w:jc w:val="center"/>
        <w:ind w:left="22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6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w w:val="91"/>
              </w:rPr>
              <w:t>Period-over-Period change</w:t>
            </w:r>
          </w:p>
        </w:tc>
      </w:tr>
      <w:tr>
        <w:trPr>
          <w:trHeight w:val="209"/>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9,292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General and administrative expenses increased $9.3 million, or 30.9%, to $39.4 million for the three months ended June 30, 2023 compared to $30.1 million for the same period in 2022. General and administrative expenses increased $6.4 million due to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Additionally, there was an increase in stock-based compensation of $3.0 million for the three months ended June 30, 2023 over the same period in 2022. As a percentage of total revenues, general and administrative expenses increased to 28.2% in the three months ended June 30, 2023 compared to 25.2% for the same period in 2022. After excluding stock-based compensation expense, as a percentage of total revenues general and administrative expenses increased to 24.9% in the three months ended June 30, 2023 compared to 23.9% for the same period in 2022.</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Depreciation and Amortization</w:t>
      </w:r>
    </w:p>
    <w:p>
      <w:pPr>
        <w:spacing w:after="0" w:line="22" w:lineRule="exact"/>
        <w:rPr>
          <w:sz w:val="20"/>
          <w:szCs w:val="20"/>
          <w:color w:val="auto"/>
        </w:rPr>
      </w:pPr>
    </w:p>
    <w:p>
      <w:pPr>
        <w:jc w:val="center"/>
        <w:ind w:left="2320"/>
        <w:spacing w:after="0"/>
        <w:rPr>
          <w:sz w:val="20"/>
          <w:szCs w:val="20"/>
          <w:color w:val="auto"/>
        </w:rPr>
      </w:pPr>
      <w:r>
        <w:rPr>
          <w:rFonts w:ascii="Arial" w:cs="Arial" w:eastAsia="Arial" w:hAnsi="Arial"/>
          <w:sz w:val="14"/>
          <w:szCs w:val="14"/>
          <w:b w:val="1"/>
          <w:bCs w:val="1"/>
          <w:color w:val="auto"/>
        </w:rPr>
        <w:t>For the three months ended</w:t>
      </w:r>
    </w:p>
    <w:p>
      <w:pPr>
        <w:jc w:val="center"/>
        <w:ind w:left="228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34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Period-over-Period change</w:t>
            </w:r>
          </w:p>
        </w:tc>
        <w:tc>
          <w:tcPr>
            <w:tcW w:w="140" w:type="dxa"/>
            <w:vAlign w:val="bottom"/>
          </w:tcPr>
          <w:p>
            <w:pPr>
              <w:spacing w:after="0"/>
              <w:rPr>
                <w:sz w:val="12"/>
                <w:szCs w:val="12"/>
                <w:color w:val="auto"/>
              </w:rPr>
            </w:pPr>
          </w:p>
        </w:tc>
      </w:tr>
      <w:tr>
        <w:trPr>
          <w:trHeight w:val="20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654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20.3 %</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Depreciation and amortization increased $0.7 million, or 20.3%, to $3.9 million for the three months ended June 30, 2023 compared to $3.2 million for the same period in 2022. The increase was primarily due to the impact of infrastructure and technology purchases and other capitalized costs to support our growth. As a percentage of revenues, depreciation expense increased to 2.8% in the three months ended June 30, 2023 compared to 2.7% in the same period in 2022.</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Operating Expense (Income), Net</w:t>
      </w:r>
    </w:p>
    <w:p>
      <w:pPr>
        <w:spacing w:after="0" w:line="22" w:lineRule="exact"/>
        <w:rPr>
          <w:sz w:val="20"/>
          <w:szCs w:val="20"/>
          <w:color w:val="auto"/>
        </w:rPr>
      </w:pPr>
    </w:p>
    <w:p>
      <w:pPr>
        <w:jc w:val="center"/>
        <w:ind w:left="2080"/>
        <w:spacing w:after="0"/>
        <w:rPr>
          <w:sz w:val="20"/>
          <w:szCs w:val="20"/>
          <w:color w:val="auto"/>
        </w:rPr>
      </w:pPr>
      <w:r>
        <w:rPr>
          <w:rFonts w:ascii="Arial" w:cs="Arial" w:eastAsia="Arial" w:hAnsi="Arial"/>
          <w:sz w:val="14"/>
          <w:szCs w:val="14"/>
          <w:b w:val="1"/>
          <w:bCs w:val="1"/>
          <w:color w:val="auto"/>
        </w:rPr>
        <w:t>For the three months ended</w:t>
      </w:r>
    </w:p>
    <w:p>
      <w:pPr>
        <w:jc w:val="center"/>
        <w:ind w:left="20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-3175</wp:posOffset>
            </wp:positionV>
            <wp:extent cx="13373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Period-over-Period change</w:t>
            </w:r>
          </w:p>
        </w:tc>
        <w:tc>
          <w:tcPr>
            <w:tcW w:w="200" w:type="dxa"/>
            <w:vAlign w:val="bottom"/>
          </w:tcPr>
          <w:p>
            <w:pPr>
              <w:spacing w:after="0"/>
              <w:rPr>
                <w:sz w:val="14"/>
                <w:szCs w:val="14"/>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 (income), net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567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(368.2)%</w:t>
            </w:r>
          </w:p>
        </w:tc>
      </w:tr>
    </w:tbl>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Other operating expense (income), net increased to expense of $0.4 million, net for the three months ended June 30, 2023 compared to $(0.2) million of income, net for the same period in 2022. Other operating expense, net for the three months ended June 30, 2023 included a $0.2 million increase in the contingent consideration liability for the Tellutax, Inc. acquisition (“Tellutax”) as well as $0.2 million in foreign currency translation losses incurred. Other operating income, net for the three months ended June 30, 2022 included $0.2 million in foreign currency translation gains. As a percentage of total revenues, other operating expense (income), net increased to 0.3% in the first three months ended June 30, 2023 compared to (0.1)% in 2022.</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(Income) Expense, Net</w:t>
      </w:r>
    </w:p>
    <w:p>
      <w:pPr>
        <w:spacing w:after="0" w:line="22" w:lineRule="exact"/>
        <w:rPr>
          <w:sz w:val="20"/>
          <w:szCs w:val="20"/>
          <w:color w:val="auto"/>
        </w:rPr>
      </w:pPr>
    </w:p>
    <w:p>
      <w:pPr>
        <w:jc w:val="center"/>
        <w:ind w:left="2100"/>
        <w:spacing w:after="0"/>
        <w:rPr>
          <w:sz w:val="20"/>
          <w:szCs w:val="20"/>
          <w:color w:val="auto"/>
        </w:rPr>
      </w:pPr>
      <w:r>
        <w:rPr>
          <w:rFonts w:ascii="Arial" w:cs="Arial" w:eastAsia="Arial" w:hAnsi="Arial"/>
          <w:sz w:val="14"/>
          <w:szCs w:val="14"/>
          <w:b w:val="1"/>
          <w:bCs w:val="1"/>
          <w:color w:val="auto"/>
        </w:rPr>
        <w:t>For the three months ended</w:t>
      </w:r>
    </w:p>
    <w:p>
      <w:pPr>
        <w:jc w:val="center"/>
        <w:ind w:left="20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-3175</wp:posOffset>
            </wp:positionV>
            <wp:extent cx="13462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Period-over-Period change</w:t>
            </w:r>
          </w:p>
        </w:tc>
        <w:tc>
          <w:tcPr>
            <w:tcW w:w="180" w:type="dxa"/>
            <w:vAlign w:val="bottom"/>
          </w:tcPr>
          <w:p>
            <w:pPr>
              <w:spacing w:after="0"/>
              <w:rPr>
                <w:sz w:val="14"/>
                <w:szCs w:val="14"/>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(829)</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(114.5)%</w:t>
            </w:r>
          </w:p>
        </w:tc>
      </w:tr>
    </w:tbl>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Interest (income) expense, net increased to $(0.1) million of interest income, net for the three months ended June 30, 2023, compared to $0.7 million of interest expense, net for the same period in 2022. Interest expense related to bank debt increased $0.5 million during the three months ended June 30, 2023 associated with the amendment to the credit agreement entered into in March 2022 (“Second Amendment to the Credit Agreement”). This expense was offset by a $0.5 million increase in the valuation of our foreign currency forward contracts as a result of market fluctuations, and a $0.7 million increase in interest income due to the increase in interest rates and dollars invested associated with investment securities in 2023.</w:t>
      </w: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 Expense</w:t>
      </w:r>
    </w:p>
    <w:p>
      <w:pPr>
        <w:spacing w:after="0" w:line="32" w:lineRule="exact"/>
        <w:rPr>
          <w:sz w:val="20"/>
          <w:szCs w:val="20"/>
          <w:color w:val="auto"/>
        </w:rPr>
      </w:pPr>
    </w:p>
    <w:p>
      <w:pPr>
        <w:jc w:val="center"/>
        <w:ind w:left="19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-3175</wp:posOffset>
            </wp:positionV>
            <wp:extent cx="13716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w w:val="93"/>
              </w:rPr>
              <w:t>Period-over-Period change</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2,429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1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Income tax expense increased by $2.4 million, to $2.9 million for the three months ended June 30, 2023 compared to a $0.5 million for the same period in 2022. The increase in tax expense was primarily driven by changes in state income taxes, differences in tax rates on foreign jurisdiction income or loss, and valuation allowances on net deferred tax assets established for certain foreign jurisdictions.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Six Months Ended June 30, 2023 Compared to Six Months Ended June 30, 2022</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Revenues</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w w:val="95"/>
              </w:rPr>
              <w:t>For the six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w w:val="95"/>
              </w:rPr>
              <w:t>Year-Over-Year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subscriptions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228,850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198,219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272,446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234,260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Revenues increased $38.2 million, or 16.3%, to $272.4 million for the six months ended June 30, 2023 compared to $234.3 million for the six months ended June 30, 2022. The increase in software subscriptions revenues of $30.6 million, or 15.5%, was primarily driven by increases from our existing customers in cross selling new products to existing customers, and to a lesser extent, increases due to expanded use and price increases. Software subscriptions revenues derived from new customers averaged 6.5% and 8.2% of total software subscriptions revenues in 2023 and 2022, respectively.</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$7.6 million increase in services revenues was primarily driven by an increase of $4.5 million in software subscription-related services associated with the growth in subscription revenues, which includes new customers implementing our solutions, existing customers upgrading to newer versions of our solutions, and our premium support services. In addition, our managed services offering experienced a $3.1 million increase in recurring services revenues over the prior year due to returns processing volume increases related to customer business growth and regulatory changes resulting in customers expanding their tax filings into more jurisdictions.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Software Subscriptions Revenues</w:t>
      </w:r>
    </w:p>
    <w:p>
      <w:pPr>
        <w:spacing w:after="0" w:line="22" w:lineRule="exact"/>
        <w:rPr>
          <w:sz w:val="20"/>
          <w:szCs w:val="20"/>
          <w:color w:val="auto"/>
        </w:rPr>
      </w:pPr>
    </w:p>
    <w:p>
      <w:pPr>
        <w:jc w:val="center"/>
        <w:ind w:left="2220"/>
        <w:spacing w:after="0"/>
        <w:rPr>
          <w:sz w:val="20"/>
          <w:szCs w:val="20"/>
          <w:color w:val="auto"/>
        </w:rPr>
      </w:pPr>
      <w:r>
        <w:rPr>
          <w:rFonts w:ascii="Arial" w:cs="Arial" w:eastAsia="Arial" w:hAnsi="Arial"/>
          <w:sz w:val="14"/>
          <w:szCs w:val="14"/>
          <w:b w:val="1"/>
          <w:bCs w:val="1"/>
          <w:color w:val="auto"/>
        </w:rPr>
        <w:t>For the six months ended</w:t>
      </w:r>
    </w:p>
    <w:p>
      <w:pPr>
        <w:jc w:val="center"/>
        <w:ind w:left="218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Year-Over-Year Change</w:t>
            </w:r>
          </w:p>
        </w:tc>
        <w:tc>
          <w:tcPr>
            <w:tcW w:w="160" w:type="dxa"/>
            <w:vAlign w:val="bottom"/>
          </w:tcPr>
          <w:p>
            <w:pPr>
              <w:spacing w:after="0"/>
              <w:rPr>
                <w:sz w:val="12"/>
                <w:szCs w:val="12"/>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software subscriptions 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6,797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9.8 %</w:t>
            </w:r>
          </w:p>
        </w:tc>
      </w:tr>
    </w:tbl>
    <w:p>
      <w:pPr>
        <w:spacing w:after="0" w:line="21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Cost of software subscriptions revenues increased $6.8 million, or 9.8%, to $75.9 million for the six months ended June 30, 2023 compared to $69.1 million for the six months ended June 30, 2022. This was driven by a $3.3 million increase in costs of personnel supporting period-over-period growth of sales and customers and ongoing infrastructure investments and support costs to enable the continued expansion of customer transaction volumes for our cloud-based subscription customers. In addition, this included an increase in depreciation and amortization of capitalized software and acquired intangible assets of $3.0 million associated with our ongoing investments in internal-use software for cloud-based subscription solutions, software developed for sale for new products and enhancements to existing products, and costs associated with the amortization of acquired intangible assets. Lastly, stock-based compensation increased by $0.5 million for the six months ended June 30, 2023 over the same period in 2022. As a percentage of software subscriptions revenues, the cost of software subscriptions revenues decreased to 33.2% in the six months ended June 30, 2023 compared to 34.9% for the same period in 2022. After excluding stock-based compensation expense, as a percentage of software subscriptions revenue, cost of software subscriptions revenues decreased to 32.6% for the six months ended June 30, 2023 compared to 34.4% for the same period in 2022.</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Services Revenues</w:t>
      </w:r>
    </w:p>
    <w:p>
      <w:pPr>
        <w:spacing w:after="0" w:line="32" w:lineRule="exact"/>
        <w:rPr>
          <w:sz w:val="20"/>
          <w:szCs w:val="20"/>
          <w:color w:val="auto"/>
        </w:rPr>
      </w:pPr>
    </w:p>
    <w:p>
      <w:pPr>
        <w:jc w:val="center"/>
        <w:ind w:left="2240"/>
        <w:spacing w:after="0"/>
        <w:rPr>
          <w:sz w:val="20"/>
          <w:szCs w:val="20"/>
          <w:color w:val="auto"/>
        </w:rPr>
      </w:pPr>
      <w:r>
        <w:rPr>
          <w:rFonts w:ascii="Arial" w:cs="Arial" w:eastAsia="Arial" w:hAnsi="Arial"/>
          <w:sz w:val="14"/>
          <w:szCs w:val="14"/>
          <w:b w:val="1"/>
          <w:bCs w:val="1"/>
          <w:color w:val="auto"/>
        </w:rPr>
        <w:t>For the six months ended</w:t>
      </w:r>
    </w:p>
    <w:p>
      <w:pPr>
        <w:jc w:val="center"/>
        <w:ind w:left="22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w w:val="97"/>
              </w:rPr>
              <w:t>Year-Over-Year Change</w:t>
            </w: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5,834</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center"/>
        <w:ind w:left="1500"/>
        <w:spacing w:after="0" w:line="254" w:lineRule="auto"/>
        <w:rPr>
          <w:sz w:val="20"/>
          <w:szCs w:val="20"/>
          <w:color w:val="auto"/>
        </w:rPr>
      </w:pPr>
      <w:r>
        <w:rPr>
          <w:rFonts w:ascii="Arial" w:cs="Arial" w:eastAsia="Arial" w:hAnsi="Arial"/>
          <w:sz w:val="18"/>
          <w:szCs w:val="18"/>
          <w:color w:val="auto"/>
        </w:rPr>
        <w:t>Cost of services revenues increased $5.8 million, or 24.4%, to $29.7 million for the six months ended June 30, 2023 compared to $23.9 million for the six months ended June 30, 2022. The increase in cost of services revenues was primarily due to a $5.5 million increase in costs of service delivery personnel to support revenue growth in software subscription-related services and our managed services offering. In addition, this includes an increase in stock-based compensation of $0.3 million for the six months ended June 30, 2023 over the same period in 2022. As a percentage of services revenues, cost of services revenues increased to 68.1% in the six months ended June 30, 2023 compared to 66.2% for the same period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338455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 2022. After excluding stock-based compensation expense, as a percentage of services revenues, cost of services revenues increased to 65.8% in the six months ended June 30, 2023 compared to 64.3% for the same period in 2022.</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 w:lineRule="exact"/>
        <w:rPr>
          <w:sz w:val="20"/>
          <w:szCs w:val="20"/>
          <w:color w:val="auto"/>
        </w:rPr>
      </w:pPr>
    </w:p>
    <w:p>
      <w:pPr>
        <w:jc w:val="center"/>
        <w:ind w:left="2380"/>
        <w:spacing w:after="0"/>
        <w:rPr>
          <w:sz w:val="20"/>
          <w:szCs w:val="20"/>
          <w:color w:val="auto"/>
        </w:rPr>
      </w:pPr>
      <w:r>
        <w:rPr>
          <w:rFonts w:ascii="Arial" w:cs="Arial" w:eastAsia="Arial" w:hAnsi="Arial"/>
          <w:sz w:val="14"/>
          <w:szCs w:val="14"/>
          <w:b w:val="1"/>
          <w:bCs w:val="1"/>
          <w:color w:val="auto"/>
        </w:rPr>
        <w:t>For the six months ended</w:t>
      </w:r>
    </w:p>
    <w:p>
      <w:pPr>
        <w:jc w:val="center"/>
        <w:ind w:left="234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Year-Over-Year Change</w:t>
            </w:r>
          </w:p>
        </w:tc>
        <w:tc>
          <w:tcPr>
            <w:tcW w:w="200" w:type="dxa"/>
            <w:vAlign w:val="bottom"/>
          </w:tcPr>
          <w:p>
            <w:pPr>
              <w:spacing w:after="0"/>
              <w:rPr>
                <w:sz w:val="12"/>
                <w:szCs w:val="12"/>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28,542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8,599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43.1 %</w:t>
            </w:r>
          </w:p>
        </w:tc>
      </w:tr>
    </w:tbl>
    <w:p>
      <w:pPr>
        <w:spacing w:after="0" w:line="20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Research and development expenses increased $8.6 million, or 43.1%, to $28.5 million for the six months ended June 30, 2023 compared to $19.9 million for the six months ended June 30, 2022. The increase in research and development expenses is due to a $6.2 million increase in personnel costs related to development work associated with new solutions to address end-to-end data analysis and compliance needs of our customers and continued expansion of connectors and APIs to customer ERP and other software platforms. In addition, this includes an increase in stock-based compensation of $2.4 million for the six months ended June 30, 2023 over the same period in 2022. As a percentage of total revenues, research and development expenses increased to 10.5% in the six months ended June 30, 2023 compared to 8.5% for the same period in 2022. After excluding stock-based compensation expense, as a percentage of total revenues, research and development expenses increased to 9.4% in the six months ended June 30, 2023 compared to 8.3% for the same period in 2022. Research and development expense excludes those costs that have been capitalized for solutions that have met our capitalization policy.</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and Marketing</w:t>
      </w:r>
    </w:p>
    <w:p>
      <w:pPr>
        <w:spacing w:after="0" w:line="22"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six months ended</w:t>
      </w:r>
    </w:p>
    <w:p>
      <w:pPr>
        <w:jc w:val="center"/>
        <w:ind w:left="176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29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3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Year-Over-Year Change</w:t>
            </w:r>
          </w:p>
        </w:tc>
        <w:tc>
          <w:tcPr>
            <w:tcW w:w="220" w:type="dxa"/>
            <w:vAlign w:val="bottom"/>
          </w:tcPr>
          <w:p>
            <w:pPr>
              <w:spacing w:after="0"/>
              <w:rPr>
                <w:sz w:val="12"/>
                <w:szCs w:val="12"/>
                <w:color w:val="auto"/>
              </w:rPr>
            </w:pPr>
          </w:p>
        </w:tc>
      </w:tr>
      <w:tr>
        <w:trPr>
          <w:trHeight w:val="20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9,846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16.6 %</w:t>
            </w:r>
          </w:p>
        </w:tc>
      </w:tr>
    </w:tbl>
    <w:p>
      <w:pPr>
        <w:spacing w:after="0" w:line="21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Selling and marketing expenses increased $9.8 million, or 16.6%, to $69.3 million for the six months ended June 30, 2023 compared to $59.4 million for the same period in 2022. This increase was primarily driven by an $8.7 million increase in payroll and related expenses associated with the growth in period-over-period subscription sales and services revenues and expansion of our partner and channel management programs. There was also an increase of $0.9 million in advertising and promotional spending and expanded brand awareness efforts. In addition, there was an increase in stock-based compensation of $1.0 million. This was partly offset by a decrease of $0.8 million associated with amortization of acquired intangible assets associated with prior acquisitions for the six months ended June 30, 2023 compared to the same period in 2022. As a percentage of total revenues, selling and marketing expenses remained constant at 25.4% for the six months ended June 30, 2023 compared to the same period in 2022. After excluding stock-based compensation expense, as a percentage of total revenues, selling and marketing expenses decreased to 24.0% in the six months ended June 30, 2023 compared to 24.1% for the same period in 2022.</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and Administrative</w:t>
      </w:r>
    </w:p>
    <w:p>
      <w:pPr>
        <w:spacing w:after="0" w:line="22" w:lineRule="exact"/>
        <w:rPr>
          <w:sz w:val="20"/>
          <w:szCs w:val="20"/>
          <w:color w:val="auto"/>
        </w:rPr>
      </w:pPr>
    </w:p>
    <w:p>
      <w:pPr>
        <w:jc w:val="center"/>
        <w:ind w:left="2280"/>
        <w:spacing w:after="0"/>
        <w:rPr>
          <w:sz w:val="20"/>
          <w:szCs w:val="20"/>
          <w:color w:val="auto"/>
        </w:rPr>
      </w:pPr>
      <w:r>
        <w:rPr>
          <w:rFonts w:ascii="Arial" w:cs="Arial" w:eastAsia="Arial" w:hAnsi="Arial"/>
          <w:sz w:val="14"/>
          <w:szCs w:val="14"/>
          <w:b w:val="1"/>
          <w:bCs w:val="1"/>
          <w:color w:val="auto"/>
        </w:rPr>
        <w:t>For the six months ended</w:t>
      </w:r>
    </w:p>
    <w:p>
      <w:pPr>
        <w:jc w:val="center"/>
        <w:ind w:left="224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6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Year-Over-Year Change</w:t>
            </w:r>
          </w:p>
        </w:tc>
        <w:tc>
          <w:tcPr>
            <w:tcW w:w="200" w:type="dxa"/>
            <w:vAlign w:val="bottom"/>
          </w:tcPr>
          <w:p>
            <w:pPr>
              <w:spacing w:after="0"/>
              <w:rPr>
                <w:sz w:val="12"/>
                <w:szCs w:val="12"/>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14,845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25.2 %</w:t>
            </w:r>
          </w:p>
        </w:tc>
      </w:tr>
    </w:tbl>
    <w:p>
      <w:pPr>
        <w:spacing w:after="0" w:line="21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General and administrative expenses increased $14.8 million, or 25.2%, to $73.7 million for the six months ended June 30, 2023 compared to $58.8 million for the same period in 2022. General and administrative expenses increased $9.8 million primarily driven by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Additionally, there was an increase in stock-based compensation of $5.1 million for the six months ended June 30, 2023 over the same period in 2022. As a percentage of total revenues, general and administrative expenses increased to 27.0% in the six months ended June 30, 2023 compared to 25.1% for the same period in 2022. After excluding stock-based compensation expense, as a percentage of total revenues, general and administrative expenses increased to 23.7% for the six months ended June 30, 2023 compared to 23.4% for the same period in 2022.</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Depreciation and Amortization</w:t>
      </w:r>
    </w:p>
    <w:p>
      <w:pPr>
        <w:spacing w:after="0" w:line="22" w:lineRule="exact"/>
        <w:rPr>
          <w:sz w:val="20"/>
          <w:szCs w:val="20"/>
          <w:color w:val="auto"/>
        </w:rPr>
      </w:pPr>
    </w:p>
    <w:p>
      <w:pPr>
        <w:jc w:val="center"/>
        <w:ind w:left="2420"/>
        <w:spacing w:after="0"/>
        <w:rPr>
          <w:sz w:val="20"/>
          <w:szCs w:val="20"/>
          <w:color w:val="auto"/>
        </w:rPr>
      </w:pPr>
      <w:r>
        <w:rPr>
          <w:rFonts w:ascii="Arial" w:cs="Arial" w:eastAsia="Arial" w:hAnsi="Arial"/>
          <w:sz w:val="14"/>
          <w:szCs w:val="14"/>
          <w:b w:val="1"/>
          <w:bCs w:val="1"/>
          <w:color w:val="auto"/>
        </w:rPr>
        <w:t>For the six months ended</w:t>
      </w:r>
    </w:p>
    <w:p>
      <w:pPr>
        <w:jc w:val="center"/>
        <w:ind w:left="238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Year-Over-Year Change</w:t>
            </w:r>
          </w:p>
        </w:tc>
        <w:tc>
          <w:tcPr>
            <w:tcW w:w="160" w:type="dxa"/>
            <w:vAlign w:val="bottom"/>
          </w:tcPr>
          <w:p>
            <w:pPr>
              <w:spacing w:after="0"/>
              <w:rPr>
                <w:sz w:val="12"/>
                <w:szCs w:val="12"/>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1,435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23.2 %</w:t>
            </w: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Depreciation and amortization increased $1.4 million, or 23.2%, to $7.6 million for the six months ended June 30, 2023 compared to $6.2 million for the same period in 2022. The increase was primarily due to the impact of infrastructure and technology purchases and other capitalized costs to support our growth. As a percentage of revenues, depreciation expense increased to 2.8% in the six months ended June 30, 2023 compared to 2.6% for the same period in 2022.</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Operating Expense, Net</w:t>
      </w:r>
    </w:p>
    <w:p>
      <w:pPr>
        <w:spacing w:after="0" w:line="32"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For the six months ended</w:t>
      </w:r>
    </w:p>
    <w:p>
      <w:pPr>
        <w:jc w:val="center"/>
        <w:ind w:left="20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3"/>
          </w:tcPr>
          <w:p>
            <w:pPr>
              <w:jc w:val="right"/>
              <w:ind w:right="370"/>
              <w:spacing w:after="0" w:line="142" w:lineRule="exact"/>
              <w:rPr>
                <w:sz w:val="20"/>
                <w:szCs w:val="20"/>
                <w:color w:val="auto"/>
              </w:rPr>
            </w:pPr>
            <w:r>
              <w:rPr>
                <w:rFonts w:ascii="Arial" w:cs="Arial" w:eastAsia="Arial" w:hAnsi="Arial"/>
                <w:sz w:val="14"/>
                <w:szCs w:val="14"/>
                <w:b w:val="1"/>
                <w:bCs w:val="1"/>
                <w:color w:val="auto"/>
                <w:w w:val="97"/>
              </w:rPr>
              <w:t>Year-Over-Year Change</w:t>
            </w:r>
          </w:p>
        </w:tc>
      </w:tr>
      <w:tr>
        <w:trPr>
          <w:trHeight w:val="209"/>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3</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Other operating expense, net remained relatively flat at $0.7 million for the six months ended June 30, 2023 compared to the same period in 2022. Other operating expense, net for the six months ended June 30, 2023 included a $0.4 million increase in the contingent consideration liability for the Tellutax acquisition as well as $0.3 million in foreign currency translation losses. Other operating expense, net for the six months ended June 30, 2022 was primarily comprised of a $0.7 million increase in the contingent consideration liability for the Tellutax acquisition. As a percentage of total revenues, other operating expense, net was 0.3% for both the six months ended June 30, 2023 and 2022.</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(Income) Expense, Net</w:t>
      </w:r>
    </w:p>
    <w:p>
      <w:pPr>
        <w:spacing w:after="0" w:line="22" w:lineRule="exact"/>
        <w:rPr>
          <w:sz w:val="20"/>
          <w:szCs w:val="20"/>
          <w:color w:val="auto"/>
        </w:rPr>
      </w:pPr>
    </w:p>
    <w:p>
      <w:pPr>
        <w:jc w:val="center"/>
        <w:ind w:left="2200"/>
        <w:spacing w:after="0"/>
        <w:rPr>
          <w:sz w:val="20"/>
          <w:szCs w:val="20"/>
          <w:color w:val="auto"/>
        </w:rPr>
      </w:pPr>
      <w:r>
        <w:rPr>
          <w:rFonts w:ascii="Arial" w:cs="Arial" w:eastAsia="Arial" w:hAnsi="Arial"/>
          <w:sz w:val="14"/>
          <w:szCs w:val="14"/>
          <w:b w:val="1"/>
          <w:bCs w:val="1"/>
          <w:color w:val="auto"/>
        </w:rPr>
        <w:t>For the six months ended</w:t>
      </w:r>
    </w:p>
    <w:p>
      <w:pPr>
        <w:jc w:val="center"/>
        <w:ind w:left="216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5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Year-Over-Year Change</w:t>
            </w:r>
          </w:p>
        </w:tc>
        <w:tc>
          <w:tcPr>
            <w:tcW w:w="180" w:type="dxa"/>
            <w:vAlign w:val="bottom"/>
          </w:tcPr>
          <w:p>
            <w:pPr>
              <w:spacing w:after="0"/>
              <w:rPr>
                <w:sz w:val="12"/>
                <w:szCs w:val="12"/>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(1,173)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w:t>
            </w:r>
          </w:p>
        </w:tc>
      </w:tr>
    </w:tbl>
    <w:p>
      <w:pPr>
        <w:spacing w:after="0" w:line="20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Interest (income) expense, increased to interest income of $(0.5) million, net for the six months ended June 30, 2023 compared to $0.7 million of interest expense, net for the same period in 2022. Interest expense for the six months ended June 30, 2023 increased $1.0 million over the prior comparable period related to bank debt associated with the Second Amendment to the Credit Agreement due to increases in the interest rates on such debt as well as the debt being outstanding for the full period in 2023. This increase in expense was offset by a $1.8 million increase in interest income due to the increase in interest rates and dollars invested associated with investment securities, a $0.3 million decrease in deferred financing costs associated with the Second Amendment to the Credit Agreement, and a $0.1 million increase in the valuation of the forward currency forward contracts as a result of market fluctuations.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 Expense</w:t>
      </w:r>
    </w:p>
    <w:p>
      <w:pPr>
        <w:spacing w:after="0" w:line="22" w:lineRule="exact"/>
        <w:rPr>
          <w:sz w:val="20"/>
          <w:szCs w:val="20"/>
          <w:color w:val="auto"/>
        </w:rPr>
      </w:pPr>
    </w:p>
    <w:p>
      <w:pPr>
        <w:jc w:val="center"/>
        <w:ind w:left="2000"/>
        <w:spacing w:after="0"/>
        <w:rPr>
          <w:sz w:val="20"/>
          <w:szCs w:val="20"/>
          <w:color w:val="auto"/>
        </w:rPr>
      </w:pPr>
      <w:r>
        <w:rPr>
          <w:rFonts w:ascii="Arial" w:cs="Arial" w:eastAsia="Arial" w:hAnsi="Arial"/>
          <w:sz w:val="14"/>
          <w:szCs w:val="14"/>
          <w:b w:val="1"/>
          <w:bCs w:val="1"/>
          <w:color w:val="auto"/>
        </w:rPr>
        <w:t>For the six months ended</w:t>
      </w:r>
    </w:p>
    <w:p>
      <w:pPr>
        <w:jc w:val="center"/>
        <w:ind w:left="196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4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Year-Over-Year Change</w:t>
            </w:r>
          </w:p>
        </w:tc>
        <w:tc>
          <w:tcPr>
            <w:tcW w:w="160" w:type="dxa"/>
            <w:vAlign w:val="bottom"/>
          </w:tcPr>
          <w:p>
            <w:pPr>
              <w:spacing w:after="0"/>
              <w:rPr>
                <w:sz w:val="12"/>
                <w:szCs w:val="12"/>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11,174</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854.3 %</w:t>
            </w:r>
          </w:p>
        </w:tc>
      </w:tr>
    </w:tbl>
    <w:p>
      <w:pPr>
        <w:spacing w:after="0" w:line="21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Income tax expense increased to $12.5 million for the six months ended June 30, 2023 compared to $1.3 million for the same period in 2022. The increase in tax expense was primarily driven by an increase in state income taxes, differences in tax rates on foreign jurisdiction income or loss, limitations on deductions of certain employees’ compensation under Internal Revenue Code Section 162(m), and valuation allowances on net deferred tax assets established for certain foreign jurisdictions.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As of June 30, 2023, we had unrestricted cash and cash equivalents of $41.9 million and an accumulated deficit of $12.5 million. In addition, we had $11.2 million in investment securities with a maturity date exceeding three months as of June 30, 2023, not included in unrestricted cash and cash equivalents. Our primary sources of capital to date have been from sales of our solutions, proceeds from bank lending facilities and the initial public offering of our Class A common stock in July 2020 (the “Offering”). On March 8, 2022, we entered into a second amendment to our credit agreement with a banking syndicate (the “Second Amendment to the Credit Agreement”), which provided a $250.0 million facility consisting of a $50.0 million term loan (the “Term Loan”) and a $200.0 million line of credit (the “Line of Credit”). The proceeds from the Term Loan will be used for working capital, capital expenditures, permitted acquisitions and general corporate purposes.</w:t>
      </w:r>
    </w:p>
    <w:p>
      <w:pPr>
        <w:spacing w:after="0" w:line="21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believe that our existing cash resources and our bank Line of Credit will be sufficient to meet our capital requirements and fund our operations. However, if these sources are insufficient to satisfy our liquidity requirements, we may seek to sell additional equity or debt securities. If we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a summary of our cash flows for the periods indicated: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(Dollars in thousands)</w:t>
      </w:r>
    </w:p>
    <w:p>
      <w:pPr>
        <w:spacing w:after="0" w:line="12" w:lineRule="exact"/>
        <w:rPr>
          <w:sz w:val="20"/>
          <w:szCs w:val="20"/>
          <w:color w:val="auto"/>
        </w:rPr>
      </w:pPr>
    </w:p>
    <w:p>
      <w:pPr>
        <w:ind w:left="60" w:right="180"/>
        <w:spacing w:after="0" w:line="249" w:lineRule="auto"/>
        <w:rPr>
          <w:sz w:val="20"/>
          <w:szCs w:val="20"/>
          <w:color w:val="auto"/>
        </w:rPr>
      </w:pPr>
      <w:r>
        <w:rPr>
          <w:rFonts w:ascii="Arial" w:cs="Arial" w:eastAsia="Arial" w:hAnsi="Arial"/>
          <w:sz w:val="18"/>
          <w:szCs w:val="18"/>
          <w:color w:val="auto"/>
        </w:rPr>
        <w:t>Net cash (used in) provided by operating activities Net cash used in investing activities</w:t>
      </w:r>
    </w:p>
    <w:p>
      <w:pPr>
        <w:spacing w:after="0" w:line="1" w:lineRule="exact"/>
        <w:rPr>
          <w:sz w:val="20"/>
          <w:szCs w:val="20"/>
          <w:color w:val="auto"/>
        </w:rPr>
      </w:pPr>
    </w:p>
    <w:p>
      <w:pPr>
        <w:ind w:left="60" w:right="180"/>
        <w:spacing w:after="0" w:line="290" w:lineRule="auto"/>
        <w:rPr>
          <w:sz w:val="20"/>
          <w:szCs w:val="20"/>
          <w:color w:val="auto"/>
        </w:rPr>
      </w:pPr>
      <w:r>
        <w:rPr>
          <w:rFonts w:ascii="Arial" w:cs="Arial" w:eastAsia="Arial" w:hAnsi="Arial"/>
          <w:sz w:val="16"/>
          <w:szCs w:val="16"/>
          <w:color w:val="auto"/>
        </w:rPr>
        <w:t>Net cash (used in) provided by financing activities Effect of foreign exchange rate changes</w:t>
      </w:r>
    </w:p>
    <w:p>
      <w:pPr>
        <w:spacing w:after="0" w:line="1" w:lineRule="exact"/>
        <w:rPr>
          <w:sz w:val="20"/>
          <w:szCs w:val="20"/>
          <w:color w:val="auto"/>
        </w:rPr>
      </w:pPr>
    </w:p>
    <w:p>
      <w:pPr>
        <w:ind w:left="60"/>
        <w:spacing w:after="0" w:line="258" w:lineRule="auto"/>
        <w:rPr>
          <w:sz w:val="20"/>
          <w:szCs w:val="20"/>
          <w:color w:val="auto"/>
        </w:rPr>
      </w:pPr>
      <w:r>
        <w:rPr>
          <w:rFonts w:ascii="Arial" w:cs="Arial" w:eastAsia="Arial" w:hAnsi="Arial"/>
          <w:sz w:val="18"/>
          <w:szCs w:val="18"/>
          <w:color w:val="auto"/>
        </w:rPr>
        <w:t>Net (decrease) increase in cash, cash equivalents and restricted cash</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2519"/>
        <w:spacing w:after="0"/>
        <w:rPr>
          <w:sz w:val="20"/>
          <w:szCs w:val="20"/>
          <w:color w:val="auto"/>
        </w:rPr>
      </w:pPr>
      <w:r>
        <w:rPr>
          <w:rFonts w:ascii="Arial" w:cs="Arial" w:eastAsia="Arial" w:hAnsi="Arial"/>
          <w:sz w:val="14"/>
          <w:szCs w:val="14"/>
          <w:b w:val="1"/>
          <w:bCs w:val="1"/>
          <w:color w:val="auto"/>
        </w:rPr>
        <w:t>For the six months ended</w:t>
      </w:r>
    </w:p>
    <w:p>
      <w:pPr>
        <w:jc w:val="center"/>
        <w:ind w:right="2539"/>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4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w:t>
            </w:r>
          </w:p>
        </w:tc>
        <w:tc>
          <w:tcPr>
            <w:tcW w:w="1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195"/>
        </w:trPr>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(898)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8,588</w:t>
            </w:r>
          </w:p>
        </w:tc>
        <w:tc>
          <w:tcPr>
            <w:tcW w:w="440" w:type="dxa"/>
            <w:vAlign w:val="bottom"/>
            <w:vMerge w:val="continue"/>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(9,486)</w:t>
            </w:r>
          </w:p>
        </w:tc>
        <w:tc>
          <w:tcPr>
            <w:tcW w:w="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(30,728)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(35,182)</w:t>
            </w:r>
          </w:p>
        </w:tc>
        <w:tc>
          <w:tcPr>
            <w:tcW w:w="440" w:type="dxa"/>
            <w:vAlign w:val="bottom"/>
          </w:tcPr>
          <w:p>
            <w:pPr>
              <w:ind w:left="100"/>
              <w:spacing w:after="0"/>
              <w:rPr>
                <w:sz w:val="20"/>
                <w:szCs w:val="20"/>
                <w:color w:val="auto"/>
              </w:rPr>
            </w:pPr>
            <w:r>
              <w:rPr>
                <w:rFonts w:ascii="Arial" w:cs="Arial" w:eastAsia="Arial" w:hAnsi="Arial"/>
                <w:sz w:val="16"/>
                <w:szCs w:val="16"/>
                <w:b w:val="1"/>
                <w:bCs w:val="1"/>
                <w:color w:val="auto"/>
              </w:rPr>
              <w:t>(A)</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4,454</w:t>
            </w: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34,489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(37,970)</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162.1 %</w:t>
            </w:r>
          </w:p>
        </w:tc>
        <w:tc>
          <w:tcPr>
            <w:tcW w:w="0" w:type="dxa"/>
            <w:vAlign w:val="bottom"/>
          </w:tcPr>
          <w:p>
            <w:pPr>
              <w:spacing w:after="0"/>
              <w:rPr>
                <w:sz w:val="1"/>
                <w:szCs w:val="1"/>
                <w:color w:val="auto"/>
              </w:rPr>
            </w:pPr>
          </w:p>
        </w:tc>
      </w:tr>
      <w:tr>
        <w:trPr>
          <w:trHeight w:val="398"/>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(34,727)</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7,283</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(42,010)</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-839470</wp:posOffset>
            </wp:positionV>
            <wp:extent cx="565785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-565150</wp:posOffset>
            </wp:positionV>
            <wp:extent cx="565785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-281940</wp:posOffset>
            </wp:positionV>
            <wp:extent cx="565785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860" w:space="640"/>
            <w:col w:w="4519"/>
          </w:cols>
          <w:pgMar w:left="1440" w:top="517" w:right="1440" w:bottom="1440" w:gutter="0" w:footer="0" w:header="0"/>
          <w:type w:val="continuous"/>
        </w:sectPr>
      </w:pPr>
    </w:p>
    <w:p>
      <w:pPr>
        <w:ind w:left="60" w:right="159" w:hanging="10"/>
        <w:spacing w:after="0" w:line="269" w:lineRule="auto"/>
        <w:tabs>
          <w:tab w:leader="none" w:pos="326"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Net cash provided by operating activities, and net cash used in investing activities for the six months ended June 30, 2022 reflect an immaterial error correction of $5,988 related to the reclassification of capitalized cloud computing implementation costs. For more information refer to Note 1, “Summary of Significant Accounting Policies” to the condensed consolidated financial statements included in this Quarterly Report on Form 10-Q.</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used in operating activities was $(0.9) million for the six months ended June 30,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net cash provided by operating activities of $8.6 million for the same period in 2022. The decrease in cash provided by operating activities in the six months ended June 30, 2023 over the same period in 2022 of $9.0 million included: (i) a $9.0 million improvement in net cash from operating assets and liabilities, offset by (ii) an $18.0 million net decrease in cash comprised of adjustments to net loss for noncash operating activity which included increases in (a) depreciation and amortization of $3.6 million associated with investments in commercial software, infrastructure and acquisitions and (b) stock-based compensation of $9.3 million, offset by (c) an increase in deferred income tax benefit of $12.3 million.</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$30.7 million for the six months ended June 30,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$35.2 million for the same period in 2022, a decrease in use of funds for investing activities of $3.9 million. This decrease included proceeds from maturities of investment securities of $8.6 million, which was partly offset by an increase in purchases of investment securities of $1.5 million. In addition, there was a $0.5 million reduction in cash paid for acquisitions. Lastly, there was a $3.7 million increase in investments in commercial software and tools in support of our commercial cloud-based customer solutions.</w:t>
      </w:r>
    </w:p>
    <w:p>
      <w:pPr>
        <w:spacing w:after="0" w:line="19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was $3.5 million for the six months ended June 30,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$34.5 million net cash provided by financing activities for the same period in 2022, a decrease in net cash of $38.0 million. The decrease in cash provided by financing activities was primarily driven by cash received in 2022 in connection with borrowings under the Term Loan of $50.0 million associated with the Second Amendment to the Credit Agreement, partially offset by an increase in customer funds obligations of $19.0 million in 2023 due primarily to timing differences between receipt of funds from customers and taxing jurisdiction withdrawals of these funds.</w:t>
      </w:r>
    </w:p>
    <w:p>
      <w:pPr>
        <w:spacing w:after="0" w:line="16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b w:val="1"/>
          <w:bCs w:val="1"/>
          <w:i w:val="1"/>
          <w:iCs w:val="1"/>
          <w:color w:val="auto"/>
        </w:rPr>
        <w:t>Debt</w:t>
      </w:r>
      <w:r>
        <w:rPr>
          <w:rFonts w:ascii="Arial" w:cs="Arial" w:eastAsia="Arial" w:hAnsi="Arial"/>
          <w:sz w:val="18"/>
          <w:szCs w:val="18"/>
          <w:color w:val="auto"/>
        </w:rPr>
        <w:t>. As of June 30, 2023, we had a $200.0 million Line of Credit with no outstanding borrowings and a $50.0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Loan in connection with the Second Amendment to the Credit Agreement. Interest on outstanding borrowings accrue at a base rate plus an applicable margin (8.25% as of June 30, 2023) or the Secured Overnight Financing Rate (“SOFR”) plus an applicable margin (6.25% as of June 30, 2023). We have $48.0 million in bank debt outstanding at June 30, 2023 associated with the Term Loan.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Funds Held for Customers and Customer Funds Obligations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maintain trust accounts with financial institutions, which allows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spacing w:after="0" w:line="15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sectPr>
          <w:pgSz w:w="11900" w:h="16838" w:orient="portrait"/>
          <w:cols w:equalWidth="0" w:num="1">
            <w:col w:w="9019"/>
          </w:cols>
          <w:pgMar w:left="1440" w:top="517" w:right="1440" w:bottom="1440" w:gutter="0" w:footer="0" w:header="0"/>
          <w:type w:val="continuous"/>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Other than the borrowings under the Second Amendment to the Credit Agreement entered into in March 2022, there have been no material updates or changes to our contractual obligations and commitments compared to contractual obligations and commitments described in our 2022 Annual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regularly review the metrics identified below to evaluate growth trends, measure our performance, formulate financial projections and make strategic decisions.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Annual Recurring Revenue (“ARR”) and Average Annual Revenue Per Customer (“AARPC”).</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AARPC represents average annual revenue per customer and is calculated by dividing ARR by the number of software subscription customers at the end of the respective period.</w:t>
      </w:r>
    </w:p>
    <w:p>
      <w:pPr>
        <w:spacing w:after="0" w:line="10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vMerge w:val="restart"/>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June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Recurring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467.7</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69.6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ARR increased by $69.6 million, or 17.5%, at June 30, 2023, as compared to June 30, 2022. The increase was primarily driven by $43.4 million of growth in revenues from existing customers through their expanded use of our solutions as well as price increases, and $26.2 million in growth of subscriptions of our solutions to new customers.</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had 4,284 customers and AARPC was approximately $109,170 at June 30, 2023. At June 30, 2022, we had 4,242 customers and approximately $93,800 of AARPC. The increase in AARPC was primarily due to expansion of usage by existing customers and adding new customers through organic growth.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Revenue Retention Rate (“NRR”).</w:t>
      </w:r>
    </w:p>
    <w:p>
      <w:pPr>
        <w:spacing w:after="0" w:line="225" w:lineRule="exact"/>
        <w:rPr>
          <w:sz w:val="20"/>
          <w:szCs w:val="20"/>
          <w:color w:val="auto"/>
        </w:rPr>
      </w:pPr>
    </w:p>
    <w:p>
      <w:pPr>
        <w:jc w:val="both"/>
        <w:ind w:left="60" w:right="59" w:firstLine="379"/>
        <w:spacing w:after="0" w:line="252" w:lineRule="auto"/>
        <w:rPr>
          <w:sz w:val="20"/>
          <w:szCs w:val="20"/>
          <w:color w:val="auto"/>
        </w:rPr>
      </w:pPr>
      <w:r>
        <w:rPr>
          <w:rFonts w:ascii="Arial" w:cs="Arial" w:eastAsia="Arial" w:hAnsi="Arial"/>
          <w:sz w:val="18"/>
          <w:szCs w:val="18"/>
          <w:color w:val="auto"/>
        </w:rPr>
        <w:t>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w:t>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635</wp:posOffset>
            </wp:positionV>
            <wp:extent cx="10115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ind w:left="6420"/>
        <w:spacing w:after="0"/>
        <w:tabs>
          <w:tab w:leader="none" w:pos="73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5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Revenue Retention Rate</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111 %</w:t>
            </w:r>
          </w:p>
        </w:tc>
        <w:tc>
          <w:tcPr>
            <w:tcW w:w="9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110 %</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Revenue Retention Rate (“GRR”).</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spacing w:after="0" w:line="169"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6350</wp:posOffset>
            </wp:positionV>
            <wp:extent cx="10033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400"/>
        <w:spacing w:after="0"/>
        <w:tabs>
          <w:tab w:leader="none" w:pos="730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p>
    <w:tbl>
      <w:tblPr>
        <w:tblLayout w:type="fixed"/>
        <w:tblInd w:w="960" w:type="dxa"/>
        <w:tblCellMar>
          <w:top w:w="0" w:type="dxa"/>
          <w:left w:w="0" w:type="dxa"/>
          <w:bottom w:w="0" w:type="dxa"/>
          <w:right w:w="0" w:type="dxa"/>
        </w:tblCellMar>
      </w:tblPr>
      <w:tr>
        <w:trPr>
          <w:trHeight w:val="20"/>
        </w:trPr>
        <w:tc>
          <w:tcPr>
            <w:tcW w:w="5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0"/>
        </w:trPr>
        <w:tc>
          <w:tcPr>
            <w:tcW w:w="5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Gross Revenue Retention Rate</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96 %</w:t>
            </w: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96 %</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taxes, depreciation, and amortization, as adjusted to exclude charges for asset impairments, amortization of cloud computing implementation costs, stock-based compensation expense, severance expense, acquisition contingent consideration, litigation settlements, and transaction costs (which includes offering costs related to the sale of shares of certain of our Class B shareholders which are not representative of normal business operations). Adjusted EBITDA margin represents Adjusted EBITDA divided by total revenues for the same period. For purposes of comparison, our net loss was $(6.9) million and $(5.5) million for the three months ended June 30, 2023 and 2022, respectively, while our net loss margin was (4.9)% and (4.6)% over the same periods, respectively. Additionally, our net loss was $(25.0) million and $(5.9) million for the six months ended June 30, 2023 and 2022, respectively, while our net loss margin was (9.2)% and (2.5)% over the same periods,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9"/>
          </w:tcPr>
          <w:p>
            <w:pPr>
              <w:jc w:val="center"/>
              <w:ind w:right="170"/>
              <w:spacing w:after="0"/>
              <w:rPr>
                <w:sz w:val="20"/>
                <w:szCs w:val="20"/>
                <w:color w:val="auto"/>
              </w:rPr>
            </w:pPr>
            <w:r>
              <w:rPr>
                <w:rFonts w:ascii="Arial" w:cs="Arial" w:eastAsia="Arial" w:hAnsi="Arial"/>
                <w:sz w:val="14"/>
                <w:szCs w:val="14"/>
                <w:b w:val="1"/>
                <w:bCs w:val="1"/>
                <w:color w:val="auto"/>
                <w:w w:val="91"/>
              </w:rPr>
              <w:t>For the three months ended</w:t>
            </w:r>
          </w:p>
        </w:tc>
        <w:tc>
          <w:tcPr>
            <w:tcW w:w="100" w:type="dxa"/>
            <w:vAlign w:val="bottom"/>
          </w:tcPr>
          <w:p>
            <w:pPr>
              <w:spacing w:after="0"/>
              <w:rPr>
                <w:sz w:val="14"/>
                <w:szCs w:val="14"/>
                <w:color w:val="auto"/>
              </w:rPr>
            </w:pPr>
          </w:p>
        </w:tc>
        <w:tc>
          <w:tcPr>
            <w:tcW w:w="190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1"/>
              </w:rPr>
              <w:t>For the six months ended</w:t>
            </w:r>
          </w:p>
        </w:tc>
        <w:tc>
          <w:tcPr>
            <w:tcW w:w="0" w:type="dxa"/>
            <w:vAlign w:val="bottom"/>
          </w:tcPr>
          <w:p>
            <w:pPr>
              <w:spacing w:after="0"/>
              <w:rPr>
                <w:sz w:val="1"/>
                <w:szCs w:val="1"/>
                <w:color w:val="auto"/>
              </w:rPr>
            </w:pPr>
          </w:p>
        </w:tc>
      </w:tr>
      <w:tr>
        <w:trPr>
          <w:trHeight w:val="171"/>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center"/>
              <w:ind w:left="413"/>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60" w:type="dxa"/>
            <w:vAlign w:val="bottom"/>
            <w:gridSpan w:val="7"/>
          </w:tcPr>
          <w:p>
            <w:pPr>
              <w:jc w:val="right"/>
              <w:ind w:right="67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900" w:type="dxa"/>
            <w:vAlign w:val="bottom"/>
            <w:gridSpan w:val="6"/>
          </w:tcPr>
          <w:p>
            <w:pPr>
              <w:jc w:val="right"/>
              <w:ind w:right="59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78"/>
        </w:trPr>
        <w:tc>
          <w:tcPr>
            <w:tcW w:w="4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loss</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(25,028)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Interest (income) expense, net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w w:val="98"/>
              </w:rPr>
              <w:t>Depreciation and amortization – property and equipment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3,878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Depreciation and amortization of capitalized software and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acquired intangible assets – cost of subscription revenues</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12,686</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60" w:type="dxa"/>
            <w:vAlign w:val="bottom"/>
          </w:tcPr>
          <w:p>
            <w:pPr>
              <w:ind w:left="120"/>
              <w:spacing w:after="0" w:line="201" w:lineRule="exact"/>
              <w:rPr>
                <w:sz w:val="20"/>
                <w:szCs w:val="20"/>
                <w:color w:val="auto"/>
              </w:rPr>
            </w:pPr>
            <w:r>
              <w:rPr>
                <w:rFonts w:ascii="Arial" w:cs="Arial" w:eastAsia="Arial" w:hAnsi="Arial"/>
                <w:sz w:val="18"/>
                <w:szCs w:val="18"/>
                <w:color w:val="auto"/>
              </w:rPr>
              <w:t>Amortization of acquired intangible assets – selling and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marketing expense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Amortization of cloud computing implementation costs –</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7,022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Severance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Acquisition contingent consideration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120"/>
              <w:spacing w:after="0"/>
              <w:rPr>
                <w:sz w:val="20"/>
                <w:szCs w:val="20"/>
                <w:color w:val="auto"/>
              </w:rPr>
            </w:pPr>
            <w:r>
              <w:rPr>
                <w:rFonts w:ascii="Arial" w:cs="Arial" w:eastAsia="Arial" w:hAnsi="Arial"/>
                <w:sz w:val="18"/>
                <w:szCs w:val="18"/>
                <w:b w:val="1"/>
                <w:bCs w:val="1"/>
                <w:color w:val="auto"/>
              </w:rPr>
              <w:t>Adjusted EBITDA</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21,983</w:t>
            </w:r>
          </w:p>
        </w:tc>
        <w:tc>
          <w:tcPr>
            <w:tcW w:w="2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17,785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42,185</w:t>
            </w:r>
          </w:p>
        </w:tc>
        <w:tc>
          <w:tcPr>
            <w:tcW w:w="2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36,922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139,695</w:t>
            </w:r>
          </w:p>
        </w:tc>
        <w:tc>
          <w:tcPr>
            <w:tcW w:w="2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119,276</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272,446</w:t>
            </w:r>
          </w:p>
        </w:tc>
        <w:tc>
          <w:tcPr>
            <w:tcW w:w="2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234,260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560" w:type="dxa"/>
            <w:vAlign w:val="bottom"/>
            <w:tcBorders>
              <w:top w:val="single" w:sz="8" w:color="CCEEFF"/>
            </w:tcBorders>
          </w:tcPr>
          <w:p>
            <w:pPr>
              <w:ind w:left="120"/>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20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w:t>
            </w:r>
          </w:p>
        </w:tc>
        <w:tc>
          <w:tcPr>
            <w:tcW w:w="240" w:type="dxa"/>
            <w:vAlign w:val="bottom"/>
            <w:tcBorders>
              <w:top w:val="single" w:sz="8" w:color="CCEEFF"/>
            </w:tcBorders>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w:t>
            </w:r>
          </w:p>
        </w:tc>
        <w:tc>
          <w:tcPr>
            <w:tcW w:w="24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w:t>
            </w:r>
          </w:p>
        </w:tc>
        <w:tc>
          <w:tcPr>
            <w:tcW w:w="16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increase in Adjusted EBITDA for the three months ended June 30, 2023 of $4.2 million over the comparable period in 2022 was primarily driven by an increase of $14.8 million in non-GAAP gross profit, offset by increases in various non-GAAP operating expense categories including $3.2 million in non-GAAP selling and marketing expense, $2.1 million in non-GAAP research and development expense and $5.0 million in non-GAAP general and administrative expense. Adjusted EBITDA margin increased to 15.7% for the three months ended June 30, 2023 compared to 14.9% for the comparable period in 2022, primarily due to increased non-GAAP gross margin from our software subscriptions revenue.</w:t>
      </w:r>
    </w:p>
    <w:p>
      <w:pPr>
        <w:spacing w:after="0" w:line="19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increase in Adjusted EBITDA for the six months ended June 30, 2023 of $5.3 million over the comparable period in 2022 was primarily driven by an increase of $29.4 million in non-GAAP gross profit, offset by increases in various non-GAAP operating expense categories, including $9.7 million in non-GAAP selling and marketing expense, $6.2 million in non-GAAP research and development expense and $8.0 million in non-GAAP general and administrative expense. Adjusted EBITDA margin decreased to 15.5% for the six months ended June 30, 2023 compared to 15.8% for the comparable period in 2022, primarily due to operating expenses increasing at a higher rate than our increases in revenues, driven by our investments to enable future growth.</w:t>
      </w:r>
    </w:p>
    <w:p>
      <w:pPr>
        <w:spacing w:after="0" w:line="177"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Increased investment in selling and marketing expense for the three and six months ended June 30, 2023 over the comparable periods in 2022, was driven by increased expenses associated with the growth in period-over-period subscription sales and services revenue and expansion of our partner and channel management programs. In addition, there was increased advertising and promotional spending and brand awareness efforts. Increased research and development expense for the three and six months ended June 30, 2023 over the comparable periods in 2022 was due primarily to an increase in personnel costs related to development work associated with innovation and new solutions to address end-to-end data analysis and compliance needs of our customers. Increased general and administrative expense for the three and six months ended June 30, 2023 over the comparable periods in 2022, was driven by planned strategic investments in information technology infrastructure, business process reengineering and other initiatives to drive future operating leverage, as well as investments in employees, systems and resources in support of our growth.</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181"/>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81"/>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25" w:lineRule="exact"/>
        <w:rPr>
          <w:sz w:val="20"/>
          <w:szCs w:val="20"/>
          <w:color w:val="auto"/>
        </w:rPr>
      </w:pPr>
    </w:p>
    <w:p>
      <w:pPr>
        <w:jc w:val="both"/>
        <w:ind w:left="181" w:right="180" w:firstLine="324"/>
        <w:spacing w:after="0" w:line="272" w:lineRule="auto"/>
        <w:rPr>
          <w:sz w:val="20"/>
          <w:szCs w:val="20"/>
          <w:color w:val="auto"/>
        </w:rPr>
      </w:pPr>
      <w:r>
        <w:rPr>
          <w:rFonts w:ascii="Arial" w:cs="Arial" w:eastAsia="Arial" w:hAnsi="Arial"/>
          <w:sz w:val="17"/>
          <w:szCs w:val="17"/>
          <w:color w:val="auto"/>
        </w:rPr>
        <w:t>We use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w:t>
      </w:r>
    </w:p>
    <w:p>
      <w:pPr>
        <w:spacing w:after="0" w:line="177" w:lineRule="exact"/>
        <w:rPr>
          <w:sz w:val="20"/>
          <w:szCs w:val="20"/>
          <w:color w:val="auto"/>
        </w:rPr>
      </w:pPr>
    </w:p>
    <w:p>
      <w:pPr>
        <w:jc w:val="both"/>
        <w:ind w:left="181" w:right="180" w:firstLine="324"/>
        <w:spacing w:after="0" w:line="273" w:lineRule="auto"/>
        <w:rPr>
          <w:sz w:val="20"/>
          <w:szCs w:val="20"/>
          <w:color w:val="auto"/>
        </w:rPr>
      </w:pPr>
      <w:r>
        <w:rPr>
          <w:rFonts w:ascii="Arial" w:cs="Arial" w:eastAsia="Arial" w:hAnsi="Arial"/>
          <w:sz w:val="17"/>
          <w:szCs w:val="17"/>
          <w:color w:val="auto"/>
        </w:rPr>
        <w:t>We define free cash flow margin as free cash flow divided by total revenues for the same period. Our net cash used in operating activities was $(4.4) million, and our net cash provided by operating activities was $9.0 million for the three months ended June 30, 2023 and 2022, respectively, while our operating cash flow margin was (3.1)% and 7.5% over the same periods, respectively. Our net cash used in operating activities was $(0.9) million and our net cash provided by operating activities was $8.6 million for the six months ended June 30, 2023 and 2022, respectively, while our operating cash flow margin was (0.3)% and 3.7% over the same periods, respectively.</w:t>
      </w:r>
    </w:p>
    <w:p>
      <w:pPr>
        <w:spacing w:after="0" w:line="237"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5"/>
          </w:tcPr>
          <w:p>
            <w:pPr>
              <w:jc w:val="right"/>
              <w:ind w:right="519"/>
              <w:spacing w:after="0"/>
              <w:rPr>
                <w:sz w:val="20"/>
                <w:szCs w:val="20"/>
                <w:color w:val="auto"/>
              </w:rPr>
            </w:pPr>
            <w:r>
              <w:rPr>
                <w:rFonts w:ascii="Arial" w:cs="Arial" w:eastAsia="Arial" w:hAnsi="Arial"/>
                <w:sz w:val="14"/>
                <w:szCs w:val="14"/>
                <w:b w:val="1"/>
                <w:bCs w:val="1"/>
                <w:color w:val="auto"/>
                <w:w w:val="91"/>
              </w:rPr>
              <w:t>For the three months ended</w:t>
            </w:r>
          </w:p>
        </w:tc>
        <w:tc>
          <w:tcPr>
            <w:tcW w:w="160" w:type="dxa"/>
            <w:vAlign w:val="bottom"/>
          </w:tcPr>
          <w:p>
            <w:pPr>
              <w:spacing w:after="0"/>
              <w:rPr>
                <w:sz w:val="16"/>
                <w:szCs w:val="16"/>
                <w:color w:val="auto"/>
              </w:rPr>
            </w:pPr>
          </w:p>
        </w:tc>
        <w:tc>
          <w:tcPr>
            <w:tcW w:w="2240" w:type="dxa"/>
            <w:vAlign w:val="bottom"/>
            <w:gridSpan w:val="6"/>
          </w:tcPr>
          <w:p>
            <w:pPr>
              <w:jc w:val="right"/>
              <w:ind w:right="510"/>
              <w:spacing w:after="0"/>
              <w:rPr>
                <w:sz w:val="20"/>
                <w:szCs w:val="20"/>
                <w:color w:val="auto"/>
              </w:rPr>
            </w:pPr>
            <w:r>
              <w:rPr>
                <w:rFonts w:ascii="Arial" w:cs="Arial" w:eastAsia="Arial" w:hAnsi="Arial"/>
                <w:sz w:val="14"/>
                <w:szCs w:val="14"/>
                <w:b w:val="1"/>
                <w:bCs w:val="1"/>
                <w:color w:val="auto"/>
                <w:w w:val="95"/>
              </w:rPr>
              <w:t>For the six months ended</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7"/>
              </w:rPr>
              <w:t>Cash (used in) provided by operating activities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 xml:space="preserve">8,955 </w:t>
            </w:r>
            <w:r>
              <w:rPr>
                <w:rFonts w:ascii="Arial" w:cs="Arial" w:eastAsia="Arial" w:hAnsi="Arial"/>
                <w:sz w:val="16"/>
                <w:szCs w:val="16"/>
                <w:b w:val="1"/>
                <w:bCs w:val="1"/>
                <w:color w:val="auto"/>
              </w:rPr>
              <w:t>(A)</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b w:val="1"/>
                <w:bCs w:val="1"/>
                <w:color w:val="auto"/>
                <w:w w:val="94"/>
              </w:rPr>
              <w:t>(B)</w:t>
            </w:r>
            <w:r>
              <w:rPr>
                <w:rFonts w:ascii="Arial" w:cs="Arial" w:eastAsia="Arial" w:hAnsi="Arial"/>
                <w:sz w:val="17"/>
                <w:szCs w:val="17"/>
                <w:color w:val="auto"/>
                <w:w w:val="9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8,588 </w:t>
            </w:r>
            <w:r>
              <w:rPr>
                <w:rFonts w:ascii="Arial" w:cs="Arial" w:eastAsia="Arial" w:hAnsi="Arial"/>
                <w:sz w:val="16"/>
                <w:szCs w:val="16"/>
                <w:b w:val="1"/>
                <w:bCs w:val="1"/>
                <w:color w:val="auto"/>
              </w:rPr>
              <w:t>(A)</w:t>
            </w: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Arial" w:cs="Arial" w:eastAsia="Arial" w:hAnsi="Arial"/>
                <w:sz w:val="18"/>
                <w:szCs w:val="18"/>
                <w:color w:val="auto"/>
              </w:rPr>
              <w:t>Property and equipment additions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(11,810)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39"/>
              <w:spacing w:after="0"/>
              <w:rPr>
                <w:sz w:val="20"/>
                <w:szCs w:val="20"/>
                <w:color w:val="auto"/>
              </w:rPr>
            </w:pPr>
            <w:r>
              <w:rPr>
                <w:rFonts w:ascii="Arial" w:cs="Arial" w:eastAsia="Arial" w:hAnsi="Arial"/>
                <w:sz w:val="18"/>
                <w:szCs w:val="18"/>
                <w:color w:val="auto"/>
                <w:w w:val="95"/>
              </w:rPr>
              <w:t xml:space="preserve">(10,928) </w:t>
            </w:r>
            <w:r>
              <w:rPr>
                <w:rFonts w:ascii="Arial" w:cs="Arial" w:eastAsia="Arial" w:hAnsi="Arial"/>
                <w:sz w:val="16"/>
                <w:szCs w:val="16"/>
                <w:b w:val="1"/>
                <w:bCs w:val="1"/>
                <w:color w:val="auto"/>
                <w:w w:val="95"/>
              </w:rPr>
              <w:t>(A)</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(21,859)</w:t>
            </w:r>
          </w:p>
        </w:tc>
        <w:tc>
          <w:tcPr>
            <w:tcW w:w="480" w:type="dxa"/>
            <w:vAlign w:val="bottom"/>
            <w:gridSpan w:val="2"/>
          </w:tcPr>
          <w:p>
            <w:pPr>
              <w:spacing w:after="0"/>
              <w:rPr>
                <w:sz w:val="20"/>
                <w:szCs w:val="20"/>
                <w:color w:val="auto"/>
              </w:rPr>
            </w:pPr>
            <w:r>
              <w:rPr>
                <w:rFonts w:ascii="Arial" w:cs="Arial" w:eastAsia="Arial" w:hAnsi="Arial"/>
                <w:sz w:val="16"/>
                <w:szCs w:val="16"/>
                <w:b w:val="1"/>
                <w:bCs w:val="1"/>
                <w:color w:val="auto"/>
              </w:rPr>
              <w:t>(B)</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(21,839) </w:t>
            </w:r>
            <w:r>
              <w:rPr>
                <w:rFonts w:ascii="Arial" w:cs="Arial" w:eastAsia="Arial" w:hAnsi="Arial"/>
                <w:sz w:val="16"/>
                <w:szCs w:val="16"/>
                <w:b w:val="1"/>
                <w:bCs w:val="1"/>
                <w:color w:val="auto"/>
              </w:rPr>
              <w:t>(A)</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Capitalized software additions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Free cash flow</w:t>
            </w:r>
          </w:p>
        </w:tc>
        <w:tc>
          <w:tcPr>
            <w:tcW w:w="3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(21,234)</w:t>
            </w:r>
          </w:p>
        </w:tc>
        <w:tc>
          <w:tcPr>
            <w:tcW w:w="3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(4,987)</w:t>
            </w:r>
          </w:p>
        </w:tc>
        <w:tc>
          <w:tcPr>
            <w:tcW w:w="4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(31,799)</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(19,177)</w:t>
            </w:r>
          </w:p>
        </w:tc>
        <w:tc>
          <w:tcPr>
            <w:tcW w:w="3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Free Cash Flow Margin: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139,695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119,276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272,446</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234,260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Free cash flow margin</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ind w:right="239"/>
              <w:spacing w:after="0"/>
              <w:rPr>
                <w:sz w:val="20"/>
                <w:szCs w:val="20"/>
                <w:color w:val="auto"/>
              </w:rPr>
            </w:pPr>
            <w:r>
              <w:rPr>
                <w:rFonts w:ascii="Arial" w:cs="Arial" w:eastAsia="Arial" w:hAnsi="Arial"/>
                <w:sz w:val="16"/>
                <w:szCs w:val="16"/>
                <w:color w:val="auto"/>
                <w:w w:val="84"/>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3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46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w:t>
            </w:r>
          </w:p>
        </w:tc>
        <w:tc>
          <w:tcPr>
            <w:tcW w:w="260" w:type="dxa"/>
            <w:vAlign w:val="bottom"/>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 w:right="120" w:hanging="1"/>
        <w:spacing w:after="0" w:line="265" w:lineRule="auto"/>
        <w:tabs>
          <w:tab w:leader="none" w:pos="267"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Cash provided by operating activities and property and equipment additions for the three and six months ended June 30, 2022 reflect immaterial error corrections of $3,026 and $5,988, respectively, related to the reclassification of capitalized cloud computing implementation costs from property and equipment additions to other changes in operating assets and liabilities. For more information refer to Note 1, “Summary of Significant Accounting Policies” to the condensed consolidated financial statements included in this Quarterly Report on Form 10-Q.</w:t>
      </w:r>
    </w:p>
    <w:p>
      <w:pPr>
        <w:ind w:left="1" w:right="40" w:hanging="1"/>
        <w:spacing w:after="0" w:line="270" w:lineRule="auto"/>
        <w:tabs>
          <w:tab w:leader="none" w:pos="258"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Cash provided by operating activities and property and equipment additions for the six months ended June 30, 2023 reflect immaterial error corrections of $3,264, related to the reclassification of capitalized cloud computing implementation costs for the three months ended March 31, 2023 from property and equipment additions to prepaid expenses and other current assets and other changes in operating assets and liabilities. For more information refer to Note 1, “Summary of Significant Accounting Policies” to the condensed consolidated financial statements included in this Quarterly Report on Form 10-Q.</w:t>
      </w:r>
    </w:p>
    <w:p>
      <w:pPr>
        <w:spacing w:after="0" w:line="200" w:lineRule="exact"/>
        <w:rPr>
          <w:sz w:val="20"/>
          <w:szCs w:val="20"/>
          <w:color w:val="auto"/>
        </w:rPr>
      </w:pPr>
    </w:p>
    <w:p>
      <w:pPr>
        <w:spacing w:after="0" w:line="201" w:lineRule="exact"/>
        <w:rPr>
          <w:sz w:val="20"/>
          <w:szCs w:val="20"/>
          <w:color w:val="auto"/>
        </w:rPr>
      </w:pPr>
    </w:p>
    <w:p>
      <w:pPr>
        <w:jc w:val="both"/>
        <w:ind w:left="181" w:right="180" w:firstLine="324"/>
        <w:spacing w:after="0" w:line="257" w:lineRule="auto"/>
        <w:rPr>
          <w:sz w:val="20"/>
          <w:szCs w:val="20"/>
          <w:color w:val="auto"/>
        </w:rPr>
      </w:pPr>
      <w:r>
        <w:rPr>
          <w:rFonts w:ascii="Arial" w:cs="Arial" w:eastAsia="Arial" w:hAnsi="Arial"/>
          <w:sz w:val="18"/>
          <w:szCs w:val="18"/>
          <w:color w:val="auto"/>
        </w:rPr>
        <w:t>Free cash flow decreased by $16.3 million for the three months ended June 30, 2023, as compared to the same period in 2022. This decrease was primarily driven by a decrease in net cash provided by operating activities of $16.6 million, combined with a $2.0 million increase in capitalized software additions in support of our commercial cloud-based customer solutions. Free cash flow margin decreased to (15.2)% for the three months ended June 30, 2023, compared to (4.2)% for the same period in 2022.</w:t>
      </w:r>
    </w:p>
    <w:p>
      <w:pPr>
        <w:spacing w:after="0" w:line="188" w:lineRule="exact"/>
        <w:rPr>
          <w:sz w:val="20"/>
          <w:szCs w:val="20"/>
          <w:color w:val="auto"/>
        </w:rPr>
      </w:pPr>
    </w:p>
    <w:p>
      <w:pPr>
        <w:jc w:val="both"/>
        <w:ind w:left="181" w:right="180" w:firstLine="324"/>
        <w:spacing w:after="0" w:line="257" w:lineRule="auto"/>
        <w:rPr>
          <w:sz w:val="20"/>
          <w:szCs w:val="20"/>
          <w:color w:val="auto"/>
        </w:rPr>
      </w:pPr>
      <w:r>
        <w:rPr>
          <w:rFonts w:ascii="Arial" w:cs="Arial" w:eastAsia="Arial" w:hAnsi="Arial"/>
          <w:sz w:val="18"/>
          <w:szCs w:val="18"/>
          <w:color w:val="auto"/>
        </w:rPr>
        <w:t>Free cash flow decreased by $12.6 million for the six months ended June 30, 2023, as compared to the same period in 2022. This decrease was primarily driven by a decrease in net cash provided by operating activities of $9.5 million, and an increase of $3.1 million in investments in capitalized software in support of our commercial cloud-based customer solutions. Free cash flow margin decreased to (11.7)% for the six months ended June 30, 2023, compared to (8.2)% for the same period in 2022.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261"/>
          </w:cols>
          <w:pgMar w:left="1319" w:top="517" w:right="1319"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9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84" w:lineRule="exact"/>
        <w:rPr>
          <w:sz w:val="20"/>
          <w:szCs w:val="20"/>
          <w:color w:val="auto"/>
        </w:rPr>
      </w:pPr>
    </w:p>
    <w:p>
      <w:pPr>
        <w:jc w:val="both"/>
        <w:ind w:left="1040" w:right="59" w:hanging="315"/>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86" w:lineRule="exact"/>
        <w:rPr>
          <w:rFonts w:ascii="Arial" w:cs="Arial" w:eastAsia="Arial" w:hAnsi="Arial"/>
          <w:sz w:val="18"/>
          <w:szCs w:val="18"/>
          <w:color w:val="auto"/>
        </w:rPr>
      </w:pPr>
    </w:p>
    <w:p>
      <w:pPr>
        <w:ind w:left="1040" w:right="59" w:hanging="315"/>
        <w:spacing w:after="0" w:line="308"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Non-GAAP cost of revenues, services is determined by adding back to GAAP cost of revenues, services, the stock-based compensation expense included in cost of revenues, services for the respective periods.</w:t>
      </w:r>
    </w:p>
    <w:p>
      <w:pPr>
        <w:spacing w:after="0" w:line="146" w:lineRule="exact"/>
        <w:rPr>
          <w:rFonts w:ascii="Arial" w:cs="Arial" w:eastAsia="Arial" w:hAnsi="Arial"/>
          <w:sz w:val="17"/>
          <w:szCs w:val="17"/>
          <w:color w:val="auto"/>
        </w:rPr>
      </w:pPr>
    </w:p>
    <w:p>
      <w:pPr>
        <w:jc w:val="both"/>
        <w:ind w:left="1040" w:right="59" w:hanging="315"/>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83" w:lineRule="exact"/>
        <w:rPr>
          <w:rFonts w:ascii="Arial" w:cs="Arial" w:eastAsia="Arial" w:hAnsi="Arial"/>
          <w:sz w:val="18"/>
          <w:szCs w:val="18"/>
          <w:color w:val="auto"/>
        </w:rPr>
      </w:pPr>
    </w:p>
    <w:p>
      <w:pPr>
        <w:ind w:left="1040" w:right="5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Non-GAAP gross margin is determined by dividing non-GAAP gross profit by total revenues for the respective periods.</w:t>
      </w:r>
    </w:p>
    <w:p>
      <w:pPr>
        <w:spacing w:after="0" w:line="170" w:lineRule="exact"/>
        <w:rPr>
          <w:rFonts w:ascii="Arial" w:cs="Arial" w:eastAsia="Arial" w:hAnsi="Arial"/>
          <w:sz w:val="18"/>
          <w:szCs w:val="18"/>
          <w:color w:val="auto"/>
        </w:rPr>
      </w:pPr>
    </w:p>
    <w:p>
      <w:pPr>
        <w:jc w:val="both"/>
        <w:ind w:left="1040" w:right="59" w:hanging="315"/>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Non-GAAP research and development expense is determined by adding back to GAAP research and development expense the stock-based compensation expense included in research and development expense for the respective periods.</w:t>
      </w:r>
    </w:p>
    <w:p>
      <w:pPr>
        <w:spacing w:after="0" w:line="183" w:lineRule="exact"/>
        <w:rPr>
          <w:rFonts w:ascii="Arial" w:cs="Arial" w:eastAsia="Arial" w:hAnsi="Arial"/>
          <w:sz w:val="18"/>
          <w:szCs w:val="18"/>
          <w:color w:val="auto"/>
        </w:rPr>
      </w:pPr>
    </w:p>
    <w:p>
      <w:pPr>
        <w:jc w:val="both"/>
        <w:ind w:left="1040" w:right="59" w:hanging="315"/>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83" w:lineRule="exact"/>
        <w:rPr>
          <w:rFonts w:ascii="Arial" w:cs="Arial" w:eastAsia="Arial" w:hAnsi="Arial"/>
          <w:sz w:val="18"/>
          <w:szCs w:val="18"/>
          <w:color w:val="auto"/>
        </w:rPr>
      </w:pPr>
    </w:p>
    <w:p>
      <w:pPr>
        <w:jc w:val="both"/>
        <w:ind w:left="1040" w:right="59" w:hanging="315"/>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Non-GAAP general and administrative expense is determined by adding back to GAAP general and administrative expense the stock-based compensation expense, amortization of cloud computing implementation costs and severance expense included in general and administrative expense for the respective periods.</w:t>
      </w:r>
    </w:p>
    <w:p>
      <w:pPr>
        <w:sectPr>
          <w:pgSz w:w="11900" w:h="16838" w:orient="portrait"/>
          <w:cols w:equalWidth="0" w:num="1">
            <w:col w:w="9019"/>
          </w:cols>
          <w:pgMar w:left="1440" w:top="517"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1040" w:right="59" w:hanging="315"/>
        <w:spacing w:after="0" w:line="271"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Non-GAAP operating income is determined by adding back to GAAP loss or income from operations the stock-based compensation expense, depreciation and amortization of capitalized software,and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litigation settlements, and transaction costs (which includes offering costs related to the sale of shares of certain of our Class B shareholders which are not representative of normal business operations), included in GAAP loss or income from operations for the respective periods.</w:t>
      </w:r>
    </w:p>
    <w:p>
      <w:pPr>
        <w:spacing w:after="0" w:line="178" w:lineRule="exact"/>
        <w:rPr>
          <w:rFonts w:ascii="Arial" w:cs="Arial" w:eastAsia="Arial" w:hAnsi="Arial"/>
          <w:sz w:val="17"/>
          <w:szCs w:val="17"/>
          <w:color w:val="auto"/>
        </w:rPr>
      </w:pPr>
    </w:p>
    <w:p>
      <w:pPr>
        <w:jc w:val="both"/>
        <w:ind w:left="1040" w:right="59" w:hanging="315"/>
        <w:spacing w:after="0" w:line="269"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Non-GAAP net income is determined by adding back to GAAP net loss or income the income tax benefit or expense,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litigation settlements, and transaction costs (which includes offering costs related to the sale of shares of certain of our Class B shareholders which are not representative of normal business operations), included in GAAP net loss or income for the respective periods to determine non-GAAP loss or income before income taxes. Non-GAAP loss or income before income taxes is then adjusted for income taxes calculated using the respective statutory tax rates for applicable jurisdictions, which for purposes of this determination were assumed to be 25.5%.</w:t>
      </w:r>
    </w:p>
    <w:p>
      <w:pPr>
        <w:spacing w:after="0" w:line="182"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The following schedules reflect our additional non-GAAP financial measures and reconciles our additional non-GAAP financial measures to the related GAAP financial measures.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For the three months ended</w:t>
            </w:r>
          </w:p>
        </w:tc>
        <w:tc>
          <w:tcPr>
            <w:tcW w:w="120" w:type="dxa"/>
            <w:vAlign w:val="bottom"/>
          </w:tcPr>
          <w:p>
            <w:pPr>
              <w:spacing w:after="0"/>
              <w:rPr>
                <w:sz w:val="14"/>
                <w:szCs w:val="14"/>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For the six months ended</w:t>
            </w:r>
          </w:p>
        </w:tc>
        <w:tc>
          <w:tcPr>
            <w:tcW w:w="0" w:type="dxa"/>
            <w:vAlign w:val="bottom"/>
          </w:tcPr>
          <w:p>
            <w:pPr>
              <w:spacing w:after="0"/>
              <w:rPr>
                <w:sz w:val="1"/>
                <w:szCs w:val="1"/>
                <w:color w:val="auto"/>
              </w:rPr>
            </w:pPr>
          </w:p>
        </w:tc>
      </w:tr>
      <w:tr>
        <w:trPr>
          <w:trHeight w:val="171"/>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left="396"/>
              <w:spacing w:after="0" w:line="142" w:lineRule="exact"/>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cost of revenues, software subscriptions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23,344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Non-GAAP cost of revenues, services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15,197</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11,645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28,705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23,192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gross profit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84,287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194,358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164,954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70.9 %</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70.7 %</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71.3 %</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70.4 %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research and development expense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Non-GAAP selling and marketing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31,775</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28,559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63,847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54,190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general and administrative expense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28,285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Non-GAAP operating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18,105</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14,561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34,566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30,738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For the three months ended</w:t>
            </w:r>
          </w:p>
        </w:tc>
        <w:tc>
          <w:tcPr>
            <w:tcW w:w="160" w:type="dxa"/>
            <w:vAlign w:val="bottom"/>
          </w:tcPr>
          <w:p>
            <w:pPr>
              <w:spacing w:after="0"/>
              <w:rPr>
                <w:sz w:val="14"/>
                <w:szCs w:val="14"/>
                <w:color w:val="auto"/>
              </w:rPr>
            </w:pPr>
          </w:p>
        </w:tc>
        <w:tc>
          <w:tcPr>
            <w:tcW w:w="16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For the six months ended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1"/>
              <w:spacing w:after="0" w:line="142" w:lineRule="exact"/>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Cost of Revenues, Software Subscriptions:</w:t>
            </w:r>
          </w:p>
        </w:tc>
        <w:tc>
          <w:tcPr>
            <w:tcW w:w="160" w:type="dxa"/>
            <w:vAlign w:val="bottom"/>
          </w:tcPr>
          <w:p>
            <w:pPr>
              <w:spacing w:after="0"/>
              <w:rPr>
                <w:sz w:val="14"/>
                <w:szCs w:val="14"/>
                <w:color w:val="auto"/>
              </w:rPr>
            </w:pPr>
          </w:p>
        </w:tc>
        <w:tc>
          <w:tcPr>
            <w:tcW w:w="1100" w:type="dxa"/>
            <w:vAlign w:val="bottom"/>
            <w:gridSpan w:val="3"/>
          </w:tcPr>
          <w:p>
            <w:pPr>
              <w:jc w:val="center"/>
              <w:ind w:left="341"/>
              <w:spacing w:after="0"/>
              <w:rPr>
                <w:sz w:val="20"/>
                <w:szCs w:val="20"/>
                <w:color w:val="auto"/>
              </w:rPr>
            </w:pPr>
            <w:r>
              <w:rPr>
                <w:rFonts w:ascii="Arial" w:cs="Arial" w:eastAsia="Arial" w:hAnsi="Arial"/>
                <w:sz w:val="13"/>
                <w:szCs w:val="13"/>
                <w:b w:val="1"/>
                <w:bCs w:val="1"/>
                <w:color w:val="auto"/>
                <w:w w:val="96"/>
              </w:rPr>
              <w:t>(unaudited)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Cost of revenues, software subscriptions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38,516</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75,919</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69,122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(1,415)</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 of capitalized software and acquired</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 assets – cost of subscription revenues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(12,386)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(22,083)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Non-GAAP cost of revenues, software subscriptions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25,411</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49,383</w:t>
            </w: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Non-GAAP Cost of Revenues, Services: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Cost of revenues,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15,363</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29,707</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cost of revenues, services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15,197</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28,705</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Gross Profit: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6"/>
                <w:szCs w:val="16"/>
                <w:b w:val="1"/>
                <w:bCs w:val="1"/>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85,816</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71,147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166,820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141,265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140" w:type="dxa"/>
            <w:vAlign w:val="bottom"/>
          </w:tcPr>
          <w:p>
            <w:pPr>
              <w:ind w:left="120"/>
              <w:spacing w:after="0"/>
              <w:rPr>
                <w:sz w:val="20"/>
                <w:szCs w:val="20"/>
                <w:color w:val="auto"/>
              </w:rPr>
            </w:pPr>
            <w:r>
              <w:rPr>
                <w:rFonts w:ascii="Arial" w:cs="Arial" w:eastAsia="Arial" w:hAnsi="Arial"/>
                <w:sz w:val="16"/>
                <w:szCs w:val="16"/>
                <w:color w:val="auto"/>
              </w:rPr>
              <w:t>Depreciation and amortization of capitalized software and acquired</w:t>
            </w: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12,686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12,386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25,121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22,083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140" w:type="dxa"/>
            <w:vAlign w:val="bottom"/>
          </w:tcPr>
          <w:p>
            <w:pPr>
              <w:ind w:left="120"/>
              <w:spacing w:after="0"/>
              <w:rPr>
                <w:sz w:val="20"/>
                <w:szCs w:val="20"/>
                <w:color w:val="auto"/>
              </w:rPr>
            </w:pPr>
            <w:r>
              <w:rPr>
                <w:rFonts w:ascii="Arial" w:cs="Arial" w:eastAsia="Arial" w:hAnsi="Arial"/>
                <w:sz w:val="16"/>
                <w:szCs w:val="16"/>
                <w:color w:val="auto"/>
              </w:rPr>
              <w:t>intangible assets – cost of subscription revenues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Non-GAAP 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99,087</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84,287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194,358</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164,954</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Gross Margin: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6"/>
                <w:szCs w:val="16"/>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139,695</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119,276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272,446</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234,260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gross margin</w:t>
            </w: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26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Research and Development Expense: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6"/>
                <w:szCs w:val="16"/>
                <w:b w:val="1"/>
                <w:bCs w:val="1"/>
                <w:color w:val="auto"/>
              </w:rPr>
              <w:t>Research and development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12,680</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10,310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28,542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19,943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rPr>
                <w:sz w:val="20"/>
                <w:szCs w:val="20"/>
                <w:color w:val="auto"/>
              </w:rPr>
            </w:pPr>
            <w:r>
              <w:rPr>
                <w:rFonts w:ascii="Arial" w:cs="Arial" w:eastAsia="Arial" w:hAnsi="Arial"/>
                <w:sz w:val="16"/>
                <w:szCs w:val="16"/>
                <w:b w:val="1"/>
                <w:bCs w:val="1"/>
                <w:color w:val="auto"/>
              </w:rPr>
              <w:t>Non-GAAP research and development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11,905</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9,812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25,533</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19,331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Non-GAAP Selling and Marketing Expense: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Selling and marketing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33,541</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69,277</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(3,980)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4"/>
              </w:rPr>
              <w:t>Amortization of acquired intangible assets – selling and marketing expense</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120"/>
              <w:spacing w:after="0"/>
              <w:rPr>
                <w:sz w:val="20"/>
                <w:szCs w:val="20"/>
                <w:color w:val="auto"/>
              </w:rPr>
            </w:pPr>
            <w:r>
              <w:rPr>
                <w:rFonts w:ascii="Arial" w:cs="Arial" w:eastAsia="Arial" w:hAnsi="Arial"/>
                <w:sz w:val="16"/>
                <w:szCs w:val="16"/>
                <w:b w:val="1"/>
                <w:bCs w:val="1"/>
                <w:color w:val="auto"/>
              </w:rPr>
              <w:t>Non-GAAP selling and marketing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31,775</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28,559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63,847</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54,190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17" w:right="1440" w:bottom="1440" w:gutter="0" w:footer="0" w:header="0"/>
        </w:sect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For the three months ended</w:t>
            </w:r>
          </w:p>
        </w:tc>
        <w:tc>
          <w:tcPr>
            <w:tcW w:w="80" w:type="dxa"/>
            <w:vAlign w:val="bottom"/>
          </w:tcPr>
          <w:p>
            <w:pPr>
              <w:spacing w:after="0"/>
              <w:rPr>
                <w:sz w:val="16"/>
                <w:szCs w:val="16"/>
                <w:color w:val="auto"/>
              </w:rPr>
            </w:pPr>
          </w:p>
        </w:tc>
        <w:tc>
          <w:tcPr>
            <w:tcW w:w="18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For the six months ended</w:t>
            </w:r>
          </w:p>
        </w:tc>
        <w:tc>
          <w:tcPr>
            <w:tcW w:w="0" w:type="dxa"/>
            <w:vAlign w:val="bottom"/>
          </w:tcPr>
          <w:p>
            <w:pPr>
              <w:spacing w:after="0"/>
              <w:rPr>
                <w:sz w:val="1"/>
                <w:szCs w:val="1"/>
                <w:color w:val="auto"/>
              </w:rPr>
            </w:pPr>
          </w:p>
        </w:tc>
      </w:tr>
      <w:tr>
        <w:trPr>
          <w:trHeight w:val="174"/>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26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22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3"/>
                <w:szCs w:val="13"/>
                <w:b w:val="1"/>
                <w:bCs w:val="1"/>
                <w:color w:val="auto"/>
                <w:w w:val="89"/>
              </w:rPr>
              <w:t>2022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3"/>
                <w:szCs w:val="13"/>
                <w:b w:val="1"/>
                <w:bCs w:val="1"/>
                <w:color w:val="auto"/>
                <w:w w:val="89"/>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General and Administrative Expense: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left="300"/>
              <w:spacing w:after="0"/>
              <w:rPr>
                <w:sz w:val="20"/>
                <w:szCs w:val="20"/>
                <w:color w:val="auto"/>
              </w:rPr>
            </w:pPr>
            <w:r>
              <w:rPr>
                <w:rFonts w:ascii="Arial" w:cs="Arial" w:eastAsia="Arial" w:hAnsi="Arial"/>
                <w:sz w:val="13"/>
                <w:szCs w:val="13"/>
                <w:b w:val="1"/>
                <w:bCs w:val="1"/>
                <w:color w:val="auto"/>
                <w:w w:val="93"/>
              </w:rPr>
              <w:t>(unaudited)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left="260"/>
              <w:spacing w:after="0"/>
              <w:rPr>
                <w:sz w:val="20"/>
                <w:szCs w:val="20"/>
                <w:color w:val="auto"/>
              </w:rPr>
            </w:pPr>
            <w:r>
              <w:rPr>
                <w:rFonts w:ascii="Arial" w:cs="Arial" w:eastAsia="Arial" w:hAnsi="Arial"/>
                <w:sz w:val="13"/>
                <w:szCs w:val="13"/>
                <w:b w:val="1"/>
                <w:bCs w:val="1"/>
                <w:color w:val="auto"/>
                <w:w w:val="96"/>
              </w:rPr>
              <w:t>(unaudited)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General and administrative expense</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39,376</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30,084</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73,686</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58,841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(1,541)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(3,936)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 expense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040" w:type="dxa"/>
            <w:vAlign w:val="bottom"/>
          </w:tcPr>
          <w:p>
            <w:pPr>
              <w:ind w:left="120"/>
              <w:spacing w:after="0"/>
              <w:rPr>
                <w:sz w:val="20"/>
                <w:szCs w:val="20"/>
                <w:color w:val="auto"/>
              </w:rPr>
            </w:pPr>
            <w:r>
              <w:rPr>
                <w:rFonts w:ascii="Arial" w:cs="Arial" w:eastAsia="Arial" w:hAnsi="Arial"/>
                <w:sz w:val="16"/>
                <w:szCs w:val="16"/>
                <w:color w:val="auto"/>
              </w:rPr>
              <w:t>Amortization of cloud computing implementation costs – general and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20"/>
              <w:spacing w:after="0"/>
              <w:rPr>
                <w:sz w:val="20"/>
                <w:szCs w:val="20"/>
                <w:color w:val="auto"/>
              </w:rPr>
            </w:pPr>
            <w:r>
              <w:rPr>
                <w:rFonts w:ascii="Arial" w:cs="Arial" w:eastAsia="Arial" w:hAnsi="Arial"/>
                <w:sz w:val="16"/>
                <w:szCs w:val="16"/>
                <w:color w:val="auto"/>
              </w:rPr>
              <w:t>administrative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general and administrative expense</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28,285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54,524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Loss from operations</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(4,296)</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(13,001)</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(3,828)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18,456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9,127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 of capitalized software and acquired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 assets – cost of subscription revenues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12,386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22,083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Arial" w:cs="Arial" w:eastAsia="Arial" w:hAnsi="Arial"/>
                <w:sz w:val="16"/>
                <w:szCs w:val="16"/>
                <w:color w:val="auto"/>
                <w:w w:val="92"/>
              </w:rPr>
              <w:t>Amortization of acquired intangible assets – selling and marketing 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cloud computing implementation costs – general and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administrative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Arial" w:cs="Arial" w:eastAsia="Arial" w:hAnsi="Arial"/>
                <w:sz w:val="16"/>
                <w:szCs w:val="16"/>
                <w:color w:val="auto"/>
              </w:rPr>
              <w:t>Severance 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contingent consideration</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Arial" w:cs="Arial" w:eastAsia="Arial" w:hAnsi="Arial"/>
                <w:sz w:val="16"/>
                <w:szCs w:val="16"/>
                <w:color w:val="auto"/>
              </w:rPr>
              <w:t>Transaction costs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operating income</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14,561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30,738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Net Income:</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Net loss</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(6,896)</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(5,520)</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(25,028)</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(5,854)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Arial" w:cs="Arial" w:eastAsia="Arial" w:hAnsi="Arial"/>
                <w:sz w:val="16"/>
                <w:szCs w:val="16"/>
                <w:color w:val="auto"/>
              </w:rPr>
              <w:t>Income tax 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12,482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040" w:type="dxa"/>
            <w:vAlign w:val="bottom"/>
          </w:tcPr>
          <w:p>
            <w:pPr>
              <w:ind w:left="120"/>
              <w:spacing w:after="0"/>
              <w:rPr>
                <w:sz w:val="20"/>
                <w:szCs w:val="20"/>
                <w:color w:val="auto"/>
              </w:rPr>
            </w:pPr>
            <w:r>
              <w:rPr>
                <w:rFonts w:ascii="Arial" w:cs="Arial" w:eastAsia="Arial" w:hAnsi="Arial"/>
                <w:sz w:val="16"/>
                <w:szCs w:val="16"/>
                <w:color w:val="auto"/>
              </w:rPr>
              <w:t>Depreciation and amortization of capitalized software and acquired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20"/>
              <w:spacing w:after="0"/>
              <w:rPr>
                <w:sz w:val="20"/>
                <w:szCs w:val="20"/>
                <w:color w:val="auto"/>
              </w:rPr>
            </w:pPr>
            <w:r>
              <w:rPr>
                <w:rFonts w:ascii="Arial" w:cs="Arial" w:eastAsia="Arial" w:hAnsi="Arial"/>
                <w:sz w:val="16"/>
                <w:szCs w:val="16"/>
                <w:color w:val="auto"/>
              </w:rPr>
              <w:t>intangible assets – cost of subscription revenues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12,686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12,386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25,121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22,083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Amortization of acquired intangible assets – selling and marketing expense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040" w:type="dxa"/>
            <w:vAlign w:val="bottom"/>
          </w:tcPr>
          <w:p>
            <w:pPr>
              <w:ind w:left="120"/>
              <w:spacing w:after="0"/>
              <w:rPr>
                <w:sz w:val="20"/>
                <w:szCs w:val="20"/>
                <w:color w:val="auto"/>
              </w:rPr>
            </w:pPr>
            <w:r>
              <w:rPr>
                <w:rFonts w:ascii="Arial" w:cs="Arial" w:eastAsia="Arial" w:hAnsi="Arial"/>
                <w:sz w:val="16"/>
                <w:szCs w:val="16"/>
                <w:color w:val="auto"/>
              </w:rPr>
              <w:t>Amortization of cloud computing implementation costs – general and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20"/>
              <w:spacing w:after="0"/>
              <w:rPr>
                <w:sz w:val="20"/>
                <w:szCs w:val="20"/>
                <w:color w:val="auto"/>
              </w:rPr>
            </w:pPr>
            <w:r>
              <w:rPr>
                <w:rFonts w:ascii="Arial" w:cs="Arial" w:eastAsia="Arial" w:hAnsi="Arial"/>
                <w:sz w:val="16"/>
                <w:szCs w:val="16"/>
                <w:color w:val="auto"/>
              </w:rPr>
              <w:t>administrative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 expense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Arial" w:cs="Arial" w:eastAsia="Arial" w:hAnsi="Arial"/>
                <w:sz w:val="16"/>
                <w:szCs w:val="16"/>
                <w:color w:val="auto"/>
              </w:rPr>
              <w:t>Acquisition contingent consideration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Transaction costs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tcPr>
          <w:p>
            <w:pPr>
              <w:ind w:left="120"/>
              <w:spacing w:after="0"/>
              <w:rPr>
                <w:sz w:val="20"/>
                <w:szCs w:val="20"/>
                <w:color w:val="auto"/>
              </w:rPr>
            </w:pPr>
            <w:r>
              <w:rPr>
                <w:rFonts w:ascii="Arial" w:cs="Arial" w:eastAsia="Arial" w:hAnsi="Arial"/>
                <w:sz w:val="16"/>
                <w:szCs w:val="16"/>
                <w:color w:val="auto"/>
              </w:rPr>
              <w:t>Non-GAAP income before income taxes</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18,210</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13,837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35,021</w:t>
            </w: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30,020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adjustment at statutory rate</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(7,655)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120"/>
              <w:spacing w:after="0"/>
              <w:rPr>
                <w:sz w:val="20"/>
                <w:szCs w:val="20"/>
                <w:color w:val="auto"/>
              </w:rPr>
            </w:pPr>
            <w:r>
              <w:rPr>
                <w:rFonts w:ascii="Arial" w:cs="Arial" w:eastAsia="Arial" w:hAnsi="Arial"/>
                <w:sz w:val="16"/>
                <w:szCs w:val="16"/>
                <w:b w:val="1"/>
                <w:bCs w:val="1"/>
                <w:color w:val="auto"/>
              </w:rPr>
              <w:t>Non-GAAP net income</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13,566</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10,309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26,091</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22,365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438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software development costs, business combinations, goodwill, accounting for stock-based compensation, revenue recognition, and income taxes, which are described in our 2022 Annual Report.</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There have been no material updates or changes to our critical accounting estimates compared to the critical accounting estimates described in our 2022 Annual Report.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For further information on recent accounting pronouncements, refer to Note 1, “Summary of Significant Accounting Policies” to the condensed consolidated financial statements included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had unrestricted cash and cash equivalents of $41.9 million and $91.8 million as of June 30, 2023 and December 31, 2022, respectively, and investments of $11.2 million as of June 30, 2023 and December 31, 2022. 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w:t>
      </w:r>
    </w:p>
    <w:p>
      <w:pPr>
        <w:spacing w:after="0" w:line="16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are exposed to risk related to changes in interest rates on our outstanding borrowings. Borrowings under the Second Amendment to the Credit Agreement bear interest at rates that are variable. Increases in the bank prime or SOFR rates would increase the interest rate on any future outstanding borrowings. Any debt we incur in the future may also bear interest at variable rates. For each 100 basis point increase in the bank prime or SOFR rates, this would be expected to result in a projected increase in interest expense of $0.5 million annually.</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six months ended June 30, 2023 and 2022, approximately 3% and 4%, respectively, of our revenues were denominated in currencies other than U.S. dollars.</w:t>
      </w:r>
    </w:p>
    <w:p>
      <w:pPr>
        <w:spacing w:after="0" w:line="161"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have experienced and will continue to experience fluctuations in our net loss or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 liabilities associated with this acquisition are expected to increase our exposure to fluctuations of the Brazilian Real over time. At June 30, 2023, outstanding foreign currency forward contracts hedge approximately 67% of our exposure to adverse fluctuations in the Brazilian Real associated with these future purchase commitment liabilities.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 13a-15(b) of the Securities Exchange Act of 1934, as amended (the “Exchange Act”).</w:t>
      </w:r>
    </w:p>
    <w:p>
      <w:pPr>
        <w:spacing w:after="0" w:line="184"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our principal executive officer and principal financial officer concluded that, as of June 30, 2023, our disclosure controls and procedures were effective at a reasonable assurance level.</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459" w:firstLine="324"/>
        <w:spacing w:after="0" w:line="311" w:lineRule="auto"/>
        <w:rPr>
          <w:sz w:val="20"/>
          <w:szCs w:val="20"/>
          <w:color w:val="auto"/>
        </w:rPr>
      </w:pPr>
      <w:r>
        <w:rPr>
          <w:rFonts w:ascii="Arial" w:cs="Arial" w:eastAsia="Arial" w:hAnsi="Arial"/>
          <w:sz w:val="16"/>
          <w:szCs w:val="16"/>
          <w:color w:val="auto"/>
        </w:rPr>
        <w:t>There were no changes in our internal control over financial reporting during the period covered by this Quarterly Report on Form 10-Q that materially affected, or are reasonably likely to materially affect, our internal control over financial reporting, other than for certain new or modified controls resulting from the go-live of our new ERP system.</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to prohibit the disclosure in any way of our confidential, proprietary and/or trade secret information. We also seek monetary damages, including punitive damages and attorney’s fees. Avalara has filed a motion to dismiss for lack of personal jurisdiction. As of June 30, 2023, the matter remains before the Court as the parties pursue jurisdictional discovery, after which, further briefs will be filed.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16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This document incorporates by reference various risk factors discussed in the Company’s 2022 Annual Report, under the heading “Risk Factors”. There are no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6"/>
              </w:rPr>
              <w:t>Exhibit 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10"/>
          </w:tcPr>
          <w:p>
            <w:pPr>
              <w:ind w:left="480"/>
              <w:spacing w:after="0"/>
              <w:rPr>
                <w:sz w:val="20"/>
                <w:szCs w:val="20"/>
                <w:color w:val="auto"/>
              </w:rPr>
            </w:pPr>
            <w:r>
              <w:rPr>
                <w:rFonts w:ascii="Arial" w:cs="Arial" w:eastAsia="Arial" w:hAnsi="Arial"/>
                <w:sz w:val="14"/>
                <w:szCs w:val="14"/>
                <w:b w:val="1"/>
                <w:bCs w:val="1"/>
                <w:color w:val="auto"/>
              </w:rPr>
              <w:t>Exhibit Description</w:t>
            </w:r>
          </w:p>
        </w:tc>
        <w:tc>
          <w:tcPr>
            <w:tcW w:w="14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File No.</w:t>
            </w:r>
          </w:p>
        </w:tc>
        <w:tc>
          <w:tcPr>
            <w:tcW w:w="160" w:type="dxa"/>
            <w:vAlign w:val="bottom"/>
          </w:tcPr>
          <w:p>
            <w:pPr>
              <w:spacing w:after="0"/>
              <w:rPr>
                <w:sz w:val="14"/>
                <w:szCs w:val="14"/>
                <w:color w:val="auto"/>
              </w:rPr>
            </w:pPr>
          </w:p>
        </w:tc>
        <w:tc>
          <w:tcPr>
            <w:tcW w:w="3960" w:type="dxa"/>
            <w:vAlign w:val="bottom"/>
            <w:gridSpan w:val="7"/>
          </w:tcPr>
          <w:p>
            <w:pPr>
              <w:spacing w:after="0"/>
              <w:rPr>
                <w:sz w:val="20"/>
                <w:szCs w:val="20"/>
                <w:color w:val="auto"/>
              </w:rPr>
            </w:pPr>
            <w:r>
              <w:rPr>
                <w:rFonts w:ascii="Arial" w:cs="Arial" w:eastAsia="Arial" w:hAnsi="Arial"/>
                <w:sz w:val="14"/>
                <w:szCs w:val="14"/>
                <w:b w:val="1"/>
                <w:bCs w:val="1"/>
                <w:color w:val="auto"/>
              </w:rPr>
              <w:t>Exhibit   Filing Date   Filed Herewith  Furnished Herewith</w:t>
            </w:r>
          </w:p>
        </w:tc>
      </w:tr>
      <w:tr>
        <w:trPr>
          <w:trHeight w:val="156"/>
        </w:trPr>
        <w:tc>
          <w:tcPr>
            <w:tcW w:w="10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6"/>
                <w:szCs w:val="16"/>
                <w:color w:val="0000EE"/>
              </w:rPr>
              <w:t>31.</w:t>
            </w:r>
            <w:r>
              <w:rPr>
                <w:rFonts w:ascii="Arial" w:cs="Arial" w:eastAsia="Arial" w:hAnsi="Arial"/>
                <w:sz w:val="16"/>
                <w:szCs w:val="16"/>
                <w:u w:val="single" w:color="auto"/>
                <w:color w:val="0000EE"/>
              </w:rPr>
              <w:t>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top w:val="single" w:sz="8" w:color="auto"/>
            </w:tcBorders>
            <w:gridSpan w:val="10"/>
          </w:tcPr>
          <w:p>
            <w:pPr>
              <w:spacing w:after="0" w:line="155" w:lineRule="exact"/>
              <w:rPr>
                <w:sz w:val="20"/>
                <w:szCs w:val="20"/>
                <w:color w:val="auto"/>
              </w:rPr>
            </w:pPr>
            <w:r>
              <w:rPr>
                <w:rFonts w:ascii="Arial" w:cs="Arial" w:eastAsia="Arial" w:hAnsi="Arial"/>
                <w:sz w:val="16"/>
                <w:szCs w:val="16"/>
                <w:color w:val="0000EE"/>
              </w:rPr>
              <w:t>Certification of Principal</w:t>
            </w:r>
          </w:p>
        </w:tc>
        <w:tc>
          <w:tcPr>
            <w:tcW w:w="1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bottom w:val="single" w:sz="8" w:color="0000EE"/>
            </w:tcBorders>
            <w:gridSpan w:val="5"/>
          </w:tcPr>
          <w:p>
            <w:pPr>
              <w:spacing w:after="0" w:line="183" w:lineRule="exact"/>
              <w:rPr>
                <w:sz w:val="20"/>
                <w:szCs w:val="20"/>
                <w:color w:val="auto"/>
              </w:rPr>
            </w:pPr>
            <w:r>
              <w:rPr>
                <w:rFonts w:ascii="Arial" w:cs="Arial" w:eastAsia="Arial" w:hAnsi="Arial"/>
                <w:sz w:val="16"/>
                <w:szCs w:val="16"/>
                <w:color w:val="0000EE"/>
                <w:w w:val="92"/>
              </w:rPr>
              <w:t>Executive Officer Pursuant to</w:t>
            </w:r>
          </w:p>
        </w:tc>
        <w:tc>
          <w:tcPr>
            <w:tcW w:w="26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Borders>
              <w:bottom w:val="single" w:sz="8" w:color="0000EE"/>
            </w:tcBorders>
            <w:gridSpan w:val="8"/>
          </w:tcPr>
          <w:p>
            <w:pPr>
              <w:spacing w:after="0" w:line="183" w:lineRule="exact"/>
              <w:rPr>
                <w:sz w:val="20"/>
                <w:szCs w:val="20"/>
                <w:color w:val="auto"/>
              </w:rPr>
            </w:pPr>
            <w:r>
              <w:rPr>
                <w:rFonts w:ascii="Arial" w:cs="Arial" w:eastAsia="Arial" w:hAnsi="Arial"/>
                <w:sz w:val="16"/>
                <w:szCs w:val="16"/>
                <w:color w:val="0000EE"/>
                <w:w w:val="90"/>
              </w:rPr>
              <w:t>Rules 13a-14(a) and 15d-14(a)</w:t>
            </w:r>
          </w:p>
        </w:tc>
        <w:tc>
          <w:tcPr>
            <w:tcW w:w="20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Borders>
              <w:bottom w:val="single" w:sz="8" w:color="0000EE"/>
            </w:tcBorders>
            <w:gridSpan w:val="7"/>
          </w:tcPr>
          <w:p>
            <w:pPr>
              <w:spacing w:after="0" w:line="183" w:lineRule="exact"/>
              <w:rPr>
                <w:sz w:val="20"/>
                <w:szCs w:val="20"/>
                <w:color w:val="auto"/>
              </w:rPr>
            </w:pPr>
            <w:r>
              <w:rPr>
                <w:rFonts w:ascii="Arial" w:cs="Arial" w:eastAsia="Arial" w:hAnsi="Arial"/>
                <w:sz w:val="16"/>
                <w:szCs w:val="16"/>
                <w:color w:val="0000EE"/>
                <w:w w:val="89"/>
              </w:rPr>
              <w:t>under the Securities Exchange</w:t>
            </w:r>
          </w:p>
        </w:tc>
        <w:tc>
          <w:tcPr>
            <w:tcW w:w="22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11"/>
          </w:tcPr>
          <w:p>
            <w:pPr>
              <w:spacing w:after="0" w:line="183" w:lineRule="exact"/>
              <w:rPr>
                <w:sz w:val="20"/>
                <w:szCs w:val="20"/>
                <w:color w:val="auto"/>
              </w:rPr>
            </w:pPr>
            <w:r>
              <w:rPr>
                <w:rFonts w:ascii="Arial" w:cs="Arial" w:eastAsia="Arial" w:hAnsi="Arial"/>
                <w:sz w:val="16"/>
                <w:szCs w:val="16"/>
                <w:color w:val="0000EE"/>
              </w:rPr>
              <w:t>Act of 1934, as Adopted</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11"/>
          </w:tcPr>
          <w:p>
            <w:pPr>
              <w:spacing w:after="0" w:line="183" w:lineRule="exact"/>
              <w:rPr>
                <w:sz w:val="20"/>
                <w:szCs w:val="20"/>
                <w:color w:val="auto"/>
              </w:rPr>
            </w:pPr>
            <w:r>
              <w:rPr>
                <w:rFonts w:ascii="Arial" w:cs="Arial" w:eastAsia="Arial" w:hAnsi="Arial"/>
                <w:sz w:val="16"/>
                <w:szCs w:val="16"/>
                <w:color w:val="0000EE"/>
              </w:rPr>
              <w:t>Pursuant to Section 302 of the</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Borders>
              <w:top w:val="single" w:sz="8" w:color="0000EE"/>
            </w:tcBorders>
            <w:gridSpan w:val="6"/>
          </w:tcPr>
          <w:p>
            <w:pPr>
              <w:spacing w:after="0" w:line="183" w:lineRule="exact"/>
              <w:rPr>
                <w:sz w:val="20"/>
                <w:szCs w:val="20"/>
                <w:color w:val="auto"/>
              </w:rPr>
            </w:pPr>
            <w:r>
              <w:rPr>
                <w:rFonts w:ascii="Arial" w:cs="Arial" w:eastAsia="Arial" w:hAnsi="Arial"/>
                <w:sz w:val="16"/>
                <w:szCs w:val="16"/>
                <w:color w:val="0000EE"/>
                <w:w w:val="96"/>
              </w:rPr>
              <w:t>Sarbanes-Oxley Act of 2002</w:t>
            </w:r>
          </w:p>
        </w:tc>
        <w:tc>
          <w:tcPr>
            <w:tcW w:w="24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3"/>
          </w:tcPr>
          <w:p>
            <w:pPr>
              <w:ind w:left="400"/>
              <w:spacing w:after="0" w:line="183" w:lineRule="exact"/>
              <w:rPr>
                <w:sz w:val="20"/>
                <w:szCs w:val="20"/>
                <w:color w:val="auto"/>
              </w:rPr>
            </w:pPr>
            <w:r>
              <w:rPr>
                <w:rFonts w:ascii="Arial" w:cs="Arial" w:eastAsia="Arial" w:hAnsi="Arial"/>
                <w:sz w:val="16"/>
                <w:szCs w:val="16"/>
                <w:color w:val="auto"/>
              </w:rPr>
              <w:t>X</w:t>
            </w:r>
          </w:p>
        </w:tc>
      </w:tr>
      <w:tr>
        <w:trPr>
          <w:trHeight w:val="183"/>
        </w:trPr>
        <w:tc>
          <w:tcPr>
            <w:tcW w:w="1020" w:type="dxa"/>
            <w:vAlign w:val="bottom"/>
            <w:gridSpan w:val="2"/>
          </w:tcPr>
          <w:p>
            <w:pPr>
              <w:spacing w:after="0" w:line="183" w:lineRule="exact"/>
              <w:rPr>
                <w:sz w:val="20"/>
                <w:szCs w:val="20"/>
                <w:color w:val="auto"/>
              </w:rPr>
            </w:pPr>
            <w:r>
              <w:rPr>
                <w:rFonts w:ascii="Arial" w:cs="Arial" w:eastAsia="Arial" w:hAnsi="Arial"/>
                <w:sz w:val="16"/>
                <w:szCs w:val="16"/>
                <w:color w:val="0000EE"/>
              </w:rPr>
              <w:t>31.</w:t>
            </w:r>
            <w:r>
              <w:rPr>
                <w:rFonts w:ascii="Arial" w:cs="Arial" w:eastAsia="Arial" w:hAnsi="Arial"/>
                <w:sz w:val="16"/>
                <w:szCs w:val="16"/>
                <w:u w:val="single" w:color="auto"/>
                <w:color w:val="0000EE"/>
              </w:rPr>
              <w:t>2</w:t>
            </w:r>
          </w:p>
        </w:tc>
        <w:tc>
          <w:tcPr>
            <w:tcW w:w="180" w:type="dxa"/>
            <w:vAlign w:val="bottom"/>
          </w:tcPr>
          <w:p>
            <w:pPr>
              <w:spacing w:after="0"/>
              <w:rPr>
                <w:sz w:val="15"/>
                <w:szCs w:val="15"/>
                <w:color w:val="auto"/>
              </w:rPr>
            </w:pPr>
          </w:p>
        </w:tc>
        <w:tc>
          <w:tcPr>
            <w:tcW w:w="1840" w:type="dxa"/>
            <w:vAlign w:val="bottom"/>
            <w:tcBorders>
              <w:top w:val="single" w:sz="8" w:color="0000EE"/>
            </w:tcBorders>
            <w:gridSpan w:val="3"/>
          </w:tcPr>
          <w:p>
            <w:pPr>
              <w:spacing w:after="0" w:line="183" w:lineRule="exact"/>
              <w:rPr>
                <w:sz w:val="20"/>
                <w:szCs w:val="20"/>
                <w:color w:val="auto"/>
              </w:rPr>
            </w:pPr>
            <w:r>
              <w:rPr>
                <w:rFonts w:ascii="Arial" w:cs="Arial" w:eastAsia="Arial" w:hAnsi="Arial"/>
                <w:sz w:val="16"/>
                <w:szCs w:val="16"/>
                <w:color w:val="0000EE"/>
              </w:rPr>
              <w:t>Certification of Principal</w:t>
            </w:r>
          </w:p>
        </w:tc>
        <w:tc>
          <w:tcPr>
            <w:tcW w:w="36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11"/>
          </w:tcPr>
          <w:p>
            <w:pPr>
              <w:spacing w:after="0" w:line="183" w:lineRule="exact"/>
              <w:rPr>
                <w:sz w:val="20"/>
                <w:szCs w:val="20"/>
                <w:color w:val="auto"/>
              </w:rPr>
            </w:pPr>
            <w:r>
              <w:rPr>
                <w:rFonts w:ascii="Arial" w:cs="Arial" w:eastAsia="Arial" w:hAnsi="Arial"/>
                <w:sz w:val="16"/>
                <w:szCs w:val="16"/>
                <w:color w:val="0000EE"/>
              </w:rPr>
              <w:t>Financial Officer Pursuant to</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Borders>
              <w:bottom w:val="single" w:sz="8" w:color="0000EE"/>
            </w:tcBorders>
            <w:gridSpan w:val="8"/>
          </w:tcPr>
          <w:p>
            <w:pPr>
              <w:spacing w:after="0" w:line="183" w:lineRule="exact"/>
              <w:rPr>
                <w:sz w:val="20"/>
                <w:szCs w:val="20"/>
                <w:color w:val="auto"/>
              </w:rPr>
            </w:pPr>
            <w:r>
              <w:rPr>
                <w:rFonts w:ascii="Arial" w:cs="Arial" w:eastAsia="Arial" w:hAnsi="Arial"/>
                <w:sz w:val="16"/>
                <w:szCs w:val="16"/>
                <w:color w:val="0000EE"/>
                <w:w w:val="90"/>
              </w:rPr>
              <w:t>Rules 13a-14(a) and 15d-14(a)</w:t>
            </w:r>
          </w:p>
        </w:tc>
        <w:tc>
          <w:tcPr>
            <w:tcW w:w="20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Borders>
              <w:bottom w:val="single" w:sz="8" w:color="0000EE"/>
            </w:tcBorders>
            <w:gridSpan w:val="7"/>
          </w:tcPr>
          <w:p>
            <w:pPr>
              <w:spacing w:after="0" w:line="183" w:lineRule="exact"/>
              <w:rPr>
                <w:sz w:val="20"/>
                <w:szCs w:val="20"/>
                <w:color w:val="auto"/>
              </w:rPr>
            </w:pPr>
            <w:r>
              <w:rPr>
                <w:rFonts w:ascii="Arial" w:cs="Arial" w:eastAsia="Arial" w:hAnsi="Arial"/>
                <w:sz w:val="16"/>
                <w:szCs w:val="16"/>
                <w:color w:val="0000EE"/>
                <w:w w:val="89"/>
              </w:rPr>
              <w:t>under the Securities Exchange</w:t>
            </w:r>
          </w:p>
        </w:tc>
        <w:tc>
          <w:tcPr>
            <w:tcW w:w="22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11"/>
          </w:tcPr>
          <w:p>
            <w:pPr>
              <w:spacing w:after="0" w:line="183" w:lineRule="exact"/>
              <w:rPr>
                <w:sz w:val="20"/>
                <w:szCs w:val="20"/>
                <w:color w:val="auto"/>
              </w:rPr>
            </w:pPr>
            <w:r>
              <w:rPr>
                <w:rFonts w:ascii="Arial" w:cs="Arial" w:eastAsia="Arial" w:hAnsi="Arial"/>
                <w:sz w:val="16"/>
                <w:szCs w:val="16"/>
                <w:color w:val="0000EE"/>
              </w:rPr>
              <w:t>Act of 1934, as Adopted</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11"/>
          </w:tcPr>
          <w:p>
            <w:pPr>
              <w:spacing w:after="0" w:line="183" w:lineRule="exact"/>
              <w:rPr>
                <w:sz w:val="20"/>
                <w:szCs w:val="20"/>
                <w:color w:val="auto"/>
              </w:rPr>
            </w:pPr>
            <w:r>
              <w:rPr>
                <w:rFonts w:ascii="Arial" w:cs="Arial" w:eastAsia="Arial" w:hAnsi="Arial"/>
                <w:sz w:val="16"/>
                <w:szCs w:val="16"/>
                <w:color w:val="0000EE"/>
              </w:rPr>
              <w:t>Pursuant to Section 302 of the</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Borders>
              <w:top w:val="single" w:sz="8" w:color="0000EE"/>
            </w:tcBorders>
            <w:gridSpan w:val="6"/>
          </w:tcPr>
          <w:p>
            <w:pPr>
              <w:spacing w:after="0" w:line="183" w:lineRule="exact"/>
              <w:rPr>
                <w:sz w:val="20"/>
                <w:szCs w:val="20"/>
                <w:color w:val="auto"/>
              </w:rPr>
            </w:pPr>
            <w:r>
              <w:rPr>
                <w:rFonts w:ascii="Arial" w:cs="Arial" w:eastAsia="Arial" w:hAnsi="Arial"/>
                <w:sz w:val="16"/>
                <w:szCs w:val="16"/>
                <w:color w:val="0000EE"/>
                <w:w w:val="96"/>
              </w:rPr>
              <w:t>Sarbanes-Oxley Act of 2002</w:t>
            </w:r>
          </w:p>
        </w:tc>
        <w:tc>
          <w:tcPr>
            <w:tcW w:w="24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3"/>
          </w:tcPr>
          <w:p>
            <w:pPr>
              <w:ind w:left="400"/>
              <w:spacing w:after="0" w:line="183" w:lineRule="exact"/>
              <w:rPr>
                <w:sz w:val="20"/>
                <w:szCs w:val="20"/>
                <w:color w:val="auto"/>
              </w:rPr>
            </w:pPr>
            <w:r>
              <w:rPr>
                <w:rFonts w:ascii="Arial" w:cs="Arial" w:eastAsia="Arial" w:hAnsi="Arial"/>
                <w:sz w:val="16"/>
                <w:szCs w:val="16"/>
                <w:color w:val="auto"/>
              </w:rPr>
              <w:t>X</w:t>
            </w:r>
          </w:p>
        </w:tc>
      </w:tr>
      <w:tr>
        <w:trPr>
          <w:trHeight w:val="183"/>
        </w:trPr>
        <w:tc>
          <w:tcPr>
            <w:tcW w:w="1020" w:type="dxa"/>
            <w:vAlign w:val="bottom"/>
            <w:gridSpan w:val="2"/>
          </w:tcPr>
          <w:p>
            <w:pPr>
              <w:spacing w:after="0" w:line="183" w:lineRule="exact"/>
              <w:rPr>
                <w:sz w:val="20"/>
                <w:szCs w:val="20"/>
                <w:color w:val="auto"/>
              </w:rPr>
            </w:pPr>
            <w:r>
              <w:rPr>
                <w:rFonts w:ascii="Arial" w:cs="Arial" w:eastAsia="Arial" w:hAnsi="Arial"/>
                <w:sz w:val="16"/>
                <w:szCs w:val="16"/>
                <w:color w:val="0000EE"/>
              </w:rPr>
              <w:t>32.</w:t>
            </w:r>
            <w:r>
              <w:rPr>
                <w:rFonts w:ascii="Arial" w:cs="Arial" w:eastAsia="Arial" w:hAnsi="Arial"/>
                <w:sz w:val="16"/>
                <w:szCs w:val="16"/>
                <w:u w:val="single" w:color="auto"/>
                <w:color w:val="0000EE"/>
              </w:rPr>
              <w:t>1</w:t>
            </w:r>
          </w:p>
        </w:tc>
        <w:tc>
          <w:tcPr>
            <w:tcW w:w="180" w:type="dxa"/>
            <w:vAlign w:val="bottom"/>
          </w:tcPr>
          <w:p>
            <w:pPr>
              <w:spacing w:after="0"/>
              <w:rPr>
                <w:sz w:val="15"/>
                <w:szCs w:val="15"/>
                <w:color w:val="auto"/>
              </w:rPr>
            </w:pPr>
          </w:p>
        </w:tc>
        <w:tc>
          <w:tcPr>
            <w:tcW w:w="1840" w:type="dxa"/>
            <w:vAlign w:val="bottom"/>
            <w:tcBorders>
              <w:top w:val="single" w:sz="8" w:color="0000EE"/>
            </w:tcBorders>
            <w:gridSpan w:val="3"/>
          </w:tcPr>
          <w:p>
            <w:pPr>
              <w:spacing w:after="0" w:line="183" w:lineRule="exact"/>
              <w:rPr>
                <w:sz w:val="20"/>
                <w:szCs w:val="20"/>
                <w:color w:val="auto"/>
              </w:rPr>
            </w:pPr>
            <w:r>
              <w:rPr>
                <w:rFonts w:ascii="Arial" w:cs="Arial" w:eastAsia="Arial" w:hAnsi="Arial"/>
                <w:sz w:val="16"/>
                <w:szCs w:val="16"/>
                <w:color w:val="0000EE"/>
              </w:rPr>
              <w:t>Certification of Principal</w:t>
            </w:r>
          </w:p>
        </w:tc>
        <w:tc>
          <w:tcPr>
            <w:tcW w:w="36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tcBorders>
              <w:bottom w:val="single" w:sz="8" w:color="0000EE"/>
            </w:tcBorders>
            <w:gridSpan w:val="10"/>
          </w:tcPr>
          <w:p>
            <w:pPr>
              <w:spacing w:after="0" w:line="183" w:lineRule="exact"/>
              <w:rPr>
                <w:sz w:val="20"/>
                <w:szCs w:val="20"/>
                <w:color w:val="auto"/>
              </w:rPr>
            </w:pPr>
            <w:r>
              <w:rPr>
                <w:rFonts w:ascii="Arial" w:cs="Arial" w:eastAsia="Arial" w:hAnsi="Arial"/>
                <w:sz w:val="16"/>
                <w:szCs w:val="16"/>
                <w:color w:val="0000EE"/>
                <w:w w:val="92"/>
              </w:rPr>
              <w:t>Executive Officer Pursuant to 18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tcBorders>
              <w:bottom w:val="single" w:sz="8" w:color="0000EE"/>
            </w:tcBorders>
            <w:gridSpan w:val="10"/>
          </w:tcPr>
          <w:p>
            <w:pPr>
              <w:spacing w:after="0" w:line="183" w:lineRule="exact"/>
              <w:rPr>
                <w:sz w:val="20"/>
                <w:szCs w:val="20"/>
                <w:color w:val="auto"/>
              </w:rPr>
            </w:pPr>
            <w:r>
              <w:rPr>
                <w:rFonts w:ascii="Arial" w:cs="Arial" w:eastAsia="Arial" w:hAnsi="Arial"/>
                <w:sz w:val="16"/>
                <w:szCs w:val="16"/>
                <w:color w:val="0000EE"/>
                <w:w w:val="90"/>
              </w:rPr>
              <w:t>U.S.C. Section 1350, as Adopted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11"/>
          </w:tcPr>
          <w:p>
            <w:pPr>
              <w:spacing w:after="0" w:line="183" w:lineRule="exact"/>
              <w:rPr>
                <w:sz w:val="20"/>
                <w:szCs w:val="20"/>
                <w:color w:val="auto"/>
              </w:rPr>
            </w:pPr>
            <w:r>
              <w:rPr>
                <w:rFonts w:ascii="Arial" w:cs="Arial" w:eastAsia="Arial" w:hAnsi="Arial"/>
                <w:sz w:val="16"/>
                <w:szCs w:val="16"/>
                <w:color w:val="0000EE"/>
              </w:rPr>
              <w:t>Pursuant to Section 906 of the</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Borders>
              <w:top w:val="single" w:sz="8" w:color="0000EE"/>
            </w:tcBorders>
            <w:gridSpan w:val="6"/>
          </w:tcPr>
          <w:p>
            <w:pPr>
              <w:spacing w:after="0" w:line="183" w:lineRule="exact"/>
              <w:rPr>
                <w:sz w:val="20"/>
                <w:szCs w:val="20"/>
                <w:color w:val="auto"/>
              </w:rPr>
            </w:pPr>
            <w:r>
              <w:rPr>
                <w:rFonts w:ascii="Arial" w:cs="Arial" w:eastAsia="Arial" w:hAnsi="Arial"/>
                <w:sz w:val="16"/>
                <w:szCs w:val="16"/>
                <w:color w:val="0000EE"/>
                <w:w w:val="96"/>
              </w:rPr>
              <w:t>Sarbanes-Oxley Act of 2002</w:t>
            </w:r>
          </w:p>
        </w:tc>
        <w:tc>
          <w:tcPr>
            <w:tcW w:w="24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ind w:left="580"/>
              <w:spacing w:after="0" w:line="183" w:lineRule="exact"/>
              <w:rPr>
                <w:sz w:val="20"/>
                <w:szCs w:val="20"/>
                <w:color w:val="auto"/>
              </w:rPr>
            </w:pPr>
            <w:r>
              <w:rPr>
                <w:rFonts w:ascii="Arial" w:cs="Arial" w:eastAsia="Arial" w:hAnsi="Arial"/>
                <w:sz w:val="16"/>
                <w:szCs w:val="16"/>
                <w:color w:val="auto"/>
              </w:rPr>
              <w:t>X</w:t>
            </w:r>
          </w:p>
        </w:tc>
      </w:tr>
      <w:tr>
        <w:trPr>
          <w:trHeight w:val="183"/>
        </w:trPr>
        <w:tc>
          <w:tcPr>
            <w:tcW w:w="1020" w:type="dxa"/>
            <w:vAlign w:val="bottom"/>
            <w:gridSpan w:val="2"/>
          </w:tcPr>
          <w:p>
            <w:pPr>
              <w:spacing w:after="0" w:line="183" w:lineRule="exact"/>
              <w:rPr>
                <w:sz w:val="20"/>
                <w:szCs w:val="20"/>
                <w:color w:val="auto"/>
              </w:rPr>
            </w:pPr>
            <w:r>
              <w:rPr>
                <w:rFonts w:ascii="Arial" w:cs="Arial" w:eastAsia="Arial" w:hAnsi="Arial"/>
                <w:sz w:val="16"/>
                <w:szCs w:val="16"/>
                <w:color w:val="0000EE"/>
              </w:rPr>
              <w:t>32.</w:t>
            </w:r>
            <w:r>
              <w:rPr>
                <w:rFonts w:ascii="Arial" w:cs="Arial" w:eastAsia="Arial" w:hAnsi="Arial"/>
                <w:sz w:val="16"/>
                <w:szCs w:val="16"/>
                <w:u w:val="single" w:color="auto"/>
                <w:color w:val="0000EE"/>
              </w:rPr>
              <w:t>2</w:t>
            </w:r>
          </w:p>
        </w:tc>
        <w:tc>
          <w:tcPr>
            <w:tcW w:w="180" w:type="dxa"/>
            <w:vAlign w:val="bottom"/>
          </w:tcPr>
          <w:p>
            <w:pPr>
              <w:spacing w:after="0"/>
              <w:rPr>
                <w:sz w:val="15"/>
                <w:szCs w:val="15"/>
                <w:color w:val="auto"/>
              </w:rPr>
            </w:pPr>
          </w:p>
        </w:tc>
        <w:tc>
          <w:tcPr>
            <w:tcW w:w="1840" w:type="dxa"/>
            <w:vAlign w:val="bottom"/>
            <w:tcBorders>
              <w:top w:val="single" w:sz="8" w:color="0000EE"/>
            </w:tcBorders>
            <w:gridSpan w:val="3"/>
          </w:tcPr>
          <w:p>
            <w:pPr>
              <w:spacing w:after="0" w:line="183" w:lineRule="exact"/>
              <w:rPr>
                <w:sz w:val="20"/>
                <w:szCs w:val="20"/>
                <w:color w:val="auto"/>
              </w:rPr>
            </w:pPr>
            <w:r>
              <w:rPr>
                <w:rFonts w:ascii="Arial" w:cs="Arial" w:eastAsia="Arial" w:hAnsi="Arial"/>
                <w:sz w:val="16"/>
                <w:szCs w:val="16"/>
                <w:color w:val="0000EE"/>
              </w:rPr>
              <w:t>Certification of Principal</w:t>
            </w:r>
          </w:p>
        </w:tc>
        <w:tc>
          <w:tcPr>
            <w:tcW w:w="36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Borders>
              <w:bottom w:val="single" w:sz="8" w:color="0000EE"/>
            </w:tcBorders>
            <w:gridSpan w:val="9"/>
          </w:tcPr>
          <w:p>
            <w:pPr>
              <w:spacing w:after="0" w:line="183" w:lineRule="exact"/>
              <w:rPr>
                <w:sz w:val="20"/>
                <w:szCs w:val="20"/>
                <w:color w:val="auto"/>
              </w:rPr>
            </w:pPr>
            <w:r>
              <w:rPr>
                <w:rFonts w:ascii="Arial" w:cs="Arial" w:eastAsia="Arial" w:hAnsi="Arial"/>
                <w:sz w:val="16"/>
                <w:szCs w:val="16"/>
                <w:color w:val="0000EE"/>
                <w:w w:val="92"/>
              </w:rPr>
              <w:t>Financial Officer Pursuant to 18</w:t>
            </w:r>
          </w:p>
        </w:tc>
        <w:tc>
          <w:tcPr>
            <w:tcW w:w="1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tcBorders>
              <w:bottom w:val="single" w:sz="8" w:color="0000EE"/>
            </w:tcBorders>
            <w:gridSpan w:val="10"/>
          </w:tcPr>
          <w:p>
            <w:pPr>
              <w:spacing w:after="0" w:line="183" w:lineRule="exact"/>
              <w:rPr>
                <w:sz w:val="20"/>
                <w:szCs w:val="20"/>
                <w:color w:val="auto"/>
              </w:rPr>
            </w:pPr>
            <w:r>
              <w:rPr>
                <w:rFonts w:ascii="Arial" w:cs="Arial" w:eastAsia="Arial" w:hAnsi="Arial"/>
                <w:sz w:val="16"/>
                <w:szCs w:val="16"/>
                <w:color w:val="0000EE"/>
                <w:w w:val="90"/>
              </w:rPr>
              <w:t>U.S.C. Section 1350, as Adopted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11"/>
          </w:tcPr>
          <w:p>
            <w:pPr>
              <w:spacing w:after="0" w:line="183" w:lineRule="exact"/>
              <w:rPr>
                <w:sz w:val="20"/>
                <w:szCs w:val="20"/>
                <w:color w:val="auto"/>
              </w:rPr>
            </w:pPr>
            <w:r>
              <w:rPr>
                <w:rFonts w:ascii="Arial" w:cs="Arial" w:eastAsia="Arial" w:hAnsi="Arial"/>
                <w:sz w:val="16"/>
                <w:szCs w:val="16"/>
                <w:color w:val="0000EE"/>
              </w:rPr>
              <w:t>Pursuant to Section 906 of the</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Borders>
              <w:top w:val="single" w:sz="8" w:color="0000EE"/>
            </w:tcBorders>
            <w:gridSpan w:val="6"/>
          </w:tcPr>
          <w:p>
            <w:pPr>
              <w:spacing w:after="0" w:line="183" w:lineRule="exact"/>
              <w:rPr>
                <w:sz w:val="20"/>
                <w:szCs w:val="20"/>
                <w:color w:val="auto"/>
              </w:rPr>
            </w:pPr>
            <w:r>
              <w:rPr>
                <w:rFonts w:ascii="Arial" w:cs="Arial" w:eastAsia="Arial" w:hAnsi="Arial"/>
                <w:sz w:val="16"/>
                <w:szCs w:val="16"/>
                <w:color w:val="0000EE"/>
                <w:w w:val="96"/>
              </w:rPr>
              <w:t>Sarbanes-Oxley Act of 2002</w:t>
            </w:r>
          </w:p>
        </w:tc>
        <w:tc>
          <w:tcPr>
            <w:tcW w:w="24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ind w:left="580"/>
              <w:spacing w:after="0" w:line="183" w:lineRule="exact"/>
              <w:rPr>
                <w:sz w:val="20"/>
                <w:szCs w:val="20"/>
                <w:color w:val="auto"/>
              </w:rPr>
            </w:pPr>
            <w:r>
              <w:rPr>
                <w:rFonts w:ascii="Arial" w:cs="Arial" w:eastAsia="Arial" w:hAnsi="Arial"/>
                <w:sz w:val="16"/>
                <w:szCs w:val="16"/>
                <w:color w:val="auto"/>
              </w:rPr>
              <w:t>X</w:t>
            </w: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r>
      <w:tr>
        <w:trPr>
          <w:trHeight w:val="213"/>
        </w:trPr>
        <w:tc>
          <w:tcPr>
            <w:tcW w:w="10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180" w:type="dxa"/>
            <w:vAlign w:val="bottom"/>
          </w:tcPr>
          <w:p>
            <w:pPr>
              <w:spacing w:after="0"/>
              <w:rPr>
                <w:sz w:val="18"/>
                <w:szCs w:val="18"/>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w w:val="96"/>
              </w:rPr>
              <w:t>Inline XBRL Instance Document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3"/>
          </w:tcPr>
          <w:p>
            <w:pPr>
              <w:ind w:left="400"/>
              <w:spacing w:after="0"/>
              <w:rPr>
                <w:sz w:val="20"/>
                <w:szCs w:val="20"/>
                <w:color w:val="auto"/>
              </w:rPr>
            </w:pPr>
            <w:r>
              <w:rPr>
                <w:rFonts w:ascii="Arial" w:cs="Arial" w:eastAsia="Arial" w:hAnsi="Arial"/>
                <w:sz w:val="16"/>
                <w:szCs w:val="16"/>
                <w:color w:val="auto"/>
              </w:rPr>
              <w:t>X</w:t>
            </w:r>
          </w:p>
        </w:tc>
      </w:tr>
      <w:tr>
        <w:trPr>
          <w:trHeight w:val="203"/>
        </w:trPr>
        <w:tc>
          <w:tcPr>
            <w:tcW w:w="102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Inline XBRL Taxonomy</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3"/>
          </w:tcPr>
          <w:p>
            <w:pPr>
              <w:ind w:left="40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Extension Schema Document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0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Inline XBRL Taxonomy</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3"/>
          </w:tcPr>
          <w:p>
            <w:pPr>
              <w:ind w:left="40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w w:val="98"/>
              </w:rPr>
              <w:t>Extension Calculation Linkbase</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02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Inline XBRL Taxonomy</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3"/>
          </w:tcPr>
          <w:p>
            <w:pPr>
              <w:ind w:left="40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Extension Definition Linkbase</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0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Inline XBRL Taxonomy</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3"/>
          </w:tcPr>
          <w:p>
            <w:pPr>
              <w:ind w:left="40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Extension Label Linkbase</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02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Inline XBRL Taxonomy</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3"/>
          </w:tcPr>
          <w:p>
            <w:pPr>
              <w:ind w:left="40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w w:val="93"/>
              </w:rPr>
              <w:t>Extension Presentation Linkbase</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ind w:left="1240" w:right="5639" w:hanging="1198"/>
        <w:spacing w:after="0" w:line="276" w:lineRule="auto"/>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Vertex, Inc.</w:t>
            </w:r>
          </w:p>
        </w:tc>
      </w:tr>
      <w:tr>
        <w:trPr>
          <w:trHeight w:val="432"/>
        </w:trPr>
        <w:tc>
          <w:tcPr>
            <w:tcW w:w="2960" w:type="dxa"/>
            <w:vAlign w:val="bottom"/>
          </w:tcPr>
          <w:p>
            <w:pPr>
              <w:ind w:left="20"/>
              <w:spacing w:after="0"/>
              <w:rPr>
                <w:sz w:val="20"/>
                <w:szCs w:val="20"/>
                <w:color w:val="auto"/>
              </w:rPr>
            </w:pPr>
            <w:r>
              <w:rPr>
                <w:rFonts w:ascii="Arial" w:cs="Arial" w:eastAsia="Arial" w:hAnsi="Arial"/>
                <w:sz w:val="18"/>
                <w:szCs w:val="18"/>
                <w:color w:val="auto"/>
              </w:rPr>
              <w:t>Date: August 9, 2023</w:t>
            </w: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By:/s/ David DeStefano</w:t>
            </w:r>
          </w:p>
        </w:tc>
      </w:tr>
      <w:tr>
        <w:trPr>
          <w:trHeight w:val="195"/>
        </w:trPr>
        <w:tc>
          <w:tcPr>
            <w:tcW w:w="2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DeStefano</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Chairperson</w:t>
            </w:r>
          </w:p>
        </w:tc>
      </w:tr>
      <w:tr>
        <w:trPr>
          <w:trHeight w:val="230"/>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2960" w:type="dxa"/>
            <w:vAlign w:val="bottom"/>
          </w:tcPr>
          <w:p>
            <w:pPr>
              <w:ind w:left="20"/>
              <w:spacing w:after="0"/>
              <w:rPr>
                <w:sz w:val="20"/>
                <w:szCs w:val="20"/>
                <w:color w:val="auto"/>
              </w:rPr>
            </w:pPr>
            <w:r>
              <w:rPr>
                <w:rFonts w:ascii="Arial" w:cs="Arial" w:eastAsia="Arial" w:hAnsi="Arial"/>
                <w:sz w:val="18"/>
                <w:szCs w:val="18"/>
                <w:color w:val="auto"/>
              </w:rPr>
              <w:t>Date: August 9, 2023</w:t>
            </w: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By:/s/ John Schwab</w:t>
            </w:r>
          </w:p>
        </w:tc>
      </w:tr>
      <w:tr>
        <w:trPr>
          <w:trHeight w:val="195"/>
        </w:trPr>
        <w:tc>
          <w:tcPr>
            <w:tcW w:w="2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Schwab</w:t>
            </w:r>
          </w:p>
        </w:tc>
      </w:tr>
      <w:tr>
        <w:trPr>
          <w:trHeight w:val="230"/>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Chief Financial Officer (principal financial officer)</w:t>
            </w:r>
          </w:p>
        </w:tc>
      </w:tr>
      <w:tr>
        <w:trPr>
          <w:trHeight w:val="446"/>
        </w:trPr>
        <w:tc>
          <w:tcPr>
            <w:tcW w:w="2960" w:type="dxa"/>
            <w:vAlign w:val="bottom"/>
          </w:tcPr>
          <w:p>
            <w:pPr>
              <w:spacing w:after="0"/>
              <w:rPr>
                <w:sz w:val="24"/>
                <w:szCs w:val="24"/>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4200" w:type="dxa"/>
            <w:vAlign w:val="bottom"/>
          </w:tcPr>
          <w:p>
            <w:pPr>
              <w:spacing w:after="0"/>
              <w:rPr>
                <w:sz w:val="24"/>
                <w:szCs w:val="24"/>
                <w:color w:val="auto"/>
              </w:rPr>
            </w:pPr>
          </w:p>
        </w:tc>
      </w:tr>
      <w:tr>
        <w:trPr>
          <w:trHeight w:val="547"/>
        </w:trPr>
        <w:tc>
          <w:tcPr>
            <w:tcW w:w="29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6" w:name="page57"/>
    <w:bookmarkEnd w:id="56"/>
    <w:p>
      <w:pPr>
        <w:ind w:left="89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DeStefano,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Vertex,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6"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6" w:lineRule="exact"/>
        <w:rPr>
          <w:rFonts w:ascii="Arial" w:cs="Arial" w:eastAsia="Arial" w:hAnsi="Arial"/>
          <w:sz w:val="18"/>
          <w:szCs w:val="18"/>
          <w:color w:val="auto"/>
        </w:rPr>
      </w:pPr>
    </w:p>
    <w:p>
      <w:pPr>
        <w:jc w:val="both"/>
        <w:ind w:left="1300" w:hanging="320"/>
        <w:spacing w:after="0" w:line="263" w:lineRule="auto"/>
        <w:tabs>
          <w:tab w:leader="none" w:pos="13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6"/>
          <w:szCs w:val="16"/>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14605</wp:posOffset>
            </wp:positionV>
            <wp:extent cx="29578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David DeStefano</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ind w:left="89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Vertex, Inc.;</w:t>
      </w:r>
    </w:p>
    <w:p>
      <w:pPr>
        <w:spacing w:after="0" w:line="23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6"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6"/>
          <w:szCs w:val="16"/>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14605</wp:posOffset>
            </wp:positionV>
            <wp:extent cx="29578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John Schwab</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of Vertex, Inc. (the “Company”) for the period ended June 30, 2023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300" w:right="20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Date: August 9, 2023</w:t>
            </w:r>
          </w:p>
        </w:tc>
        <w:tc>
          <w:tcPr>
            <w:tcW w:w="6680" w:type="dxa"/>
            <w:vAlign w:val="bottom"/>
            <w:gridSpan w:val="2"/>
          </w:tcPr>
          <w:p>
            <w:pPr>
              <w:ind w:left="1700"/>
              <w:spacing w:after="0"/>
              <w:rPr>
                <w:sz w:val="20"/>
                <w:szCs w:val="20"/>
                <w:color w:val="auto"/>
              </w:rPr>
            </w:pPr>
            <w:r>
              <w:rPr>
                <w:rFonts w:ascii="Arial" w:cs="Arial" w:eastAsia="Arial" w:hAnsi="Arial"/>
                <w:sz w:val="18"/>
                <w:szCs w:val="18"/>
                <w:color w:val="auto"/>
              </w:rPr>
              <w:t>By: /s/ David DeStefano</w:t>
            </w:r>
          </w:p>
        </w:tc>
      </w:tr>
      <w:tr>
        <w:trPr>
          <w:trHeight w:val="195"/>
        </w:trPr>
        <w:tc>
          <w:tcPr>
            <w:tcW w:w="3240" w:type="dxa"/>
            <w:vAlign w:val="bottom"/>
          </w:tcPr>
          <w:p>
            <w:pPr>
              <w:spacing w:after="0"/>
              <w:rPr>
                <w:sz w:val="16"/>
                <w:szCs w:val="16"/>
                <w:color w:val="auto"/>
              </w:rPr>
            </w:pPr>
          </w:p>
        </w:tc>
        <w:tc>
          <w:tcPr>
            <w:tcW w:w="2040" w:type="dxa"/>
            <w:vAlign w:val="bottom"/>
          </w:tcPr>
          <w:p>
            <w:pPr>
              <w:ind w:left="1700"/>
              <w:spacing w:after="0"/>
              <w:rPr>
                <w:sz w:val="20"/>
                <w:szCs w:val="20"/>
                <w:color w:val="auto"/>
              </w:rPr>
            </w:pPr>
            <w:r>
              <w:rPr>
                <w:rFonts w:ascii="Arial" w:cs="Arial" w:eastAsia="Arial" w:hAnsi="Arial"/>
                <w:sz w:val="17"/>
                <w:szCs w:val="17"/>
                <w:color w:val="auto"/>
                <w:w w:val="73"/>
              </w:rPr>
              <w:t>David</w:t>
            </w:r>
          </w:p>
        </w:tc>
        <w:tc>
          <w:tcPr>
            <w:tcW w:w="46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DeStefano</w:t>
            </w:r>
          </w:p>
        </w:tc>
      </w:tr>
      <w:tr>
        <w:trPr>
          <w:trHeight w:val="216"/>
        </w:trPr>
        <w:tc>
          <w:tcPr>
            <w:tcW w:w="3240" w:type="dxa"/>
            <w:vAlign w:val="bottom"/>
          </w:tcPr>
          <w:p>
            <w:pPr>
              <w:spacing w:after="0"/>
              <w:rPr>
                <w:sz w:val="18"/>
                <w:szCs w:val="18"/>
                <w:color w:val="auto"/>
              </w:rPr>
            </w:pPr>
          </w:p>
        </w:tc>
        <w:tc>
          <w:tcPr>
            <w:tcW w:w="6680" w:type="dxa"/>
            <w:vAlign w:val="bottom"/>
            <w:gridSpan w:val="2"/>
          </w:tcPr>
          <w:p>
            <w:pPr>
              <w:ind w:left="1700"/>
              <w:spacing w:after="0"/>
              <w:rPr>
                <w:sz w:val="20"/>
                <w:szCs w:val="20"/>
                <w:color w:val="auto"/>
              </w:rPr>
            </w:pPr>
            <w:r>
              <w:rPr>
                <w:rFonts w:ascii="Arial" w:cs="Arial" w:eastAsia="Arial" w:hAnsi="Arial"/>
                <w:sz w:val="18"/>
                <w:szCs w:val="18"/>
                <w:color w:val="auto"/>
              </w:rPr>
              <w:t>Chief Executive Officer</w:t>
            </w:r>
          </w:p>
        </w:tc>
      </w:tr>
      <w:tr>
        <w:trPr>
          <w:trHeight w:val="230"/>
        </w:trPr>
        <w:tc>
          <w:tcPr>
            <w:tcW w:w="3240" w:type="dxa"/>
            <w:vAlign w:val="bottom"/>
          </w:tcPr>
          <w:p>
            <w:pPr>
              <w:spacing w:after="0"/>
              <w:rPr>
                <w:sz w:val="20"/>
                <w:szCs w:val="20"/>
                <w:color w:val="auto"/>
              </w:rPr>
            </w:pPr>
          </w:p>
        </w:tc>
        <w:tc>
          <w:tcPr>
            <w:tcW w:w="6680" w:type="dxa"/>
            <w:vAlign w:val="bottom"/>
            <w:gridSpan w:val="2"/>
          </w:tcPr>
          <w:p>
            <w:pPr>
              <w:ind w:left="1700"/>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of Vertex, Inc. (the “Company”) for the period ended June 30, 2023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30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August 9, 2023</w:t>
            </w:r>
          </w:p>
        </w:tc>
        <w:tc>
          <w:tcPr>
            <w:tcW w:w="6660" w:type="dxa"/>
            <w:vAlign w:val="bottom"/>
            <w:gridSpan w:val="2"/>
          </w:tcPr>
          <w:p>
            <w:pPr>
              <w:ind w:left="1700"/>
              <w:spacing w:after="0"/>
              <w:rPr>
                <w:sz w:val="20"/>
                <w:szCs w:val="20"/>
                <w:color w:val="auto"/>
              </w:rPr>
            </w:pPr>
            <w:r>
              <w:rPr>
                <w:rFonts w:ascii="Arial" w:cs="Arial" w:eastAsia="Arial" w:hAnsi="Arial"/>
                <w:sz w:val="18"/>
                <w:szCs w:val="18"/>
                <w:color w:val="auto"/>
              </w:rPr>
              <w:t>By: /s/ John Schwab</w:t>
            </w:r>
          </w:p>
        </w:tc>
      </w:tr>
      <w:tr>
        <w:trPr>
          <w:trHeight w:val="195"/>
        </w:trPr>
        <w:tc>
          <w:tcPr>
            <w:tcW w:w="3260" w:type="dxa"/>
            <w:vAlign w:val="bottom"/>
          </w:tcPr>
          <w:p>
            <w:pPr>
              <w:spacing w:after="0"/>
              <w:rPr>
                <w:sz w:val="16"/>
                <w:szCs w:val="16"/>
                <w:color w:val="auto"/>
              </w:rPr>
            </w:pPr>
          </w:p>
        </w:tc>
        <w:tc>
          <w:tcPr>
            <w:tcW w:w="2000" w:type="dxa"/>
            <w:vAlign w:val="bottom"/>
          </w:tcPr>
          <w:p>
            <w:pPr>
              <w:ind w:left="1700"/>
              <w:spacing w:after="0" w:line="195" w:lineRule="exact"/>
              <w:rPr>
                <w:sz w:val="20"/>
                <w:szCs w:val="20"/>
                <w:color w:val="auto"/>
              </w:rPr>
            </w:pPr>
            <w:r>
              <w:rPr>
                <w:rFonts w:ascii="Arial" w:cs="Arial" w:eastAsia="Arial" w:hAnsi="Arial"/>
                <w:sz w:val="18"/>
                <w:szCs w:val="18"/>
                <w:color w:val="auto"/>
                <w:w w:val="71"/>
              </w:rPr>
              <w:t>John</w:t>
            </w:r>
          </w:p>
        </w:tc>
        <w:tc>
          <w:tcPr>
            <w:tcW w:w="46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Schwab</w:t>
            </w:r>
          </w:p>
        </w:tc>
      </w:tr>
      <w:tr>
        <w:trPr>
          <w:trHeight w:val="216"/>
        </w:trPr>
        <w:tc>
          <w:tcPr>
            <w:tcW w:w="3260" w:type="dxa"/>
            <w:vAlign w:val="bottom"/>
          </w:tcPr>
          <w:p>
            <w:pPr>
              <w:spacing w:after="0"/>
              <w:rPr>
                <w:sz w:val="18"/>
                <w:szCs w:val="18"/>
                <w:color w:val="auto"/>
              </w:rPr>
            </w:pPr>
          </w:p>
        </w:tc>
        <w:tc>
          <w:tcPr>
            <w:tcW w:w="6660" w:type="dxa"/>
            <w:vAlign w:val="bottom"/>
            <w:gridSpan w:val="2"/>
          </w:tcPr>
          <w:p>
            <w:pPr>
              <w:ind w:left="1700"/>
              <w:spacing w:after="0"/>
              <w:rPr>
                <w:sz w:val="20"/>
                <w:szCs w:val="20"/>
                <w:color w:val="auto"/>
              </w:rPr>
            </w:pPr>
            <w:r>
              <w:rPr>
                <w:rFonts w:ascii="Arial" w:cs="Arial" w:eastAsia="Arial" w:hAnsi="Arial"/>
                <w:sz w:val="18"/>
                <w:szCs w:val="18"/>
                <w:color w:val="auto"/>
              </w:rPr>
              <w:t>Chief Financial Officer</w:t>
            </w:r>
          </w:p>
        </w:tc>
      </w:tr>
      <w:tr>
        <w:trPr>
          <w:trHeight w:val="230"/>
        </w:trPr>
        <w:tc>
          <w:tcPr>
            <w:tcW w:w="3260" w:type="dxa"/>
            <w:vAlign w:val="bottom"/>
          </w:tcPr>
          <w:p>
            <w:pPr>
              <w:spacing w:after="0"/>
              <w:rPr>
                <w:sz w:val="20"/>
                <w:szCs w:val="20"/>
                <w:color w:val="auto"/>
              </w:rPr>
            </w:pPr>
          </w:p>
        </w:tc>
        <w:tc>
          <w:tcPr>
            <w:tcW w:w="6660" w:type="dxa"/>
            <w:vAlign w:val="bottom"/>
            <w:gridSpan w:val="2"/>
          </w:tcPr>
          <w:p>
            <w:pPr>
              <w:ind w:left="1700"/>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Roman"/>
      <w:start w:val="3"/>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3"/>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decimal"/>
      <w:start w:val="6"/>
    </w:lvl>
  </w:abstractNum>
  <w:abstractNum w:abstractNumId="10">
    <w:nsid w:val="431BD7B7"/>
    <w:multiLevelType w:val="hybridMultilevel"/>
    <w:lvl w:ilvl="0">
      <w:lvlJc w:val="left"/>
      <w:lvlText w:val="%1."/>
      <w:numFmt w:val="decimal"/>
      <w:start w:val="7"/>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decimal"/>
      <w:start w:val="10"/>
    </w:lvl>
  </w:abstractNum>
  <w:abstractNum w:abstractNumId="16">
    <w:nsid w:val="628C895D"/>
    <w:multiLevelType w:val="hybridMultilevel"/>
    <w:lvl w:ilvl="0">
      <w:lvlJc w:val="left"/>
      <w:lvlText w:val="(%1)"/>
      <w:numFmt w:val="upperLetter"/>
      <w:start w:val="1"/>
    </w:lvl>
  </w:abstractNum>
  <w:abstractNum w:abstractNumId="17">
    <w:nsid w:val="333AB105"/>
    <w:multiLevelType w:val="hybridMultilevel"/>
    <w:lvl w:ilvl="0">
      <w:lvlJc w:val="left"/>
      <w:lvlText w:val="(%1)"/>
      <w:numFmt w:val="upperLetter"/>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2023-08-09T16:43:29Z</dcterms:created>
  <dcterms:modified xsi:type="dcterms:W3CDTF">2023-08-09T16:43:29Z</dcterms:modified>
</cp:coreProperties>
</file>