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SEC Form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 4</w:t>
            </w:r>
          </w:p>
        </w:tc>
        <w:tc>
          <w:tcPr>
            <w:tcW w:w="6460" w:type="dxa"/>
            <w:vAlign w:val="bottom"/>
            <w:gridSpan w:val="17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jc w:val="center"/>
              <w:ind w:right="53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Check this box if no longer subject to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60" w:type="dxa"/>
            <w:vAlign w:val="bottom"/>
            <w:gridSpan w:val="17"/>
          </w:tcPr>
          <w:p>
            <w:pPr>
              <w:jc w:val="center"/>
              <w:ind w:righ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Section 16. Form 4 or Form 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1"/>
                <w:szCs w:val="11"/>
                <w:i w:val="1"/>
                <w:iCs w:val="1"/>
                <w:color w:val="auto"/>
              </w:rPr>
              <w:t>See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2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Westphal Jeffery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ind w:left="60"/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Vertex,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VERX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240" w:type="dxa"/>
            <w:vAlign w:val="bottom"/>
            <w:gridSpan w:val="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08/02/2023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VERTEX,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2301 RENAISSANCE BLVD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KING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19406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9"/>
              </w:rPr>
              <w:t>Rule 10b5-1(c) Transaction Indication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PRUSSIA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80" w:type="dxa"/>
            <w:vAlign w:val="bottom"/>
            <w:gridSpan w:val="1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Check this box to indicate that a transaction was made pursuant to a contract, instruction or written plan that is intended to satisfy 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8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8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7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08/02/2023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879,000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2,180,202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-12700</wp:posOffset>
            </wp:positionH>
            <wp:positionV relativeFrom="paragraph">
              <wp:posOffset>-3709670</wp:posOffset>
            </wp:positionV>
            <wp:extent cx="7049135" cy="9177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917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 The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2009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Jeffrey R.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280" w:val="left"/>
          <w:tab w:leader="none" w:pos="9620" w:val="left"/>
          <w:tab w:leader="none" w:pos="10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Class A 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5,584,181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Westphal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Generation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Skipping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Trust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7,895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3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879,000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08/02/2023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879,000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49,000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49,000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9,249,286.237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Jeffrey 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9,249,286.237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Westphal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Generation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Skipping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By Rainer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J. Westphal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1,153,756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Separate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1,153,756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Trust FBO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Jeffrey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Westphal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By Rainer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J. Westphal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332,244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Separate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332,244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2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Trust FBO</w:t>
      </w:r>
    </w:p>
    <w:p>
      <w:pPr>
        <w:ind w:left="10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Jeffrey</w:t>
      </w:r>
    </w:p>
    <w:p>
      <w:pPr>
        <w:ind w:left="10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Westphal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held by The 2009 Jeffrey R. Westphal Generation-Skipping Sub-Trust for Jenifer R. Westphal, of which the Reporting Person's spouse is trustee.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00" w:hanging="3"/>
        <w:spacing w:after="0" w:line="254" w:lineRule="auto"/>
        <w:tabs>
          <w:tab w:leader="none" w:pos="16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Class B Common Stock is convertible at any time at the option of the holder into one share of the Issuer's Class A Common Stock and has no expiration date. The Class B Common Stock will automatically convert into shares of the Issuer's Class A Common Stock on a one-to-one basis either (1) upon any transfer of the Class B Common Stock by the holder, whether or not for value, subject to certain exceptions or (2) if the voting power of the Issuer's outstanding Class B Common Stock represents less than 10% of the combined voting power of all of the Issuer's outstanding common stock.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/s/ Joshua Levine,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08/03/2023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Fact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</w:sect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3" w:right="2779" w:hanging="3"/>
        <w:spacing w:after="0" w:line="322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3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2"/>
      </w:cols>
      <w:pgMar w:left="497" w:top="14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818851" TargetMode="External"/><Relationship Id="rId9" Type="http://schemas.openxmlformats.org/officeDocument/2006/relationships/hyperlink" Target="http://www.sec.gov/cgi-bin/browse-edgar?action=getcompany&amp;CIK=00018068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2023-08-03T17:03:29Z</dcterms:created>
  <dcterms:modified xsi:type="dcterms:W3CDTF">2023-08-03T17:03:29Z</dcterms:modified>
</cp:coreProperties>
</file>