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330835</wp:posOffset>
            </wp:positionV>
            <wp:extent cx="65379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376555</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66" w:lineRule="exact"/>
        <w:rPr>
          <w:sz w:val="24"/>
          <w:szCs w:val="24"/>
          <w:color w:val="auto"/>
        </w:rPr>
      </w:pPr>
    </w:p>
    <w:p>
      <w:pPr>
        <w:ind w:left="520" w:hanging="520"/>
        <w:spacing w:after="0"/>
        <w:tabs>
          <w:tab w:leader="none" w:pos="52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quarterly period ended June 30,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66" w:lineRule="exact"/>
        <w:rPr>
          <w:sz w:val="24"/>
          <w:szCs w:val="24"/>
          <w:color w:val="auto"/>
        </w:rPr>
      </w:pPr>
    </w:p>
    <w:p>
      <w:pPr>
        <w:ind w:left="520" w:hanging="493"/>
        <w:spacing w:after="0"/>
        <w:tabs>
          <w:tab w:leader="none" w:pos="520"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42"/>
        </w:trPr>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For the transition period from ________ to ________</w:t>
            </w: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Commission File Number: 001-39413</w:t>
            </w: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2"/>
          </w:tcPr>
          <w:p>
            <w:pPr>
              <w:jc w:val="center"/>
              <w:ind w:right="200"/>
              <w:spacing w:after="0"/>
              <w:rPr>
                <w:sz w:val="20"/>
                <w:szCs w:val="20"/>
                <w:color w:val="auto"/>
              </w:rPr>
            </w:pPr>
            <w:r>
              <w:rPr>
                <w:rFonts w:ascii="Times New Roman" w:cs="Times New Roman" w:eastAsia="Times New Roman" w:hAnsi="Times New Roman"/>
                <w:sz w:val="28"/>
                <w:szCs w:val="28"/>
                <w:b w:val="1"/>
                <w:bCs w:val="1"/>
                <w:color w:val="auto"/>
                <w:w w:val="98"/>
              </w:rPr>
              <w:t>VERTEX, INC.</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(Exact Name of Registrant as Specified in its Charter)</w:t>
            </w: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23-2081753</w:t>
            </w:r>
          </w:p>
        </w:tc>
        <w:tc>
          <w:tcPr>
            <w:tcW w:w="0" w:type="dxa"/>
            <w:vAlign w:val="bottom"/>
          </w:tcPr>
          <w:p>
            <w:pPr>
              <w:spacing w:after="0"/>
              <w:rPr>
                <w:sz w:val="1"/>
                <w:szCs w:val="1"/>
                <w:color w:val="auto"/>
              </w:rPr>
            </w:pPr>
          </w:p>
        </w:tc>
      </w:tr>
      <w:tr>
        <w:trPr>
          <w:trHeight w:val="90"/>
        </w:trPr>
        <w:tc>
          <w:tcPr>
            <w:tcW w:w="346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(State or other jurisdiction of</w:t>
            </w:r>
          </w:p>
        </w:tc>
        <w:tc>
          <w:tcPr>
            <w:tcW w:w="3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6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(I.R.S. Employer</w:t>
            </w:r>
          </w:p>
        </w:tc>
        <w:tc>
          <w:tcPr>
            <w:tcW w:w="0" w:type="dxa"/>
            <w:vAlign w:val="bottom"/>
          </w:tcPr>
          <w:p>
            <w:pPr>
              <w:spacing w:after="0"/>
              <w:rPr>
                <w:sz w:val="1"/>
                <w:szCs w:val="1"/>
                <w:color w:val="auto"/>
              </w:rPr>
            </w:pPr>
          </w:p>
        </w:tc>
      </w:tr>
      <w:tr>
        <w:trPr>
          <w:trHeight w:val="109"/>
        </w:trPr>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incorporation or organization)</w:t>
            </w:r>
          </w:p>
        </w:tc>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Identification No.)</w:t>
            </w:r>
          </w:p>
        </w:tc>
        <w:tc>
          <w:tcPr>
            <w:tcW w:w="0" w:type="dxa"/>
            <w:vAlign w:val="bottom"/>
          </w:tcPr>
          <w:p>
            <w:pPr>
              <w:spacing w:after="0"/>
              <w:rPr>
                <w:sz w:val="1"/>
                <w:szCs w:val="1"/>
                <w:color w:val="auto"/>
              </w:rPr>
            </w:pPr>
          </w:p>
        </w:tc>
      </w:tr>
      <w:tr>
        <w:trPr>
          <w:trHeight w:val="253"/>
        </w:trPr>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2301 Renaissance Blvd</w:t>
            </w:r>
          </w:p>
        </w:tc>
        <w:tc>
          <w:tcPr>
            <w:tcW w:w="3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6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19406</w:t>
            </w:r>
          </w:p>
        </w:tc>
        <w:tc>
          <w:tcPr>
            <w:tcW w:w="0" w:type="dxa"/>
            <w:vAlign w:val="bottom"/>
          </w:tcPr>
          <w:p>
            <w:pPr>
              <w:spacing w:after="0"/>
              <w:rPr>
                <w:sz w:val="1"/>
                <w:szCs w:val="1"/>
                <w:color w:val="auto"/>
              </w:rPr>
            </w:pPr>
          </w:p>
        </w:tc>
      </w:tr>
      <w:tr>
        <w:trPr>
          <w:trHeight w:val="133"/>
        </w:trPr>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King of Prussia, Pennsylvania</w:t>
            </w:r>
          </w:p>
        </w:tc>
        <w:tc>
          <w:tcPr>
            <w:tcW w:w="3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tc>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(Zip Code)</w:t>
            </w:r>
          </w:p>
        </w:tc>
        <w:tc>
          <w:tcPr>
            <w:tcW w:w="0" w:type="dxa"/>
            <w:vAlign w:val="bottom"/>
          </w:tcPr>
          <w:p>
            <w:pPr>
              <w:spacing w:after="0"/>
              <w:rPr>
                <w:sz w:val="1"/>
                <w:szCs w:val="1"/>
                <w:color w:val="auto"/>
              </w:rPr>
            </w:pPr>
          </w:p>
        </w:tc>
      </w:tr>
      <w:tr>
        <w:trPr>
          <w:trHeight w:val="224"/>
        </w:trPr>
        <w:tc>
          <w:tcPr>
            <w:tcW w:w="3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 (800) 355-3500</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12(b) of the Act:</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Trading symbol</w:t>
            </w:r>
          </w:p>
        </w:tc>
        <w:tc>
          <w:tcPr>
            <w:tcW w:w="326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c>
          <w:tcPr>
            <w:tcW w:w="0" w:type="dxa"/>
            <w:vAlign w:val="bottom"/>
          </w:tcPr>
          <w:p>
            <w:pPr>
              <w:spacing w:after="0"/>
              <w:rPr>
                <w:sz w:val="1"/>
                <w:szCs w:val="1"/>
                <w:color w:val="auto"/>
              </w:rPr>
            </w:pPr>
          </w:p>
        </w:tc>
      </w:tr>
      <w:tr>
        <w:trPr>
          <w:trHeight w:val="39"/>
        </w:trPr>
        <w:tc>
          <w:tcPr>
            <w:tcW w:w="3260" w:type="dxa"/>
            <w:vAlign w:val="bottom"/>
            <w:tcBorders>
              <w:bottom w:val="single" w:sz="8" w:color="auto"/>
            </w:tcBorders>
          </w:tcPr>
          <w:p>
            <w:pPr>
              <w:spacing w:after="0"/>
              <w:rPr>
                <w:sz w:val="3"/>
                <w:szCs w:val="3"/>
                <w:color w:val="auto"/>
              </w:rPr>
            </w:pPr>
          </w:p>
        </w:tc>
        <w:tc>
          <w:tcPr>
            <w:tcW w:w="200" w:type="dxa"/>
            <w:vAlign w:val="bottom"/>
            <w:vMerge w:val="restart"/>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3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A Common Stock, Par Value $0.001 Per Share</w:t>
            </w:r>
          </w:p>
        </w:tc>
        <w:tc>
          <w:tcPr>
            <w:tcW w:w="200" w:type="dxa"/>
            <w:vAlign w:val="bottom"/>
            <w:vMerge w:val="continue"/>
          </w:tcPr>
          <w:p>
            <w:pPr>
              <w:spacing w:after="0"/>
              <w:rPr>
                <w:sz w:val="11"/>
                <w:szCs w:val="1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VERX</w:t>
            </w:r>
          </w:p>
        </w:tc>
        <w:tc>
          <w:tcPr>
            <w:tcW w:w="220" w:type="dxa"/>
            <w:vAlign w:val="bottom"/>
            <w:vMerge w:val="continue"/>
          </w:tcPr>
          <w:p>
            <w:pPr>
              <w:spacing w:after="0"/>
              <w:rPr>
                <w:sz w:val="11"/>
                <w:szCs w:val="11"/>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The Nasdaq Stock Market LLC</w:t>
            </w:r>
          </w:p>
        </w:tc>
        <w:tc>
          <w:tcPr>
            <w:tcW w:w="0" w:type="dxa"/>
            <w:vAlign w:val="bottom"/>
          </w:tcPr>
          <w:p>
            <w:pPr>
              <w:spacing w:after="0"/>
              <w:rPr>
                <w:sz w:val="1"/>
                <w:szCs w:val="1"/>
                <w:color w:val="auto"/>
              </w:rPr>
            </w:pPr>
          </w:p>
        </w:tc>
      </w:tr>
    </w:tbl>
    <w:p>
      <w:pPr>
        <w:spacing w:after="0" w:line="38" w:lineRule="exact"/>
        <w:rPr>
          <w:sz w:val="24"/>
          <w:szCs w:val="24"/>
          <w:color w:val="auto"/>
        </w:rPr>
      </w:pPr>
    </w:p>
    <w:p>
      <w:pPr>
        <w:jc w:val="both"/>
        <w:ind w:right="20" w:firstLine="314"/>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4" w:lineRule="exact"/>
        <w:rPr>
          <w:sz w:val="24"/>
          <w:szCs w:val="24"/>
          <w:color w:val="auto"/>
        </w:rPr>
      </w:pPr>
    </w:p>
    <w:p>
      <w:pPr>
        <w:jc w:val="both"/>
        <w:ind w:right="20" w:firstLine="314"/>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4" w:lineRule="exact"/>
        <w:rPr>
          <w:sz w:val="24"/>
          <w:szCs w:val="24"/>
          <w:color w:val="auto"/>
        </w:rPr>
      </w:pPr>
    </w:p>
    <w:p>
      <w:pPr>
        <w:jc w:val="both"/>
        <w:ind w:right="20" w:firstLine="311"/>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180" w:type="dxa"/>
            <w:vAlign w:val="bottom"/>
          </w:tcPr>
          <w:p>
            <w:pPr>
              <w:ind w:left="1900"/>
              <w:spacing w:after="0" w:line="111" w:lineRule="exact"/>
              <w:rPr>
                <w:sz w:val="20"/>
                <w:szCs w:val="20"/>
                <w:color w:val="auto"/>
              </w:rPr>
            </w:pPr>
            <w:r>
              <w:rPr>
                <w:rFonts w:ascii="MS PGothic" w:cs="MS PGothic" w:eastAsia="MS PGothic" w:hAnsi="MS PGothic"/>
                <w:sz w:val="11"/>
                <w:szCs w:val="11"/>
                <w:color w:val="auto"/>
              </w:rPr>
              <w:t>☒</w:t>
            </w:r>
          </w:p>
        </w:tc>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Accelerated filer</w:t>
            </w:r>
          </w:p>
        </w:tc>
        <w:tc>
          <w:tcPr>
            <w:tcW w:w="192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5"/>
        </w:trPr>
        <w:tc>
          <w:tcPr>
            <w:tcW w:w="28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180" w:type="dxa"/>
            <w:vAlign w:val="bottom"/>
          </w:tcPr>
          <w:p>
            <w:pPr>
              <w:ind w:left="1900"/>
              <w:spacing w:after="0" w:line="111" w:lineRule="exact"/>
              <w:rPr>
                <w:sz w:val="20"/>
                <w:szCs w:val="20"/>
                <w:color w:val="auto"/>
              </w:rPr>
            </w:pPr>
            <w:r>
              <w:rPr>
                <w:rFonts w:ascii="MS PGothic" w:cs="MS PGothic" w:eastAsia="MS PGothic" w:hAnsi="MS PGothic"/>
                <w:sz w:val="11"/>
                <w:szCs w:val="11"/>
                <w:color w:val="auto"/>
              </w:rPr>
              <w:t>☐</w:t>
            </w:r>
          </w:p>
        </w:tc>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92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28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Emerging growth company</w:t>
            </w:r>
          </w:p>
        </w:tc>
        <w:tc>
          <w:tcPr>
            <w:tcW w:w="1920" w:type="dxa"/>
            <w:vAlign w:val="bottom"/>
          </w:tcPr>
          <w:p>
            <w:pPr>
              <w:ind w:left="18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33" w:lineRule="exact"/>
        <w:rPr>
          <w:sz w:val="24"/>
          <w:szCs w:val="24"/>
          <w:color w:val="auto"/>
        </w:rPr>
      </w:pPr>
    </w:p>
    <w:p>
      <w:pPr>
        <w:ind w:right="20" w:firstLine="311"/>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9" w:lineRule="exact"/>
        <w:rPr>
          <w:sz w:val="24"/>
          <w:szCs w:val="24"/>
          <w:color w:val="auto"/>
        </w:rPr>
      </w:pPr>
    </w:p>
    <w:p>
      <w:pPr>
        <w:ind w:left="320"/>
        <w:spacing w:after="0" w:line="127" w:lineRule="exact"/>
        <w:tabs>
          <w:tab w:leader="none" w:pos="570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78"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1"/>
          <w:szCs w:val="11"/>
          <w:color w:val="auto"/>
        </w:rPr>
        <w:t>As of August 2, 2024, the registrant had 65,360,518 shares of Class A common stock, $0.001 par value per share, and 90,161,000 shares of Class B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65379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7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653796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7960" cy="2286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653796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7960" cy="11430"/>
                    </a:xfrm>
                    <a:prstGeom prst="rect">
                      <a:avLst/>
                    </a:prstGeom>
                    <a:noFill/>
                  </pic:spPr>
                </pic:pic>
              </a:graphicData>
            </a:graphic>
          </wp:anchor>
        </w:drawing>
      </w:r>
    </w:p>
    <w:p>
      <w:pPr>
        <w:sectPr>
          <w:pgSz w:w="11900" w:h="16838" w:orient="portrait"/>
          <w:cols w:equalWidth="0" w:num="1">
            <w:col w:w="10300"/>
          </w:cols>
          <w:pgMar w:left="800" w:top="489" w:right="79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38"/>
        </w:trPr>
        <w:tc>
          <w:tcPr>
            <w:tcW w:w="8120" w:type="dxa"/>
            <w:vAlign w:val="bottom"/>
            <w:gridSpan w:val="2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20" w:type="dxa"/>
            <w:vAlign w:val="bottom"/>
            <w:gridSpan w:val="9"/>
          </w:tcPr>
          <w:p>
            <w:pPr>
              <w:jc w:val="right"/>
              <w:ind w:right="300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2"/>
                <w:szCs w:val="12"/>
                <w:color w:val="0000EE"/>
                <w:w w:val="97"/>
              </w:rPr>
              <w:t>Part I - Financial Information</w:t>
            </w:r>
          </w:p>
        </w:tc>
        <w:tc>
          <w:tcPr>
            <w:tcW w:w="2960" w:type="dxa"/>
            <w:vAlign w:val="bottom"/>
            <w:gridSpan w:val="5"/>
            <w:vMerge w:val="restart"/>
          </w:tcPr>
          <w:p>
            <w:pPr>
              <w:spacing w:after="0"/>
              <w:rPr>
                <w:sz w:val="24"/>
                <w:szCs w:val="24"/>
                <w:color w:val="auto"/>
              </w:rPr>
            </w:pPr>
          </w:p>
        </w:tc>
        <w:tc>
          <w:tcPr>
            <w:tcW w:w="8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02"/>
        </w:trPr>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color w:val="0000EE"/>
              </w:rPr>
              <w:t>Item 1.</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Borders>
              <w:bottom w:val="single" w:sz="8" w:color="0000EE"/>
            </w:tcBorders>
            <w:gridSpan w:val="5"/>
            <w:vMerge w:val="continue"/>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740" w:type="dxa"/>
            <w:vAlign w:val="bottom"/>
            <w:gridSpan w:val="3"/>
            <w:vMerge w:val="continue"/>
          </w:tcPr>
          <w:p>
            <w:pPr>
              <w:spacing w:after="0"/>
              <w:rPr>
                <w:sz w:val="11"/>
                <w:szCs w:val="11"/>
                <w:color w:val="auto"/>
              </w:rPr>
            </w:pPr>
          </w:p>
        </w:tc>
        <w:tc>
          <w:tcPr>
            <w:tcW w:w="1020" w:type="dxa"/>
            <w:vAlign w:val="bottom"/>
            <w:gridSpan w:val="6"/>
            <w:vMerge w:val="restart"/>
          </w:tcPr>
          <w:p>
            <w:pPr>
              <w:spacing w:after="0"/>
              <w:rPr>
                <w:sz w:val="20"/>
                <w:szCs w:val="20"/>
                <w:color w:val="auto"/>
              </w:rPr>
            </w:pPr>
            <w:r>
              <w:rPr>
                <w:rFonts w:ascii="Times New Roman" w:cs="Times New Roman" w:eastAsia="Times New Roman" w:hAnsi="Times New Roman"/>
                <w:sz w:val="12"/>
                <w:szCs w:val="12"/>
                <w:color w:val="0000EE"/>
                <w:w w:val="99"/>
              </w:rPr>
              <w:t>Financial Statements</w:t>
            </w:r>
          </w:p>
        </w:tc>
        <w:tc>
          <w:tcPr>
            <w:tcW w:w="6360" w:type="dxa"/>
            <w:vAlign w:val="bottom"/>
            <w:gridSpan w:val="14"/>
            <w:vMerge w:val="restart"/>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3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Borders>
              <w:bottom w:val="single" w:sz="8" w:color="0000EE"/>
            </w:tcBorders>
            <w:gridSpan w:val="6"/>
            <w:vMerge w:val="continue"/>
          </w:tcPr>
          <w:p>
            <w:pPr>
              <w:spacing w:after="0"/>
              <w:rPr>
                <w:sz w:val="5"/>
                <w:szCs w:val="5"/>
                <w:color w:val="auto"/>
              </w:rPr>
            </w:pPr>
          </w:p>
        </w:tc>
        <w:tc>
          <w:tcPr>
            <w:tcW w:w="6360" w:type="dxa"/>
            <w:vAlign w:val="bottom"/>
            <w:gridSpan w:val="14"/>
            <w:vMerge w:val="continue"/>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Condensed Consolidated Balance Sheets as of June 30, 2024 (unaudited) and December 31, 2023</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940" w:type="dxa"/>
            <w:vAlign w:val="bottom"/>
            <w:tcBorders>
              <w:bottom w:val="single" w:sz="8" w:color="0000EE"/>
            </w:tcBorders>
            <w:gridSpan w:val="18"/>
          </w:tcPr>
          <w:p>
            <w:pPr>
              <w:spacing w:after="0" w:line="124" w:lineRule="exact"/>
              <w:rPr>
                <w:sz w:val="20"/>
                <w:szCs w:val="20"/>
                <w:color w:val="auto"/>
              </w:rPr>
            </w:pPr>
            <w:r>
              <w:rPr>
                <w:rFonts w:ascii="Times New Roman" w:cs="Times New Roman" w:eastAsia="Times New Roman" w:hAnsi="Times New Roman"/>
                <w:sz w:val="12"/>
                <w:szCs w:val="12"/>
                <w:color w:val="0000EE"/>
                <w:w w:val="99"/>
              </w:rPr>
              <w:t>Condensed Consolidated Statements of Comprehensive Income (Loss) for the Three and Six Months Ended June 30, 2024 and 2023 (unaudited)</w:t>
            </w:r>
          </w:p>
        </w:tc>
        <w:tc>
          <w:tcPr>
            <w:tcW w:w="440" w:type="dxa"/>
            <w:vAlign w:val="bottom"/>
            <w:gridSpan w:val="2"/>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Condensed Consolidated Statements of Changes in Stockholders’ Equity for the Three and Six Months Ended June 30, 2024 and 2023 (unaudited)</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40" w:type="dxa"/>
            <w:vAlign w:val="bottom"/>
            <w:tcBorders>
              <w:top w:val="single" w:sz="8" w:color="0000EE"/>
            </w:tcBorders>
            <w:gridSpan w:val="19"/>
          </w:tcPr>
          <w:p>
            <w:pPr>
              <w:spacing w:after="0" w:line="124" w:lineRule="exact"/>
              <w:rPr>
                <w:sz w:val="20"/>
                <w:szCs w:val="20"/>
                <w:color w:val="auto"/>
              </w:rPr>
            </w:pPr>
            <w:r>
              <w:rPr>
                <w:rFonts w:ascii="Times New Roman" w:cs="Times New Roman" w:eastAsia="Times New Roman" w:hAnsi="Times New Roman"/>
                <w:sz w:val="12"/>
                <w:szCs w:val="12"/>
                <w:color w:val="0000EE"/>
              </w:rPr>
              <w:t>Condensed Consolidated Statements of Cash Flows for the Six Months Ended June 30, 2024 and 2023 (unaudited)</w:t>
            </w:r>
          </w:p>
        </w:tc>
        <w:tc>
          <w:tcPr>
            <w:tcW w:w="34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60" w:type="dxa"/>
            <w:vAlign w:val="bottom"/>
            <w:tcBorders>
              <w:top w:val="single" w:sz="8" w:color="0000EE"/>
              <w:bottom w:val="single" w:sz="8" w:color="0000EE"/>
            </w:tcBorders>
            <w:gridSpan w:val="12"/>
          </w:tcPr>
          <w:p>
            <w:pPr>
              <w:spacing w:after="0" w:line="124" w:lineRule="exact"/>
              <w:rPr>
                <w:sz w:val="20"/>
                <w:szCs w:val="20"/>
                <w:color w:val="auto"/>
              </w:rPr>
            </w:pPr>
            <w:r>
              <w:rPr>
                <w:rFonts w:ascii="Times New Roman" w:cs="Times New Roman" w:eastAsia="Times New Roman" w:hAnsi="Times New Roman"/>
                <w:sz w:val="12"/>
                <w:szCs w:val="12"/>
                <w:color w:val="0000EE"/>
                <w:w w:val="99"/>
              </w:rPr>
              <w:t>Notes to Condensed Consolidated Financial Statements (unaudited)</w:t>
            </w:r>
          </w:p>
        </w:tc>
        <w:tc>
          <w:tcPr>
            <w:tcW w:w="2240" w:type="dxa"/>
            <w:vAlign w:val="bottom"/>
            <w:tcBorders>
              <w:top w:val="single" w:sz="8" w:color="0000EE"/>
            </w:tcBorders>
            <w:gridSpan w:val="5"/>
          </w:tcPr>
          <w:p>
            <w:pPr>
              <w:spacing w:after="0"/>
              <w:rPr>
                <w:sz w:val="10"/>
                <w:szCs w:val="10"/>
                <w:color w:val="auto"/>
              </w:rPr>
            </w:pPr>
          </w:p>
        </w:tc>
        <w:tc>
          <w:tcPr>
            <w:tcW w:w="1880" w:type="dxa"/>
            <w:vAlign w:val="bottom"/>
            <w:gridSpan w:val="3"/>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124"/>
        </w:trPr>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Item 2.</w:t>
            </w: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Management’s Discussion and Analysis of Financial Condition and Results of Operations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32</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Item 3.</w:t>
            </w: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Quantitative and Qualitative Disclosures About Market Risk</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Item 4.</w:t>
            </w: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Controls and Procedures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124"/>
        </w:trPr>
        <w:tc>
          <w:tcPr>
            <w:tcW w:w="34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8"/>
              </w:rPr>
              <w:t>Part II - Other Information</w:t>
            </w:r>
          </w:p>
        </w:tc>
        <w:tc>
          <w:tcPr>
            <w:tcW w:w="3040" w:type="dxa"/>
            <w:vAlign w:val="bottom"/>
            <w:gridSpan w:val="6"/>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124"/>
        </w:trPr>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Item 1.</w:t>
            </w: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Legal Proceedings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8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Item 1A.</w:t>
            </w: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Risk Factors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8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EE"/>
              </w:rPr>
              <w:t>Item 2.</w:t>
            </w:r>
          </w:p>
        </w:tc>
        <w:tc>
          <w:tcPr>
            <w:tcW w:w="320" w:type="dxa"/>
            <w:vAlign w:val="bottom"/>
          </w:tcPr>
          <w:p>
            <w:pPr>
              <w:spacing w:after="0"/>
              <w:rPr>
                <w:sz w:val="10"/>
                <w:szCs w:val="10"/>
                <w:color w:val="auto"/>
              </w:rPr>
            </w:pP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Unregistered Sales of Equity Securities and Use of Proceeds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48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Item 3.</w:t>
            </w: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Defaults Upon Senior Securities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5820" w:type="dxa"/>
            <w:vAlign w:val="bottom"/>
            <w:gridSpan w:val="1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Item 4.</w:t>
            </w: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Mine Safety Disclosures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20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Item 5.</w:t>
            </w: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Other Information</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50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40" w:type="dxa"/>
            <w:vAlign w:val="bottom"/>
            <w:gridSpan w:val="3"/>
          </w:tcPr>
          <w:p>
            <w:pPr>
              <w:spacing w:after="0" w:line="124" w:lineRule="exact"/>
              <w:rPr>
                <w:sz w:val="20"/>
                <w:szCs w:val="20"/>
                <w:color w:val="auto"/>
              </w:rPr>
            </w:pPr>
            <w:r>
              <w:rPr>
                <w:rFonts w:ascii="Times New Roman" w:cs="Times New Roman" w:eastAsia="Times New Roman" w:hAnsi="Times New Roman"/>
                <w:sz w:val="12"/>
                <w:szCs w:val="12"/>
                <w:color w:val="0000EE"/>
              </w:rPr>
              <w:t>Item 6.</w:t>
            </w:r>
          </w:p>
        </w:tc>
        <w:tc>
          <w:tcPr>
            <w:tcW w:w="7380" w:type="dxa"/>
            <w:vAlign w:val="bottom"/>
            <w:gridSpan w:val="20"/>
          </w:tcPr>
          <w:p>
            <w:pPr>
              <w:spacing w:after="0" w:line="124" w:lineRule="exact"/>
              <w:rPr>
                <w:sz w:val="20"/>
                <w:szCs w:val="20"/>
                <w:color w:val="auto"/>
              </w:rPr>
            </w:pPr>
            <w:r>
              <w:rPr>
                <w:rFonts w:ascii="Times New Roman" w:cs="Times New Roman" w:eastAsia="Times New Roman" w:hAnsi="Times New Roman"/>
                <w:sz w:val="12"/>
                <w:szCs w:val="12"/>
                <w:color w:val="0000EE"/>
              </w:rPr>
              <w:t>Exhibits</w:t>
            </w: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60" w:type="dxa"/>
            <w:vAlign w:val="bottom"/>
            <w:gridSpan w:val="1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bottom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8"/>
              </w:rPr>
              <w:t>Signatures</w:t>
            </w:r>
          </w:p>
        </w:tc>
        <w:tc>
          <w:tcPr>
            <w:tcW w:w="6860" w:type="dxa"/>
            <w:vAlign w:val="bottom"/>
            <w:gridSpan w:val="17"/>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457"/>
        </w:trPr>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320" w:type="dxa"/>
            <w:vAlign w:val="bottom"/>
            <w:gridSpan w:val="13"/>
          </w:tcPr>
          <w:p>
            <w:pPr>
              <w:ind w:left="3720"/>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80"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SPECIAL NOTE REGARDING FORWARD-LOOKING STATEMENTS</w:t>
      </w:r>
    </w:p>
    <w:p>
      <w:pPr>
        <w:spacing w:after="0" w:line="154" w:lineRule="exact"/>
        <w:rPr>
          <w:sz w:val="20"/>
          <w:szCs w:val="20"/>
          <w:color w:val="auto"/>
        </w:rPr>
      </w:pPr>
    </w:p>
    <w:p>
      <w:pPr>
        <w:jc w:val="both"/>
        <w:ind w:left="20" w:right="39"/>
        <w:spacing w:after="0" w:line="253" w:lineRule="auto"/>
        <w:rPr>
          <w:sz w:val="20"/>
          <w:szCs w:val="20"/>
          <w:color w:val="auto"/>
        </w:rPr>
      </w:pPr>
      <w:r>
        <w:rPr>
          <w:rFonts w:ascii="Times New Roman" w:cs="Times New Roman" w:eastAsia="Times New Roman" w:hAnsi="Times New Roman"/>
          <w:sz w:val="12"/>
          <w:szCs w:val="12"/>
          <w:color w:val="auto"/>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spacing w:after="0" w:line="128" w:lineRule="exact"/>
        <w:rPr>
          <w:sz w:val="20"/>
          <w:szCs w:val="20"/>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and grow revenue from existing customers and new customers, and expand their usage of our solutions;</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and expand our strategic relationships with third parties;</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adapt to technological change and successfully introduce new solutions or provide updates to existing solutions;</w:t>
      </w:r>
    </w:p>
    <w:p>
      <w:pPr>
        <w:spacing w:after="0" w:line="6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failures in information technology or infrastructure;</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challenges in using and managing use of Artificial Intelligence in our business;</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incorrect or improper implementation, integration or use of our solutions;</w:t>
      </w:r>
    </w:p>
    <w:p>
      <w:pPr>
        <w:spacing w:after="0" w:line="6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attract and retain qualified technical and tax-content personnel;</w:t>
      </w:r>
    </w:p>
    <w:p>
      <w:pPr>
        <w:spacing w:after="0" w:line="60" w:lineRule="exact"/>
        <w:rPr>
          <w:rFonts w:ascii="Times New Roman" w:cs="Times New Roman" w:eastAsia="Times New Roman" w:hAnsi="Times New Roman"/>
          <w:sz w:val="12"/>
          <w:szCs w:val="12"/>
          <w:color w:val="auto"/>
        </w:rPr>
      </w:pPr>
    </w:p>
    <w:p>
      <w:pPr>
        <w:ind w:left="680" w:right="59" w:hanging="208"/>
        <w:spacing w:after="0" w:line="295" w:lineRule="auto"/>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competitive pressures from other tax software and service providers and challenges of convincing businesses using native enterprise resource planning (“ERP”) functions to switch to our software;</w:t>
      </w:r>
    </w:p>
    <w:p>
      <w:pPr>
        <w:spacing w:after="0" w:line="11"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accurately forecast our revenue and other future results of operations based on recent success;</w:t>
      </w:r>
    </w:p>
    <w:p>
      <w:pPr>
        <w:spacing w:after="0" w:line="6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offer specific software deployment methods based on changes to customers’ and partners’ software systems;</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continue making significant investments in software development and equipment;</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sustain and expand revenues, maintain profitability, and to effectively manage our anticipated growth;</w:t>
      </w:r>
    </w:p>
    <w:p>
      <w:pPr>
        <w:spacing w:after="0" w:line="69" w:lineRule="exact"/>
        <w:rPr>
          <w:rFonts w:ascii="Times New Roman" w:cs="Times New Roman" w:eastAsia="Times New Roman" w:hAnsi="Times New Roman"/>
          <w:sz w:val="12"/>
          <w:szCs w:val="12"/>
          <w:color w:val="auto"/>
        </w:rPr>
      </w:pPr>
    </w:p>
    <w:p>
      <w:pPr>
        <w:ind w:left="680" w:right="379" w:hanging="208"/>
        <w:spacing w:after="0" w:line="295" w:lineRule="auto"/>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successfully diversify our solutions by developing or introducing new solutions or acquiring and integrating additional businesses, products, services, or content;</w:t>
      </w:r>
    </w:p>
    <w:p>
      <w:pPr>
        <w:spacing w:after="0" w:line="11"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fluctuations in our results of operations;</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our expanding international operations;</w:t>
      </w:r>
    </w:p>
    <w:p>
      <w:pPr>
        <w:spacing w:after="0" w:line="6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exposure to liability from errors, delays, fraud or system failures, which may not be covered by insurance;</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adapt to organizational changes and effectively implement strategic initiatives;</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our determinations of customers’ transaction tax and tax payments;</w:t>
      </w:r>
    </w:p>
    <w:p>
      <w:pPr>
        <w:spacing w:after="0" w:line="6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changes in tax laws and regulations or their interpretation or enforcement;</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manage cybersecurity and data privacy risks;</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involvement in material legal proceedings and audits;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330835</wp:posOffset>
            </wp:positionV>
            <wp:extent cx="56921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undetected errors, bugs or defects in our software;</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utilization of open-source software, business processes and information systems;</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failures in information technology, infrastructure, and third-party service providers;</w:t>
      </w:r>
    </w:p>
    <w:p>
      <w:pPr>
        <w:spacing w:after="0" w:line="6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effectively protect, maintain, and enhance our brand;</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application, scope, interpretation or enforcement of laws and regulations;</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economic weakness and uncertainties, and disruption in the capital and credit markets;</w:t>
      </w:r>
    </w:p>
    <w:p>
      <w:pPr>
        <w:spacing w:after="0" w:line="69" w:lineRule="exact"/>
        <w:rPr>
          <w:rFonts w:ascii="Times New Roman" w:cs="Times New Roman" w:eastAsia="Times New Roman" w:hAnsi="Times New Roman"/>
          <w:sz w:val="12"/>
          <w:szCs w:val="12"/>
          <w:color w:val="auto"/>
        </w:rPr>
      </w:pPr>
    </w:p>
    <w:p>
      <w:pPr>
        <w:ind w:left="680" w:right="179" w:hanging="208"/>
        <w:spacing w:after="0" w:line="295" w:lineRule="auto"/>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business disruptions related to natural disasters, epidemic outbreaks, including a global endemic or pandemic, terrorist acts, political events, or other events outside of our control;</w:t>
      </w:r>
    </w:p>
    <w:p>
      <w:pPr>
        <w:spacing w:after="0" w:line="11"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comply with anti-corruption, anti-bribery, and similar laws;</w:t>
      </w:r>
    </w:p>
    <w:p>
      <w:pPr>
        <w:spacing w:after="0" w:line="6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protect our intellectual property;</w:t>
      </w:r>
    </w:p>
    <w:p>
      <w:pPr>
        <w:spacing w:after="0" w:line="69" w:lineRule="exact"/>
        <w:rPr>
          <w:rFonts w:ascii="Times New Roman" w:cs="Times New Roman" w:eastAsia="Times New Roman" w:hAnsi="Times New Roman"/>
          <w:sz w:val="12"/>
          <w:szCs w:val="12"/>
          <w:color w:val="auto"/>
        </w:rPr>
      </w:pPr>
    </w:p>
    <w:p>
      <w:pPr>
        <w:ind w:left="680" w:right="99" w:hanging="208"/>
        <w:spacing w:after="0" w:line="295" w:lineRule="auto"/>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interest rates, security ratings and market perceptions of the industry in which we operate, or our ability to obtain capital on commercially reasonable terms or at all;</w:t>
      </w:r>
    </w:p>
    <w:p>
      <w:pPr>
        <w:spacing w:after="0" w:line="11" w:lineRule="exact"/>
        <w:rPr>
          <w:rFonts w:ascii="Times New Roman" w:cs="Times New Roman" w:eastAsia="Times New Roman" w:hAnsi="Times New Roman"/>
          <w:sz w:val="12"/>
          <w:szCs w:val="12"/>
          <w:color w:val="auto"/>
        </w:rPr>
      </w:pPr>
    </w:p>
    <w:p>
      <w:pPr>
        <w:ind w:left="680" w:right="159" w:hanging="208"/>
        <w:spacing w:after="0" w:line="295" w:lineRule="auto"/>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an effective system of disclosure controls and internal control over financial reporting, or ability to remediate any material weakness in our internal controls;</w:t>
      </w:r>
    </w:p>
    <w:p>
      <w:pPr>
        <w:spacing w:after="0" w:line="11"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our Class A common stock and controlled company status;</w:t>
      </w:r>
    </w:p>
    <w:p>
      <w:pPr>
        <w:spacing w:after="0" w:line="6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our indebtedness and adherence to the covenants under our debt instruments;</w:t>
      </w:r>
    </w:p>
    <w:p>
      <w:pPr>
        <w:spacing w:after="0" w:line="60" w:lineRule="exact"/>
        <w:rPr>
          <w:rFonts w:ascii="Times New Roman" w:cs="Times New Roman" w:eastAsia="Times New Roman" w:hAnsi="Times New Roman"/>
          <w:sz w:val="12"/>
          <w:szCs w:val="12"/>
          <w:color w:val="auto"/>
        </w:rPr>
      </w:pPr>
    </w:p>
    <w:p>
      <w:pPr>
        <w:ind w:left="680" w:right="759" w:hanging="208"/>
        <w:spacing w:after="0" w:line="295" w:lineRule="auto"/>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the effects of the Capped Call Transactions (as defined in the notes to the financial statements) and regarding actions of the Option Counterparties (as defined in the notes to the financial statements) and/or their respective affiliates;</w:t>
      </w:r>
    </w:p>
    <w:p>
      <w:pPr>
        <w:spacing w:after="0" w:line="11"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statements of belief and any statements of assumptions underlying any of the foregoing; and</w:t>
      </w:r>
    </w:p>
    <w:p>
      <w:pPr>
        <w:spacing w:after="0" w:line="69"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factors beyond our control.</w:t>
      </w:r>
    </w:p>
    <w:p>
      <w:pPr>
        <w:spacing w:after="0" w:line="258" w:lineRule="exact"/>
        <w:rPr>
          <w:sz w:val="20"/>
          <w:szCs w:val="20"/>
          <w:color w:val="auto"/>
        </w:rPr>
      </w:pPr>
    </w:p>
    <w:p>
      <w:pPr>
        <w:jc w:val="both"/>
        <w:ind w:left="20" w:right="39" w:firstLine="216"/>
        <w:spacing w:after="0" w:line="253" w:lineRule="auto"/>
        <w:rPr>
          <w:sz w:val="20"/>
          <w:szCs w:val="20"/>
          <w:color w:val="auto"/>
        </w:rPr>
      </w:pPr>
      <w:r>
        <w:rPr>
          <w:rFonts w:ascii="Times New Roman" w:cs="Times New Roman" w:eastAsia="Times New Roman" w:hAnsi="Times New Roman"/>
          <w:sz w:val="12"/>
          <w:szCs w:val="12"/>
          <w:color w:val="auto"/>
        </w:rPr>
        <w:t>The risks included here are not exhaustive, and additional factors could adversely affect our business and financial performance, including factors and risks included in our Annual Report on Form 10-K for the year ended December 31, 2023, filed with the Securities and Exchange Commission (the “SEC”) on February 29, 2024 (the “2023 Annual Report”).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330835</wp:posOffset>
            </wp:positionV>
            <wp:extent cx="56921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0"/>
          <w:szCs w:val="10"/>
          <w:b w:val="1"/>
          <w:bCs w:val="1"/>
          <w:color w:val="auto"/>
        </w:rPr>
        <w:t>PART I - FINANCIAL INFORMATION</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56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Item 1. FINANCIAL STATEMENTS</w:t>
            </w: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118"/>
        </w:trPr>
        <w:tc>
          <w:tcPr>
            <w:tcW w:w="5600" w:type="dxa"/>
            <w:vAlign w:val="bottom"/>
          </w:tcPr>
          <w:p>
            <w:pPr>
              <w:jc w:val="center"/>
              <w:ind w:left="3332"/>
              <w:spacing w:after="0"/>
              <w:rPr>
                <w:sz w:val="20"/>
                <w:szCs w:val="20"/>
                <w:color w:val="auto"/>
              </w:rPr>
            </w:pPr>
            <w:r>
              <w:rPr>
                <w:rFonts w:ascii="Times New Roman" w:cs="Times New Roman" w:eastAsia="Times New Roman" w:hAnsi="Times New Roman"/>
                <w:sz w:val="10"/>
                <w:szCs w:val="10"/>
                <w:b w:val="1"/>
                <w:bCs w:val="1"/>
                <w:color w:val="auto"/>
                <w:w w:val="95"/>
              </w:rPr>
              <w:t>Vertex, Inc. and Subsidiaries</w:t>
            </w: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99"/>
        </w:trPr>
        <w:tc>
          <w:tcPr>
            <w:tcW w:w="5600" w:type="dxa"/>
            <w:vAlign w:val="bottom"/>
          </w:tcPr>
          <w:p>
            <w:pPr>
              <w:jc w:val="center"/>
              <w:ind w:left="3312"/>
              <w:spacing w:after="0" w:line="99" w:lineRule="exact"/>
              <w:rPr>
                <w:sz w:val="20"/>
                <w:szCs w:val="20"/>
                <w:color w:val="auto"/>
              </w:rPr>
            </w:pPr>
            <w:r>
              <w:rPr>
                <w:rFonts w:ascii="Times New Roman" w:cs="Times New Roman" w:eastAsia="Times New Roman" w:hAnsi="Times New Roman"/>
                <w:sz w:val="10"/>
                <w:szCs w:val="10"/>
                <w:b w:val="1"/>
                <w:bCs w:val="1"/>
                <w:color w:val="auto"/>
                <w:w w:val="95"/>
              </w:rPr>
              <w:t>Condensed Consolidated Balance Sheets</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99"/>
        </w:trPr>
        <w:tc>
          <w:tcPr>
            <w:tcW w:w="5600" w:type="dxa"/>
            <w:vAlign w:val="bottom"/>
          </w:tcPr>
          <w:p>
            <w:pPr>
              <w:jc w:val="center"/>
              <w:ind w:left="3312"/>
              <w:spacing w:after="0" w:line="99" w:lineRule="exact"/>
              <w:rPr>
                <w:sz w:val="20"/>
                <w:szCs w:val="20"/>
                <w:color w:val="auto"/>
              </w:rPr>
            </w:pPr>
            <w:r>
              <w:rPr>
                <w:rFonts w:ascii="Times New Roman" w:cs="Times New Roman" w:eastAsia="Times New Roman" w:hAnsi="Times New Roman"/>
                <w:sz w:val="10"/>
                <w:szCs w:val="10"/>
                <w:b w:val="1"/>
                <w:bCs w:val="1"/>
                <w:color w:val="auto"/>
                <w:w w:val="95"/>
              </w:rPr>
              <w:t>As of June 30, 2024 and December 31, 2023</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125"/>
        </w:trPr>
        <w:tc>
          <w:tcPr>
            <w:tcW w:w="5600" w:type="dxa"/>
            <w:vAlign w:val="bottom"/>
          </w:tcPr>
          <w:p>
            <w:pPr>
              <w:jc w:val="center"/>
              <w:ind w:left="3332"/>
              <w:spacing w:after="0"/>
              <w:rPr>
                <w:sz w:val="20"/>
                <w:szCs w:val="20"/>
                <w:color w:val="auto"/>
              </w:rPr>
            </w:pPr>
            <w:r>
              <w:rPr>
                <w:rFonts w:ascii="Times New Roman" w:cs="Times New Roman" w:eastAsia="Times New Roman" w:hAnsi="Times New Roman"/>
                <w:sz w:val="10"/>
                <w:szCs w:val="10"/>
                <w:b w:val="1"/>
                <w:bCs w:val="1"/>
                <w:color w:val="auto"/>
                <w:w w:val="95"/>
              </w:rPr>
              <w:t>(Amounts in thousands, except per share data)</w:t>
            </w: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145"/>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5600" w:type="dxa"/>
            <w:vAlign w:val="bottom"/>
          </w:tcPr>
          <w:p>
            <w:pPr>
              <w:spacing w:after="0"/>
              <w:rPr>
                <w:sz w:val="10"/>
                <w:szCs w:val="10"/>
                <w:color w:val="auto"/>
              </w:rPr>
            </w:pPr>
          </w:p>
        </w:tc>
        <w:tc>
          <w:tcPr>
            <w:tcW w:w="1300" w:type="dxa"/>
            <w:vAlign w:val="bottom"/>
            <w:gridSpan w:val="2"/>
          </w:tcPr>
          <w:p>
            <w:pPr>
              <w:jc w:val="right"/>
              <w:ind w:right="184"/>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jc w:val="right"/>
              <w:ind w:right="69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88"/>
        </w:trPr>
        <w:tc>
          <w:tcPr>
            <w:tcW w:w="5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Borders>
              <w:top w:val="single" w:sz="8" w:color="auto"/>
            </w:tcBorders>
          </w:tcPr>
          <w:p>
            <w:pPr>
              <w:jc w:val="right"/>
              <w:ind w:right="44"/>
              <w:spacing w:after="0" w:line="88"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5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Assets</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Current assets:</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Cash and cash equivalents</w:t>
            </w:r>
          </w:p>
        </w:tc>
        <w:tc>
          <w:tcPr>
            <w:tcW w:w="1300" w:type="dxa"/>
            <w:vAlign w:val="bottom"/>
            <w:gridSpan w:val="2"/>
            <w:shd w:val="clear" w:color="auto" w:fill="CCEEFF"/>
          </w:tcPr>
          <w:p>
            <w:pPr>
              <w:jc w:val="right"/>
              <w:ind w:right="1064"/>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325,535</w:t>
            </w:r>
          </w:p>
        </w:tc>
        <w:tc>
          <w:tcPr>
            <w:tcW w:w="26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68,175</w:t>
            </w:r>
          </w:p>
        </w:tc>
      </w:tr>
      <w:tr>
        <w:trPr>
          <w:trHeight w:val="99"/>
        </w:trPr>
        <w:tc>
          <w:tcPr>
            <w:tcW w:w="56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Funds held for customers</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35,408</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20,976</w:t>
            </w: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Accounts receivable, net of allowance of $17,704 and $16,272, respectively</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120,082</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141,752</w:t>
            </w:r>
          </w:p>
        </w:tc>
      </w:tr>
      <w:tr>
        <w:trPr>
          <w:trHeight w:val="99"/>
        </w:trPr>
        <w:tc>
          <w:tcPr>
            <w:tcW w:w="56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Prepaid expenses and other current assets</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25,134</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26,173</w:t>
            </w: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Investment securities available-for-sale, at fair value (amortized cost of $8,407 and $9,550, respectively)</w:t>
            </w:r>
          </w:p>
        </w:tc>
        <w:tc>
          <w:tcPr>
            <w:tcW w:w="160" w:type="dxa"/>
            <w:vAlign w:val="bottom"/>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8,650</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9,545</w:t>
            </w:r>
          </w:p>
        </w:tc>
      </w:tr>
      <w:tr>
        <w:trPr>
          <w:trHeight w:val="88"/>
        </w:trPr>
        <w:tc>
          <w:tcPr>
            <w:tcW w:w="5600" w:type="dxa"/>
            <w:vAlign w:val="bottom"/>
            <w:tcBorders>
              <w:bottom w:val="single" w:sz="8" w:color="CCEEFF"/>
            </w:tcBorders>
          </w:tcPr>
          <w:p>
            <w:pPr>
              <w:ind w:left="80"/>
              <w:spacing w:after="0" w:line="88" w:lineRule="exact"/>
              <w:rPr>
                <w:sz w:val="20"/>
                <w:szCs w:val="20"/>
                <w:color w:val="auto"/>
              </w:rPr>
            </w:pPr>
            <w:r>
              <w:rPr>
                <w:rFonts w:ascii="Times New Roman" w:cs="Times New Roman" w:eastAsia="Times New Roman" w:hAnsi="Times New Roman"/>
                <w:sz w:val="10"/>
                <w:szCs w:val="10"/>
                <w:color w:val="auto"/>
              </w:rPr>
              <w:t>Total current assets</w:t>
            </w:r>
          </w:p>
        </w:tc>
        <w:tc>
          <w:tcPr>
            <w:tcW w:w="160" w:type="dxa"/>
            <w:vAlign w:val="bottom"/>
            <w:tcBorders>
              <w:bottom w:val="single" w:sz="8" w:color="CCEEFF"/>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514,809</w:t>
            </w:r>
          </w:p>
        </w:tc>
        <w:tc>
          <w:tcPr>
            <w:tcW w:w="26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266,621</w:t>
            </w:r>
          </w:p>
        </w:tc>
      </w:tr>
      <w:tr>
        <w:trPr>
          <w:trHeight w:val="88"/>
        </w:trPr>
        <w:tc>
          <w:tcPr>
            <w:tcW w:w="56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Property and equipment, net of accumulated depreciation</w:t>
            </w:r>
          </w:p>
        </w:tc>
        <w:tc>
          <w:tcPr>
            <w:tcW w:w="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108,407</w:t>
            </w:r>
          </w:p>
        </w:tc>
        <w:tc>
          <w:tcPr>
            <w:tcW w:w="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3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100,734</w:t>
            </w: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Capitalized software, net of accumulated amortization</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37,840</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38,771</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Goodwill and other intangible assets</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252,183</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260,238</w:t>
            </w: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Deferred commissions</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21,862</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21,237</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Deferred income tax asset</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61,897</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41,708</w:t>
            </w: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Operating lease right-of-use assets</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13,060</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14,605</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Other assets</w:t>
            </w:r>
          </w:p>
        </w:tc>
        <w:tc>
          <w:tcPr>
            <w:tcW w:w="160" w:type="dxa"/>
            <w:vAlign w:val="bottom"/>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13,772</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16,013</w:t>
            </w:r>
          </w:p>
        </w:tc>
      </w:tr>
      <w:tr>
        <w:trPr>
          <w:trHeight w:val="95"/>
        </w:trPr>
        <w:tc>
          <w:tcPr>
            <w:tcW w:w="5600" w:type="dxa"/>
            <w:vAlign w:val="bottom"/>
            <w:tcBorders>
              <w:bottom w:val="single" w:sz="8" w:color="CCEEFF"/>
            </w:tcBorders>
          </w:tcPr>
          <w:p>
            <w:pPr>
              <w:ind w:left="80"/>
              <w:spacing w:after="0" w:line="88" w:lineRule="exact"/>
              <w:rPr>
                <w:sz w:val="20"/>
                <w:szCs w:val="20"/>
                <w:color w:val="auto"/>
              </w:rPr>
            </w:pPr>
            <w:r>
              <w:rPr>
                <w:rFonts w:ascii="Times New Roman" w:cs="Times New Roman" w:eastAsia="Times New Roman" w:hAnsi="Times New Roman"/>
                <w:sz w:val="10"/>
                <w:szCs w:val="10"/>
                <w:color w:val="auto"/>
              </w:rPr>
              <w:t>Total assets</w:t>
            </w:r>
          </w:p>
        </w:tc>
        <w:tc>
          <w:tcPr>
            <w:tcW w:w="160" w:type="dxa"/>
            <w:vAlign w:val="bottom"/>
            <w:tcBorders>
              <w:bottom w:val="single" w:sz="8" w:color="CCEEFF"/>
            </w:tcBorders>
          </w:tcPr>
          <w:p>
            <w:pPr>
              <w:spacing w:after="0"/>
              <w:rPr>
                <w:sz w:val="8"/>
                <w:szCs w:val="8"/>
                <w:color w:val="auto"/>
              </w:rPr>
            </w:pPr>
          </w:p>
        </w:tc>
        <w:tc>
          <w:tcPr>
            <w:tcW w:w="1140" w:type="dxa"/>
            <w:vAlign w:val="bottom"/>
            <w:tcBorders>
              <w:bottom w:val="single" w:sz="8" w:color="auto"/>
            </w:tcBorders>
          </w:tcPr>
          <w:p>
            <w:pPr>
              <w:jc w:val="right"/>
              <w:ind w:right="106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1,023,830</w:t>
            </w:r>
          </w:p>
        </w:tc>
        <w:tc>
          <w:tcPr>
            <w:tcW w:w="26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
                <w:szCs w:val="1"/>
                <w:color w:val="auto"/>
                <w:w w:val="4294967286"/>
              </w:rPr>
              <w:t>$</w:t>
            </w:r>
          </w:p>
        </w:tc>
        <w:tc>
          <w:tcPr>
            <w:tcW w:w="13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759,927</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Liabilities and Stockholders' Equity</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Current liabilities:</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Current portion of long-term debt</w:t>
            </w:r>
          </w:p>
        </w:tc>
        <w:tc>
          <w:tcPr>
            <w:tcW w:w="1300" w:type="dxa"/>
            <w:vAlign w:val="bottom"/>
            <w:gridSpan w:val="2"/>
            <w:shd w:val="clear" w:color="auto" w:fill="CCEEFF"/>
          </w:tcPr>
          <w:p>
            <w:pPr>
              <w:jc w:val="right"/>
              <w:ind w:right="1064"/>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r>
      <w:tr>
        <w:trPr>
          <w:trHeight w:val="99"/>
        </w:trPr>
        <w:tc>
          <w:tcPr>
            <w:tcW w:w="56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Accounts payable</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24,220</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23,596</w:t>
            </w: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Accrued expenses</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41,767</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44,735</w:t>
            </w:r>
          </w:p>
        </w:tc>
      </w:tr>
      <w:tr>
        <w:trPr>
          <w:trHeight w:val="99"/>
        </w:trPr>
        <w:tc>
          <w:tcPr>
            <w:tcW w:w="56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Customer funds obligations</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32,710</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17,731</w:t>
            </w: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Accrued salaries and benefits</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13,251</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12,277</w:t>
            </w:r>
          </w:p>
        </w:tc>
      </w:tr>
      <w:tr>
        <w:trPr>
          <w:trHeight w:val="99"/>
        </w:trPr>
        <w:tc>
          <w:tcPr>
            <w:tcW w:w="56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Accrued variable compensation</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25,727</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34,105</w:t>
            </w: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Deferred revenue, current</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297,305</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290,143</w:t>
            </w:r>
          </w:p>
        </w:tc>
      </w:tr>
      <w:tr>
        <w:trPr>
          <w:trHeight w:val="99"/>
        </w:trPr>
        <w:tc>
          <w:tcPr>
            <w:tcW w:w="56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Current portion of operating lease liabilities</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3,799</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3,717</w:t>
            </w: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Current portion of finance lease liabilities</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90</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74</w:t>
            </w:r>
          </w:p>
        </w:tc>
      </w:tr>
      <w:tr>
        <w:trPr>
          <w:trHeight w:val="99"/>
        </w:trPr>
        <w:tc>
          <w:tcPr>
            <w:tcW w:w="5600" w:type="dxa"/>
            <w:vAlign w:val="bottom"/>
            <w:tcBorders>
              <w:bottom w:val="single" w:sz="8" w:color="CCEEFF"/>
            </w:tcBorders>
          </w:tcPr>
          <w:p>
            <w:pPr>
              <w:ind w:left="80"/>
              <w:spacing w:after="0" w:line="99" w:lineRule="exact"/>
              <w:rPr>
                <w:sz w:val="20"/>
                <w:szCs w:val="20"/>
                <w:color w:val="auto"/>
              </w:rPr>
            </w:pPr>
            <w:r>
              <w:rPr>
                <w:rFonts w:ascii="Times New Roman" w:cs="Times New Roman" w:eastAsia="Times New Roman" w:hAnsi="Times New Roman"/>
                <w:sz w:val="10"/>
                <w:szCs w:val="10"/>
                <w:color w:val="auto"/>
              </w:rPr>
              <w:t>Purchase commitment and contingent consideration liabilities, current</w:t>
            </w:r>
          </w:p>
        </w:tc>
        <w:tc>
          <w:tcPr>
            <w:tcW w:w="160" w:type="dxa"/>
            <w:vAlign w:val="bottom"/>
            <w:tcBorders>
              <w:bottom w:val="single" w:sz="8" w:color="CCEEFF"/>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200</w:t>
            </w:r>
          </w:p>
        </w:tc>
        <w:tc>
          <w:tcPr>
            <w:tcW w:w="26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11,901</w:t>
            </w:r>
          </w:p>
        </w:tc>
      </w:tr>
      <w:tr>
        <w:trPr>
          <w:trHeight w:val="88"/>
        </w:trPr>
        <w:tc>
          <w:tcPr>
            <w:tcW w:w="5600" w:type="dxa"/>
            <w:vAlign w:val="bottom"/>
            <w:shd w:val="clear" w:color="auto" w:fill="CCEEFF"/>
          </w:tcPr>
          <w:p>
            <w:pPr>
              <w:ind w:left="80"/>
              <w:spacing w:after="0" w:line="88" w:lineRule="exact"/>
              <w:rPr>
                <w:sz w:val="20"/>
                <w:szCs w:val="20"/>
                <w:color w:val="auto"/>
              </w:rPr>
            </w:pPr>
            <w:r>
              <w:rPr>
                <w:rFonts w:ascii="Times New Roman" w:cs="Times New Roman" w:eastAsia="Times New Roman" w:hAnsi="Times New Roman"/>
                <w:sz w:val="10"/>
                <w:szCs w:val="10"/>
                <w:color w:val="auto"/>
              </w:rPr>
              <w:t>Total current liabilities</w:t>
            </w:r>
          </w:p>
        </w:tc>
        <w:tc>
          <w:tcPr>
            <w:tcW w:w="160" w:type="dxa"/>
            <w:vAlign w:val="bottom"/>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439,069</w:t>
            </w:r>
          </w:p>
        </w:tc>
        <w:tc>
          <w:tcPr>
            <w:tcW w:w="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440,779</w:t>
            </w:r>
          </w:p>
        </w:tc>
      </w:tr>
      <w:tr>
        <w:trPr>
          <w:trHeight w:val="88"/>
        </w:trPr>
        <w:tc>
          <w:tcPr>
            <w:tcW w:w="560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Deferred revenue, net of current portion</w:t>
            </w: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2,436</w:t>
            </w: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8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2,577</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Debt, net of current portion</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334,092</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44,059</w:t>
            </w: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Operating lease liabilities, net of current portion</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14,397</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16,567</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Finance lease liabilities, net of current portion</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36</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51</w:t>
            </w: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Purchase commitment and contingent consideration liabilities, net of current portion</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2,600</w:t>
            </w:r>
          </w:p>
        </w:tc>
      </w:tr>
      <w:tr>
        <w:trPr>
          <w:trHeight w:val="99"/>
        </w:trPr>
        <w:tc>
          <w:tcPr>
            <w:tcW w:w="56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Deferred other liabilities</w:t>
            </w:r>
          </w:p>
        </w:tc>
        <w:tc>
          <w:tcPr>
            <w:tcW w:w="160" w:type="dxa"/>
            <w:vAlign w:val="bottom"/>
            <w:shd w:val="clear" w:color="auto" w:fill="CCEEFF"/>
          </w:tcPr>
          <w:p>
            <w:pPr>
              <w:spacing w:after="0"/>
              <w:rPr>
                <w:sz w:val="8"/>
                <w:szCs w:val="8"/>
                <w:color w:val="auto"/>
              </w:rPr>
            </w:pPr>
          </w:p>
        </w:tc>
        <w:tc>
          <w:tcPr>
            <w:tcW w:w="11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670</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313</w:t>
            </w:r>
          </w:p>
        </w:tc>
      </w:tr>
      <w:tr>
        <w:trPr>
          <w:trHeight w:val="88"/>
        </w:trPr>
        <w:tc>
          <w:tcPr>
            <w:tcW w:w="5600" w:type="dxa"/>
            <w:vAlign w:val="bottom"/>
            <w:tcBorders>
              <w:bottom w:val="single" w:sz="8" w:color="CCEEFF"/>
            </w:tcBorders>
          </w:tcPr>
          <w:p>
            <w:pPr>
              <w:ind w:left="80"/>
              <w:spacing w:after="0" w:line="88" w:lineRule="exact"/>
              <w:rPr>
                <w:sz w:val="20"/>
                <w:szCs w:val="20"/>
                <w:color w:val="auto"/>
              </w:rPr>
            </w:pPr>
            <w:r>
              <w:rPr>
                <w:rFonts w:ascii="Times New Roman" w:cs="Times New Roman" w:eastAsia="Times New Roman" w:hAnsi="Times New Roman"/>
                <w:sz w:val="10"/>
                <w:szCs w:val="10"/>
                <w:color w:val="auto"/>
              </w:rPr>
              <w:t>Total liabilities</w:t>
            </w:r>
          </w:p>
        </w:tc>
        <w:tc>
          <w:tcPr>
            <w:tcW w:w="160" w:type="dxa"/>
            <w:vAlign w:val="bottom"/>
            <w:tcBorders>
              <w:bottom w:val="single" w:sz="8" w:color="CCEEFF"/>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790,700</w:t>
            </w:r>
          </w:p>
        </w:tc>
        <w:tc>
          <w:tcPr>
            <w:tcW w:w="26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506,946</w:t>
            </w:r>
          </w:p>
        </w:tc>
      </w:tr>
      <w:tr>
        <w:trPr>
          <w:trHeight w:val="88"/>
        </w:trPr>
        <w:tc>
          <w:tcPr>
            <w:tcW w:w="56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Commitments and contingencies (Note 11)</w:t>
            </w:r>
          </w:p>
        </w:tc>
        <w:tc>
          <w:tcPr>
            <w:tcW w:w="1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r>
      <w:tr>
        <w:trPr>
          <w:trHeight w:val="99"/>
        </w:trPr>
        <w:tc>
          <w:tcPr>
            <w:tcW w:w="56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Stockholders' equity:</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Preferred shares, $0.001 par value, 30,000 shares authorized; no shares issued and outstanding</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760" w:type="dxa"/>
            <w:vAlign w:val="bottom"/>
            <w:gridSpan w:val="2"/>
            <w:shd w:val="clear" w:color="auto" w:fill="CCEEFF"/>
          </w:tcPr>
          <w:p>
            <w:pPr>
              <w:jc w:val="right"/>
              <w:ind w:right="2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r>
      <w:tr>
        <w:trPr>
          <w:trHeight w:val="99"/>
        </w:trPr>
        <w:tc>
          <w:tcPr>
            <w:tcW w:w="56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w w:val="98"/>
              </w:rPr>
              <w:t>Class A voting common stock, $0.001 par value, 300,000 shares authorized; 65,165 and 60,989 shares issued and outstanding, respectively</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65</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61</w:t>
            </w: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w w:val="98"/>
              </w:rPr>
              <w:t>Class B voting common stock, $0.001 par value, 150,000 shares authorized; 90,161 and 92,661 shares issued and outstanding, respectively</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90</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93</w:t>
            </w:r>
          </w:p>
        </w:tc>
      </w:tr>
      <w:tr>
        <w:trPr>
          <w:trHeight w:val="99"/>
        </w:trPr>
        <w:tc>
          <w:tcPr>
            <w:tcW w:w="56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Additional paid in capital</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254,799</w:t>
            </w: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275,155</w:t>
            </w:r>
          </w:p>
        </w:tc>
      </w:tr>
      <w:tr>
        <w:trPr>
          <w:trHeight w:val="99"/>
        </w:trPr>
        <w:tc>
          <w:tcPr>
            <w:tcW w:w="56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Retained earnings (Accumulated deficit)</w:t>
            </w:r>
          </w:p>
        </w:tc>
        <w:tc>
          <w:tcPr>
            <w:tcW w:w="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7,262</w:t>
            </w:r>
          </w:p>
        </w:tc>
        <w:tc>
          <w:tcPr>
            <w:tcW w:w="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3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(586)</w:t>
            </w:r>
          </w:p>
        </w:tc>
      </w:tr>
      <w:tr>
        <w:trPr>
          <w:trHeight w:val="99"/>
        </w:trPr>
        <w:tc>
          <w:tcPr>
            <w:tcW w:w="56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Accumulated other comprehensive loss</w:t>
            </w: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(29,086)</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(21,742)</w:t>
            </w:r>
          </w:p>
        </w:tc>
      </w:tr>
      <w:tr>
        <w:trPr>
          <w:trHeight w:val="88"/>
        </w:trPr>
        <w:tc>
          <w:tcPr>
            <w:tcW w:w="5600" w:type="dxa"/>
            <w:vAlign w:val="bottom"/>
            <w:tcBorders>
              <w:top w:val="single" w:sz="8" w:color="CCEEFF"/>
            </w:tcBorders>
            <w:shd w:val="clear" w:color="auto" w:fill="CCEEFF"/>
          </w:tcPr>
          <w:p>
            <w:pPr>
              <w:ind w:left="80"/>
              <w:spacing w:after="0" w:line="88" w:lineRule="exact"/>
              <w:rPr>
                <w:sz w:val="20"/>
                <w:szCs w:val="20"/>
                <w:color w:val="auto"/>
              </w:rPr>
            </w:pPr>
            <w:r>
              <w:rPr>
                <w:rFonts w:ascii="Times New Roman" w:cs="Times New Roman" w:eastAsia="Times New Roman" w:hAnsi="Times New Roman"/>
                <w:sz w:val="10"/>
                <w:szCs w:val="10"/>
                <w:color w:val="auto"/>
              </w:rPr>
              <w:t>Total stockholders' equity</w:t>
            </w:r>
          </w:p>
        </w:tc>
        <w:tc>
          <w:tcPr>
            <w:tcW w:w="16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auto"/>
              <w:bottom w:val="single" w:sz="8" w:color="auto"/>
            </w:tcBorders>
            <w:shd w:val="clear" w:color="auto" w:fill="CCEEFF"/>
          </w:tcPr>
          <w:p>
            <w:pPr>
              <w:spacing w:after="0"/>
              <w:rPr>
                <w:sz w:val="7"/>
                <w:szCs w:val="7"/>
                <w:color w:val="auto"/>
              </w:rPr>
            </w:pPr>
          </w:p>
        </w:tc>
        <w:tc>
          <w:tcPr>
            <w:tcW w:w="5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233,130</w:t>
            </w:r>
          </w:p>
        </w:tc>
        <w:tc>
          <w:tcPr>
            <w:tcW w:w="2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bottom w:val="single" w:sz="8" w:color="auto"/>
            </w:tcBorders>
            <w:shd w:val="clear" w:color="auto" w:fill="CCEEFF"/>
          </w:tcPr>
          <w:p>
            <w:pPr>
              <w:spacing w:after="0"/>
              <w:rPr>
                <w:sz w:val="7"/>
                <w:szCs w:val="7"/>
                <w:color w:val="auto"/>
              </w:rPr>
            </w:pPr>
          </w:p>
        </w:tc>
        <w:tc>
          <w:tcPr>
            <w:tcW w:w="13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252,981</w:t>
            </w:r>
          </w:p>
        </w:tc>
      </w:tr>
      <w:tr>
        <w:trPr>
          <w:trHeight w:val="95"/>
        </w:trPr>
        <w:tc>
          <w:tcPr>
            <w:tcW w:w="5600" w:type="dxa"/>
            <w:vAlign w:val="bottom"/>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160" w:type="dxa"/>
            <w:vAlign w:val="bottom"/>
          </w:tcPr>
          <w:p>
            <w:pPr>
              <w:spacing w:after="0"/>
              <w:rPr>
                <w:sz w:val="8"/>
                <w:szCs w:val="8"/>
                <w:color w:val="auto"/>
              </w:rPr>
            </w:pPr>
          </w:p>
        </w:tc>
        <w:tc>
          <w:tcPr>
            <w:tcW w:w="1140" w:type="dxa"/>
            <w:vAlign w:val="bottom"/>
            <w:tcBorders>
              <w:bottom w:val="single" w:sz="8" w:color="auto"/>
            </w:tcBorders>
          </w:tcPr>
          <w:p>
            <w:pPr>
              <w:jc w:val="right"/>
              <w:ind w:right="106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1,023,830</w:t>
            </w:r>
          </w:p>
        </w:tc>
        <w:tc>
          <w:tcPr>
            <w:tcW w:w="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
                <w:szCs w:val="1"/>
                <w:color w:val="auto"/>
                <w:w w:val="4294967286"/>
              </w:rPr>
              <w:t>$</w:t>
            </w:r>
          </w:p>
        </w:tc>
        <w:tc>
          <w:tcPr>
            <w:tcW w:w="13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759,927</w:t>
            </w:r>
          </w:p>
        </w:tc>
      </w:tr>
    </w:tbl>
    <w:p>
      <w:pPr>
        <w:spacing w:after="0" w:line="7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5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340"/>
          </w:cols>
          <w:pgMar w:left="1440" w:top="390" w:right="111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Vertex, Inc. and Subsidiaries</w:t>
      </w:r>
    </w:p>
    <w:p>
      <w:pPr>
        <w:spacing w:after="0" w:line="1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Comprehensive Income (Loss)</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1"/>
          <w:szCs w:val="11"/>
          <w:b w:val="1"/>
          <w:bCs w:val="1"/>
          <w:color w:val="auto"/>
        </w:rPr>
        <w:t>For the three and six months ended June 30, 2024 and 2023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(Amounts in thousands, except per share data)</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20" w:type="dxa"/>
            <w:vAlign w:val="bottom"/>
            <w:gridSpan w:val="4"/>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top w:val="single" w:sz="8" w:color="auto"/>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top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60" w:type="dxa"/>
            <w:vAlign w:val="bottom"/>
            <w:gridSpan w:val="3"/>
          </w:tcPr>
          <w:p>
            <w:pPr>
              <w:jc w:val="right"/>
              <w:ind w:right="526"/>
              <w:spacing w:after="0" w:line="115"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gridSpan w:val="2"/>
          </w:tcPr>
          <w:p>
            <w:pPr>
              <w:ind w:left="620"/>
              <w:spacing w:after="0" w:line="115" w:lineRule="exact"/>
              <w:rPr>
                <w:sz w:val="20"/>
                <w:szCs w:val="20"/>
                <w:color w:val="auto"/>
              </w:rPr>
            </w:pPr>
            <w:r>
              <w:rPr>
                <w:rFonts w:ascii="Times New Roman" w:cs="Times New Roman" w:eastAsia="Times New Roman" w:hAnsi="Times New Roman"/>
                <w:sz w:val="11"/>
                <w:szCs w:val="11"/>
                <w:b w:val="1"/>
                <w:bCs w:val="1"/>
                <w:color w:val="auto"/>
                <w:w w:val="72"/>
              </w:rPr>
              <w:t>(unaudited)</w:t>
            </w: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Revenues:</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Software subscriptions</w:t>
            </w:r>
          </w:p>
        </w:tc>
        <w:tc>
          <w:tcPr>
            <w:tcW w:w="76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136,443</w:t>
            </w:r>
          </w:p>
        </w:tc>
        <w:tc>
          <w:tcPr>
            <w:tcW w:w="200" w:type="dxa"/>
            <w:vAlign w:val="bottom"/>
          </w:tcPr>
          <w:p>
            <w:pPr>
              <w:spacing w:after="0"/>
              <w:rPr>
                <w:sz w:val="11"/>
                <w:szCs w:val="11"/>
                <w:color w:val="auto"/>
              </w:rPr>
            </w:pPr>
          </w:p>
        </w:tc>
        <w:tc>
          <w:tcPr>
            <w:tcW w:w="7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117,836</w:t>
            </w:r>
          </w:p>
        </w:tc>
        <w:tc>
          <w:tcPr>
            <w:tcW w:w="380" w:type="dxa"/>
            <w:vAlign w:val="bottom"/>
          </w:tcPr>
          <w:p>
            <w:pPr>
              <w:spacing w:after="0"/>
              <w:rPr>
                <w:sz w:val="11"/>
                <w:szCs w:val="11"/>
                <w:color w:val="auto"/>
              </w:rPr>
            </w:pPr>
          </w:p>
        </w:tc>
        <w:tc>
          <w:tcPr>
            <w:tcW w:w="3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268,273</w:t>
            </w:r>
          </w:p>
        </w:tc>
        <w:tc>
          <w:tcPr>
            <w:tcW w:w="180" w:type="dxa"/>
            <w:vAlign w:val="bottom"/>
          </w:tcPr>
          <w:p>
            <w:pPr>
              <w:spacing w:after="0"/>
              <w:rPr>
                <w:sz w:val="11"/>
                <w:szCs w:val="11"/>
                <w:color w:val="auto"/>
              </w:rPr>
            </w:pP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228,850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Services</w:t>
            </w:r>
          </w:p>
        </w:tc>
        <w:tc>
          <w:tcPr>
            <w:tcW w:w="7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24,661</w:t>
            </w:r>
          </w:p>
        </w:tc>
        <w:tc>
          <w:tcPr>
            <w:tcW w:w="20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21,859</w:t>
            </w:r>
          </w:p>
        </w:tc>
        <w:tc>
          <w:tcPr>
            <w:tcW w:w="3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49,612</w:t>
            </w: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tcBorders>
              <w:bottom w:val="single" w:sz="8" w:color="CCEEFF"/>
            </w:tcBorders>
          </w:tcPr>
          <w:p>
            <w:pPr>
              <w:ind w:left="60"/>
              <w:spacing w:after="0" w:line="121" w:lineRule="exact"/>
              <w:rPr>
                <w:sz w:val="20"/>
                <w:szCs w:val="20"/>
                <w:color w:val="auto"/>
              </w:rPr>
            </w:pPr>
            <w:r>
              <w:rPr>
                <w:rFonts w:ascii="Times New Roman" w:cs="Times New Roman" w:eastAsia="Times New Roman" w:hAnsi="Times New Roman"/>
                <w:sz w:val="11"/>
                <w:szCs w:val="11"/>
                <w:color w:val="auto"/>
              </w:rPr>
              <w:t>Total revenues</w:t>
            </w: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161,104</w:t>
            </w:r>
          </w:p>
        </w:tc>
        <w:tc>
          <w:tcPr>
            <w:tcW w:w="2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139,695</w:t>
            </w:r>
          </w:p>
        </w:tc>
        <w:tc>
          <w:tcPr>
            <w:tcW w:w="3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317,885</w:t>
            </w:r>
          </w:p>
        </w:tc>
        <w:tc>
          <w:tcPr>
            <w:tcW w:w="1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272,446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Cost of revenues:</w:t>
            </w: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Software subscriptions</w:t>
            </w:r>
          </w:p>
        </w:tc>
        <w:tc>
          <w:tcPr>
            <w:tcW w:w="7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42,261</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38,516</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87,389</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Services</w:t>
            </w:r>
          </w:p>
        </w:tc>
        <w:tc>
          <w:tcPr>
            <w:tcW w:w="7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16,155</w:t>
            </w:r>
          </w:p>
        </w:tc>
        <w:tc>
          <w:tcPr>
            <w:tcW w:w="20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15,363</w:t>
            </w:r>
          </w:p>
        </w:tc>
        <w:tc>
          <w:tcPr>
            <w:tcW w:w="3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32,016</w:t>
            </w: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tcBorders>
              <w:bottom w:val="single" w:sz="8" w:color="CCEEFF"/>
            </w:tcBorders>
          </w:tcPr>
          <w:p>
            <w:pPr>
              <w:ind w:left="60"/>
              <w:spacing w:after="0" w:line="121" w:lineRule="exact"/>
              <w:rPr>
                <w:sz w:val="20"/>
                <w:szCs w:val="20"/>
                <w:color w:val="auto"/>
              </w:rPr>
            </w:pPr>
            <w:r>
              <w:rPr>
                <w:rFonts w:ascii="Times New Roman" w:cs="Times New Roman" w:eastAsia="Times New Roman" w:hAnsi="Times New Roman"/>
                <w:sz w:val="11"/>
                <w:szCs w:val="11"/>
                <w:color w:val="auto"/>
              </w:rPr>
              <w:t>Total cost of revenues</w:t>
            </w: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58,416</w:t>
            </w:r>
          </w:p>
        </w:tc>
        <w:tc>
          <w:tcPr>
            <w:tcW w:w="2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53,879</w:t>
            </w:r>
          </w:p>
        </w:tc>
        <w:tc>
          <w:tcPr>
            <w:tcW w:w="3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119,405</w:t>
            </w:r>
          </w:p>
        </w:tc>
        <w:tc>
          <w:tcPr>
            <w:tcW w:w="1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105,626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Gross profit</w:t>
            </w:r>
          </w:p>
        </w:tc>
        <w:tc>
          <w:tcPr>
            <w:tcW w:w="76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102,688</w:t>
            </w:r>
          </w:p>
        </w:tc>
        <w:tc>
          <w:tcPr>
            <w:tcW w:w="200" w:type="dxa"/>
            <w:vAlign w:val="bottom"/>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85,816</w:t>
            </w:r>
          </w:p>
        </w:tc>
        <w:tc>
          <w:tcPr>
            <w:tcW w:w="380" w:type="dxa"/>
            <w:vAlign w:val="bottom"/>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198,480</w:t>
            </w:r>
          </w:p>
        </w:tc>
        <w:tc>
          <w:tcPr>
            <w:tcW w:w="1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166,820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Operating expenses:</w:t>
            </w: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Research and development</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14,614</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12,680</w:t>
            </w: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31,459</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Selling and marketing</w:t>
            </w:r>
          </w:p>
        </w:tc>
        <w:tc>
          <w:tcPr>
            <w:tcW w:w="7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40,541</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33,541</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81,032</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35,874</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39,376</w:t>
            </w: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71,416</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5,212</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3,878</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10,218</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 operating expense (income), net</w:t>
            </w:r>
          </w:p>
        </w:tc>
        <w:tc>
          <w:tcPr>
            <w:tcW w:w="7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(1,098)</w:t>
            </w:r>
          </w:p>
        </w:tc>
        <w:tc>
          <w:tcPr>
            <w:tcW w:w="7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(1,625)</w:t>
            </w: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tcBorders>
              <w:bottom w:val="single" w:sz="8" w:color="CCEEFF"/>
            </w:tcBorders>
          </w:tcPr>
          <w:p>
            <w:pPr>
              <w:ind w:left="60"/>
              <w:spacing w:after="0" w:line="121" w:lineRule="exact"/>
              <w:rPr>
                <w:sz w:val="20"/>
                <w:szCs w:val="20"/>
                <w:color w:val="auto"/>
              </w:rPr>
            </w:pPr>
            <w:r>
              <w:rPr>
                <w:rFonts w:ascii="Times New Roman" w:cs="Times New Roman" w:eastAsia="Times New Roman" w:hAnsi="Times New Roman"/>
                <w:sz w:val="11"/>
                <w:szCs w:val="11"/>
                <w:color w:val="auto"/>
              </w:rPr>
              <w:t>Total operating expenses</w:t>
            </w:r>
          </w:p>
        </w:tc>
        <w:tc>
          <w:tcPr>
            <w:tcW w:w="76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95,143</w:t>
            </w:r>
          </w:p>
        </w:tc>
        <w:tc>
          <w:tcPr>
            <w:tcW w:w="200" w:type="dxa"/>
            <w:vAlign w:val="bottom"/>
            <w:tcBorders>
              <w:bottom w:val="single" w:sz="8" w:color="CCEEFF"/>
            </w:tcBorders>
          </w:tcPr>
          <w:p>
            <w:pPr>
              <w:spacing w:after="0"/>
              <w:rPr>
                <w:sz w:val="10"/>
                <w:szCs w:val="10"/>
                <w:color w:val="auto"/>
              </w:rPr>
            </w:pPr>
          </w:p>
        </w:tc>
        <w:tc>
          <w:tcPr>
            <w:tcW w:w="74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89,888</w:t>
            </w:r>
          </w:p>
        </w:tc>
        <w:tc>
          <w:tcPr>
            <w:tcW w:w="380" w:type="dxa"/>
            <w:vAlign w:val="bottom"/>
            <w:tcBorders>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192,500</w:t>
            </w:r>
          </w:p>
        </w:tc>
        <w:tc>
          <w:tcPr>
            <w:tcW w:w="180" w:type="dxa"/>
            <w:vAlign w:val="bottom"/>
            <w:tcBorders>
              <w:bottom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179,821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Income (loss) from operations</w:t>
            </w:r>
          </w:p>
        </w:tc>
        <w:tc>
          <w:tcPr>
            <w:tcW w:w="7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7,545</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(4,072)</w:t>
            </w:r>
          </w:p>
        </w:tc>
        <w:tc>
          <w:tcPr>
            <w:tcW w:w="3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5,980</w:t>
            </w: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(13,001)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1"/>
                <w:szCs w:val="11"/>
                <w:color w:val="auto"/>
              </w:rPr>
              <w:t>Interest expense (income), net</w:t>
            </w:r>
          </w:p>
        </w:tc>
        <w:tc>
          <w:tcPr>
            <w:tcW w:w="7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(105)</w:t>
            </w:r>
          </w:p>
        </w:tc>
        <w:tc>
          <w:tcPr>
            <w:tcW w:w="3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tcBorders>
              <w:top w:val="single" w:sz="8" w:color="CCEEFF"/>
            </w:tcBorders>
            <w:shd w:val="clear" w:color="auto" w:fill="CCEEFF"/>
          </w:tcPr>
          <w:p>
            <w:pPr>
              <w:ind w:left="120"/>
              <w:spacing w:after="0" w:line="121" w:lineRule="exact"/>
              <w:rPr>
                <w:sz w:val="20"/>
                <w:szCs w:val="20"/>
                <w:color w:val="auto"/>
              </w:rPr>
            </w:pPr>
            <w:r>
              <w:rPr>
                <w:rFonts w:ascii="Times New Roman" w:cs="Times New Roman" w:eastAsia="Times New Roman" w:hAnsi="Times New Roman"/>
                <w:sz w:val="11"/>
                <w:szCs w:val="11"/>
                <w:color w:val="auto"/>
              </w:rPr>
              <w:t>Income (loss) before income taxes</w:t>
            </w: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7,364</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(3,967)</w:t>
            </w:r>
          </w:p>
        </w:tc>
        <w:tc>
          <w:tcPr>
            <w:tcW w:w="3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5,513</w:t>
            </w:r>
          </w:p>
        </w:tc>
        <w:tc>
          <w:tcPr>
            <w:tcW w:w="1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(12,546)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7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2,929</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(2,335)</w:t>
            </w: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tcBorders>
              <w:top w:val="single" w:sz="8" w:color="CCEEFF"/>
            </w:tcBorders>
            <w:shd w:val="clear" w:color="auto" w:fill="CCEEFF"/>
          </w:tcPr>
          <w:p>
            <w:pPr>
              <w:ind w:left="60"/>
              <w:spacing w:after="0" w:line="121" w:lineRule="exact"/>
              <w:rPr>
                <w:sz w:val="20"/>
                <w:szCs w:val="20"/>
                <w:color w:val="auto"/>
              </w:rPr>
            </w:pPr>
            <w:r>
              <w:rPr>
                <w:rFonts w:ascii="Times New Roman" w:cs="Times New Roman" w:eastAsia="Times New Roman" w:hAnsi="Times New Roman"/>
                <w:sz w:val="11"/>
                <w:szCs w:val="11"/>
                <w:color w:val="auto"/>
              </w:rPr>
              <w:t>Net income (loss)</w:t>
            </w:r>
          </w:p>
        </w:tc>
        <w:tc>
          <w:tcPr>
            <w:tcW w:w="760" w:type="dxa"/>
            <w:vAlign w:val="bottom"/>
            <w:tcBorders>
              <w:top w:val="single" w:sz="8" w:color="auto"/>
              <w:bottom w:val="single" w:sz="8" w:color="auto"/>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5,164</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(6,896)</w:t>
            </w:r>
          </w:p>
        </w:tc>
        <w:tc>
          <w:tcPr>
            <w:tcW w:w="3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7,848</w:t>
            </w:r>
          </w:p>
        </w:tc>
        <w:tc>
          <w:tcPr>
            <w:tcW w:w="1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(25,028)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4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Other comprehensive (income) loss:</w:t>
            </w: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Foreign currency translation adjustments, net of tax</w:t>
            </w: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3,335</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1"/>
                <w:szCs w:val="11"/>
                <w:color w:val="auto"/>
              </w:rPr>
              <w:t>(609)</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7,346</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Unrealized (gain) loss on investments, net of tax</w:t>
            </w:r>
          </w:p>
        </w:tc>
        <w:tc>
          <w:tcPr>
            <w:tcW w:w="76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(19)</w:t>
            </w:r>
          </w:p>
        </w:tc>
        <w:tc>
          <w:tcPr>
            <w:tcW w:w="7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w:t>
            </w:r>
          </w:p>
        </w:tc>
        <w:tc>
          <w:tcPr>
            <w:tcW w:w="3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540" w:type="dxa"/>
            <w:vAlign w:val="bottom"/>
            <w:tcBorders>
              <w:top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other comprehensive (income) loss, net of tax</w:t>
            </w:r>
          </w:p>
        </w:tc>
        <w:tc>
          <w:tcPr>
            <w:tcW w:w="760" w:type="dxa"/>
            <w:vAlign w:val="bottom"/>
            <w:tcBorders>
              <w:top w:val="single" w:sz="8" w:color="auto"/>
              <w:bottom w:val="single" w:sz="8" w:color="auto"/>
            </w:tcBorders>
            <w:shd w:val="clear" w:color="auto" w:fill="CCEEFF"/>
          </w:tcPr>
          <w:p>
            <w:pPr>
              <w:spacing w:after="0"/>
              <w:rPr>
                <w:sz w:val="10"/>
                <w:szCs w:val="10"/>
                <w:color w:val="auto"/>
              </w:rPr>
            </w:pPr>
          </w:p>
        </w:tc>
        <w:tc>
          <w:tcPr>
            <w:tcW w:w="4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3,316</w:t>
            </w: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(606)</w:t>
            </w:r>
          </w:p>
        </w:tc>
        <w:tc>
          <w:tcPr>
            <w:tcW w:w="3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7,344</w:t>
            </w:r>
          </w:p>
        </w:tc>
        <w:tc>
          <w:tcPr>
            <w:tcW w:w="1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(3,741)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40" w:type="dxa"/>
            <w:vAlign w:val="bottom"/>
            <w:tcBorders>
              <w:bottom w:val="single" w:sz="8" w:color="CCEEFF"/>
            </w:tcBorders>
          </w:tcPr>
          <w:p>
            <w:pPr>
              <w:ind w:left="60"/>
              <w:spacing w:after="0" w:line="124" w:lineRule="exact"/>
              <w:rPr>
                <w:sz w:val="20"/>
                <w:szCs w:val="20"/>
                <w:color w:val="auto"/>
              </w:rPr>
            </w:pPr>
            <w:r>
              <w:rPr>
                <w:rFonts w:ascii="Times New Roman" w:cs="Times New Roman" w:eastAsia="Times New Roman" w:hAnsi="Times New Roman"/>
                <w:sz w:val="11"/>
                <w:szCs w:val="11"/>
                <w:color w:val="auto"/>
              </w:rPr>
              <w:t>Total comprehensive income (loss)</w:t>
            </w:r>
          </w:p>
        </w:tc>
        <w:tc>
          <w:tcPr>
            <w:tcW w:w="760" w:type="dxa"/>
            <w:vAlign w:val="bottom"/>
            <w:tcBorders>
              <w:bottom w:val="single" w:sz="8" w:color="auto"/>
            </w:tcBorders>
          </w:tcPr>
          <w:p>
            <w:pPr>
              <w:jc w:val="right"/>
              <w:ind w:right="526"/>
              <w:spacing w:after="0" w:line="124"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1,848</w:t>
            </w:r>
          </w:p>
        </w:tc>
        <w:tc>
          <w:tcPr>
            <w:tcW w:w="2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526"/>
              <w:spacing w:after="0" w:line="124"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(6,290)</w:t>
            </w:r>
          </w:p>
        </w:tc>
        <w:tc>
          <w:tcPr>
            <w:tcW w:w="3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504</w:t>
            </w: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(21,287)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5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1"/>
                <w:szCs w:val="11"/>
                <w:color w:val="auto"/>
              </w:rPr>
              <w:t>Net income (loss) per share of Class A and Class B, basic</w:t>
            </w:r>
          </w:p>
        </w:tc>
        <w:tc>
          <w:tcPr>
            <w:tcW w:w="76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0" w:type="dxa"/>
            <w:vAlign w:val="bottom"/>
          </w:tcPr>
          <w:p>
            <w:pPr>
              <w:spacing w:after="0"/>
              <w:rPr>
                <w:sz w:val="12"/>
                <w:szCs w:val="12"/>
                <w:color w:val="auto"/>
              </w:rPr>
            </w:pPr>
          </w:p>
        </w:tc>
        <w:tc>
          <w:tcPr>
            <w:tcW w:w="7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color w:val="auto"/>
              </w:rPr>
              <w:t>(0.05)</w:t>
            </w:r>
          </w:p>
        </w:tc>
        <w:tc>
          <w:tcPr>
            <w:tcW w:w="3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80" w:type="dxa"/>
            <w:vAlign w:val="bottom"/>
          </w:tcPr>
          <w:p>
            <w:pPr>
              <w:spacing w:after="0"/>
              <w:rPr>
                <w:sz w:val="12"/>
                <w:szCs w:val="12"/>
                <w:color w:val="auto"/>
              </w:rPr>
            </w:pP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(loss) per share of Class A and Class B, dilutive</w:t>
            </w:r>
          </w:p>
        </w:tc>
        <w:tc>
          <w:tcPr>
            <w:tcW w:w="76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Changes in Stockholders’ Equity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three and six months ended June 30, 2024 and 2023 (unaudited)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3810</wp:posOffset>
            </wp:positionV>
            <wp:extent cx="652081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0815" cy="571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140" w:type="dxa"/>
            <w:vAlign w:val="bottom"/>
          </w:tcPr>
          <w:p>
            <w:pPr>
              <w:spacing w:after="0"/>
              <w:rPr>
                <w:sz w:val="7"/>
                <w:szCs w:val="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0"/>
        </w:trPr>
        <w:tc>
          <w:tcPr>
            <w:tcW w:w="3480" w:type="dxa"/>
            <w:vAlign w:val="bottom"/>
          </w:tcPr>
          <w:p>
            <w:pPr>
              <w:spacing w:after="0"/>
              <w:rPr>
                <w:sz w:val="7"/>
                <w:szCs w:val="7"/>
                <w:color w:val="auto"/>
              </w:rPr>
            </w:pPr>
          </w:p>
        </w:tc>
        <w:tc>
          <w:tcPr>
            <w:tcW w:w="74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Outstanding</w:t>
            </w:r>
          </w:p>
        </w:tc>
        <w:tc>
          <w:tcPr>
            <w:tcW w:w="140" w:type="dxa"/>
            <w:vAlign w:val="bottom"/>
          </w:tcPr>
          <w:p>
            <w:pPr>
              <w:spacing w:after="0"/>
              <w:rPr>
                <w:sz w:val="7"/>
                <w:szCs w:val="7"/>
                <w:color w:val="auto"/>
              </w:rPr>
            </w:pPr>
          </w:p>
        </w:tc>
        <w:tc>
          <w:tcPr>
            <w:tcW w:w="72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8"/>
                <w:szCs w:val="8"/>
                <w:b w:val="1"/>
                <w:bCs w:val="1"/>
                <w:color w:val="auto"/>
              </w:rPr>
              <w:t>Class A</w:t>
            </w:r>
          </w:p>
        </w:tc>
        <w:tc>
          <w:tcPr>
            <w:tcW w:w="74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Outstanding</w:t>
            </w:r>
          </w:p>
        </w:tc>
        <w:tc>
          <w:tcPr>
            <w:tcW w:w="580" w:type="dxa"/>
            <w:vAlign w:val="bottom"/>
          </w:tcPr>
          <w:p>
            <w:pPr>
              <w:jc w:val="center"/>
              <w:ind w:left="138"/>
              <w:spacing w:after="0" w:line="90" w:lineRule="exact"/>
              <w:rPr>
                <w:sz w:val="20"/>
                <w:szCs w:val="20"/>
                <w:color w:val="auto"/>
              </w:rPr>
            </w:pPr>
            <w:r>
              <w:rPr>
                <w:rFonts w:ascii="Times New Roman" w:cs="Times New Roman" w:eastAsia="Times New Roman" w:hAnsi="Times New Roman"/>
                <w:sz w:val="8"/>
                <w:szCs w:val="8"/>
                <w:b w:val="1"/>
                <w:bCs w:val="1"/>
                <w:color w:val="auto"/>
              </w:rPr>
              <w:t>Class B</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center"/>
              <w:ind w:right="220"/>
              <w:spacing w:after="0" w:line="90"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00" w:type="dxa"/>
            <w:vAlign w:val="bottom"/>
          </w:tcPr>
          <w:p>
            <w:pPr>
              <w:spacing w:after="0"/>
              <w:rPr>
                <w:sz w:val="7"/>
                <w:szCs w:val="7"/>
                <w:color w:val="auto"/>
              </w:rPr>
            </w:pPr>
          </w:p>
        </w:tc>
        <w:tc>
          <w:tcPr>
            <w:tcW w:w="78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Earnings</w:t>
            </w:r>
          </w:p>
        </w:tc>
        <w:tc>
          <w:tcPr>
            <w:tcW w:w="140" w:type="dxa"/>
            <w:vAlign w:val="bottom"/>
          </w:tcPr>
          <w:p>
            <w:pPr>
              <w:spacing w:after="0"/>
              <w:rPr>
                <w:sz w:val="7"/>
                <w:szCs w:val="7"/>
                <w:color w:val="auto"/>
              </w:rPr>
            </w:pPr>
          </w:p>
        </w:tc>
        <w:tc>
          <w:tcPr>
            <w:tcW w:w="94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8"/>
                <w:szCs w:val="8"/>
                <w:b w:val="1"/>
                <w:bCs w:val="1"/>
                <w:color w:val="auto"/>
              </w:rPr>
              <w:t>Other</w:t>
            </w:r>
          </w:p>
        </w:tc>
        <w:tc>
          <w:tcPr>
            <w:tcW w:w="140" w:type="dxa"/>
            <w:vAlign w:val="bottom"/>
          </w:tcPr>
          <w:p>
            <w:pPr>
              <w:spacing w:after="0"/>
              <w:rPr>
                <w:sz w:val="7"/>
                <w:szCs w:val="7"/>
                <w:color w:val="auto"/>
              </w:rPr>
            </w:pPr>
          </w:p>
        </w:tc>
        <w:tc>
          <w:tcPr>
            <w:tcW w:w="640" w:type="dxa"/>
            <w:vAlign w:val="bottom"/>
          </w:tcPr>
          <w:p>
            <w:pPr>
              <w:jc w:val="center"/>
              <w:ind w:right="98"/>
              <w:spacing w:after="0" w:line="90" w:lineRule="exact"/>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9"/>
        </w:trPr>
        <w:tc>
          <w:tcPr>
            <w:tcW w:w="3480" w:type="dxa"/>
            <w:vAlign w:val="bottom"/>
          </w:tcPr>
          <w:p>
            <w:pPr>
              <w:spacing w:after="0"/>
              <w:rPr>
                <w:sz w:val="8"/>
                <w:szCs w:val="8"/>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Class A</w:t>
            </w:r>
          </w:p>
        </w:tc>
        <w:tc>
          <w:tcPr>
            <w:tcW w:w="140" w:type="dxa"/>
            <w:vAlign w:val="bottom"/>
          </w:tcPr>
          <w:p>
            <w:pPr>
              <w:spacing w:after="0"/>
              <w:rPr>
                <w:sz w:val="8"/>
                <w:szCs w:val="8"/>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Common</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Class B</w:t>
            </w:r>
          </w:p>
        </w:tc>
        <w:tc>
          <w:tcPr>
            <w:tcW w:w="580" w:type="dxa"/>
            <w:vAlign w:val="bottom"/>
          </w:tcPr>
          <w:p>
            <w:pPr>
              <w:jc w:val="center"/>
              <w:ind w:left="138"/>
              <w:spacing w:after="0"/>
              <w:rPr>
                <w:sz w:val="20"/>
                <w:szCs w:val="20"/>
                <w:color w:val="auto"/>
              </w:rPr>
            </w:pPr>
            <w:r>
              <w:rPr>
                <w:rFonts w:ascii="Times New Roman" w:cs="Times New Roman" w:eastAsia="Times New Roman" w:hAnsi="Times New Roman"/>
                <w:sz w:val="8"/>
                <w:szCs w:val="8"/>
                <w:b w:val="1"/>
                <w:bCs w:val="1"/>
                <w:color w:val="auto"/>
              </w:rPr>
              <w:t>Common</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Paid In</w:t>
            </w:r>
          </w:p>
        </w:tc>
        <w:tc>
          <w:tcPr>
            <w:tcW w:w="100" w:type="dxa"/>
            <w:vAlign w:val="bottom"/>
          </w:tcPr>
          <w:p>
            <w:pPr>
              <w:spacing w:after="0"/>
              <w:rPr>
                <w:sz w:val="8"/>
                <w:szCs w:val="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40" w:type="dxa"/>
            <w:vAlign w:val="bottom"/>
          </w:tcPr>
          <w:p>
            <w:pPr>
              <w:spacing w:after="0"/>
              <w:rPr>
                <w:sz w:val="8"/>
                <w:szCs w:val="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140" w:type="dxa"/>
            <w:vAlign w:val="bottom"/>
          </w:tcPr>
          <w:p>
            <w:pPr>
              <w:spacing w:after="0"/>
              <w:rPr>
                <w:sz w:val="8"/>
                <w:szCs w:val="8"/>
                <w:color w:val="auto"/>
              </w:rPr>
            </w:pPr>
          </w:p>
        </w:tc>
        <w:tc>
          <w:tcPr>
            <w:tcW w:w="640" w:type="dxa"/>
            <w:vAlign w:val="bottom"/>
          </w:tcPr>
          <w:p>
            <w:pPr>
              <w:jc w:val="center"/>
              <w:ind w:right="98"/>
              <w:spacing w:after="0"/>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3"/>
        </w:trPr>
        <w:tc>
          <w:tcPr>
            <w:tcW w:w="3480" w:type="dxa"/>
            <w:vAlign w:val="bottom"/>
          </w:tcPr>
          <w:p>
            <w:pPr>
              <w:spacing w:after="0"/>
              <w:rPr>
                <w:sz w:val="8"/>
                <w:szCs w:val="8"/>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140" w:type="dxa"/>
            <w:vAlign w:val="bottom"/>
          </w:tcPr>
          <w:p>
            <w:pPr>
              <w:spacing w:after="0"/>
              <w:rPr>
                <w:sz w:val="8"/>
                <w:szCs w:val="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Stock</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580" w:type="dxa"/>
            <w:vAlign w:val="bottom"/>
          </w:tcPr>
          <w:p>
            <w:pPr>
              <w:jc w:val="center"/>
              <w:ind w:left="138"/>
              <w:spacing w:after="0"/>
              <w:rPr>
                <w:sz w:val="20"/>
                <w:szCs w:val="20"/>
                <w:color w:val="auto"/>
              </w:rPr>
            </w:pPr>
            <w:r>
              <w:rPr>
                <w:rFonts w:ascii="Times New Roman" w:cs="Times New Roman" w:eastAsia="Times New Roman" w:hAnsi="Times New Roman"/>
                <w:sz w:val="8"/>
                <w:szCs w:val="8"/>
                <w:b w:val="1"/>
                <w:bCs w:val="1"/>
                <w:color w:val="auto"/>
              </w:rPr>
              <w:t>Stock</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00" w:type="dxa"/>
            <w:vAlign w:val="bottom"/>
          </w:tcPr>
          <w:p>
            <w:pPr>
              <w:spacing w:after="0"/>
              <w:rPr>
                <w:sz w:val="8"/>
                <w:szCs w:val="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140" w:type="dxa"/>
            <w:vAlign w:val="bottom"/>
          </w:tcPr>
          <w:p>
            <w:pPr>
              <w:spacing w:after="0"/>
              <w:rPr>
                <w:sz w:val="8"/>
                <w:szCs w:val="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Loss</w:t>
            </w:r>
          </w:p>
        </w:tc>
        <w:tc>
          <w:tcPr>
            <w:tcW w:w="140" w:type="dxa"/>
            <w:vAlign w:val="bottom"/>
          </w:tcPr>
          <w:p>
            <w:pPr>
              <w:spacing w:after="0"/>
              <w:rPr>
                <w:sz w:val="8"/>
                <w:szCs w:val="8"/>
                <w:color w:val="auto"/>
              </w:rPr>
            </w:pPr>
          </w:p>
        </w:tc>
        <w:tc>
          <w:tcPr>
            <w:tcW w:w="640" w:type="dxa"/>
            <w:vAlign w:val="bottom"/>
          </w:tcPr>
          <w:p>
            <w:pPr>
              <w:jc w:val="center"/>
              <w:ind w:right="78"/>
              <w:spacing w:after="0"/>
              <w:rPr>
                <w:sz w:val="20"/>
                <w:szCs w:val="20"/>
                <w:color w:val="auto"/>
              </w:rPr>
            </w:pPr>
            <w:r>
              <w:rPr>
                <w:rFonts w:ascii="Times New Roman" w:cs="Times New Roman" w:eastAsia="Times New Roman" w:hAnsi="Times New Roman"/>
                <w:sz w:val="8"/>
                <w:szCs w:val="8"/>
                <w:b w:val="1"/>
                <w:bCs w:val="1"/>
                <w:color w:val="auto"/>
              </w:rPr>
              <w:t>Equity</w:t>
            </w:r>
          </w:p>
        </w:tc>
      </w:tr>
      <w:tr>
        <w:trPr>
          <w:trHeight w:val="79"/>
        </w:trPr>
        <w:tc>
          <w:tcPr>
            <w:tcW w:w="348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Balance, January 1, 2024</w:t>
            </w: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60,989</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61</w:t>
            </w:r>
          </w:p>
        </w:tc>
        <w:tc>
          <w:tcPr>
            <w:tcW w:w="1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92,661</w:t>
            </w:r>
          </w:p>
        </w:tc>
        <w:tc>
          <w:tcPr>
            <w:tcW w:w="1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jc w:val="right"/>
              <w:ind w:right="458"/>
              <w:spacing w:after="0" w:line="79"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93</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275,155</w:t>
            </w: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6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(586)</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8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(21,742)</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252,981</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Exercise of stock options, net</w:t>
            </w: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653</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(5,454)</w:t>
            </w: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(5,454)</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Shares issued upon vesting of Restricted Stock Units, net</w:t>
            </w: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674</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w:t>
            </w:r>
          </w:p>
        </w:tc>
        <w:tc>
          <w:tcPr>
            <w:tcW w:w="10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(10,899)</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(10,898)</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Stock-based compensation expense</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14,845</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14,845</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Foreign currency translation adjustments and revaluations, net of tax</w:t>
            </w:r>
          </w:p>
        </w:tc>
        <w:tc>
          <w:tcPr>
            <w:tcW w:w="74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(4,011)</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(4,011)</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Unrealized loss from available-for-sale investments, net of tax</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(17)</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(17)</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Net income</w:t>
            </w:r>
          </w:p>
        </w:tc>
        <w:tc>
          <w:tcPr>
            <w:tcW w:w="74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2,684</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2,684</w:t>
            </w:r>
          </w:p>
        </w:tc>
      </w:tr>
      <w:tr>
        <w:trPr>
          <w:trHeight w:val="79"/>
        </w:trPr>
        <w:tc>
          <w:tcPr>
            <w:tcW w:w="3480" w:type="dxa"/>
            <w:vAlign w:val="bottom"/>
          </w:tcPr>
          <w:p>
            <w:pPr>
              <w:spacing w:after="0" w:line="79" w:lineRule="exact"/>
              <w:rPr>
                <w:sz w:val="20"/>
                <w:szCs w:val="20"/>
                <w:color w:val="auto"/>
              </w:rPr>
            </w:pPr>
            <w:r>
              <w:rPr>
                <w:rFonts w:ascii="Times New Roman" w:cs="Times New Roman" w:eastAsia="Times New Roman" w:hAnsi="Times New Roman"/>
                <w:sz w:val="8"/>
                <w:szCs w:val="8"/>
                <w:color w:val="auto"/>
              </w:rPr>
              <w:t>Balance, March 31, 2024</w:t>
            </w:r>
          </w:p>
        </w:tc>
        <w:tc>
          <w:tcPr>
            <w:tcW w:w="64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62,316</w:t>
            </w: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62</w:t>
            </w:r>
          </w:p>
        </w:tc>
        <w:tc>
          <w:tcPr>
            <w:tcW w:w="100" w:type="dxa"/>
            <w:vAlign w:val="bottom"/>
          </w:tcPr>
          <w:p>
            <w:pPr>
              <w:spacing w:after="0"/>
              <w:rPr>
                <w:sz w:val="6"/>
                <w:szCs w:val="6"/>
                <w:color w:val="auto"/>
              </w:rPr>
            </w:pPr>
          </w:p>
        </w:tc>
        <w:tc>
          <w:tcPr>
            <w:tcW w:w="64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92,661</w:t>
            </w:r>
          </w:p>
        </w:tc>
        <w:tc>
          <w:tcPr>
            <w:tcW w:w="10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93</w:t>
            </w: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273,647</w:t>
            </w: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2,098</w:t>
            </w: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(25,770)</w:t>
            </w:r>
          </w:p>
        </w:tc>
        <w:tc>
          <w:tcPr>
            <w:tcW w:w="1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250,130</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Exercise of stock options, net</w:t>
            </w: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194</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1,734</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1,734</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Shares issued upon vesting of Restricted Stock Units, net</w:t>
            </w: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32</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(432)</w:t>
            </w: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(432)</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Shares issued upon vesting of Restricted Stock Awards, net</w:t>
            </w: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62</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Stock-based compensation expense</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9,924</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9,924</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Shares issued under ESPP</w:t>
            </w: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61</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1,443</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1,443</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Class B shares exchanged for Class A shares</w:t>
            </w: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2,500</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w:t>
            </w:r>
          </w:p>
        </w:tc>
        <w:tc>
          <w:tcPr>
            <w:tcW w:w="100" w:type="dxa"/>
            <w:vAlign w:val="bottom"/>
          </w:tcPr>
          <w:p>
            <w:pPr>
              <w:spacing w:after="0"/>
              <w:rPr>
                <w:sz w:val="7"/>
                <w:szCs w:val="7"/>
                <w:color w:val="auto"/>
              </w:rPr>
            </w:pPr>
          </w:p>
        </w:tc>
        <w:tc>
          <w:tcPr>
            <w:tcW w:w="74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(2,500)</w:t>
            </w:r>
          </w:p>
        </w:tc>
        <w:tc>
          <w:tcPr>
            <w:tcW w:w="580" w:type="dxa"/>
            <w:vAlign w:val="bottom"/>
          </w:tcPr>
          <w:p>
            <w:pPr>
              <w:spacing w:after="0"/>
              <w:rPr>
                <w:sz w:val="7"/>
                <w:szCs w:val="7"/>
                <w:color w:val="auto"/>
              </w:rPr>
            </w:pPr>
          </w:p>
        </w:tc>
        <w:tc>
          <w:tcPr>
            <w:tcW w:w="28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(3)</w:t>
            </w:r>
          </w:p>
        </w:tc>
        <w:tc>
          <w:tcPr>
            <w:tcW w:w="140" w:type="dxa"/>
            <w:vAlign w:val="bottom"/>
          </w:tcPr>
          <w:p>
            <w:pPr>
              <w:spacing w:after="0"/>
              <w:rPr>
                <w:sz w:val="7"/>
                <w:szCs w:val="7"/>
                <w:color w:val="auto"/>
              </w:rPr>
            </w:pPr>
          </w:p>
        </w:tc>
        <w:tc>
          <w:tcPr>
            <w:tcW w:w="7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Purchase of capped calls, net of tax</w:t>
            </w:r>
          </w:p>
        </w:tc>
        <w:tc>
          <w:tcPr>
            <w:tcW w:w="74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(31,517)</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(31,517)</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Foreign currency translation adjustments and revaluations, net of tax</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(3,335)</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(3,335)</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Unrealized gain from available-for-sale investments, net of tax</w:t>
            </w:r>
          </w:p>
        </w:tc>
        <w:tc>
          <w:tcPr>
            <w:tcW w:w="74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19</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19</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Net income</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68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5,164</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5,164</w:t>
            </w:r>
          </w:p>
        </w:tc>
      </w:tr>
      <w:tr>
        <w:trPr>
          <w:trHeight w:val="86"/>
        </w:trPr>
        <w:tc>
          <w:tcPr>
            <w:tcW w:w="3480" w:type="dxa"/>
            <w:vAlign w:val="bottom"/>
            <w:tcBorders>
              <w:top w:val="single" w:sz="8" w:color="CCEEFF"/>
              <w:bottom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Balance, June 30, 2024</w:t>
            </w:r>
          </w:p>
        </w:tc>
        <w:tc>
          <w:tcPr>
            <w:tcW w:w="6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65,165</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65</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90,161</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580" w:type="dxa"/>
            <w:vAlign w:val="bottom"/>
            <w:tcBorders>
              <w:top w:val="single" w:sz="8" w:color="auto"/>
              <w:bottom w:val="single" w:sz="8" w:color="auto"/>
            </w:tcBorders>
            <w:shd w:val="clear" w:color="auto" w:fill="CCEEFF"/>
          </w:tcPr>
          <w:p>
            <w:pPr>
              <w:jc w:val="right"/>
              <w:ind w:right="458"/>
              <w:spacing w:after="0" w:line="79"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90</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254,799</w:t>
            </w:r>
          </w:p>
        </w:tc>
        <w:tc>
          <w:tcPr>
            <w:tcW w:w="8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68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7,262</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8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(29,086)</w:t>
            </w:r>
          </w:p>
        </w:tc>
        <w:tc>
          <w:tcPr>
            <w:tcW w:w="100" w:type="dxa"/>
            <w:vAlign w:val="bottom"/>
            <w:tcBorders>
              <w:top w:val="single" w:sz="8" w:color="CCEEFF"/>
              <w:bottom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233,130</w:t>
            </w:r>
          </w:p>
        </w:tc>
      </w:tr>
      <w:tr>
        <w:trPr>
          <w:trHeight w:val="167"/>
        </w:trPr>
        <w:tc>
          <w:tcPr>
            <w:tcW w:w="3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90"/>
        </w:trPr>
        <w:tc>
          <w:tcPr>
            <w:tcW w:w="3480" w:type="dxa"/>
            <w:vAlign w:val="bottom"/>
          </w:tcPr>
          <w:p>
            <w:pPr>
              <w:spacing w:after="0"/>
              <w:rPr>
                <w:sz w:val="7"/>
                <w:szCs w:val="7"/>
                <w:color w:val="auto"/>
              </w:rPr>
            </w:pPr>
          </w:p>
        </w:tc>
        <w:tc>
          <w:tcPr>
            <w:tcW w:w="74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Outstanding</w:t>
            </w:r>
          </w:p>
        </w:tc>
        <w:tc>
          <w:tcPr>
            <w:tcW w:w="140" w:type="dxa"/>
            <w:vAlign w:val="bottom"/>
          </w:tcPr>
          <w:p>
            <w:pPr>
              <w:spacing w:after="0"/>
              <w:rPr>
                <w:sz w:val="7"/>
                <w:szCs w:val="7"/>
                <w:color w:val="auto"/>
              </w:rPr>
            </w:pPr>
          </w:p>
        </w:tc>
        <w:tc>
          <w:tcPr>
            <w:tcW w:w="72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8"/>
                <w:szCs w:val="8"/>
                <w:b w:val="1"/>
                <w:bCs w:val="1"/>
                <w:color w:val="auto"/>
              </w:rPr>
              <w:t>Class A</w:t>
            </w:r>
          </w:p>
        </w:tc>
        <w:tc>
          <w:tcPr>
            <w:tcW w:w="74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Outstanding</w:t>
            </w:r>
          </w:p>
        </w:tc>
        <w:tc>
          <w:tcPr>
            <w:tcW w:w="580" w:type="dxa"/>
            <w:vAlign w:val="bottom"/>
          </w:tcPr>
          <w:p>
            <w:pPr>
              <w:jc w:val="center"/>
              <w:ind w:left="138"/>
              <w:spacing w:after="0" w:line="90" w:lineRule="exact"/>
              <w:rPr>
                <w:sz w:val="20"/>
                <w:szCs w:val="20"/>
                <w:color w:val="auto"/>
              </w:rPr>
            </w:pPr>
            <w:r>
              <w:rPr>
                <w:rFonts w:ascii="Times New Roman" w:cs="Times New Roman" w:eastAsia="Times New Roman" w:hAnsi="Times New Roman"/>
                <w:sz w:val="8"/>
                <w:szCs w:val="8"/>
                <w:b w:val="1"/>
                <w:bCs w:val="1"/>
                <w:color w:val="auto"/>
              </w:rPr>
              <w:t>Class B</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center"/>
              <w:ind w:right="220"/>
              <w:spacing w:after="0" w:line="90"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00" w:type="dxa"/>
            <w:vAlign w:val="bottom"/>
          </w:tcPr>
          <w:p>
            <w:pPr>
              <w:spacing w:after="0"/>
              <w:rPr>
                <w:sz w:val="7"/>
                <w:szCs w:val="7"/>
                <w:color w:val="auto"/>
              </w:rPr>
            </w:pPr>
          </w:p>
        </w:tc>
        <w:tc>
          <w:tcPr>
            <w:tcW w:w="78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Deficit)</w:t>
            </w:r>
          </w:p>
        </w:tc>
        <w:tc>
          <w:tcPr>
            <w:tcW w:w="140" w:type="dxa"/>
            <w:vAlign w:val="bottom"/>
          </w:tcPr>
          <w:p>
            <w:pPr>
              <w:spacing w:after="0"/>
              <w:rPr>
                <w:sz w:val="7"/>
                <w:szCs w:val="7"/>
                <w:color w:val="auto"/>
              </w:rPr>
            </w:pPr>
          </w:p>
        </w:tc>
        <w:tc>
          <w:tcPr>
            <w:tcW w:w="94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8"/>
                <w:szCs w:val="8"/>
                <w:b w:val="1"/>
                <w:bCs w:val="1"/>
                <w:color w:val="auto"/>
              </w:rPr>
              <w:t>Other</w:t>
            </w:r>
          </w:p>
        </w:tc>
        <w:tc>
          <w:tcPr>
            <w:tcW w:w="140" w:type="dxa"/>
            <w:vAlign w:val="bottom"/>
          </w:tcPr>
          <w:p>
            <w:pPr>
              <w:spacing w:after="0"/>
              <w:rPr>
                <w:sz w:val="7"/>
                <w:szCs w:val="7"/>
                <w:color w:val="auto"/>
              </w:rPr>
            </w:pPr>
          </w:p>
        </w:tc>
        <w:tc>
          <w:tcPr>
            <w:tcW w:w="640" w:type="dxa"/>
            <w:vAlign w:val="bottom"/>
          </w:tcPr>
          <w:p>
            <w:pPr>
              <w:jc w:val="center"/>
              <w:ind w:right="98"/>
              <w:spacing w:after="0" w:line="90" w:lineRule="exact"/>
              <w:rPr>
                <w:sz w:val="20"/>
                <w:szCs w:val="20"/>
                <w:color w:val="auto"/>
              </w:rPr>
            </w:pPr>
            <w:r>
              <w:rPr>
                <w:rFonts w:ascii="Times New Roman" w:cs="Times New Roman" w:eastAsia="Times New Roman" w:hAnsi="Times New Roman"/>
                <w:sz w:val="8"/>
                <w:szCs w:val="8"/>
                <w:b w:val="1"/>
                <w:bCs w:val="1"/>
                <w:color w:val="auto"/>
                <w:w w:val="98"/>
              </w:rPr>
              <w:t>Total</w:t>
            </w:r>
          </w:p>
        </w:tc>
      </w:tr>
      <w:tr>
        <w:trPr>
          <w:trHeight w:val="90"/>
        </w:trPr>
        <w:tc>
          <w:tcPr>
            <w:tcW w:w="3480" w:type="dxa"/>
            <w:vAlign w:val="bottom"/>
          </w:tcPr>
          <w:p>
            <w:pPr>
              <w:spacing w:after="0"/>
              <w:rPr>
                <w:sz w:val="7"/>
                <w:szCs w:val="7"/>
                <w:color w:val="auto"/>
              </w:rPr>
            </w:pPr>
          </w:p>
        </w:tc>
        <w:tc>
          <w:tcPr>
            <w:tcW w:w="74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Class A</w:t>
            </w:r>
          </w:p>
        </w:tc>
        <w:tc>
          <w:tcPr>
            <w:tcW w:w="140" w:type="dxa"/>
            <w:vAlign w:val="bottom"/>
          </w:tcPr>
          <w:p>
            <w:pPr>
              <w:spacing w:after="0"/>
              <w:rPr>
                <w:sz w:val="7"/>
                <w:szCs w:val="7"/>
                <w:color w:val="auto"/>
              </w:rPr>
            </w:pPr>
          </w:p>
        </w:tc>
        <w:tc>
          <w:tcPr>
            <w:tcW w:w="72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8"/>
                <w:szCs w:val="8"/>
                <w:b w:val="1"/>
                <w:bCs w:val="1"/>
                <w:color w:val="auto"/>
              </w:rPr>
              <w:t>Common</w:t>
            </w:r>
          </w:p>
        </w:tc>
        <w:tc>
          <w:tcPr>
            <w:tcW w:w="740" w:type="dxa"/>
            <w:vAlign w:val="bottom"/>
            <w:gridSpan w:val="2"/>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Class B</w:t>
            </w:r>
          </w:p>
        </w:tc>
        <w:tc>
          <w:tcPr>
            <w:tcW w:w="580" w:type="dxa"/>
            <w:vAlign w:val="bottom"/>
          </w:tcPr>
          <w:p>
            <w:pPr>
              <w:jc w:val="center"/>
              <w:ind w:left="138"/>
              <w:spacing w:after="0" w:line="90" w:lineRule="exact"/>
              <w:rPr>
                <w:sz w:val="20"/>
                <w:szCs w:val="20"/>
                <w:color w:val="auto"/>
              </w:rPr>
            </w:pPr>
            <w:r>
              <w:rPr>
                <w:rFonts w:ascii="Times New Roman" w:cs="Times New Roman" w:eastAsia="Times New Roman" w:hAnsi="Times New Roman"/>
                <w:sz w:val="8"/>
                <w:szCs w:val="8"/>
                <w:b w:val="1"/>
                <w:bCs w:val="1"/>
                <w:color w:val="auto"/>
              </w:rPr>
              <w:t>Common</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center"/>
              <w:ind w:right="220"/>
              <w:spacing w:after="0" w:line="90" w:lineRule="exact"/>
              <w:rPr>
                <w:sz w:val="20"/>
                <w:szCs w:val="20"/>
                <w:color w:val="auto"/>
              </w:rPr>
            </w:pPr>
            <w:r>
              <w:rPr>
                <w:rFonts w:ascii="Times New Roman" w:cs="Times New Roman" w:eastAsia="Times New Roman" w:hAnsi="Times New Roman"/>
                <w:sz w:val="8"/>
                <w:szCs w:val="8"/>
                <w:b w:val="1"/>
                <w:bCs w:val="1"/>
                <w:color w:val="auto"/>
              </w:rPr>
              <w:t>Paid In</w:t>
            </w:r>
          </w:p>
        </w:tc>
        <w:tc>
          <w:tcPr>
            <w:tcW w:w="100" w:type="dxa"/>
            <w:vAlign w:val="bottom"/>
          </w:tcPr>
          <w:p>
            <w:pPr>
              <w:spacing w:after="0"/>
              <w:rPr>
                <w:sz w:val="7"/>
                <w:szCs w:val="7"/>
                <w:color w:val="auto"/>
              </w:rPr>
            </w:pPr>
          </w:p>
        </w:tc>
        <w:tc>
          <w:tcPr>
            <w:tcW w:w="780" w:type="dxa"/>
            <w:vAlign w:val="bottom"/>
            <w:gridSpan w:val="2"/>
          </w:tcPr>
          <w:p>
            <w:pPr>
              <w:jc w:val="center"/>
              <w:ind w:right="200"/>
              <w:spacing w:after="0" w:line="90" w:lineRule="exact"/>
              <w:rPr>
                <w:sz w:val="20"/>
                <w:szCs w:val="20"/>
                <w:color w:val="auto"/>
              </w:rPr>
            </w:pPr>
            <w:r>
              <w:rPr>
                <w:rFonts w:ascii="Times New Roman" w:cs="Times New Roman" w:eastAsia="Times New Roman" w:hAnsi="Times New Roman"/>
                <w:sz w:val="8"/>
                <w:szCs w:val="8"/>
                <w:b w:val="1"/>
                <w:bCs w:val="1"/>
                <w:color w:val="auto"/>
              </w:rPr>
              <w:t>Retained</w:t>
            </w:r>
          </w:p>
        </w:tc>
        <w:tc>
          <w:tcPr>
            <w:tcW w:w="140" w:type="dxa"/>
            <w:vAlign w:val="bottom"/>
          </w:tcPr>
          <w:p>
            <w:pPr>
              <w:spacing w:after="0"/>
              <w:rPr>
                <w:sz w:val="7"/>
                <w:szCs w:val="7"/>
                <w:color w:val="auto"/>
              </w:rPr>
            </w:pPr>
          </w:p>
        </w:tc>
        <w:tc>
          <w:tcPr>
            <w:tcW w:w="940" w:type="dxa"/>
            <w:vAlign w:val="bottom"/>
            <w:gridSpan w:val="2"/>
          </w:tcPr>
          <w:p>
            <w:pPr>
              <w:jc w:val="center"/>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40" w:type="dxa"/>
            <w:vAlign w:val="bottom"/>
          </w:tcPr>
          <w:p>
            <w:pPr>
              <w:spacing w:after="0"/>
              <w:rPr>
                <w:sz w:val="7"/>
                <w:szCs w:val="7"/>
                <w:color w:val="auto"/>
              </w:rPr>
            </w:pPr>
          </w:p>
        </w:tc>
        <w:tc>
          <w:tcPr>
            <w:tcW w:w="640" w:type="dxa"/>
            <w:vAlign w:val="bottom"/>
          </w:tcPr>
          <w:p>
            <w:pPr>
              <w:jc w:val="center"/>
              <w:ind w:right="98"/>
              <w:spacing w:after="0" w:line="90" w:lineRule="exact"/>
              <w:rPr>
                <w:sz w:val="20"/>
                <w:szCs w:val="20"/>
                <w:color w:val="auto"/>
              </w:rPr>
            </w:pPr>
            <w:r>
              <w:rPr>
                <w:rFonts w:ascii="Times New Roman" w:cs="Times New Roman" w:eastAsia="Times New Roman" w:hAnsi="Times New Roman"/>
                <w:sz w:val="8"/>
                <w:szCs w:val="8"/>
                <w:b w:val="1"/>
                <w:bCs w:val="1"/>
                <w:color w:val="auto"/>
              </w:rPr>
              <w:t>Stockholders'</w:t>
            </w:r>
          </w:p>
        </w:tc>
      </w:tr>
      <w:tr>
        <w:trPr>
          <w:trHeight w:val="103"/>
        </w:trPr>
        <w:tc>
          <w:tcPr>
            <w:tcW w:w="3480" w:type="dxa"/>
            <w:vAlign w:val="bottom"/>
          </w:tcPr>
          <w:p>
            <w:pPr>
              <w:spacing w:after="0"/>
              <w:rPr>
                <w:sz w:val="8"/>
                <w:szCs w:val="8"/>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140" w:type="dxa"/>
            <w:vAlign w:val="bottom"/>
          </w:tcPr>
          <w:p>
            <w:pPr>
              <w:spacing w:after="0"/>
              <w:rPr>
                <w:sz w:val="8"/>
                <w:szCs w:val="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Stock</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Shares</w:t>
            </w:r>
          </w:p>
        </w:tc>
        <w:tc>
          <w:tcPr>
            <w:tcW w:w="580" w:type="dxa"/>
            <w:vAlign w:val="bottom"/>
          </w:tcPr>
          <w:p>
            <w:pPr>
              <w:jc w:val="center"/>
              <w:ind w:left="138"/>
              <w:spacing w:after="0"/>
              <w:rPr>
                <w:sz w:val="20"/>
                <w:szCs w:val="20"/>
                <w:color w:val="auto"/>
              </w:rPr>
            </w:pPr>
            <w:r>
              <w:rPr>
                <w:rFonts w:ascii="Times New Roman" w:cs="Times New Roman" w:eastAsia="Times New Roman" w:hAnsi="Times New Roman"/>
                <w:sz w:val="8"/>
                <w:szCs w:val="8"/>
                <w:b w:val="1"/>
                <w:bCs w:val="1"/>
                <w:color w:val="auto"/>
              </w:rPr>
              <w:t>Stock</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Capital</w:t>
            </w:r>
          </w:p>
        </w:tc>
        <w:tc>
          <w:tcPr>
            <w:tcW w:w="100" w:type="dxa"/>
            <w:vAlign w:val="bottom"/>
          </w:tcPr>
          <w:p>
            <w:pPr>
              <w:spacing w:after="0"/>
              <w:rPr>
                <w:sz w:val="8"/>
                <w:szCs w:val="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8"/>
                <w:szCs w:val="8"/>
                <w:b w:val="1"/>
                <w:bCs w:val="1"/>
                <w:color w:val="auto"/>
              </w:rPr>
              <w:t>Earnings</w:t>
            </w:r>
          </w:p>
        </w:tc>
        <w:tc>
          <w:tcPr>
            <w:tcW w:w="140" w:type="dxa"/>
            <w:vAlign w:val="bottom"/>
          </w:tcPr>
          <w:p>
            <w:pPr>
              <w:spacing w:after="0"/>
              <w:rPr>
                <w:sz w:val="8"/>
                <w:szCs w:val="8"/>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8"/>
                <w:szCs w:val="8"/>
                <w:b w:val="1"/>
                <w:bCs w:val="1"/>
                <w:color w:val="auto"/>
              </w:rPr>
              <w:t>Loss</w:t>
            </w:r>
          </w:p>
        </w:tc>
        <w:tc>
          <w:tcPr>
            <w:tcW w:w="140" w:type="dxa"/>
            <w:vAlign w:val="bottom"/>
          </w:tcPr>
          <w:p>
            <w:pPr>
              <w:spacing w:after="0"/>
              <w:rPr>
                <w:sz w:val="8"/>
                <w:szCs w:val="8"/>
                <w:color w:val="auto"/>
              </w:rPr>
            </w:pPr>
          </w:p>
        </w:tc>
        <w:tc>
          <w:tcPr>
            <w:tcW w:w="640" w:type="dxa"/>
            <w:vAlign w:val="bottom"/>
          </w:tcPr>
          <w:p>
            <w:pPr>
              <w:jc w:val="center"/>
              <w:ind w:right="78"/>
              <w:spacing w:after="0"/>
              <w:rPr>
                <w:sz w:val="20"/>
                <w:szCs w:val="20"/>
                <w:color w:val="auto"/>
              </w:rPr>
            </w:pPr>
            <w:r>
              <w:rPr>
                <w:rFonts w:ascii="Times New Roman" w:cs="Times New Roman" w:eastAsia="Times New Roman" w:hAnsi="Times New Roman"/>
                <w:sz w:val="8"/>
                <w:szCs w:val="8"/>
                <w:b w:val="1"/>
                <w:bCs w:val="1"/>
                <w:color w:val="auto"/>
              </w:rPr>
              <w:t>Equity</w:t>
            </w:r>
          </w:p>
        </w:tc>
      </w:tr>
      <w:tr>
        <w:trPr>
          <w:trHeight w:val="79"/>
        </w:trPr>
        <w:tc>
          <w:tcPr>
            <w:tcW w:w="348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Balance, January 1, 2023</w:t>
            </w: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50,014</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50</w:t>
            </w:r>
          </w:p>
        </w:tc>
        <w:tc>
          <w:tcPr>
            <w:tcW w:w="1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100,307</w:t>
            </w:r>
          </w:p>
        </w:tc>
        <w:tc>
          <w:tcPr>
            <w:tcW w:w="1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jc w:val="right"/>
              <w:ind w:right="458"/>
              <w:spacing w:after="0" w:line="79"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w w:val="99"/>
              </w:rPr>
              <w:t>100</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244,820</w:t>
            </w: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6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12,507</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8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(27,752)</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229,725</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Exercise of stock options, net</w:t>
            </w: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592</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7"/>
                <w:szCs w:val="7"/>
                <w:color w:val="auto"/>
              </w:rPr>
            </w:pP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1,279</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1,280</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Shares issued upon vesting of Restricted Stock Units, net</w:t>
            </w: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391</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(3,471)</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(3,471)</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Shares issued upon vesting of Restricted Stock Awards, net</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Stock-based compensation expense</w:t>
            </w:r>
          </w:p>
        </w:tc>
        <w:tc>
          <w:tcPr>
            <w:tcW w:w="74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10,938</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10,938</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Shares issued in connection with ESPP</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Class B shares exchanged for Class A shares</w:t>
            </w: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2,589</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w:t>
            </w:r>
          </w:p>
        </w:tc>
        <w:tc>
          <w:tcPr>
            <w:tcW w:w="10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(2,589)</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(2)</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Foreign currency translation adjustments and revaluations, net of tax</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8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3,122</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3,122</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Unrealized gain from available-for-sale investments, net of tax</w:t>
            </w:r>
          </w:p>
        </w:tc>
        <w:tc>
          <w:tcPr>
            <w:tcW w:w="74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13</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13</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Net loss</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78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(18,132)</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(18,132)</w:t>
            </w:r>
          </w:p>
        </w:tc>
      </w:tr>
      <w:tr>
        <w:trPr>
          <w:trHeight w:val="79"/>
        </w:trPr>
        <w:tc>
          <w:tcPr>
            <w:tcW w:w="3480" w:type="dxa"/>
            <w:vAlign w:val="bottom"/>
            <w:tcBorders>
              <w:top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Balance, March 31, 2023</w:t>
            </w: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53,586</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53</w:t>
            </w:r>
          </w:p>
        </w:tc>
        <w:tc>
          <w:tcPr>
            <w:tcW w:w="1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97,718</w:t>
            </w:r>
          </w:p>
        </w:tc>
        <w:tc>
          <w:tcPr>
            <w:tcW w:w="1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98</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253,566</w:t>
            </w: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(5,625)</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(24,617)</w:t>
            </w: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223,475</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Exercise of stock options, net</w:t>
            </w: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259</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7"/>
                <w:szCs w:val="7"/>
                <w:color w:val="auto"/>
              </w:rPr>
            </w:pP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668</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669</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Shares issued upon vesting of Restricted Stock Units, net</w:t>
            </w: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22</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(221)</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(221)</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Shares issued upon vesting of Restricted Stock Awards, net</w:t>
            </w: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106</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Shares issued in connection with ESPP</w:t>
            </w: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81</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1,178</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1,178</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Stock-based compensation expense</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6,904</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6,904</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Foreign currency translation adjustments and revaluations, net of tax</w:t>
            </w:r>
          </w:p>
        </w:tc>
        <w:tc>
          <w:tcPr>
            <w:tcW w:w="74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609</w:t>
            </w: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609</w:t>
            </w:r>
          </w:p>
        </w:tc>
      </w:tr>
      <w:tr>
        <w:trPr>
          <w:trHeight w:val="90"/>
        </w:trPr>
        <w:tc>
          <w:tcPr>
            <w:tcW w:w="3480" w:type="dxa"/>
            <w:vAlign w:val="bottom"/>
          </w:tcPr>
          <w:p>
            <w:pPr>
              <w:spacing w:after="0" w:line="90" w:lineRule="exact"/>
              <w:rPr>
                <w:sz w:val="20"/>
                <w:szCs w:val="20"/>
                <w:color w:val="auto"/>
              </w:rPr>
            </w:pPr>
            <w:r>
              <w:rPr>
                <w:rFonts w:ascii="Times New Roman" w:cs="Times New Roman" w:eastAsia="Times New Roman" w:hAnsi="Times New Roman"/>
                <w:sz w:val="8"/>
                <w:szCs w:val="8"/>
                <w:color w:val="auto"/>
              </w:rPr>
              <w:t>Unrealized loss from available-for-sale investments, net of tax</w:t>
            </w:r>
          </w:p>
        </w:tc>
        <w:tc>
          <w:tcPr>
            <w:tcW w:w="74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spacing w:after="0"/>
              <w:rPr>
                <w:sz w:val="7"/>
                <w:szCs w:val="7"/>
                <w:color w:val="auto"/>
              </w:rPr>
            </w:pPr>
          </w:p>
        </w:tc>
        <w:tc>
          <w:tcPr>
            <w:tcW w:w="28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72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78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tcPr>
          <w:p>
            <w:pPr>
              <w:spacing w:after="0"/>
              <w:rPr>
                <w:sz w:val="7"/>
                <w:szCs w:val="7"/>
                <w:color w:val="auto"/>
              </w:rPr>
            </w:pPr>
          </w:p>
        </w:tc>
        <w:tc>
          <w:tcPr>
            <w:tcW w:w="940" w:type="dxa"/>
            <w:vAlign w:val="bottom"/>
            <w:gridSpan w:val="2"/>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(3)</w:t>
            </w:r>
          </w:p>
        </w:tc>
        <w:tc>
          <w:tcPr>
            <w:tcW w:w="14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w:t>
            </w:r>
          </w:p>
        </w:tc>
      </w:tr>
      <w:tr>
        <w:trPr>
          <w:trHeight w:val="90"/>
        </w:trPr>
        <w:tc>
          <w:tcPr>
            <w:tcW w:w="3480" w:type="dxa"/>
            <w:vAlign w:val="bottom"/>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Net loss</w:t>
            </w:r>
          </w:p>
        </w:tc>
        <w:tc>
          <w:tcPr>
            <w:tcW w:w="74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7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spacing w:after="0"/>
              <w:rPr>
                <w:sz w:val="7"/>
                <w:szCs w:val="7"/>
                <w:color w:val="auto"/>
              </w:rPr>
            </w:pPr>
          </w:p>
        </w:tc>
        <w:tc>
          <w:tcPr>
            <w:tcW w:w="28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100"/>
              <w:spacing w:after="0" w:line="90" w:lineRule="exact"/>
              <w:rPr>
                <w:sz w:val="20"/>
                <w:szCs w:val="20"/>
                <w:color w:val="auto"/>
              </w:rPr>
            </w:pPr>
            <w:r>
              <w:rPr>
                <w:rFonts w:ascii="Times New Roman" w:cs="Times New Roman" w:eastAsia="Times New Roman" w:hAnsi="Times New Roman"/>
                <w:sz w:val="8"/>
                <w:szCs w:val="8"/>
                <w:color w:val="auto"/>
              </w:rPr>
              <w:t>(6,896)</w:t>
            </w:r>
          </w:p>
        </w:tc>
        <w:tc>
          <w:tcPr>
            <w:tcW w:w="140" w:type="dxa"/>
            <w:vAlign w:val="bottom"/>
            <w:shd w:val="clear" w:color="auto" w:fill="CCEEFF"/>
          </w:tcPr>
          <w:p>
            <w:pPr>
              <w:spacing w:after="0"/>
              <w:rPr>
                <w:sz w:val="7"/>
                <w:szCs w:val="7"/>
                <w:color w:val="auto"/>
              </w:rPr>
            </w:pPr>
          </w:p>
        </w:tc>
        <w:tc>
          <w:tcPr>
            <w:tcW w:w="94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w:t>
            </w:r>
          </w:p>
        </w:tc>
        <w:tc>
          <w:tcPr>
            <w:tcW w:w="14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(6,896)</w:t>
            </w:r>
          </w:p>
        </w:tc>
      </w:tr>
      <w:tr>
        <w:trPr>
          <w:trHeight w:val="86"/>
        </w:trPr>
        <w:tc>
          <w:tcPr>
            <w:tcW w:w="3480" w:type="dxa"/>
            <w:vAlign w:val="bottom"/>
          </w:tcPr>
          <w:p>
            <w:pPr>
              <w:spacing w:after="0" w:line="79" w:lineRule="exact"/>
              <w:rPr>
                <w:sz w:val="20"/>
                <w:szCs w:val="20"/>
                <w:color w:val="auto"/>
              </w:rPr>
            </w:pPr>
            <w:r>
              <w:rPr>
                <w:rFonts w:ascii="Times New Roman" w:cs="Times New Roman" w:eastAsia="Times New Roman" w:hAnsi="Times New Roman"/>
                <w:sz w:val="8"/>
                <w:szCs w:val="8"/>
                <w:color w:val="auto"/>
              </w:rPr>
              <w:t>Balance, June 30, 2023</w:t>
            </w: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54,054</w:t>
            </w:r>
          </w:p>
        </w:tc>
        <w:tc>
          <w:tcPr>
            <w:tcW w:w="10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54</w:t>
            </w:r>
          </w:p>
        </w:tc>
        <w:tc>
          <w:tcPr>
            <w:tcW w:w="10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97,718</w:t>
            </w:r>
          </w:p>
        </w:tc>
        <w:tc>
          <w:tcPr>
            <w:tcW w:w="10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458"/>
              <w:spacing w:after="0" w:line="79"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98</w:t>
            </w:r>
          </w:p>
        </w:tc>
        <w:tc>
          <w:tcPr>
            <w:tcW w:w="10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262,095</w:t>
            </w:r>
          </w:p>
        </w:tc>
        <w:tc>
          <w:tcPr>
            <w:tcW w:w="80" w:type="dxa"/>
            <w:vAlign w:val="bottom"/>
          </w:tcPr>
          <w:p>
            <w:pPr>
              <w:spacing w:after="0"/>
              <w:rPr>
                <w:sz w:val="7"/>
                <w:szCs w:val="7"/>
                <w:color w:val="auto"/>
              </w:rPr>
            </w:pPr>
          </w:p>
        </w:tc>
        <w:tc>
          <w:tcPr>
            <w:tcW w:w="1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6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(12,521)</w:t>
            </w:r>
          </w:p>
        </w:tc>
        <w:tc>
          <w:tcPr>
            <w:tcW w:w="10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8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(24,011)</w:t>
            </w:r>
          </w:p>
        </w:tc>
        <w:tc>
          <w:tcPr>
            <w:tcW w:w="100" w:type="dxa"/>
            <w:vAlign w:val="bottom"/>
          </w:tcPr>
          <w:p>
            <w:pPr>
              <w:spacing w:after="0"/>
              <w:rPr>
                <w:sz w:val="7"/>
                <w:szCs w:val="7"/>
                <w:color w:val="auto"/>
              </w:rPr>
            </w:pPr>
          </w:p>
        </w:tc>
        <w:tc>
          <w:tcPr>
            <w:tcW w:w="140" w:type="dxa"/>
            <w:vAlign w:val="bottom"/>
            <w:tcBorders>
              <w:top w:val="single" w:sz="8" w:color="auto"/>
              <w:bottom w:val="single" w:sz="8" w:color="auto"/>
            </w:tcBorders>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225,715</w:t>
            </w: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232410</wp:posOffset>
            </wp:positionV>
            <wp:extent cx="652653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6530" cy="11430"/>
                    </a:xfrm>
                    <a:prstGeom prst="rect">
                      <a:avLst/>
                    </a:prstGeom>
                    <a:noFill/>
                  </pic:spPr>
                </pic:pic>
              </a:graphicData>
            </a:graphic>
          </wp:anchor>
        </w:drawing>
      </w:r>
    </w:p>
    <w:p>
      <w:pPr>
        <w:sectPr>
          <w:pgSz w:w="11900" w:h="16838" w:orient="portrait"/>
          <w:cols w:equalWidth="0" w:num="1">
            <w:col w:w="10280"/>
          </w:cols>
          <w:pgMar w:left="800" w:top="390" w:right="81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Vertex, Inc. and Subsidiaries</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Cash Flows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For the six months ended June 30, 2024 and 2023 (unaudited)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(Amounts in thousands)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10"/>
        </w:trPr>
        <w:tc>
          <w:tcPr>
            <w:tcW w:w="570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1440" w:type="dxa"/>
            <w:vAlign w:val="bottom"/>
            <w:tcBorders>
              <w:top w:val="single" w:sz="8" w:color="auto"/>
              <w:bottom w:val="single" w:sz="8" w:color="auto"/>
            </w:tcBorders>
            <w:gridSpan w:val="4"/>
          </w:tcPr>
          <w:p>
            <w:pPr>
              <w:jc w:val="right"/>
              <w:spacing w:after="0" w:line="110" w:lineRule="exact"/>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560" w:type="dxa"/>
            <w:vAlign w:val="bottom"/>
            <w:tcBorders>
              <w:top w:val="single" w:sz="8" w:color="auto"/>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88"/>
        </w:trPr>
        <w:tc>
          <w:tcPr>
            <w:tcW w:w="57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ind w:right="37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312"/>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2023</w:t>
            </w:r>
          </w:p>
        </w:tc>
        <w:tc>
          <w:tcPr>
            <w:tcW w:w="20" w:type="dxa"/>
            <w:vAlign w:val="bottom"/>
          </w:tcPr>
          <w:p>
            <w:pPr>
              <w:spacing w:after="0"/>
              <w:rPr>
                <w:sz w:val="7"/>
                <w:szCs w:val="7"/>
                <w:color w:val="auto"/>
              </w:rPr>
            </w:pPr>
          </w:p>
        </w:tc>
      </w:tr>
      <w:tr>
        <w:trPr>
          <w:trHeight w:val="79"/>
        </w:trPr>
        <w:tc>
          <w:tcPr>
            <w:tcW w:w="57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gridSpan w:val="4"/>
          </w:tcPr>
          <w:p>
            <w:pPr>
              <w:jc w:val="right"/>
              <w:ind w:right="296"/>
              <w:spacing w:after="0" w:line="79" w:lineRule="exact"/>
              <w:rPr>
                <w:sz w:val="20"/>
                <w:szCs w:val="20"/>
                <w:color w:val="auto"/>
              </w:rPr>
            </w:pPr>
            <w:r>
              <w:rPr>
                <w:rFonts w:ascii="Times New Roman" w:cs="Times New Roman" w:eastAsia="Times New Roman" w:hAnsi="Times New Roman"/>
                <w:sz w:val="8"/>
                <w:szCs w:val="8"/>
                <w:b w:val="1"/>
                <w:bCs w:val="1"/>
                <w:color w:val="auto"/>
              </w:rPr>
              <w:t>(unaudited)</w:t>
            </w: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99"/>
        </w:trPr>
        <w:tc>
          <w:tcPr>
            <w:tcW w:w="57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Cash flows from operating activities: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57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Net income (loss)</w:t>
            </w:r>
          </w:p>
        </w:tc>
        <w:tc>
          <w:tcPr>
            <w:tcW w:w="1260" w:type="dxa"/>
            <w:vAlign w:val="bottom"/>
            <w:gridSpan w:val="2"/>
          </w:tcPr>
          <w:p>
            <w:pPr>
              <w:jc w:val="right"/>
              <w:ind w:right="176"/>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7,848</w:t>
            </w:r>
          </w:p>
        </w:tc>
        <w:tc>
          <w:tcPr>
            <w:tcW w:w="80" w:type="dxa"/>
            <w:vAlign w:val="bottom"/>
          </w:tcPr>
          <w:p>
            <w:pPr>
              <w:spacing w:after="0"/>
              <w:rPr>
                <w:sz w:val="8"/>
                <w:szCs w:val="8"/>
                <w:color w:val="auto"/>
              </w:rPr>
            </w:pPr>
          </w:p>
        </w:tc>
        <w:tc>
          <w:tcPr>
            <w:tcW w:w="560" w:type="dxa"/>
            <w:vAlign w:val="bottom"/>
            <w:gridSpan w:val="2"/>
          </w:tcPr>
          <w:p>
            <w:pPr>
              <w:jc w:val="right"/>
              <w:ind w:right="396"/>
              <w:spacing w:after="0" w:line="9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(25,028)</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Adjustments to reconcile net loss to net cash provided by operating activities: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41,330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34,190</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Amortization of cloud computing implementation costs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1,989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631</w:t>
            </w: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Provision for subscription cancellations and non-renewals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451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1,374</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Amortization of deferred financing costs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660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126</w:t>
            </w: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Change in fair value of contingent consideration liabilities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(2,375)</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449</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Change in settlement value of deferred purchase commitment liability</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423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Write-off of deferred financing costs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276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Stock-based compensation expense</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26,324</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18,456</w:t>
            </w: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Deferred income tax benefit</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(9,702)</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(12,331)</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Non-cash operating lease costs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1,536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625</w:t>
            </w: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Other</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(165)</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(67)</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Changes in operating assets and liabilities: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Accounts receivable</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19,730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(30,512)</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Prepaid expenses and other current assets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969</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355</w:t>
            </w: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Deferred commissions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(625)</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(1,263)</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Accounts payable</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665</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7,655</w:t>
            </w: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Accrued expenses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(3,021)</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17,407</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Accrued and deferred compensation</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(8,660)</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(10,705)</w:t>
            </w: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Deferred revenue</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8,051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1,179</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Operating lease liabilities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(2,081)</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(1,722)</w:t>
            </w:r>
          </w:p>
        </w:tc>
        <w:tc>
          <w:tcPr>
            <w:tcW w:w="20" w:type="dxa"/>
            <w:vAlign w:val="bottom"/>
          </w:tcPr>
          <w:p>
            <w:pPr>
              <w:spacing w:after="0"/>
              <w:rPr>
                <w:sz w:val="8"/>
                <w:szCs w:val="8"/>
                <w:color w:val="auto"/>
              </w:rPr>
            </w:pPr>
          </w:p>
        </w:tc>
      </w:tr>
      <w:tr>
        <w:trPr>
          <w:trHeight w:val="99"/>
        </w:trPr>
        <w:tc>
          <w:tcPr>
            <w:tcW w:w="57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Payments for purchase commitment and contingent consideration liabilities in excess of initial fair value</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(4,367)</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Other</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3,036</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(1,717)</w:t>
            </w:r>
          </w:p>
        </w:tc>
      </w:tr>
      <w:tr>
        <w:trPr>
          <w:trHeight w:val="88"/>
        </w:trPr>
        <w:tc>
          <w:tcPr>
            <w:tcW w:w="5700" w:type="dxa"/>
            <w:vAlign w:val="bottom"/>
            <w:tcBorders>
              <w:bottom w:val="single" w:sz="8" w:color="CCEEFF"/>
            </w:tcBorders>
          </w:tcPr>
          <w:p>
            <w:pPr>
              <w:ind w:left="80"/>
              <w:spacing w:after="0" w:line="88" w:lineRule="exact"/>
              <w:rPr>
                <w:sz w:val="20"/>
                <w:szCs w:val="20"/>
                <w:color w:val="auto"/>
              </w:rPr>
            </w:pPr>
            <w:r>
              <w:rPr>
                <w:rFonts w:ascii="Times New Roman" w:cs="Times New Roman" w:eastAsia="Times New Roman" w:hAnsi="Times New Roman"/>
                <w:sz w:val="10"/>
                <w:szCs w:val="10"/>
                <w:color w:val="auto"/>
              </w:rPr>
              <w:t>Net cash provided by (used in) operating activities</w:t>
            </w:r>
          </w:p>
        </w:tc>
        <w:tc>
          <w:tcPr>
            <w:tcW w:w="102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82,292</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(898)</w:t>
            </w:r>
          </w:p>
        </w:tc>
        <w:tc>
          <w:tcPr>
            <w:tcW w:w="20" w:type="dxa"/>
            <w:vAlign w:val="bottom"/>
          </w:tcPr>
          <w:p>
            <w:pPr>
              <w:spacing w:after="0"/>
              <w:rPr>
                <w:sz w:val="7"/>
                <w:szCs w:val="7"/>
                <w:color w:val="auto"/>
              </w:rPr>
            </w:pPr>
          </w:p>
        </w:tc>
      </w:tr>
      <w:tr>
        <w:trPr>
          <w:trHeight w:val="88"/>
        </w:trPr>
        <w:tc>
          <w:tcPr>
            <w:tcW w:w="57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Cash flows from investing activities:</w:t>
            </w:r>
          </w:p>
        </w:tc>
        <w:tc>
          <w:tcPr>
            <w:tcW w:w="10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57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Acquisition of assets, net of cash acquired</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(6,075)</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Property and equipment additions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(29,749)</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(21,859)</w:t>
            </w:r>
          </w:p>
        </w:tc>
      </w:tr>
      <w:tr>
        <w:trPr>
          <w:trHeight w:val="99"/>
        </w:trPr>
        <w:tc>
          <w:tcPr>
            <w:tcW w:w="57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Capitalized software additions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(11,097)</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(9,042)</w:t>
            </w: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Purchase of investment securities, available-for-sale</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(7,776)</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(8,427)</w:t>
            </w:r>
          </w:p>
        </w:tc>
        <w:tc>
          <w:tcPr>
            <w:tcW w:w="20" w:type="dxa"/>
            <w:vAlign w:val="bottom"/>
          </w:tcPr>
          <w:p>
            <w:pPr>
              <w:spacing w:after="0"/>
              <w:rPr>
                <w:sz w:val="8"/>
                <w:szCs w:val="8"/>
                <w:color w:val="auto"/>
              </w:rPr>
            </w:pPr>
          </w:p>
        </w:tc>
      </w:tr>
      <w:tr>
        <w:trPr>
          <w:trHeight w:val="99"/>
        </w:trPr>
        <w:tc>
          <w:tcPr>
            <w:tcW w:w="57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Proceeds from sales and maturities of investment securities, available-for-sale</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8,860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8,600</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Other</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88"/>
        </w:trPr>
        <w:tc>
          <w:tcPr>
            <w:tcW w:w="5700" w:type="dxa"/>
            <w:vAlign w:val="bottom"/>
            <w:tcBorders>
              <w:bottom w:val="single" w:sz="8" w:color="CCEEFF"/>
            </w:tcBorders>
          </w:tcPr>
          <w:p>
            <w:pPr>
              <w:ind w:left="80"/>
              <w:spacing w:after="0" w:line="88"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102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(47,837)</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(30,728)</w:t>
            </w:r>
          </w:p>
        </w:tc>
        <w:tc>
          <w:tcPr>
            <w:tcW w:w="20" w:type="dxa"/>
            <w:vAlign w:val="bottom"/>
          </w:tcPr>
          <w:p>
            <w:pPr>
              <w:spacing w:after="0"/>
              <w:rPr>
                <w:sz w:val="7"/>
                <w:szCs w:val="7"/>
                <w:color w:val="auto"/>
              </w:rPr>
            </w:pPr>
          </w:p>
        </w:tc>
      </w:tr>
      <w:tr>
        <w:trPr>
          <w:trHeight w:val="88"/>
        </w:trPr>
        <w:tc>
          <w:tcPr>
            <w:tcW w:w="57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Cash flows from financing activities:</w:t>
            </w:r>
          </w:p>
        </w:tc>
        <w:tc>
          <w:tcPr>
            <w:tcW w:w="10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57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Net increase in customer funds obligations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14,979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14,473</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Proceeds from convertible senior notes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345,000</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57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Principal payments on long-term debt</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(46,875)</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(938)</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Payment for purchase of capped calls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(42,366)</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57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Payments for deferred financing costs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(11,374)</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Proceeds from purchases of stock under ESPP</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1,443</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1,178</w:t>
            </w:r>
          </w:p>
        </w:tc>
        <w:tc>
          <w:tcPr>
            <w:tcW w:w="20" w:type="dxa"/>
            <w:vAlign w:val="bottom"/>
          </w:tcPr>
          <w:p>
            <w:pPr>
              <w:spacing w:after="0"/>
              <w:rPr>
                <w:sz w:val="8"/>
                <w:szCs w:val="8"/>
                <w:color w:val="auto"/>
              </w:rPr>
            </w:pPr>
          </w:p>
        </w:tc>
      </w:tr>
      <w:tr>
        <w:trPr>
          <w:trHeight w:val="99"/>
        </w:trPr>
        <w:tc>
          <w:tcPr>
            <w:tcW w:w="57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Payments for taxes related to net share settlement of stock-based awards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(18,324)</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(3,986)</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Proceeds from exercise of stock options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3,274</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2,243</w:t>
            </w:r>
          </w:p>
        </w:tc>
        <w:tc>
          <w:tcPr>
            <w:tcW w:w="20" w:type="dxa"/>
            <w:vAlign w:val="bottom"/>
          </w:tcPr>
          <w:p>
            <w:pPr>
              <w:spacing w:after="0"/>
              <w:rPr>
                <w:sz w:val="8"/>
                <w:szCs w:val="8"/>
                <w:color w:val="auto"/>
              </w:rPr>
            </w:pPr>
          </w:p>
        </w:tc>
      </w:tr>
      <w:tr>
        <w:trPr>
          <w:trHeight w:val="99"/>
        </w:trPr>
        <w:tc>
          <w:tcPr>
            <w:tcW w:w="57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Payments for purchase commitment and contingent consideration liabilities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(7,580)</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(6,424)</w:t>
            </w:r>
          </w:p>
        </w:tc>
        <w:tc>
          <w:tcPr>
            <w:tcW w:w="20" w:type="dxa"/>
            <w:vAlign w:val="bottom"/>
          </w:tcPr>
          <w:p>
            <w:pPr>
              <w:spacing w:after="0"/>
              <w:rPr>
                <w:sz w:val="8"/>
                <w:szCs w:val="8"/>
                <w:color w:val="auto"/>
              </w:rPr>
            </w:pP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Payments of finance lease liabilities</w:t>
            </w: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(51)</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(27)</w:t>
            </w:r>
          </w:p>
        </w:tc>
      </w:tr>
      <w:tr>
        <w:trPr>
          <w:trHeight w:val="99"/>
        </w:trPr>
        <w:tc>
          <w:tcPr>
            <w:tcW w:w="570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Payments for deferred purchase commitments</w:t>
            </w: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(10,000)</w:t>
            </w:r>
          </w:p>
        </w:tc>
      </w:tr>
      <w:tr>
        <w:trPr>
          <w:trHeight w:val="88"/>
        </w:trPr>
        <w:tc>
          <w:tcPr>
            <w:tcW w:w="5700" w:type="dxa"/>
            <w:vAlign w:val="bottom"/>
            <w:tcBorders>
              <w:top w:val="single" w:sz="8" w:color="CCEEFF"/>
            </w:tcBorders>
            <w:shd w:val="clear" w:color="auto" w:fill="CCEEFF"/>
          </w:tcPr>
          <w:p>
            <w:pPr>
              <w:ind w:left="80"/>
              <w:spacing w:after="0" w:line="88" w:lineRule="exact"/>
              <w:rPr>
                <w:sz w:val="20"/>
                <w:szCs w:val="20"/>
                <w:color w:val="auto"/>
              </w:rPr>
            </w:pPr>
            <w:r>
              <w:rPr>
                <w:rFonts w:ascii="Times New Roman" w:cs="Times New Roman" w:eastAsia="Times New Roman" w:hAnsi="Times New Roman"/>
                <w:sz w:val="10"/>
                <w:szCs w:val="10"/>
                <w:color w:val="auto"/>
              </w:rPr>
              <w:t>Net cash provided by (used in) financing activities</w:t>
            </w:r>
          </w:p>
        </w:tc>
        <w:tc>
          <w:tcPr>
            <w:tcW w:w="10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bottom w:val="single" w:sz="8" w:color="auto"/>
            </w:tcBorders>
            <w:shd w:val="clear" w:color="auto" w:fill="CCEEFF"/>
          </w:tcPr>
          <w:p>
            <w:pPr>
              <w:spacing w:after="0"/>
              <w:rPr>
                <w:sz w:val="7"/>
                <w:szCs w:val="7"/>
                <w:color w:val="auto"/>
              </w:rPr>
            </w:pP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238,126</w:t>
            </w: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bottom w:val="single" w:sz="8" w:color="auto"/>
            </w:tcBorders>
            <w:shd w:val="clear" w:color="auto" w:fill="CCEEFF"/>
          </w:tcPr>
          <w:p>
            <w:pPr>
              <w:spacing w:after="0"/>
              <w:rPr>
                <w:sz w:val="7"/>
                <w:szCs w:val="7"/>
                <w:color w:val="auto"/>
              </w:rPr>
            </w:pPr>
          </w:p>
        </w:tc>
        <w:tc>
          <w:tcPr>
            <w:tcW w:w="5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(3,481)</w:t>
            </w:r>
          </w:p>
        </w:tc>
        <w:tc>
          <w:tcPr>
            <w:tcW w:w="20" w:type="dxa"/>
            <w:vAlign w:val="bottom"/>
          </w:tcPr>
          <w:p>
            <w:pPr>
              <w:spacing w:after="0"/>
              <w:rPr>
                <w:sz w:val="7"/>
                <w:szCs w:val="7"/>
                <w:color w:val="auto"/>
              </w:rPr>
            </w:pPr>
          </w:p>
        </w:tc>
      </w:tr>
      <w:tr>
        <w:trPr>
          <w:trHeight w:val="88"/>
        </w:trPr>
        <w:tc>
          <w:tcPr>
            <w:tcW w:w="570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color w:val="auto"/>
              </w:rPr>
              <w:t>Effect of exchange rate changes on cash, cash equivalents and restricted cash</w:t>
            </w:r>
          </w:p>
        </w:tc>
        <w:tc>
          <w:tcPr>
            <w:tcW w:w="102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(789)</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380</w:t>
            </w:r>
          </w:p>
        </w:tc>
        <w:tc>
          <w:tcPr>
            <w:tcW w:w="20" w:type="dxa"/>
            <w:vAlign w:val="bottom"/>
          </w:tcPr>
          <w:p>
            <w:pPr>
              <w:spacing w:after="0"/>
              <w:rPr>
                <w:sz w:val="7"/>
                <w:szCs w:val="7"/>
                <w:color w:val="auto"/>
              </w:rPr>
            </w:pPr>
          </w:p>
        </w:tc>
      </w:tr>
      <w:tr>
        <w:trPr>
          <w:trHeight w:val="88"/>
        </w:trPr>
        <w:tc>
          <w:tcPr>
            <w:tcW w:w="5700" w:type="dxa"/>
            <w:vAlign w:val="bottom"/>
            <w:shd w:val="clear" w:color="auto" w:fill="CCEEFF"/>
          </w:tcPr>
          <w:p>
            <w:pPr>
              <w:ind w:left="80"/>
              <w:spacing w:after="0" w:line="88" w:lineRule="exact"/>
              <w:rPr>
                <w:sz w:val="20"/>
                <w:szCs w:val="20"/>
                <w:color w:val="auto"/>
              </w:rPr>
            </w:pPr>
            <w:r>
              <w:rPr>
                <w:rFonts w:ascii="Times New Roman" w:cs="Times New Roman" w:eastAsia="Times New Roman" w:hAnsi="Times New Roman"/>
                <w:sz w:val="10"/>
                <w:szCs w:val="10"/>
                <w:color w:val="auto"/>
              </w:rPr>
              <w:t>Net increase (decrease) in cash, cash equivalents and restricted cash</w:t>
            </w:r>
          </w:p>
        </w:tc>
        <w:tc>
          <w:tcPr>
            <w:tcW w:w="10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271,792</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(34,727)</w:t>
            </w:r>
          </w:p>
        </w:tc>
        <w:tc>
          <w:tcPr>
            <w:tcW w:w="20" w:type="dxa"/>
            <w:vAlign w:val="bottom"/>
          </w:tcPr>
          <w:p>
            <w:pPr>
              <w:spacing w:after="0"/>
              <w:rPr>
                <w:sz w:val="7"/>
                <w:szCs w:val="7"/>
                <w:color w:val="auto"/>
              </w:rPr>
            </w:pPr>
          </w:p>
        </w:tc>
      </w:tr>
      <w:tr>
        <w:trPr>
          <w:trHeight w:val="99"/>
        </w:trPr>
        <w:tc>
          <w:tcPr>
            <w:tcW w:w="5700" w:type="dxa"/>
            <w:vAlign w:val="bottom"/>
            <w:tcBorders>
              <w:bottom w:val="single" w:sz="8" w:color="CCEEFF"/>
            </w:tcBorders>
          </w:tcPr>
          <w:p>
            <w:pPr>
              <w:spacing w:after="0" w:line="99" w:lineRule="exact"/>
              <w:rPr>
                <w:sz w:val="20"/>
                <w:szCs w:val="20"/>
                <w:color w:val="auto"/>
              </w:rPr>
            </w:pPr>
            <w:r>
              <w:rPr>
                <w:rFonts w:ascii="Times New Roman" w:cs="Times New Roman" w:eastAsia="Times New Roman" w:hAnsi="Times New Roman"/>
                <w:sz w:val="10"/>
                <w:szCs w:val="10"/>
                <w:color w:val="auto"/>
              </w:rPr>
              <w:t>Cash, cash equivalents and restricted cash, beginning of period</w:t>
            </w:r>
          </w:p>
        </w:tc>
        <w:tc>
          <w:tcPr>
            <w:tcW w:w="10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89,151</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106,748</w:t>
            </w:r>
          </w:p>
        </w:tc>
        <w:tc>
          <w:tcPr>
            <w:tcW w:w="20" w:type="dxa"/>
            <w:vAlign w:val="bottom"/>
          </w:tcPr>
          <w:p>
            <w:pPr>
              <w:spacing w:after="0"/>
              <w:rPr>
                <w:sz w:val="8"/>
                <w:szCs w:val="8"/>
                <w:color w:val="auto"/>
              </w:rPr>
            </w:pPr>
          </w:p>
        </w:tc>
      </w:tr>
      <w:tr>
        <w:trPr>
          <w:trHeight w:val="108"/>
        </w:trPr>
        <w:tc>
          <w:tcPr>
            <w:tcW w:w="5700" w:type="dxa"/>
            <w:vAlign w:val="bottom"/>
            <w:tcBorders>
              <w:bottom w:val="single" w:sz="8" w:color="CCEEFF"/>
            </w:tcBorders>
            <w:shd w:val="clear" w:color="auto" w:fill="CCEEFF"/>
          </w:tcPr>
          <w:p>
            <w:pPr>
              <w:ind w:left="80"/>
              <w:spacing w:after="0" w:line="88" w:lineRule="exact"/>
              <w:rPr>
                <w:sz w:val="20"/>
                <w:szCs w:val="20"/>
                <w:color w:val="auto"/>
              </w:rPr>
            </w:pPr>
            <w:r>
              <w:rPr>
                <w:rFonts w:ascii="Times New Roman" w:cs="Times New Roman" w:eastAsia="Times New Roman" w:hAnsi="Times New Roman"/>
                <w:sz w:val="10"/>
                <w:szCs w:val="10"/>
                <w:color w:val="auto"/>
              </w:rPr>
              <w:t>Cash, cash equivalents and restricted cash, end of period</w:t>
            </w:r>
          </w:p>
        </w:tc>
        <w:tc>
          <w:tcPr>
            <w:tcW w:w="10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360,943</w:t>
            </w:r>
          </w:p>
        </w:tc>
        <w:tc>
          <w:tcPr>
            <w:tcW w:w="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72,021</w:t>
            </w:r>
          </w:p>
        </w:tc>
        <w:tc>
          <w:tcPr>
            <w:tcW w:w="20" w:type="dxa"/>
            <w:vAlign w:val="bottom"/>
          </w:tcPr>
          <w:p>
            <w:pPr>
              <w:spacing w:after="0"/>
              <w:rPr>
                <w:sz w:val="9"/>
                <w:szCs w:val="9"/>
                <w:color w:val="auto"/>
              </w:rPr>
            </w:pPr>
          </w:p>
        </w:tc>
      </w:tr>
      <w:tr>
        <w:trPr>
          <w:trHeight w:val="86"/>
        </w:trPr>
        <w:tc>
          <w:tcPr>
            <w:tcW w:w="570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Reconciliation of cash, cash equivalents and restricted cash to the Condensed Consolidated Balance Sheets, end of period:</w:t>
            </w: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570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Cash and cash equivalents</w:t>
            </w:r>
          </w:p>
        </w:tc>
        <w:tc>
          <w:tcPr>
            <w:tcW w:w="1260" w:type="dxa"/>
            <w:vAlign w:val="bottom"/>
            <w:gridSpan w:val="2"/>
            <w:shd w:val="clear" w:color="auto" w:fill="CCEEFF"/>
          </w:tcPr>
          <w:p>
            <w:pPr>
              <w:jc w:val="right"/>
              <w:ind w:right="176"/>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325,535</w:t>
            </w:r>
          </w:p>
        </w:tc>
        <w:tc>
          <w:tcPr>
            <w:tcW w:w="8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396"/>
              <w:spacing w:after="0" w:line="9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41,865</w:t>
            </w:r>
          </w:p>
        </w:tc>
        <w:tc>
          <w:tcPr>
            <w:tcW w:w="20" w:type="dxa"/>
            <w:vAlign w:val="bottom"/>
          </w:tcPr>
          <w:p>
            <w:pPr>
              <w:spacing w:after="0"/>
              <w:rPr>
                <w:sz w:val="8"/>
                <w:szCs w:val="8"/>
                <w:color w:val="auto"/>
              </w:rPr>
            </w:pPr>
          </w:p>
        </w:tc>
      </w:tr>
      <w:tr>
        <w:trPr>
          <w:trHeight w:val="99"/>
        </w:trPr>
        <w:tc>
          <w:tcPr>
            <w:tcW w:w="5700" w:type="dxa"/>
            <w:vAlign w:val="bottom"/>
            <w:tcBorders>
              <w:bottom w:val="single" w:sz="8" w:color="CCEEFF"/>
            </w:tcBorders>
          </w:tcPr>
          <w:p>
            <w:pPr>
              <w:ind w:left="80"/>
              <w:spacing w:after="0" w:line="99" w:lineRule="exact"/>
              <w:rPr>
                <w:sz w:val="20"/>
                <w:szCs w:val="20"/>
                <w:color w:val="auto"/>
              </w:rPr>
            </w:pPr>
            <w:r>
              <w:rPr>
                <w:rFonts w:ascii="Times New Roman" w:cs="Times New Roman" w:eastAsia="Times New Roman" w:hAnsi="Times New Roman"/>
                <w:sz w:val="10"/>
                <w:szCs w:val="10"/>
                <w:color w:val="auto"/>
              </w:rPr>
              <w:t>Restricted cash—funds held for customers</w:t>
            </w:r>
          </w:p>
        </w:tc>
        <w:tc>
          <w:tcPr>
            <w:tcW w:w="10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35,408</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30,156</w:t>
            </w:r>
          </w:p>
        </w:tc>
        <w:tc>
          <w:tcPr>
            <w:tcW w:w="20" w:type="dxa"/>
            <w:vAlign w:val="bottom"/>
          </w:tcPr>
          <w:p>
            <w:pPr>
              <w:spacing w:after="0"/>
              <w:rPr>
                <w:sz w:val="8"/>
                <w:szCs w:val="8"/>
                <w:color w:val="auto"/>
              </w:rPr>
            </w:pPr>
          </w:p>
        </w:tc>
      </w:tr>
      <w:tr>
        <w:trPr>
          <w:trHeight w:val="95"/>
        </w:trPr>
        <w:tc>
          <w:tcPr>
            <w:tcW w:w="5700" w:type="dxa"/>
            <w:vAlign w:val="bottom"/>
            <w:tcBorders>
              <w:bottom w:val="single" w:sz="8" w:color="CCEEFF"/>
            </w:tcBorders>
            <w:shd w:val="clear" w:color="auto" w:fill="CCEEFF"/>
          </w:tcPr>
          <w:p>
            <w:pPr>
              <w:ind w:left="80"/>
              <w:spacing w:after="0" w:line="88" w:lineRule="exact"/>
              <w:rPr>
                <w:sz w:val="20"/>
                <w:szCs w:val="20"/>
                <w:color w:val="auto"/>
              </w:rPr>
            </w:pPr>
            <w:r>
              <w:rPr>
                <w:rFonts w:ascii="Times New Roman" w:cs="Times New Roman" w:eastAsia="Times New Roman" w:hAnsi="Times New Roman"/>
                <w:sz w:val="10"/>
                <w:szCs w:val="10"/>
                <w:color w:val="auto"/>
              </w:rPr>
              <w:t>Total cash, cash equivalents and restricted cash, end of period</w:t>
            </w:r>
          </w:p>
        </w:tc>
        <w:tc>
          <w:tcPr>
            <w:tcW w:w="10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360,943</w:t>
            </w: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72,021</w:t>
            </w:r>
          </w:p>
        </w:tc>
        <w:tc>
          <w:tcPr>
            <w:tcW w:w="20" w:type="dxa"/>
            <w:vAlign w:val="bottom"/>
          </w:tcPr>
          <w:p>
            <w:pPr>
              <w:spacing w:after="0"/>
              <w:rPr>
                <w:sz w:val="8"/>
                <w:szCs w:val="8"/>
                <w:color w:val="auto"/>
              </w:rPr>
            </w:pPr>
          </w:p>
        </w:tc>
      </w:tr>
    </w:tbl>
    <w:p>
      <w:pPr>
        <w:spacing w:after="0" w:line="27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5659" w:hanging="218"/>
        <w:spacing w:after="0" w:line="504" w:lineRule="auto"/>
        <w:tabs>
          <w:tab w:leader="none" w:pos="234"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Nature of Business</w:t>
      </w: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Vertex, Inc. (“Vertex”) and its consolidated subsidiaries and variable interest entities (“VIE”) (collectively, the “Company”) operate as solutions providers of state, local, and value added tax calculation, compliance, and analytics, offering software products that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Basis of Consolidation</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condensed consolidated financial statements are prepared in accordance with accounting principles generally accepted in the U.S. (“U.S. GAAP”) and include the accounts of the Company. All intercompany transactions have been eliminated in consolidation.</w:t>
      </w:r>
    </w:p>
    <w:p>
      <w:pPr>
        <w:spacing w:after="0" w:line="111"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Prior to June 5, 2024, the Company owned an 80% controlling equity interest in Systax Sistemas Fiscais LTDA (“Systax”), a provider of Brazilian transaction tax content and software. Systax was determined to be a VIE and the accounts were included in the condensed consolidated financial statements. Vertex did not have full decision-making authority over Systax; however, Vertex was the entity that most significantly participated in the variability of the fair value of Systax’s net assets and was considered the entity most closely associated to Systax. As such, Vertex was deemed the primary beneficiary of Systax and consolidated Systax into its condensed consolidated financial statements. On June 5, 2024, Vertex acquired the remaining 20% equity interest in Systax. Systax is now a wholly owned subsidiary of the Company and is consolidated into the condensed consolidated financial statements.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Unaudited Interim Financial Information</w:t>
      </w:r>
    </w:p>
    <w:p>
      <w:pPr>
        <w:spacing w:after="0" w:line="154" w:lineRule="exact"/>
        <w:rPr>
          <w:sz w:val="20"/>
          <w:szCs w:val="20"/>
          <w:color w:val="auto"/>
        </w:rPr>
      </w:pPr>
    </w:p>
    <w:p>
      <w:pPr>
        <w:jc w:val="both"/>
        <w:ind w:left="20" w:right="39" w:firstLine="216"/>
        <w:spacing w:after="0" w:line="253" w:lineRule="auto"/>
        <w:rPr>
          <w:sz w:val="20"/>
          <w:szCs w:val="20"/>
          <w:color w:val="auto"/>
        </w:rPr>
      </w:pPr>
      <w:r>
        <w:rPr>
          <w:rFonts w:ascii="Times New Roman" w:cs="Times New Roman" w:eastAsia="Times New Roman" w:hAnsi="Times New Roman"/>
          <w:sz w:val="12"/>
          <w:szCs w:val="12"/>
          <w:color w:val="auto"/>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2023 included in the Company’s Annual Report on Form 10-K for the year ended December 31, 2023 (the “2023 Annual Report”) filed with the SEC on February 29, 2024. The condensed consolidated balance sheet as of December 31, 2023 has been derived from audited financial statements included in the 2023 Annual Report. The accompanying interim condensed consolidated balance sheet as of June 30, 2024, the interim condensed consolidated statements of comprehensive income (loss) and changes in stockholders’ equity for the three and six months ended June 30, 2024 and 2023, and the interim condensed consolidated statements of cash flows for the six months ended June 30, 2024 and 2023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six months ended June 30, 2024 are not necessarily indicative of the results expected for the full year ending December 31, 2024.</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Segments</w:t>
      </w:r>
    </w:p>
    <w:p>
      <w:pPr>
        <w:spacing w:after="0" w:line="163" w:lineRule="exact"/>
        <w:rPr>
          <w:sz w:val="20"/>
          <w:szCs w:val="20"/>
          <w:color w:val="auto"/>
        </w:rPr>
      </w:pPr>
    </w:p>
    <w:p>
      <w:pPr>
        <w:jc w:val="both"/>
        <w:ind w:left="60" w:right="59" w:firstLine="194"/>
        <w:spacing w:after="0" w:line="280" w:lineRule="auto"/>
        <w:rPr>
          <w:sz w:val="20"/>
          <w:szCs w:val="20"/>
          <w:color w:val="auto"/>
        </w:rPr>
      </w:pPr>
      <w:r>
        <w:rPr>
          <w:rFonts w:ascii="Times New Roman" w:cs="Times New Roman" w:eastAsia="Times New Roman" w:hAnsi="Times New Roman"/>
          <w:sz w:val="12"/>
          <w:szCs w:val="12"/>
          <w:color w:val="auto"/>
        </w:rPr>
        <w:t>The Company operates its business as one operating segment. For both the three and six months ended June 30, 2024 and June 30, 2023, approximately 7% of the Company’s revenues were generated from customers located outside the U.S.. As of June 30, 2024 and December 31, 2023, $504 and $633, respectively, of the Company’s property and equipment assets were held outside the U.S.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Use of Estimates</w:t>
      </w:r>
    </w:p>
    <w:p>
      <w:pPr>
        <w:spacing w:after="0" w:line="163" w:lineRule="exact"/>
        <w:rPr>
          <w:sz w:val="20"/>
          <w:szCs w:val="20"/>
          <w:color w:val="auto"/>
        </w:rPr>
      </w:pPr>
    </w:p>
    <w:p>
      <w:pPr>
        <w:jc w:val="both"/>
        <w:ind w:left="60" w:right="79" w:firstLine="194"/>
        <w:spacing w:after="0" w:line="271" w:lineRule="auto"/>
        <w:rPr>
          <w:sz w:val="20"/>
          <w:szCs w:val="20"/>
          <w:color w:val="auto"/>
        </w:rPr>
      </w:pPr>
      <w:r>
        <w:rPr>
          <w:rFonts w:ascii="Times New Roman" w:cs="Times New Roman" w:eastAsia="Times New Roman" w:hAnsi="Times New Roman"/>
          <w:sz w:val="12"/>
          <w:szCs w:val="12"/>
          <w:color w:val="auto"/>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allowance for credit losses on available-for-sale debt securities; (iv) the reserve for self-insurance; (v) assumptions related to achievement of technological feasibility for software developed for sale; (vi) product life cycles; (vii) estimated useful lives and potential impairment of long-lived assets, intangible assets, and capitalized cloud computing arrangement (“CCA”) software implementation costs; (viii) potential impairment of goodwill; (ix) determination of the fair value of tangible and intangible assets acquired, liabilities assumed, and consideration transferred in acquisitions; (x) amortization period of deferred commissions; (xi) Black-Scholes-Merton option pricing model (“Black-Scholes model”) input assumptions used to determine the fair value of certain stock-based compensation awards and Employee Stock Purchase Plan (“ESPP”) purchase rights; (xii) measurement of future purchase commitment, contingent consideration liabilities, and deferred purchase consideration liabilities associated with acquisitions; and (xiii) the potential outcome of future tax consequences of events that have been recognized in the condensed consolidated financial statements or tax returns. Actual results may differ from these estimates.</w:t>
      </w:r>
    </w:p>
    <w:p>
      <w:pPr>
        <w:spacing w:after="0" w:line="1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Convertible Senior Notes</w:t>
      </w:r>
    </w:p>
    <w:p>
      <w:pPr>
        <w:spacing w:after="0" w:line="152" w:lineRule="exact"/>
        <w:rPr>
          <w:sz w:val="20"/>
          <w:szCs w:val="20"/>
          <w:color w:val="auto"/>
        </w:rPr>
      </w:pPr>
    </w:p>
    <w:p>
      <w:pPr>
        <w:jc w:val="both"/>
        <w:ind w:left="20" w:right="39" w:firstLine="216"/>
        <w:spacing w:after="0" w:line="261" w:lineRule="auto"/>
        <w:rPr>
          <w:sz w:val="20"/>
          <w:szCs w:val="20"/>
          <w:color w:val="auto"/>
        </w:rPr>
      </w:pPr>
      <w:r>
        <w:rPr>
          <w:rFonts w:ascii="Times New Roman" w:cs="Times New Roman" w:eastAsia="Times New Roman" w:hAnsi="Times New Roman"/>
          <w:sz w:val="12"/>
          <w:szCs w:val="12"/>
          <w:color w:val="auto"/>
        </w:rPr>
        <w:t xml:space="preserve">The Company accounts for its convertible senior notes (the “Notes”) wholly as debt under ASU 2026-06 </w:t>
      </w:r>
      <w:r>
        <w:rPr>
          <w:rFonts w:ascii="Times New Roman" w:cs="Times New Roman" w:eastAsia="Times New Roman" w:hAnsi="Times New Roman"/>
          <w:sz w:val="12"/>
          <w:szCs w:val="12"/>
          <w:i w:val="1"/>
          <w:iCs w:val="1"/>
          <w:color w:val="auto"/>
        </w:rPr>
        <w:t>Debt—Debt with Conversion and Other Options (Subtopic 470-20.)</w:t>
      </w:r>
      <w:r>
        <w:rPr>
          <w:rFonts w:ascii="Times New Roman" w:cs="Times New Roman" w:eastAsia="Times New Roman" w:hAnsi="Times New Roman"/>
          <w:sz w:val="12"/>
          <w:szCs w:val="12"/>
          <w:color w:val="auto"/>
        </w:rPr>
        <w:t xml:space="preserve"> Debt issuance costs incurred in connection with the issuance of the Notes are reflected in the condensed consolidated balance sheets as a direct deduction from the carrying amount of the Notes. These costs are amortized on a straight-line basis, which approximates the effective interest method, over the contractual term of the Notes and are included within interest expense (income), net on the condensed consolidated statements of comprehensive income (loss). For further information on the Notes, refer to Note 7, “Debt”.</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Capped Call Transactions</w:t>
      </w:r>
    </w:p>
    <w:p>
      <w:pPr>
        <w:spacing w:after="0" w:line="152" w:lineRule="exact"/>
        <w:rPr>
          <w:sz w:val="20"/>
          <w:szCs w:val="20"/>
          <w:color w:val="auto"/>
        </w:rPr>
      </w:pPr>
    </w:p>
    <w:p>
      <w:pPr>
        <w:jc w:val="both"/>
        <w:ind w:left="20" w:right="39" w:firstLine="246"/>
        <w:spacing w:after="0" w:line="255" w:lineRule="auto"/>
        <w:rPr>
          <w:sz w:val="20"/>
          <w:szCs w:val="20"/>
          <w:color w:val="auto"/>
        </w:rPr>
      </w:pPr>
      <w:r>
        <w:rPr>
          <w:rFonts w:ascii="Times New Roman" w:cs="Times New Roman" w:eastAsia="Times New Roman" w:hAnsi="Times New Roman"/>
          <w:sz w:val="12"/>
          <w:szCs w:val="12"/>
          <w:color w:val="auto"/>
        </w:rPr>
        <w:t>Capped call transactions cover the aggregate number of shares of the Company’s common stock that will initially underlie the Notes. The Company also determined that the capped call option contracts meet the definition of a derivative under ASC Topic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but are not required to be accounted for as a derivative as they meet the scope exception outlined in the guidance. The Company determined that the freestanding capped call option contracts qualify as equity under the accounting guidance and recognized the contract by recording an entry to “Additional paid-in capital” (“APIC”) in stockholders’ equity in its condensed consolidated balance sheets. The capped call options are not remeasured.</w:t>
      </w: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Supplemental Balance Sheet Disclosures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Supplemental balance sheet disclosures are as follows for the respective periods: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As of June 30,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182"/>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14"/>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Prepaid expenses and other current assets:</w:t>
            </w: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300" w:type="dxa"/>
            <w:vAlign w:val="bottom"/>
            <w:gridSpan w:val="2"/>
            <w:vMerge w:val="continue"/>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Prepaid expenses</w:t>
            </w:r>
          </w:p>
        </w:tc>
        <w:tc>
          <w:tcPr>
            <w:tcW w:w="196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8,283</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Unamortized cloud computing implementation costs</w:t>
            </w: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Prepaid insurance</w:t>
            </w:r>
          </w:p>
        </w:tc>
        <w:tc>
          <w:tcPr>
            <w:tcW w:w="1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Prepaid licenses and support</w:t>
            </w:r>
          </w:p>
        </w:tc>
        <w:tc>
          <w:tcPr>
            <w:tcW w:w="17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12,350</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10,099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80" w:type="dxa"/>
            <w:vAlign w:val="bottom"/>
            <w:tcBorders>
              <w:bottom w:val="single" w:sz="8" w:color="CCEEFF"/>
            </w:tcBorders>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17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25,134</w:t>
            </w:r>
          </w:p>
        </w:tc>
        <w:tc>
          <w:tcPr>
            <w:tcW w:w="2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26,173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2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assets:</w:t>
            </w:r>
          </w:p>
        </w:tc>
        <w:tc>
          <w:tcPr>
            <w:tcW w:w="1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Unamortized cloud computing implementation costs</w:t>
            </w:r>
          </w:p>
        </w:tc>
        <w:tc>
          <w:tcPr>
            <w:tcW w:w="196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10,486</w:t>
            </w:r>
          </w:p>
        </w:tc>
        <w:tc>
          <w:tcPr>
            <w:tcW w:w="200" w:type="dxa"/>
            <w:vAlign w:val="bottom"/>
          </w:tcPr>
          <w:p>
            <w:pPr>
              <w:spacing w:after="0"/>
              <w:rPr>
                <w:sz w:val="12"/>
                <w:szCs w:val="12"/>
                <w:color w:val="auto"/>
              </w:rPr>
            </w:pPr>
          </w:p>
        </w:tc>
        <w:tc>
          <w:tcPr>
            <w:tcW w:w="200" w:type="dxa"/>
            <w:vAlign w:val="bottom"/>
            <w:gridSpan w:val="2"/>
          </w:tcPr>
          <w:p>
            <w:pPr>
              <w:jc w:val="right"/>
              <w:ind w:right="11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assets</w:t>
            </w:r>
          </w:p>
        </w:tc>
        <w:tc>
          <w:tcPr>
            <w:tcW w:w="17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80" w:type="dxa"/>
            <w:vAlign w:val="bottom"/>
            <w:tcBorders>
              <w:bottom w:val="single" w:sz="8" w:color="CCEEFF"/>
            </w:tcBorders>
          </w:tcPr>
          <w:p>
            <w:pPr>
              <w:ind w:left="120"/>
              <w:spacing w:after="0" w:line="133" w:lineRule="exact"/>
              <w:rPr>
                <w:sz w:val="20"/>
                <w:szCs w:val="20"/>
                <w:color w:val="auto"/>
              </w:rPr>
            </w:pPr>
            <w:r>
              <w:rPr>
                <w:rFonts w:ascii="Times New Roman" w:cs="Times New Roman" w:eastAsia="Times New Roman" w:hAnsi="Times New Roman"/>
                <w:sz w:val="12"/>
                <w:szCs w:val="12"/>
                <w:color w:val="auto"/>
              </w:rPr>
              <w:t>Total other assets</w:t>
            </w:r>
          </w:p>
        </w:tc>
        <w:tc>
          <w:tcPr>
            <w:tcW w:w="17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13,772</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16,013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2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Accrued expenses:</w:t>
            </w: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Accrued general expenses</w:t>
            </w:r>
          </w:p>
        </w:tc>
        <w:tc>
          <w:tcPr>
            <w:tcW w:w="196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22,466</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Accrued contract labor and professional fees</w:t>
            </w: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13,679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Accrued income and other taxes</w:t>
            </w:r>
          </w:p>
        </w:tc>
        <w:tc>
          <w:tcPr>
            <w:tcW w:w="17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8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Accrued expenses</w:t>
            </w:r>
          </w:p>
        </w:tc>
        <w:tc>
          <w:tcPr>
            <w:tcW w:w="17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41,767</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44,735</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Cloud computing software implementation costs incurred in hosting arrangements are capitalized and reported as a component of prepaid expenses and other current assets, or other assets, once available for their intended use. These costs are amortized using the straight-line method over their respective contract service periods, including periods covered by an option to extend, ranging from two to five years. Amortization expense for capitalized cloud computing implementation costs for the three and six months ended June 30, 2024 was $995 and $1,989, respectively and is included in general and administrative expense in the condensed consolidated statements of comprehensive income (loss.) Amortization expense for capitalized cloud computing implementation costs for both the three and six month periods ended June 30, 2023 was $631 and is included in general and administrative expense in the condensed consolidated statements of comprehensive loss.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Recently Issued or Adopted Accounting Pronouncements</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Segment Reporting</w:t>
      </w:r>
    </w:p>
    <w:p>
      <w:pPr>
        <w:spacing w:after="0" w:line="152" w:lineRule="exact"/>
        <w:rPr>
          <w:sz w:val="20"/>
          <w:szCs w:val="20"/>
          <w:color w:val="auto"/>
        </w:rPr>
      </w:pPr>
    </w:p>
    <w:p>
      <w:pPr>
        <w:jc w:val="both"/>
        <w:ind w:left="20" w:right="39" w:firstLine="246"/>
        <w:spacing w:after="0" w:line="254" w:lineRule="auto"/>
        <w:rPr>
          <w:sz w:val="20"/>
          <w:szCs w:val="20"/>
          <w:color w:val="auto"/>
        </w:rPr>
      </w:pPr>
      <w:r>
        <w:rPr>
          <w:rFonts w:ascii="Times New Roman" w:cs="Times New Roman" w:eastAsia="Times New Roman" w:hAnsi="Times New Roman"/>
          <w:sz w:val="12"/>
          <w:szCs w:val="12"/>
          <w:color w:val="auto"/>
        </w:rPr>
        <w:t>In November 2023, the Financial Accounting Standard Board (“FASB”) issued Accounting Standards Update (“ASU”) 2023-07, Segment Reporting (Topic 280): Improvements to Reportable Segment Disclosures. The amendments in ASU 2023-07 improve reportable segment disclosure requirements through enhanced disclosures. These new requirements include: disclosure of significant segment expenses regularly provided to the CODM, the title and position of the CODM, and the extension of certain annual disclosures to interim periods, permitting the disclosure of multiple measures of segment profit or loss, provided that certain criteria are met. The standard also clarifies that entities with a single reportable segment are subject to new and existing segment reporting requirements. The standard will be effective for annual periods in fiscal years beginning after December 15, 2023, and interim periods within fiscal years beginning after December 15, 2024, with early adoption permitted. Entities must adopt the changes to the segment reporting guidance on a retrospective basis. The Company is continuing to assess the potential impacts of the amendments, and it does not expect this pronouncement to have a material effect on its consolidated financial statements, other than the required changes to the segment disclosures.</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Income Tax Disclosures</w:t>
      </w:r>
    </w:p>
    <w:p>
      <w:pPr>
        <w:spacing w:after="0" w:line="152" w:lineRule="exact"/>
        <w:rPr>
          <w:sz w:val="20"/>
          <w:szCs w:val="20"/>
          <w:color w:val="auto"/>
        </w:rPr>
      </w:pPr>
    </w:p>
    <w:p>
      <w:pPr>
        <w:jc w:val="both"/>
        <w:ind w:left="20" w:right="39" w:firstLine="255"/>
        <w:spacing w:after="0" w:line="254" w:lineRule="auto"/>
        <w:rPr>
          <w:sz w:val="20"/>
          <w:szCs w:val="20"/>
          <w:color w:val="auto"/>
        </w:rPr>
      </w:pPr>
      <w:r>
        <w:rPr>
          <w:rFonts w:ascii="Times New Roman" w:cs="Times New Roman" w:eastAsia="Times New Roman" w:hAnsi="Times New Roman"/>
          <w:sz w:val="12"/>
          <w:szCs w:val="12"/>
          <w:color w:val="auto"/>
        </w:rPr>
        <w:t>In December 2023, the FASB issued ASU 2023-09, Income Taxes (Topic 740): Improvements to Income Tax Disclosures. ASU 2023-09 requires entities to disclose additional information in specified categories in the reconciliation of the effective tax rate to the statutory rate for federal, state, and foreign income taxes. ASU 2023-09 also requires greater detail about individual reconciling items in the rate reconciliation to the extent the impact of those items exceeds a specified threshold and eliminates certain existing disclosures. In addition to new disclosures associated with the rate reconciliation, the standard requires information pertaining to taxes paid (net of refunds received) to be disaggregated for federal, state, and foreign taxes and further disaggregated for specific jurisdictions to the extent the related amounts exceed a quantitative threshold. The standard will be effective for annual periods in fiscal years beginning after December 15, 2024, and for interim periods for fiscal years beginning after December 15, 2025. The guidance will be applied on a prospective basis with the option to apply the standard retrospectively, and early adoption is permitted. The Company is continuing to assess the potential impacts of the standard, and it does not expect this pronouncement to have a material effect on its financial statements, other than the required changes to the income tax disclosures.</w:t>
      </w:r>
    </w:p>
    <w:p>
      <w:pPr>
        <w:spacing w:after="0" w:line="268" w:lineRule="exact"/>
        <w:rPr>
          <w:sz w:val="20"/>
          <w:szCs w:val="20"/>
          <w:color w:val="auto"/>
        </w:rPr>
      </w:pPr>
    </w:p>
    <w:p>
      <w:pPr>
        <w:ind w:left="20"/>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2.</w:t>
        <w:tab/>
        <w:t>REVENUE RECOGNITION</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Disaggregation of revenue</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table reflects revenue by major source for the following periods: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7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Three months ended June 30,</w:t>
            </w:r>
          </w:p>
        </w:tc>
        <w:tc>
          <w:tcPr>
            <w:tcW w:w="200" w:type="dxa"/>
            <w:vAlign w:val="bottom"/>
          </w:tcPr>
          <w:p>
            <w:pPr>
              <w:spacing w:after="0"/>
              <w:rPr>
                <w:sz w:val="10"/>
                <w:szCs w:val="10"/>
                <w:color w:val="auto"/>
              </w:rPr>
            </w:pPr>
          </w:p>
        </w:tc>
        <w:tc>
          <w:tcPr>
            <w:tcW w:w="1560" w:type="dxa"/>
            <w:vAlign w:val="bottom"/>
            <w:gridSpan w:val="4"/>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Six months ended June 30,</w:t>
            </w:r>
          </w:p>
        </w:tc>
        <w:tc>
          <w:tcPr>
            <w:tcW w:w="0" w:type="dxa"/>
            <w:vAlign w:val="bottom"/>
          </w:tcPr>
          <w:p>
            <w:pPr>
              <w:spacing w:after="0"/>
              <w:rPr>
                <w:sz w:val="1"/>
                <w:szCs w:val="1"/>
                <w:color w:val="auto"/>
              </w:rPr>
            </w:pPr>
          </w:p>
        </w:tc>
      </w:tr>
      <w:tr>
        <w:trPr>
          <w:trHeight w:val="88"/>
        </w:trPr>
        <w:tc>
          <w:tcPr>
            <w:tcW w:w="27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225"/>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top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600" w:type="dxa"/>
            <w:vAlign w:val="bottom"/>
            <w:tcBorders>
              <w:top w:val="single" w:sz="8" w:color="auto"/>
              <w:bottom w:val="single" w:sz="8" w:color="auto"/>
            </w:tcBorders>
          </w:tcPr>
          <w:p>
            <w:pPr>
              <w:jc w:val="right"/>
              <w:ind w:right="26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225"/>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top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24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14"/>
        </w:trPr>
        <w:tc>
          <w:tcPr>
            <w:tcW w:w="27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Software subscriptions:</w:t>
            </w: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780" w:type="dxa"/>
            <w:vAlign w:val="bottom"/>
            <w:vMerge w:val="continue"/>
          </w:tcPr>
          <w:p>
            <w:pPr>
              <w:spacing w:after="0"/>
              <w:rPr>
                <w:sz w:val="9"/>
                <w:szCs w:val="9"/>
                <w:color w:val="auto"/>
              </w:rPr>
            </w:pPr>
          </w:p>
        </w:tc>
        <w:tc>
          <w:tcPr>
            <w:tcW w:w="2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Software licenses</w:t>
            </w:r>
          </w:p>
        </w:tc>
        <w:tc>
          <w:tcPr>
            <w:tcW w:w="26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70,098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66,625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140,092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129,433</w:t>
            </w:r>
          </w:p>
        </w:tc>
        <w:tc>
          <w:tcPr>
            <w:tcW w:w="0" w:type="dxa"/>
            <w:vAlign w:val="bottom"/>
          </w:tcPr>
          <w:p>
            <w:pPr>
              <w:spacing w:after="0"/>
              <w:rPr>
                <w:sz w:val="1"/>
                <w:szCs w:val="1"/>
                <w:color w:val="auto"/>
              </w:rPr>
            </w:pPr>
          </w:p>
        </w:tc>
      </w:tr>
      <w:tr>
        <w:trPr>
          <w:trHeight w:val="144"/>
        </w:trPr>
        <w:tc>
          <w:tcPr>
            <w:tcW w:w="2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Cloud subscriptions</w:t>
            </w:r>
          </w:p>
        </w:tc>
        <w:tc>
          <w:tcPr>
            <w:tcW w:w="24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66,345</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51,211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128,181</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99,417</w:t>
            </w:r>
          </w:p>
        </w:tc>
        <w:tc>
          <w:tcPr>
            <w:tcW w:w="0" w:type="dxa"/>
            <w:vAlign w:val="bottom"/>
          </w:tcPr>
          <w:p>
            <w:pPr>
              <w:spacing w:after="0"/>
              <w:rPr>
                <w:sz w:val="1"/>
                <w:szCs w:val="1"/>
                <w:color w:val="auto"/>
              </w:rPr>
            </w:pPr>
          </w:p>
        </w:tc>
      </w:tr>
      <w:tr>
        <w:trPr>
          <w:trHeight w:val="133"/>
        </w:trPr>
        <w:tc>
          <w:tcPr>
            <w:tcW w:w="2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Software subscriptions</w:t>
            </w:r>
          </w:p>
        </w:tc>
        <w:tc>
          <w:tcPr>
            <w:tcW w:w="2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136,443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117,836</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268,273</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228,850</w:t>
            </w:r>
          </w:p>
        </w:tc>
        <w:tc>
          <w:tcPr>
            <w:tcW w:w="0" w:type="dxa"/>
            <w:vAlign w:val="bottom"/>
          </w:tcPr>
          <w:p>
            <w:pPr>
              <w:spacing w:after="0"/>
              <w:rPr>
                <w:sz w:val="1"/>
                <w:szCs w:val="1"/>
                <w:color w:val="auto"/>
              </w:rPr>
            </w:pPr>
          </w:p>
        </w:tc>
      </w:tr>
      <w:tr>
        <w:trPr>
          <w:trHeight w:val="144"/>
        </w:trPr>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Services</w:t>
            </w:r>
          </w:p>
        </w:tc>
        <w:tc>
          <w:tcPr>
            <w:tcW w:w="24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24,661</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21,859</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49,612</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43,596</w:t>
            </w:r>
          </w:p>
        </w:tc>
        <w:tc>
          <w:tcPr>
            <w:tcW w:w="0" w:type="dxa"/>
            <w:vAlign w:val="bottom"/>
          </w:tcPr>
          <w:p>
            <w:pPr>
              <w:spacing w:after="0"/>
              <w:rPr>
                <w:sz w:val="1"/>
                <w:szCs w:val="1"/>
                <w:color w:val="auto"/>
              </w:rPr>
            </w:pPr>
          </w:p>
        </w:tc>
      </w:tr>
      <w:tr>
        <w:trPr>
          <w:trHeight w:val="153"/>
        </w:trPr>
        <w:tc>
          <w:tcPr>
            <w:tcW w:w="2780" w:type="dxa"/>
            <w:vAlign w:val="bottom"/>
            <w:tcBorders>
              <w:bottom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24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161,104</w:t>
            </w: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139,695</w:t>
            </w: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317,885</w:t>
            </w: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272,446</w:t>
            </w:r>
          </w:p>
        </w:tc>
        <w:tc>
          <w:tcPr>
            <w:tcW w:w="0" w:type="dxa"/>
            <w:vAlign w:val="bottom"/>
          </w:tcPr>
          <w:p>
            <w:pPr>
              <w:spacing w:after="0"/>
              <w:rPr>
                <w:sz w:val="1"/>
                <w:szCs w:val="1"/>
                <w:color w:val="auto"/>
              </w:rPr>
            </w:pPr>
          </w:p>
        </w:tc>
      </w:tr>
      <w:tr>
        <w:trPr>
          <w:trHeight w:val="275"/>
        </w:trPr>
        <w:tc>
          <w:tcPr>
            <w:tcW w:w="2780" w:type="dxa"/>
            <w:vAlign w:val="bottom"/>
          </w:tcPr>
          <w:p>
            <w:pPr>
              <w:spacing w:after="0"/>
              <w:rPr>
                <w:sz w:val="23"/>
                <w:szCs w:val="23"/>
                <w:color w:val="auto"/>
              </w:rPr>
            </w:pPr>
          </w:p>
        </w:tc>
        <w:tc>
          <w:tcPr>
            <w:tcW w:w="240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12</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27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Contract balances</w:t>
      </w:r>
    </w:p>
    <w:p>
      <w:pPr>
        <w:spacing w:after="0" w:line="152"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$17,704 and $16,272 at June 30, 2024 and December 31, 2023, respectively. The allowance for potentially uncollectible accounts represents future expected credit losses over the life of the receivables based on past experience, current information and forward-looking economic considerations.</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beginning and ending balances of accounts receivable, net of allowance, are as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For the six months ended</w:t>
            </w:r>
          </w:p>
        </w:tc>
        <w:tc>
          <w:tcPr>
            <w:tcW w:w="120" w:type="dxa"/>
            <w:vAlign w:val="bottom"/>
          </w:tcPr>
          <w:p>
            <w:pPr>
              <w:spacing w:after="0"/>
              <w:rPr>
                <w:sz w:val="10"/>
                <w:szCs w:val="10"/>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3"/>
              </w:rPr>
              <w:t>For the year ended December 31, 2023</w:t>
            </w:r>
          </w:p>
        </w:tc>
        <w:tc>
          <w:tcPr>
            <w:tcW w:w="0" w:type="dxa"/>
            <w:vAlign w:val="bottom"/>
          </w:tcPr>
          <w:p>
            <w:pPr>
              <w:spacing w:after="0"/>
              <w:rPr>
                <w:sz w:val="1"/>
                <w:szCs w:val="1"/>
                <w:color w:val="auto"/>
              </w:rPr>
            </w:pPr>
          </w:p>
        </w:tc>
      </w:tr>
      <w:tr>
        <w:trPr>
          <w:trHeight w:val="115"/>
        </w:trPr>
        <w:tc>
          <w:tcPr>
            <w:tcW w:w="35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June 30, 2024</w:t>
            </w:r>
          </w:p>
        </w:tc>
        <w:tc>
          <w:tcPr>
            <w:tcW w:w="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jc w:val="center"/>
              <w:ind w:right="106"/>
              <w:spacing w:after="0" w:line="88" w:lineRule="exact"/>
              <w:rPr>
                <w:sz w:val="20"/>
                <w:szCs w:val="20"/>
                <w:color w:val="auto"/>
              </w:rPr>
            </w:pPr>
            <w:r>
              <w:rPr>
                <w:rFonts w:ascii="Times New Roman" w:cs="Times New Roman" w:eastAsia="Times New Roman" w:hAnsi="Times New Roman"/>
                <w:sz w:val="10"/>
                <w:szCs w:val="10"/>
                <w:b w:val="1"/>
                <w:bCs w:val="1"/>
                <w:color w:val="auto"/>
                <w:w w:val="95"/>
              </w:rPr>
              <w:t>(unaudited)</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22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141,752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9"/>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102,885</w:t>
            </w:r>
          </w:p>
        </w:tc>
        <w:tc>
          <w:tcPr>
            <w:tcW w:w="0" w:type="dxa"/>
            <w:vAlign w:val="bottom"/>
          </w:tcPr>
          <w:p>
            <w:pPr>
              <w:spacing w:after="0"/>
              <w:rPr>
                <w:sz w:val="1"/>
                <w:szCs w:val="1"/>
                <w:color w:val="auto"/>
              </w:rPr>
            </w:pPr>
          </w:p>
        </w:tc>
      </w:tr>
      <w:tr>
        <w:trPr>
          <w:trHeight w:val="144"/>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Balance, end of period</w:t>
            </w:r>
          </w:p>
        </w:tc>
        <w:tc>
          <w:tcPr>
            <w:tcW w:w="2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120,082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141,752</w:t>
            </w:r>
          </w:p>
        </w:tc>
        <w:tc>
          <w:tcPr>
            <w:tcW w:w="0" w:type="dxa"/>
            <w:vAlign w:val="bottom"/>
          </w:tcPr>
          <w:p>
            <w:pPr>
              <w:spacing w:after="0"/>
              <w:rPr>
                <w:sz w:val="1"/>
                <w:szCs w:val="1"/>
                <w:color w:val="auto"/>
              </w:rPr>
            </w:pPr>
          </w:p>
        </w:tc>
      </w:tr>
      <w:tr>
        <w:trPr>
          <w:trHeight w:val="140"/>
        </w:trPr>
        <w:tc>
          <w:tcPr>
            <w:tcW w:w="3500" w:type="dxa"/>
            <w:vAlign w:val="bottom"/>
            <w:tcBorders>
              <w:bottom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Increase (decrease), net</w:t>
            </w:r>
          </w:p>
        </w:tc>
        <w:tc>
          <w:tcPr>
            <w:tcW w:w="2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(21,670)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38,867</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216"/>
        <w:spacing w:after="0" w:line="259" w:lineRule="auto"/>
        <w:rPr>
          <w:sz w:val="20"/>
          <w:szCs w:val="20"/>
          <w:color w:val="auto"/>
        </w:rPr>
      </w:pPr>
      <w:r>
        <w:rPr>
          <w:rFonts w:ascii="Times New Roman" w:cs="Times New Roman" w:eastAsia="Times New Roman" w:hAnsi="Times New Roman"/>
          <w:sz w:val="12"/>
          <w:szCs w:val="12"/>
          <w:color w:val="auto"/>
        </w:rPr>
        <w:t>A contract liability is recorded as deferred revenue on the condensed consolidated balance sheets when customers are billed in advance of performance obligations being satisfied, and revenue is recognized after invoicing ratably over the subscription period. Deferred revenue is reflected net of a related deferred allowance for subscription cancellations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“deferred allowance”) of $12,753 and $11,741 at June 30, 2024 and December 31, 2023, respectively. The deferred allowance represents the portion of the allowance for subscription cancellations associated with deferred revenue.</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beginning and ending balances of and changes to the allowance and the deferred allowance are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6"/>
          </w:tcPr>
          <w:p>
            <w:pPr>
              <w:jc w:val="center"/>
              <w:ind w:right="266"/>
              <w:spacing w:after="0"/>
              <w:rPr>
                <w:sz w:val="20"/>
                <w:szCs w:val="20"/>
                <w:color w:val="auto"/>
              </w:rPr>
            </w:pPr>
            <w:r>
              <w:rPr>
                <w:rFonts w:ascii="Times New Roman" w:cs="Times New Roman" w:eastAsia="Times New Roman" w:hAnsi="Times New Roman"/>
                <w:sz w:val="10"/>
                <w:szCs w:val="10"/>
                <w:b w:val="1"/>
                <w:bCs w:val="1"/>
                <w:color w:val="auto"/>
                <w:w w:val="95"/>
              </w:rPr>
              <w:t>For the three months ended June 30,</w:t>
            </w:r>
          </w:p>
        </w:tc>
        <w:tc>
          <w:tcPr>
            <w:tcW w:w="8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34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4"/>
          </w:tcPr>
          <w:p>
            <w:pPr>
              <w:jc w:val="right"/>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7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3"/>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4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164"/>
              <w:spacing w:after="0" w:line="88" w:lineRule="exact"/>
              <w:rPr>
                <w:sz w:val="20"/>
                <w:szCs w:val="20"/>
                <w:color w:val="auto"/>
              </w:rPr>
            </w:pPr>
            <w:r>
              <w:rPr>
                <w:rFonts w:ascii="Times New Roman" w:cs="Times New Roman" w:eastAsia="Times New Roman" w:hAnsi="Times New Roman"/>
                <w:sz w:val="10"/>
                <w:szCs w:val="10"/>
                <w:b w:val="1"/>
                <w:bCs w:val="1"/>
                <w:color w:val="auto"/>
              </w:rPr>
              <w:t>Balance</w:t>
            </w:r>
          </w:p>
        </w:tc>
        <w:tc>
          <w:tcPr>
            <w:tcW w:w="280" w:type="dxa"/>
            <w:vAlign w:val="bottom"/>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126"/>
              <w:spacing w:after="0" w:line="88" w:lineRule="exact"/>
              <w:rPr>
                <w:sz w:val="20"/>
                <w:szCs w:val="20"/>
                <w:color w:val="auto"/>
              </w:rPr>
            </w:pPr>
            <w:r>
              <w:rPr>
                <w:rFonts w:ascii="Times New Roman" w:cs="Times New Roman" w:eastAsia="Times New Roman" w:hAnsi="Times New Roman"/>
                <w:sz w:val="10"/>
                <w:szCs w:val="10"/>
                <w:b w:val="1"/>
                <w:bCs w:val="1"/>
                <w:color w:val="auto"/>
              </w:rPr>
              <w:t>Net Change</w:t>
            </w:r>
          </w:p>
        </w:tc>
        <w:tc>
          <w:tcPr>
            <w:tcW w:w="1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84"/>
              <w:spacing w:after="0" w:line="88" w:lineRule="exact"/>
              <w:rPr>
                <w:sz w:val="20"/>
                <w:szCs w:val="20"/>
                <w:color w:val="auto"/>
              </w:rPr>
            </w:pPr>
            <w:r>
              <w:rPr>
                <w:rFonts w:ascii="Times New Roman" w:cs="Times New Roman" w:eastAsia="Times New Roman" w:hAnsi="Times New Roman"/>
                <w:sz w:val="10"/>
                <w:szCs w:val="10"/>
                <w:b w:val="1"/>
                <w:bCs w:val="1"/>
                <w:color w:val="auto"/>
              </w:rPr>
              <w:t>Balance</w:t>
            </w:r>
          </w:p>
        </w:tc>
        <w:tc>
          <w:tcPr>
            <w:tcW w:w="280" w:type="dxa"/>
            <w:vAlign w:val="bottom"/>
            <w:gridSpan w:val="2"/>
          </w:tcPr>
          <w:p>
            <w:pPr>
              <w:spacing w:after="0"/>
              <w:rPr>
                <w:sz w:val="7"/>
                <w:szCs w:val="7"/>
                <w:color w:val="auto"/>
              </w:rPr>
            </w:pPr>
          </w:p>
        </w:tc>
        <w:tc>
          <w:tcPr>
            <w:tcW w:w="840" w:type="dxa"/>
            <w:vAlign w:val="bottom"/>
            <w:tcBorders>
              <w:bottom w:val="single" w:sz="8" w:color="auto"/>
            </w:tcBorders>
          </w:tcPr>
          <w:p>
            <w:pPr>
              <w:jc w:val="right"/>
              <w:ind w:right="123"/>
              <w:spacing w:after="0" w:line="88" w:lineRule="exact"/>
              <w:rPr>
                <w:sz w:val="20"/>
                <w:szCs w:val="20"/>
                <w:color w:val="auto"/>
              </w:rPr>
            </w:pPr>
            <w:r>
              <w:rPr>
                <w:rFonts w:ascii="Times New Roman" w:cs="Times New Roman" w:eastAsia="Times New Roman" w:hAnsi="Times New Roman"/>
                <w:sz w:val="10"/>
                <w:szCs w:val="10"/>
                <w:b w:val="1"/>
                <w:bCs w:val="1"/>
                <w:color w:val="auto"/>
              </w:rPr>
              <w:t>Net Change</w:t>
            </w:r>
          </w:p>
        </w:tc>
        <w:tc>
          <w:tcPr>
            <w:tcW w:w="20" w:type="dxa"/>
            <w:vAlign w:val="bottom"/>
          </w:tcPr>
          <w:p>
            <w:pPr>
              <w:spacing w:after="0"/>
              <w:rPr>
                <w:sz w:val="7"/>
                <w:szCs w:val="7"/>
                <w:color w:val="auto"/>
              </w:rPr>
            </w:pPr>
          </w:p>
        </w:tc>
      </w:tr>
      <w:tr>
        <w:trPr>
          <w:trHeight w:val="79"/>
        </w:trPr>
        <w:tc>
          <w:tcPr>
            <w:tcW w:w="34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3"/>
          </w:tcPr>
          <w:p>
            <w:pPr>
              <w:jc w:val="center"/>
              <w:ind w:left="526"/>
              <w:spacing w:after="0" w:line="79" w:lineRule="exact"/>
              <w:rPr>
                <w:sz w:val="20"/>
                <w:szCs w:val="20"/>
                <w:color w:val="auto"/>
              </w:rPr>
            </w:pPr>
            <w:r>
              <w:rPr>
                <w:rFonts w:ascii="Times New Roman" w:cs="Times New Roman" w:eastAsia="Times New Roman" w:hAnsi="Times New Roman"/>
                <w:sz w:val="8"/>
                <w:szCs w:val="8"/>
                <w:b w:val="1"/>
                <w:bCs w:val="1"/>
                <w:color w:val="auto"/>
              </w:rPr>
              <w:t>(unaudited)</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4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Allowance balance, April 1,</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(20,241)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(10,641)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Allowance balance, June 30,</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(17,704)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(14,218)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3420" w:type="dxa"/>
            <w:vAlign w:val="bottom"/>
            <w:tcBorders>
              <w:top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Change in allowance</w:t>
            </w:r>
          </w:p>
        </w:tc>
        <w:tc>
          <w:tcPr>
            <w:tcW w:w="15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(2,537)</w:t>
            </w: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3,577</w:t>
            </w:r>
          </w:p>
        </w:tc>
        <w:tc>
          <w:tcPr>
            <w:tcW w:w="20" w:type="dxa"/>
            <w:vAlign w:val="bottom"/>
          </w:tcPr>
          <w:p>
            <w:pPr>
              <w:spacing w:after="0"/>
              <w:rPr>
                <w:sz w:val="11"/>
                <w:szCs w:val="11"/>
                <w:color w:val="auto"/>
              </w:rPr>
            </w:pPr>
          </w:p>
        </w:tc>
      </w:tr>
      <w:tr>
        <w:trPr>
          <w:trHeight w:val="144"/>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Deferred allowance balance, April 1,</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14,634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allowance balance, June 30,</w:t>
            </w:r>
          </w:p>
        </w:tc>
        <w:tc>
          <w:tcPr>
            <w:tcW w:w="15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10,409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3420" w:type="dxa"/>
            <w:vAlign w:val="bottom"/>
            <w:tcBorders>
              <w:bottom w:val="single" w:sz="8" w:color="CCEEFF"/>
            </w:tcBorders>
          </w:tcPr>
          <w:p>
            <w:pPr>
              <w:ind w:left="80"/>
              <w:spacing w:after="0" w:line="133" w:lineRule="exact"/>
              <w:rPr>
                <w:sz w:val="20"/>
                <w:szCs w:val="20"/>
                <w:color w:val="auto"/>
              </w:rPr>
            </w:pPr>
            <w:r>
              <w:rPr>
                <w:rFonts w:ascii="Times New Roman" w:cs="Times New Roman" w:eastAsia="Times New Roman" w:hAnsi="Times New Roman"/>
                <w:sz w:val="12"/>
                <w:szCs w:val="12"/>
                <w:color w:val="auto"/>
              </w:rPr>
              <w:t>Change in deferred allowance</w:t>
            </w:r>
          </w:p>
        </w:tc>
        <w:tc>
          <w:tcPr>
            <w:tcW w:w="15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1,881</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(2,893)</w:t>
            </w:r>
          </w:p>
        </w:tc>
        <w:tc>
          <w:tcPr>
            <w:tcW w:w="20" w:type="dxa"/>
            <w:vAlign w:val="bottom"/>
          </w:tcPr>
          <w:p>
            <w:pPr>
              <w:spacing w:after="0"/>
              <w:rPr>
                <w:sz w:val="11"/>
                <w:szCs w:val="11"/>
                <w:color w:val="auto"/>
              </w:rPr>
            </w:pPr>
          </w:p>
        </w:tc>
      </w:tr>
      <w:tr>
        <w:trPr>
          <w:trHeight w:val="140"/>
        </w:trPr>
        <w:tc>
          <w:tcPr>
            <w:tcW w:w="342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amount charged to revenues</w:t>
            </w:r>
          </w:p>
        </w:tc>
        <w:tc>
          <w:tcPr>
            <w:tcW w:w="1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(656)</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684</w:t>
            </w:r>
          </w:p>
        </w:tc>
        <w:tc>
          <w:tcPr>
            <w:tcW w:w="20" w:type="dxa"/>
            <w:vAlign w:val="bottom"/>
          </w:tcPr>
          <w:p>
            <w:pPr>
              <w:spacing w:after="0"/>
              <w:rPr>
                <w:sz w:val="12"/>
                <w:szCs w:val="12"/>
                <w:color w:val="auto"/>
              </w:rPr>
            </w:pPr>
          </w:p>
        </w:tc>
      </w:tr>
      <w:tr>
        <w:trPr>
          <w:trHeight w:val="243"/>
        </w:trPr>
        <w:tc>
          <w:tcPr>
            <w:tcW w:w="34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6"/>
          </w:tcPr>
          <w:p>
            <w:pPr>
              <w:jc w:val="center"/>
              <w:ind w:right="286"/>
              <w:spacing w:after="0"/>
              <w:rPr>
                <w:sz w:val="20"/>
                <w:szCs w:val="20"/>
                <w:color w:val="auto"/>
              </w:rPr>
            </w:pPr>
            <w:r>
              <w:rPr>
                <w:rFonts w:ascii="Times New Roman" w:cs="Times New Roman" w:eastAsia="Times New Roman" w:hAnsi="Times New Roman"/>
                <w:sz w:val="10"/>
                <w:szCs w:val="10"/>
                <w:b w:val="1"/>
                <w:bCs w:val="1"/>
                <w:color w:val="auto"/>
                <w:w w:val="95"/>
              </w:rPr>
              <w:t>For the six months ended June 30,</w:t>
            </w:r>
          </w:p>
        </w:tc>
        <w:tc>
          <w:tcPr>
            <w:tcW w:w="8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88"/>
        </w:trPr>
        <w:tc>
          <w:tcPr>
            <w:tcW w:w="34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4"/>
          </w:tcPr>
          <w:p>
            <w:pPr>
              <w:jc w:val="right"/>
              <w:ind w:right="100"/>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7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3"/>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34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164"/>
              <w:spacing w:after="0" w:line="88" w:lineRule="exact"/>
              <w:rPr>
                <w:sz w:val="20"/>
                <w:szCs w:val="20"/>
                <w:color w:val="auto"/>
              </w:rPr>
            </w:pPr>
            <w:r>
              <w:rPr>
                <w:rFonts w:ascii="Times New Roman" w:cs="Times New Roman" w:eastAsia="Times New Roman" w:hAnsi="Times New Roman"/>
                <w:sz w:val="10"/>
                <w:szCs w:val="10"/>
                <w:b w:val="1"/>
                <w:bCs w:val="1"/>
                <w:color w:val="auto"/>
              </w:rPr>
              <w:t>Balance</w:t>
            </w:r>
          </w:p>
        </w:tc>
        <w:tc>
          <w:tcPr>
            <w:tcW w:w="280" w:type="dxa"/>
            <w:vAlign w:val="bottom"/>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126"/>
              <w:spacing w:after="0" w:line="88" w:lineRule="exact"/>
              <w:rPr>
                <w:sz w:val="20"/>
                <w:szCs w:val="20"/>
                <w:color w:val="auto"/>
              </w:rPr>
            </w:pPr>
            <w:r>
              <w:rPr>
                <w:rFonts w:ascii="Times New Roman" w:cs="Times New Roman" w:eastAsia="Times New Roman" w:hAnsi="Times New Roman"/>
                <w:sz w:val="10"/>
                <w:szCs w:val="10"/>
                <w:b w:val="1"/>
                <w:bCs w:val="1"/>
                <w:color w:val="auto"/>
              </w:rPr>
              <w:t>Net Change</w:t>
            </w:r>
          </w:p>
        </w:tc>
        <w:tc>
          <w:tcPr>
            <w:tcW w:w="1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184"/>
              <w:spacing w:after="0" w:line="88" w:lineRule="exact"/>
              <w:rPr>
                <w:sz w:val="20"/>
                <w:szCs w:val="20"/>
                <w:color w:val="auto"/>
              </w:rPr>
            </w:pPr>
            <w:r>
              <w:rPr>
                <w:rFonts w:ascii="Times New Roman" w:cs="Times New Roman" w:eastAsia="Times New Roman" w:hAnsi="Times New Roman"/>
                <w:sz w:val="10"/>
                <w:szCs w:val="10"/>
                <w:b w:val="1"/>
                <w:bCs w:val="1"/>
                <w:color w:val="auto"/>
              </w:rPr>
              <w:t>Balance</w:t>
            </w:r>
          </w:p>
        </w:tc>
        <w:tc>
          <w:tcPr>
            <w:tcW w:w="280" w:type="dxa"/>
            <w:vAlign w:val="bottom"/>
            <w:gridSpan w:val="2"/>
          </w:tcPr>
          <w:p>
            <w:pPr>
              <w:spacing w:after="0"/>
              <w:rPr>
                <w:sz w:val="7"/>
                <w:szCs w:val="7"/>
                <w:color w:val="auto"/>
              </w:rPr>
            </w:pPr>
          </w:p>
        </w:tc>
        <w:tc>
          <w:tcPr>
            <w:tcW w:w="840" w:type="dxa"/>
            <w:vAlign w:val="bottom"/>
            <w:tcBorders>
              <w:bottom w:val="single" w:sz="8" w:color="auto"/>
            </w:tcBorders>
          </w:tcPr>
          <w:p>
            <w:pPr>
              <w:jc w:val="right"/>
              <w:ind w:right="123"/>
              <w:spacing w:after="0" w:line="88" w:lineRule="exact"/>
              <w:rPr>
                <w:sz w:val="20"/>
                <w:szCs w:val="20"/>
                <w:color w:val="auto"/>
              </w:rPr>
            </w:pPr>
            <w:r>
              <w:rPr>
                <w:rFonts w:ascii="Times New Roman" w:cs="Times New Roman" w:eastAsia="Times New Roman" w:hAnsi="Times New Roman"/>
                <w:sz w:val="10"/>
                <w:szCs w:val="10"/>
                <w:b w:val="1"/>
                <w:bCs w:val="1"/>
                <w:color w:val="auto"/>
              </w:rPr>
              <w:t>Net Change</w:t>
            </w:r>
          </w:p>
        </w:tc>
        <w:tc>
          <w:tcPr>
            <w:tcW w:w="20" w:type="dxa"/>
            <w:vAlign w:val="bottom"/>
          </w:tcPr>
          <w:p>
            <w:pPr>
              <w:spacing w:after="0"/>
              <w:rPr>
                <w:sz w:val="7"/>
                <w:szCs w:val="7"/>
                <w:color w:val="auto"/>
              </w:rPr>
            </w:pPr>
          </w:p>
        </w:tc>
      </w:tr>
      <w:tr>
        <w:trPr>
          <w:trHeight w:val="79"/>
        </w:trPr>
        <w:tc>
          <w:tcPr>
            <w:tcW w:w="34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gridSpan w:val="3"/>
          </w:tcPr>
          <w:p>
            <w:pPr>
              <w:jc w:val="center"/>
              <w:ind w:left="526"/>
              <w:spacing w:after="0" w:line="79" w:lineRule="exact"/>
              <w:rPr>
                <w:sz w:val="20"/>
                <w:szCs w:val="20"/>
                <w:color w:val="auto"/>
              </w:rPr>
            </w:pPr>
            <w:r>
              <w:rPr>
                <w:rFonts w:ascii="Times New Roman" w:cs="Times New Roman" w:eastAsia="Times New Roman" w:hAnsi="Times New Roman"/>
                <w:sz w:val="8"/>
                <w:szCs w:val="8"/>
                <w:b w:val="1"/>
                <w:bCs w:val="1"/>
                <w:color w:val="auto"/>
              </w:rPr>
              <w:t>(unaudited)</w:t>
            </w: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14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Allowance balance, January 1,</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(16,272)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(9,554)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Allowance balance, June 30,</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(17,704)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(14,218)</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3420" w:type="dxa"/>
            <w:vAlign w:val="bottom"/>
            <w:tcBorders>
              <w:top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Change in allowance</w:t>
            </w:r>
          </w:p>
        </w:tc>
        <w:tc>
          <w:tcPr>
            <w:tcW w:w="15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1,432</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4,664</w:t>
            </w:r>
          </w:p>
        </w:tc>
        <w:tc>
          <w:tcPr>
            <w:tcW w:w="20" w:type="dxa"/>
            <w:vAlign w:val="bottom"/>
          </w:tcPr>
          <w:p>
            <w:pPr>
              <w:spacing w:after="0"/>
              <w:rPr>
                <w:sz w:val="11"/>
                <w:szCs w:val="11"/>
                <w:color w:val="auto"/>
              </w:rPr>
            </w:pPr>
          </w:p>
        </w:tc>
      </w:tr>
      <w:tr>
        <w:trPr>
          <w:trHeight w:val="144"/>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Deferred allowance balance, January 1,</w:t>
            </w: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allowance balance, June 30,</w:t>
            </w:r>
          </w:p>
        </w:tc>
        <w:tc>
          <w:tcPr>
            <w:tcW w:w="15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10,409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342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Change in deferred allowance</w:t>
            </w: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(1,012)</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(3,276)</w:t>
            </w:r>
          </w:p>
        </w:tc>
        <w:tc>
          <w:tcPr>
            <w:tcW w:w="20" w:type="dxa"/>
            <w:vAlign w:val="bottom"/>
          </w:tcPr>
          <w:p>
            <w:pPr>
              <w:spacing w:after="0"/>
              <w:rPr>
                <w:sz w:val="11"/>
                <w:szCs w:val="11"/>
                <w:color w:val="auto"/>
              </w:rPr>
            </w:pPr>
          </w:p>
        </w:tc>
      </w:tr>
      <w:tr>
        <w:trPr>
          <w:trHeight w:val="140"/>
        </w:trPr>
        <w:tc>
          <w:tcPr>
            <w:tcW w:w="3420" w:type="dxa"/>
            <w:vAlign w:val="bottom"/>
            <w:tcBorders>
              <w:top w:val="single" w:sz="8" w:color="CCEEFF"/>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amount charged to revenues</w:t>
            </w:r>
          </w:p>
        </w:tc>
        <w:tc>
          <w:tcPr>
            <w:tcW w:w="15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1,388</w:t>
            </w:r>
          </w:p>
        </w:tc>
        <w:tc>
          <w:tcPr>
            <w:tcW w:w="20" w:type="dxa"/>
            <w:vAlign w:val="bottom"/>
          </w:tcPr>
          <w:p>
            <w:pPr>
              <w:spacing w:after="0"/>
              <w:rPr>
                <w:sz w:val="12"/>
                <w:szCs w:val="12"/>
                <w:color w:val="auto"/>
              </w:rPr>
            </w:pPr>
          </w:p>
        </w:tc>
      </w:tr>
    </w:tbl>
    <w:p>
      <w:pPr>
        <w:spacing w:after="0" w:line="133"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portion of deferred revenue expected to be recognized in revenue beyond one year is included in deferred revenue, net of current portion in the condensed consolidated balance sheets. The following table provides information about the balances of and changes to deferred revenue for the following periods: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6"/>
          </w:tcPr>
          <w:p>
            <w:pPr>
              <w:ind w:left="280"/>
              <w:spacing w:after="0"/>
              <w:rPr>
                <w:sz w:val="20"/>
                <w:szCs w:val="20"/>
                <w:color w:val="auto"/>
              </w:rPr>
            </w:pPr>
            <w:r>
              <w:rPr>
                <w:rFonts w:ascii="Times New Roman" w:cs="Times New Roman" w:eastAsia="Times New Roman" w:hAnsi="Times New Roman"/>
                <w:sz w:val="10"/>
                <w:szCs w:val="10"/>
                <w:b w:val="1"/>
                <w:bCs w:val="1"/>
                <w:color w:val="auto"/>
              </w:rPr>
              <w:t>For the three months ended June 30,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60" w:type="dxa"/>
            <w:vAlign w:val="bottom"/>
            <w:gridSpan w:val="5"/>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c>
          <w:tcPr>
            <w:tcW w:w="0" w:type="dxa"/>
            <w:vAlign w:val="bottom"/>
          </w:tcPr>
          <w:p>
            <w:pPr>
              <w:spacing w:after="0"/>
              <w:rPr>
                <w:sz w:val="1"/>
                <w:szCs w:val="1"/>
                <w:color w:val="auto"/>
              </w:rPr>
            </w:pPr>
          </w:p>
        </w:tc>
      </w:tr>
      <w:tr>
        <w:trPr>
          <w:trHeight w:val="88"/>
        </w:trPr>
        <w:tc>
          <w:tcPr>
            <w:tcW w:w="28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jc w:val="right"/>
              <w:ind w:right="365"/>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ind w:right="40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345"/>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6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14"/>
        </w:trPr>
        <w:tc>
          <w:tcPr>
            <w:tcW w:w="28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Changes to deferred revenue:</w:t>
            </w: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4"/>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4"/>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84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Beginning balance</w:t>
            </w:r>
          </w:p>
        </w:tc>
        <w:tc>
          <w:tcPr>
            <w:tcW w:w="15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300,991</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283,116</w:t>
            </w:r>
          </w:p>
        </w:tc>
        <w:tc>
          <w:tcPr>
            <w:tcW w:w="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292,720</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279,136</w:t>
            </w:r>
          </w:p>
        </w:tc>
        <w:tc>
          <w:tcPr>
            <w:tcW w:w="0" w:type="dxa"/>
            <w:vAlign w:val="bottom"/>
          </w:tcPr>
          <w:p>
            <w:pPr>
              <w:spacing w:after="0"/>
              <w:rPr>
                <w:sz w:val="1"/>
                <w:szCs w:val="1"/>
                <w:color w:val="auto"/>
              </w:rPr>
            </w:pPr>
          </w:p>
        </w:tc>
      </w:tr>
      <w:tr>
        <w:trPr>
          <w:trHeight w:val="144"/>
        </w:trPr>
        <w:tc>
          <w:tcPr>
            <w:tcW w:w="2840" w:type="dxa"/>
            <w:vAlign w:val="bottom"/>
          </w:tcPr>
          <w:p>
            <w:pPr>
              <w:spacing w:after="0"/>
              <w:rPr>
                <w:sz w:val="20"/>
                <w:szCs w:val="20"/>
                <w:color w:val="auto"/>
              </w:rPr>
            </w:pPr>
            <w:r>
              <w:rPr>
                <w:rFonts w:ascii="Times New Roman" w:cs="Times New Roman" w:eastAsia="Times New Roman" w:hAnsi="Times New Roman"/>
                <w:sz w:val="12"/>
                <w:szCs w:val="12"/>
                <w:color w:val="auto"/>
              </w:rPr>
              <w:t>Additional amounts deferred</w:t>
            </w: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159,854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133,632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324,906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270,363</w:t>
            </w:r>
          </w:p>
        </w:tc>
        <w:tc>
          <w:tcPr>
            <w:tcW w:w="0" w:type="dxa"/>
            <w:vAlign w:val="bottom"/>
          </w:tcPr>
          <w:p>
            <w:pPr>
              <w:spacing w:after="0"/>
              <w:rPr>
                <w:sz w:val="1"/>
                <w:szCs w:val="1"/>
                <w:color w:val="auto"/>
              </w:rPr>
            </w:pPr>
          </w:p>
        </w:tc>
      </w:tr>
      <w:tr>
        <w:trPr>
          <w:trHeight w:val="14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 recognized</w:t>
            </w: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(161,104)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(139,695)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(317,885)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(272,446)</w:t>
            </w:r>
          </w:p>
        </w:tc>
        <w:tc>
          <w:tcPr>
            <w:tcW w:w="0" w:type="dxa"/>
            <w:vAlign w:val="bottom"/>
          </w:tcPr>
          <w:p>
            <w:pPr>
              <w:spacing w:after="0"/>
              <w:rPr>
                <w:sz w:val="1"/>
                <w:szCs w:val="1"/>
                <w:color w:val="auto"/>
              </w:rPr>
            </w:pPr>
          </w:p>
        </w:tc>
      </w:tr>
      <w:tr>
        <w:trPr>
          <w:trHeight w:val="140"/>
        </w:trPr>
        <w:tc>
          <w:tcPr>
            <w:tcW w:w="28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Ending balance</w:t>
            </w:r>
          </w:p>
        </w:tc>
        <w:tc>
          <w:tcPr>
            <w:tcW w:w="14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299,741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277,053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299,741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277,053</w:t>
            </w:r>
          </w:p>
        </w:tc>
        <w:tc>
          <w:tcPr>
            <w:tcW w:w="0" w:type="dxa"/>
            <w:vAlign w:val="bottom"/>
          </w:tcPr>
          <w:p>
            <w:pPr>
              <w:spacing w:after="0"/>
              <w:rPr>
                <w:sz w:val="1"/>
                <w:szCs w:val="1"/>
                <w:color w:val="auto"/>
              </w:rPr>
            </w:pPr>
          </w:p>
        </w:tc>
      </w:tr>
      <w:tr>
        <w:trPr>
          <w:trHeight w:val="288"/>
        </w:trPr>
        <w:tc>
          <w:tcPr>
            <w:tcW w:w="2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705"/>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Contract costs</w:t>
      </w:r>
    </w:p>
    <w:p>
      <w:pPr>
        <w:spacing w:after="0" w:line="152"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changes to contract cost balances as of and for the following periods are:</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three months ended June 30,</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5"/>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c>
          <w:tcPr>
            <w:tcW w:w="0" w:type="dxa"/>
            <w:vAlign w:val="bottom"/>
          </w:tcPr>
          <w:p>
            <w:pPr>
              <w:spacing w:after="0"/>
              <w:rPr>
                <w:sz w:val="1"/>
                <w:szCs w:val="1"/>
                <w:color w:val="auto"/>
              </w:rPr>
            </w:pPr>
          </w:p>
        </w:tc>
      </w:tr>
      <w:tr>
        <w:trPr>
          <w:trHeight w:val="88"/>
        </w:trPr>
        <w:tc>
          <w:tcPr>
            <w:tcW w:w="26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305"/>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40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14"/>
        </w:trPr>
        <w:tc>
          <w:tcPr>
            <w:tcW w:w="26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Deferred commissions:</w:t>
            </w:r>
          </w:p>
        </w:tc>
        <w:tc>
          <w:tcPr>
            <w:tcW w:w="1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gridSpan w:val="3"/>
          </w:tcPr>
          <w:p>
            <w:pPr>
              <w:ind w:left="260"/>
              <w:spacing w:after="0"/>
              <w:rPr>
                <w:sz w:val="20"/>
                <w:szCs w:val="20"/>
                <w:color w:val="auto"/>
              </w:rPr>
            </w:pPr>
            <w:r>
              <w:rPr>
                <w:rFonts w:ascii="Times New Roman" w:cs="Times New Roman" w:eastAsia="Times New Roman" w:hAnsi="Times New Roman"/>
                <w:sz w:val="8"/>
                <w:szCs w:val="8"/>
                <w:b w:val="1"/>
                <w:bCs w:val="1"/>
                <w:color w:val="auto"/>
                <w:w w:val="84"/>
              </w:rPr>
              <w:t>(unaudited)</w:t>
            </w: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gridSpan w:val="4"/>
          </w:tcPr>
          <w:p>
            <w:pPr>
              <w:jc w:val="right"/>
              <w:ind w:right="96"/>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6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Beginning balance</w:t>
            </w:r>
          </w:p>
        </w:tc>
        <w:tc>
          <w:tcPr>
            <w:tcW w:w="22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21,301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529"/>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15,921</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21,237</w:t>
            </w:r>
          </w:p>
        </w:tc>
        <w:tc>
          <w:tcPr>
            <w:tcW w:w="1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15,463</w:t>
            </w:r>
          </w:p>
        </w:tc>
        <w:tc>
          <w:tcPr>
            <w:tcW w:w="0" w:type="dxa"/>
            <w:vAlign w:val="bottom"/>
          </w:tcPr>
          <w:p>
            <w:pPr>
              <w:spacing w:after="0"/>
              <w:rPr>
                <w:sz w:val="1"/>
                <w:szCs w:val="1"/>
                <w:color w:val="auto"/>
              </w:rPr>
            </w:pPr>
          </w:p>
        </w:tc>
      </w:tr>
      <w:tr>
        <w:trPr>
          <w:trHeight w:val="144"/>
        </w:trPr>
        <w:tc>
          <w:tcPr>
            <w:tcW w:w="2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Additions</w:t>
            </w:r>
          </w:p>
        </w:tc>
        <w:tc>
          <w:tcPr>
            <w:tcW w:w="1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5,598</w:t>
            </w: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w:t>
            </w:r>
          </w:p>
        </w:tc>
        <w:tc>
          <w:tcPr>
            <w:tcW w:w="15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(4,224)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(1,942)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(8,144)</w:t>
            </w: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(4,335)</w:t>
            </w:r>
          </w:p>
        </w:tc>
        <w:tc>
          <w:tcPr>
            <w:tcW w:w="0" w:type="dxa"/>
            <w:vAlign w:val="bottom"/>
          </w:tcPr>
          <w:p>
            <w:pPr>
              <w:spacing w:after="0"/>
              <w:rPr>
                <w:sz w:val="1"/>
                <w:szCs w:val="1"/>
                <w:color w:val="auto"/>
              </w:rPr>
            </w:pPr>
          </w:p>
        </w:tc>
      </w:tr>
      <w:tr>
        <w:trPr>
          <w:trHeight w:val="140"/>
        </w:trPr>
        <w:tc>
          <w:tcPr>
            <w:tcW w:w="266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Ending balance</w:t>
            </w:r>
          </w:p>
        </w:tc>
        <w:tc>
          <w:tcPr>
            <w:tcW w:w="15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21,862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16,726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21,862</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16,726</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240" w:right="5039" w:hanging="218"/>
        <w:spacing w:after="0" w:line="550" w:lineRule="auto"/>
        <w:tabs>
          <w:tab w:leader="none" w:pos="294" w:val="left"/>
        </w:tabs>
        <w:numPr>
          <w:ilvl w:val="0"/>
          <w:numId w:val="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FINANCIAL INSTRUMENTS AND FAIR VALUE MEASUREMENTS Assets and Liabilities Measured at Fair Value on a Recurring Basis</w:t>
      </w:r>
    </w:p>
    <w:p>
      <w:pPr>
        <w:ind w:left="240"/>
        <w:spacing w:after="0"/>
        <w:rPr>
          <w:sz w:val="20"/>
          <w:szCs w:val="20"/>
          <w:color w:val="auto"/>
        </w:rPr>
      </w:pPr>
      <w:r>
        <w:rPr>
          <w:rFonts w:ascii="Times New Roman" w:cs="Times New Roman" w:eastAsia="Times New Roman" w:hAnsi="Times New Roman"/>
          <w:sz w:val="12"/>
          <w:szCs w:val="12"/>
          <w:color w:val="auto"/>
        </w:rPr>
        <w:t>The following table summarizes the Company’s fair value for its financial assets and liabilities measured at fair value on a recurring basis: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jc w:val="right"/>
              <w:ind w:right="325"/>
              <w:spacing w:after="0"/>
              <w:rPr>
                <w:sz w:val="20"/>
                <w:szCs w:val="20"/>
                <w:color w:val="auto"/>
              </w:rPr>
            </w:pPr>
            <w:r>
              <w:rPr>
                <w:rFonts w:ascii="Times New Roman" w:cs="Times New Roman" w:eastAsia="Times New Roman" w:hAnsi="Times New Roman"/>
                <w:sz w:val="10"/>
                <w:szCs w:val="10"/>
                <w:b w:val="1"/>
                <w:bCs w:val="1"/>
                <w:color w:val="auto"/>
              </w:rPr>
              <w:t>Fair Value Measurements Using</w:t>
            </w: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jc w:val="center"/>
              <w:ind w:right="45"/>
              <w:spacing w:after="0" w:line="72" w:lineRule="exact"/>
              <w:rPr>
                <w:sz w:val="20"/>
                <w:szCs w:val="20"/>
                <w:color w:val="auto"/>
              </w:rPr>
            </w:pPr>
            <w:r>
              <w:rPr>
                <w:rFonts w:ascii="Times New Roman" w:cs="Times New Roman" w:eastAsia="Times New Roman" w:hAnsi="Times New Roman"/>
                <w:sz w:val="8"/>
                <w:szCs w:val="8"/>
                <w:b w:val="1"/>
                <w:bCs w:val="1"/>
                <w:color w:val="auto"/>
              </w:rPr>
              <w:t>Prices in active</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jc w:val="center"/>
              <w:ind w:right="25"/>
              <w:spacing w:after="0" w:line="72" w:lineRule="exact"/>
              <w:rPr>
                <w:sz w:val="20"/>
                <w:szCs w:val="20"/>
                <w:color w:val="auto"/>
              </w:rPr>
            </w:pPr>
            <w:r>
              <w:rPr>
                <w:rFonts w:ascii="Times New Roman" w:cs="Times New Roman" w:eastAsia="Times New Roman" w:hAnsi="Times New Roman"/>
                <w:sz w:val="8"/>
                <w:szCs w:val="8"/>
                <w:b w:val="1"/>
                <w:bCs w:val="1"/>
                <w:color w:val="auto"/>
              </w:rPr>
              <w:t>Significant other</w:t>
            </w:r>
          </w:p>
        </w:tc>
        <w:tc>
          <w:tcPr>
            <w:tcW w:w="180" w:type="dxa"/>
            <w:vAlign w:val="bottom"/>
          </w:tcPr>
          <w:p>
            <w:pPr>
              <w:spacing w:after="0"/>
              <w:rPr>
                <w:sz w:val="6"/>
                <w:szCs w:val="6"/>
                <w:color w:val="auto"/>
              </w:rPr>
            </w:pPr>
          </w:p>
        </w:tc>
        <w:tc>
          <w:tcPr>
            <w:tcW w:w="1020" w:type="dxa"/>
            <w:vAlign w:val="bottom"/>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Significant unobservable</w:t>
            </w:r>
          </w:p>
        </w:tc>
        <w:tc>
          <w:tcPr>
            <w:tcW w:w="0" w:type="dxa"/>
            <w:vAlign w:val="bottom"/>
          </w:tcPr>
          <w:p>
            <w:pPr>
              <w:spacing w:after="0"/>
              <w:rPr>
                <w:sz w:val="1"/>
                <w:szCs w:val="1"/>
                <w:color w:val="auto"/>
              </w:rPr>
            </w:pPr>
          </w:p>
        </w:tc>
      </w:tr>
      <w:tr>
        <w:trPr>
          <w:trHeight w:val="99"/>
        </w:trPr>
        <w:tc>
          <w:tcPr>
            <w:tcW w:w="4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 of June 30, 2024 (unaudited)</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80" w:type="dxa"/>
            <w:vAlign w:val="bottom"/>
          </w:tcPr>
          <w:p>
            <w:pPr>
              <w:spacing w:after="0"/>
              <w:rPr>
                <w:sz w:val="8"/>
                <w:szCs w:val="8"/>
                <w:color w:val="auto"/>
              </w:rPr>
            </w:pPr>
          </w:p>
        </w:tc>
        <w:tc>
          <w:tcPr>
            <w:tcW w:w="96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markets for identical</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5"/>
              </w:rPr>
              <w:t>observable inputs</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jc w:val="center"/>
              <w:ind w:right="23"/>
              <w:spacing w:after="0" w:line="99" w:lineRule="exact"/>
              <w:rPr>
                <w:sz w:val="20"/>
                <w:szCs w:val="20"/>
                <w:color w:val="auto"/>
              </w:rPr>
            </w:pPr>
            <w:r>
              <w:rPr>
                <w:rFonts w:ascii="Times New Roman" w:cs="Times New Roman" w:eastAsia="Times New Roman" w:hAnsi="Times New Roman"/>
                <w:sz w:val="10"/>
                <w:szCs w:val="10"/>
                <w:b w:val="1"/>
                <w:bCs w:val="1"/>
                <w:color w:val="auto"/>
                <w:w w:val="97"/>
              </w:rPr>
              <w:t>inputs</w:t>
            </w: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6"/>
              </w:rPr>
              <w:t>assets (Level 1)</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0" w:type="dxa"/>
            <w:vAlign w:val="bottom"/>
          </w:tcPr>
          <w:p>
            <w:pPr>
              <w:spacing w:after="0"/>
              <w:rPr>
                <w:sz w:val="1"/>
                <w:szCs w:val="1"/>
                <w:color w:val="auto"/>
              </w:rPr>
            </w:pPr>
          </w:p>
        </w:tc>
      </w:tr>
      <w:tr>
        <w:trPr>
          <w:trHeight w:val="133"/>
        </w:trPr>
        <w:tc>
          <w:tcPr>
            <w:tcW w:w="4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Money Market Funds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311,035</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311,035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Commercial Paper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Bonds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U.S. Treasury Securities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Tellutax Contingent Consideration</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325"/>
              <w:spacing w:after="0"/>
              <w:rPr>
                <w:sz w:val="20"/>
                <w:szCs w:val="20"/>
                <w:color w:val="auto"/>
              </w:rPr>
            </w:pPr>
            <w:r>
              <w:rPr>
                <w:rFonts w:ascii="Times New Roman" w:cs="Times New Roman" w:eastAsia="Times New Roman" w:hAnsi="Times New Roman"/>
                <w:sz w:val="10"/>
                <w:szCs w:val="10"/>
                <w:b w:val="1"/>
                <w:bCs w:val="1"/>
                <w:color w:val="auto"/>
              </w:rPr>
              <w:t>Fair Value Measurements Using</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4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jc w:val="center"/>
              <w:ind w:right="45"/>
              <w:spacing w:after="0" w:line="72" w:lineRule="exact"/>
              <w:rPr>
                <w:sz w:val="20"/>
                <w:szCs w:val="20"/>
                <w:color w:val="auto"/>
              </w:rPr>
            </w:pPr>
            <w:r>
              <w:rPr>
                <w:rFonts w:ascii="Times New Roman" w:cs="Times New Roman" w:eastAsia="Times New Roman" w:hAnsi="Times New Roman"/>
                <w:sz w:val="8"/>
                <w:szCs w:val="8"/>
                <w:b w:val="1"/>
                <w:bCs w:val="1"/>
                <w:color w:val="auto"/>
              </w:rPr>
              <w:t>Prices in active</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jc w:val="center"/>
              <w:ind w:right="25"/>
              <w:spacing w:after="0" w:line="72" w:lineRule="exact"/>
              <w:rPr>
                <w:sz w:val="20"/>
                <w:szCs w:val="20"/>
                <w:color w:val="auto"/>
              </w:rPr>
            </w:pPr>
            <w:r>
              <w:rPr>
                <w:rFonts w:ascii="Times New Roman" w:cs="Times New Roman" w:eastAsia="Times New Roman" w:hAnsi="Times New Roman"/>
                <w:sz w:val="8"/>
                <w:szCs w:val="8"/>
                <w:b w:val="1"/>
                <w:bCs w:val="1"/>
                <w:color w:val="auto"/>
              </w:rPr>
              <w:t>Significant other</w:t>
            </w:r>
          </w:p>
        </w:tc>
        <w:tc>
          <w:tcPr>
            <w:tcW w:w="180" w:type="dxa"/>
            <w:vAlign w:val="bottom"/>
          </w:tcPr>
          <w:p>
            <w:pPr>
              <w:spacing w:after="0"/>
              <w:rPr>
                <w:sz w:val="6"/>
                <w:szCs w:val="6"/>
                <w:color w:val="auto"/>
              </w:rPr>
            </w:pPr>
          </w:p>
        </w:tc>
        <w:tc>
          <w:tcPr>
            <w:tcW w:w="1020" w:type="dxa"/>
            <w:vAlign w:val="bottom"/>
            <w:gridSpan w:val="2"/>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Significant unobservable</w:t>
            </w:r>
          </w:p>
        </w:tc>
        <w:tc>
          <w:tcPr>
            <w:tcW w:w="0" w:type="dxa"/>
            <w:vAlign w:val="bottom"/>
          </w:tcPr>
          <w:p>
            <w:pPr>
              <w:spacing w:after="0"/>
              <w:rPr>
                <w:sz w:val="1"/>
                <w:szCs w:val="1"/>
                <w:color w:val="auto"/>
              </w:rPr>
            </w:pPr>
          </w:p>
        </w:tc>
      </w:tr>
      <w:tr>
        <w:trPr>
          <w:trHeight w:val="99"/>
        </w:trPr>
        <w:tc>
          <w:tcPr>
            <w:tcW w:w="4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As of December 31, 2023</w:t>
            </w: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vMerge w:val="restart"/>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180" w:type="dxa"/>
            <w:vAlign w:val="bottom"/>
          </w:tcPr>
          <w:p>
            <w:pPr>
              <w:spacing w:after="0"/>
              <w:rPr>
                <w:sz w:val="8"/>
                <w:szCs w:val="8"/>
                <w:color w:val="auto"/>
              </w:rPr>
            </w:pPr>
          </w:p>
        </w:tc>
        <w:tc>
          <w:tcPr>
            <w:tcW w:w="96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markets for identical</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5"/>
              </w:rPr>
              <w:t>observable inputs</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jc w:val="center"/>
              <w:ind w:right="23"/>
              <w:spacing w:after="0" w:line="99" w:lineRule="exact"/>
              <w:rPr>
                <w:sz w:val="20"/>
                <w:szCs w:val="20"/>
                <w:color w:val="auto"/>
              </w:rPr>
            </w:pPr>
            <w:r>
              <w:rPr>
                <w:rFonts w:ascii="Times New Roman" w:cs="Times New Roman" w:eastAsia="Times New Roman" w:hAnsi="Times New Roman"/>
                <w:sz w:val="10"/>
                <w:szCs w:val="10"/>
                <w:b w:val="1"/>
                <w:bCs w:val="1"/>
                <w:color w:val="auto"/>
                <w:w w:val="97"/>
              </w:rPr>
              <w:t>inputs</w:t>
            </w: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6"/>
              </w:rPr>
              <w:t>assets (Level 1)</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0"/>
                <w:szCs w:val="10"/>
                <w:b w:val="1"/>
                <w:bCs w:val="1"/>
                <w:color w:val="auto"/>
                <w:w w:val="95"/>
              </w:rPr>
              <w:t>(Level 2)</w:t>
            </w: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0" w:type="dxa"/>
            <w:vAlign w:val="bottom"/>
          </w:tcPr>
          <w:p>
            <w:pPr>
              <w:spacing w:after="0"/>
              <w:rPr>
                <w:sz w:val="1"/>
                <w:szCs w:val="1"/>
                <w:color w:val="auto"/>
              </w:rPr>
            </w:pPr>
          </w:p>
        </w:tc>
      </w:tr>
      <w:tr>
        <w:trPr>
          <w:trHeight w:val="133"/>
        </w:trPr>
        <w:tc>
          <w:tcPr>
            <w:tcW w:w="4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Money Market Funds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53,049</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53,049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Commercial Paper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Treasury Securities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Tellutax Contingent Consideration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4,900</w:t>
            </w: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Forward Contracts</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432"/>
        </w:trPr>
        <w:tc>
          <w:tcPr>
            <w:tcW w:w="4320" w:type="dxa"/>
            <w:vAlign w:val="bottom"/>
          </w:tcPr>
          <w:p>
            <w:pPr>
              <w:spacing w:after="0"/>
              <w:rPr>
                <w:sz w:val="24"/>
                <w:szCs w:val="24"/>
                <w:color w:val="auto"/>
              </w:rPr>
            </w:pPr>
          </w:p>
        </w:tc>
        <w:tc>
          <w:tcPr>
            <w:tcW w:w="34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15</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jc w:val="both"/>
        <w:ind w:left="20" w:right="39" w:firstLine="216"/>
        <w:spacing w:after="0" w:line="254" w:lineRule="auto"/>
        <w:rPr>
          <w:sz w:val="20"/>
          <w:szCs w:val="20"/>
          <w:color w:val="auto"/>
        </w:rPr>
      </w:pPr>
      <w:r>
        <w:rPr>
          <w:rFonts w:ascii="Times New Roman" w:cs="Times New Roman" w:eastAsia="Times New Roman" w:hAnsi="Times New Roman"/>
          <w:sz w:val="12"/>
          <w:szCs w:val="12"/>
          <w:color w:val="auto"/>
        </w:rPr>
        <w:t xml:space="preserve">The Company has investments in high quality, short-term money market instruments, which are issued and payable in U.S. dollars (“Money Market Funds”) and included in cash and cash equivalents on the condensed consolidated balance sheets. Fair value inputs for these investments are considered Level 1 measurements within the fair value hierarchy since Money Market Fund fair values are known and observable through daily published floating net asset values. Securities classified as available-for-sale are reported at fair value using Level 2 inputs. The Company has investments in bank and corporate issued commercial paper (“Commercial Paper”), U.S. treasury securities (“U.S. Treasury Securities”) and corporate bonds (“Corporate Bonds”). The Company believes that Level 2 designation is appropriate for Commercial Paper, U.S. Treasury Securities and Corporate Bonds under ASC 820-10, </w:t>
      </w:r>
      <w:r>
        <w:rPr>
          <w:rFonts w:ascii="Times New Roman" w:cs="Times New Roman" w:eastAsia="Times New Roman" w:hAnsi="Times New Roman"/>
          <w:sz w:val="12"/>
          <w:szCs w:val="12"/>
          <w:i w:val="1"/>
          <w:iCs w:val="1"/>
          <w:color w:val="auto"/>
        </w:rPr>
        <w:t>Fair Value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Measurements and Disclosures</w:t>
      </w:r>
      <w:r>
        <w:rPr>
          <w:rFonts w:ascii="Times New Roman" w:cs="Times New Roman" w:eastAsia="Times New Roman" w:hAnsi="Times New Roman"/>
          <w:sz w:val="12"/>
          <w:szCs w:val="12"/>
          <w:color w:val="auto"/>
        </w:rPr>
        <w:t>, as these securities are fixed income securities, none are exchange-traded and all are priced by correlation to observed market data. For these securities,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 obtains fair value measurements from an independent pricing service.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26"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January 2021 Tellutax LLC (“Tellutax”) acquisition, the sellers are entitled to contingent consideration if sales targets are met during a period of time following the acquisition (the “Tellutax Contingent Consideration”).</w:t>
      </w:r>
    </w:p>
    <w:p>
      <w:pPr>
        <w:spacing w:after="0" w:line="111"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the payments specified in the purchase agreement. Such payments have no maximum limit, but if certain targets are not met, there will be no payment for the applicable measurement period.</w:t>
      </w:r>
    </w:p>
    <w:p>
      <w:pPr>
        <w:spacing w:after="0" w:line="125"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Fair value adjustments of $(1,575) and $(2,375) were recorded in other operating expense (income), net for the three and six months ended June 30, 2024, respectively. Fair value adjustments of $249 and $449 were recorded in other operating expense (income), net for the three and six months ended June 30, 2023, respectively. At June 30, 2024, the Tellutax Contingent Consideration of $200 is included in purchase commitment and contingent consideration liabilities, current in the condensed consolidated balance sheets. At December 31, 2023, the Tellutax Contingent Consideration of $2,300 and $2,600 is included in purchase commitment and contingent consideration liabilities, current, and purchase commitment and contingent consideration liabilities, net of current portion, respectively, in the condensed consolidated balance sheets.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Tellutax Contingent Consideration fair value as of June 30, 2024 and December 31, 2023 and unobservable inputs used for the Monte Carlo Simulation valuation were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8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Liability</w:t>
            </w: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5"/>
          </w:tcPr>
          <w:p>
            <w:pPr>
              <w:jc w:val="right"/>
              <w:ind w:right="1895"/>
              <w:spacing w:after="0"/>
              <w:rPr>
                <w:sz w:val="20"/>
                <w:szCs w:val="20"/>
                <w:color w:val="auto"/>
              </w:rPr>
            </w:pPr>
            <w:r>
              <w:rPr>
                <w:rFonts w:ascii="Times New Roman" w:cs="Times New Roman" w:eastAsia="Times New Roman" w:hAnsi="Times New Roman"/>
                <w:sz w:val="10"/>
                <w:szCs w:val="10"/>
                <w:b w:val="1"/>
                <w:bCs w:val="1"/>
                <w:color w:val="auto"/>
                <w:w w:val="97"/>
              </w:rPr>
              <w:t>June 30, 2024 (unaudited)</w:t>
            </w: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80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126"/>
              <w:spacing w:after="0" w:line="88" w:lineRule="exact"/>
              <w:rPr>
                <w:sz w:val="20"/>
                <w:szCs w:val="20"/>
                <w:color w:val="auto"/>
              </w:rPr>
            </w:pPr>
            <w:r>
              <w:rPr>
                <w:rFonts w:ascii="Times New Roman" w:cs="Times New Roman" w:eastAsia="Times New Roman" w:hAnsi="Times New Roman"/>
                <w:sz w:val="10"/>
                <w:szCs w:val="10"/>
                <w:b w:val="1"/>
                <w:bCs w:val="1"/>
                <w:color w:val="auto"/>
                <w:w w:val="95"/>
              </w:rPr>
              <w:t>Fair Value</w:t>
            </w:r>
          </w:p>
        </w:tc>
        <w:tc>
          <w:tcPr>
            <w:tcW w:w="140" w:type="dxa"/>
            <w:vAlign w:val="bottom"/>
            <w:tcBorders>
              <w:bottom w:val="single" w:sz="8" w:color="CCEEFF"/>
            </w:tcBorders>
          </w:tcPr>
          <w:p>
            <w:pPr>
              <w:spacing w:after="0"/>
              <w:rPr>
                <w:sz w:val="7"/>
                <w:szCs w:val="7"/>
                <w:color w:val="auto"/>
              </w:rPr>
            </w:pPr>
          </w:p>
        </w:tc>
        <w:tc>
          <w:tcPr>
            <w:tcW w:w="1600" w:type="dxa"/>
            <w:vAlign w:val="bottom"/>
            <w:tcBorders>
              <w:bottom w:val="single" w:sz="8" w:color="auto"/>
            </w:tcBorders>
          </w:tcPr>
          <w:p>
            <w:pPr>
              <w:ind w:left="740"/>
              <w:spacing w:after="0" w:line="88" w:lineRule="exact"/>
              <w:rPr>
                <w:sz w:val="20"/>
                <w:szCs w:val="20"/>
                <w:color w:val="auto"/>
              </w:rPr>
            </w:pPr>
            <w:r>
              <w:rPr>
                <w:rFonts w:ascii="Times New Roman" w:cs="Times New Roman" w:eastAsia="Times New Roman" w:hAnsi="Times New Roman"/>
                <w:sz w:val="10"/>
                <w:szCs w:val="10"/>
                <w:b w:val="1"/>
                <w:bCs w:val="1"/>
                <w:color w:val="auto"/>
                <w:w w:val="93"/>
              </w:rPr>
              <w:t>Valuation Technique</w:t>
            </w: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jc w:val="right"/>
              <w:ind w:right="315"/>
              <w:spacing w:after="0" w:line="88" w:lineRule="exact"/>
              <w:rPr>
                <w:sz w:val="20"/>
                <w:szCs w:val="20"/>
                <w:color w:val="auto"/>
              </w:rPr>
            </w:pPr>
            <w:r>
              <w:rPr>
                <w:rFonts w:ascii="Times New Roman" w:cs="Times New Roman" w:eastAsia="Times New Roman" w:hAnsi="Times New Roman"/>
                <w:sz w:val="10"/>
                <w:szCs w:val="10"/>
                <w:b w:val="1"/>
                <w:bCs w:val="1"/>
                <w:color w:val="auto"/>
              </w:rPr>
              <w:t>Unobservable Inputs</w:t>
            </w:r>
          </w:p>
        </w:tc>
        <w:tc>
          <w:tcPr>
            <w:tcW w:w="3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8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Tellutax Contingent Consideration</w:t>
            </w:r>
          </w:p>
        </w:tc>
        <w:tc>
          <w:tcPr>
            <w:tcW w:w="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w:t>
            </w: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Monte Carlo Simulation</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 volatility</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55.0</w:t>
            </w:r>
          </w:p>
        </w:tc>
        <w:tc>
          <w:tcPr>
            <w:tcW w:w="22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20" w:type="dxa"/>
            <w:vAlign w:val="bottom"/>
            <w:gridSpan w:val="4"/>
          </w:tcPr>
          <w:p>
            <w:pPr>
              <w:ind w:left="140"/>
              <w:spacing w:after="0"/>
              <w:rPr>
                <w:sz w:val="20"/>
                <w:szCs w:val="20"/>
                <w:color w:val="auto"/>
              </w:rPr>
            </w:pPr>
            <w:r>
              <w:rPr>
                <w:rFonts w:ascii="Times New Roman" w:cs="Times New Roman" w:eastAsia="Times New Roman" w:hAnsi="Times New Roman"/>
                <w:sz w:val="12"/>
                <w:szCs w:val="12"/>
                <w:color w:val="auto"/>
              </w:rPr>
              <w:t>Revenue discount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3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Term (in years)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5"/>
          </w:tcPr>
          <w:p>
            <w:pPr>
              <w:jc w:val="right"/>
              <w:ind w:right="2035"/>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800" w:type="dxa"/>
            <w:vAlign w:val="bottom"/>
            <w:tcBorders>
              <w:bottom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Liability</w:t>
            </w:r>
          </w:p>
        </w:tc>
        <w:tc>
          <w:tcPr>
            <w:tcW w:w="14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ind w:right="126"/>
              <w:spacing w:after="0" w:line="88" w:lineRule="exact"/>
              <w:rPr>
                <w:sz w:val="20"/>
                <w:szCs w:val="20"/>
                <w:color w:val="auto"/>
              </w:rPr>
            </w:pPr>
            <w:r>
              <w:rPr>
                <w:rFonts w:ascii="Times New Roman" w:cs="Times New Roman" w:eastAsia="Times New Roman" w:hAnsi="Times New Roman"/>
                <w:sz w:val="10"/>
                <w:szCs w:val="10"/>
                <w:b w:val="1"/>
                <w:bCs w:val="1"/>
                <w:color w:val="auto"/>
                <w:w w:val="95"/>
              </w:rPr>
              <w:t>Fair Value</w:t>
            </w:r>
          </w:p>
        </w:tc>
        <w:tc>
          <w:tcPr>
            <w:tcW w:w="140" w:type="dxa"/>
            <w:vAlign w:val="bottom"/>
            <w:shd w:val="clear" w:color="auto" w:fill="CCEEFF"/>
          </w:tcPr>
          <w:p>
            <w:pPr>
              <w:spacing w:after="0"/>
              <w:rPr>
                <w:sz w:val="7"/>
                <w:szCs w:val="7"/>
                <w:color w:val="auto"/>
              </w:rPr>
            </w:pPr>
          </w:p>
        </w:tc>
        <w:tc>
          <w:tcPr>
            <w:tcW w:w="1600" w:type="dxa"/>
            <w:vAlign w:val="bottom"/>
            <w:tcBorders>
              <w:bottom w:val="single" w:sz="8" w:color="auto"/>
            </w:tcBorders>
            <w:shd w:val="clear" w:color="auto" w:fill="CCEEFF"/>
          </w:tcPr>
          <w:p>
            <w:pPr>
              <w:ind w:left="740"/>
              <w:spacing w:after="0" w:line="88" w:lineRule="exact"/>
              <w:rPr>
                <w:sz w:val="20"/>
                <w:szCs w:val="20"/>
                <w:color w:val="auto"/>
              </w:rPr>
            </w:pPr>
            <w:r>
              <w:rPr>
                <w:rFonts w:ascii="Times New Roman" w:cs="Times New Roman" w:eastAsia="Times New Roman" w:hAnsi="Times New Roman"/>
                <w:sz w:val="10"/>
                <w:szCs w:val="10"/>
                <w:b w:val="1"/>
                <w:bCs w:val="1"/>
                <w:color w:val="auto"/>
                <w:w w:val="93"/>
              </w:rPr>
              <w:t>Valuation Technique</w:t>
            </w:r>
          </w:p>
        </w:tc>
        <w:tc>
          <w:tcPr>
            <w:tcW w:w="720" w:type="dxa"/>
            <w:vAlign w:val="bottom"/>
            <w:tcBorders>
              <w:bottom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500" w:type="dxa"/>
            <w:vAlign w:val="bottom"/>
            <w:tcBorders>
              <w:bottom w:val="single" w:sz="8" w:color="auto"/>
            </w:tcBorders>
            <w:shd w:val="clear" w:color="auto" w:fill="CCEEFF"/>
          </w:tcPr>
          <w:p>
            <w:pPr>
              <w:jc w:val="right"/>
              <w:ind w:right="315"/>
              <w:spacing w:after="0" w:line="88" w:lineRule="exact"/>
              <w:rPr>
                <w:sz w:val="20"/>
                <w:szCs w:val="20"/>
                <w:color w:val="auto"/>
              </w:rPr>
            </w:pPr>
            <w:r>
              <w:rPr>
                <w:rFonts w:ascii="Times New Roman" w:cs="Times New Roman" w:eastAsia="Times New Roman" w:hAnsi="Times New Roman"/>
                <w:sz w:val="10"/>
                <w:szCs w:val="10"/>
                <w:b w:val="1"/>
                <w:bCs w:val="1"/>
                <w:color w:val="auto"/>
              </w:rPr>
              <w:t>Unobservable Inputs</w:t>
            </w:r>
          </w:p>
        </w:tc>
        <w:tc>
          <w:tcPr>
            <w:tcW w:w="380" w:type="dxa"/>
            <w:vAlign w:val="bottom"/>
            <w:tcBorders>
              <w:bottom w:val="single" w:sz="8" w:color="auto"/>
            </w:tcBorders>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8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Tellutax Contingent Consideration</w:t>
            </w:r>
          </w:p>
        </w:tc>
        <w:tc>
          <w:tcPr>
            <w:tcW w:w="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4,900</w:t>
            </w:r>
          </w:p>
        </w:tc>
        <w:tc>
          <w:tcPr>
            <w:tcW w:w="140" w:type="dxa"/>
            <w:vAlign w:val="bottom"/>
          </w:tcPr>
          <w:p>
            <w:pPr>
              <w:spacing w:after="0"/>
              <w:rPr>
                <w:sz w:val="11"/>
                <w:szCs w:val="11"/>
                <w:color w:val="auto"/>
              </w:rPr>
            </w:pPr>
          </w:p>
        </w:tc>
        <w:tc>
          <w:tcPr>
            <w:tcW w:w="1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Monte Carlo Simulation</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auto"/>
              </w:rPr>
              <w:t>Revenue volatility</w:t>
            </w:r>
          </w:p>
        </w:tc>
        <w:tc>
          <w:tcPr>
            <w:tcW w:w="3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60.0</w:t>
            </w:r>
          </w:p>
        </w:tc>
        <w:tc>
          <w:tcPr>
            <w:tcW w:w="22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3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Revenue discount rate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2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2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20" w:type="dxa"/>
            <w:vAlign w:val="bottom"/>
            <w:gridSpan w:val="4"/>
          </w:tcPr>
          <w:p>
            <w:pPr>
              <w:ind w:left="140"/>
              <w:spacing w:after="0"/>
              <w:rPr>
                <w:sz w:val="20"/>
                <w:szCs w:val="20"/>
                <w:color w:val="auto"/>
              </w:rPr>
            </w:pPr>
            <w:r>
              <w:rPr>
                <w:rFonts w:ascii="Times New Roman" w:cs="Times New Roman" w:eastAsia="Times New Roman" w:hAnsi="Times New Roman"/>
                <w:sz w:val="12"/>
                <w:szCs w:val="12"/>
                <w:color w:val="auto"/>
              </w:rPr>
              <w:t>Term (in years)</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8360" w:type="dxa"/>
            <w:vAlign w:val="bottom"/>
            <w:gridSpan w:val="10"/>
          </w:tcPr>
          <w:p>
            <w:pPr>
              <w:ind w:left="220"/>
              <w:spacing w:after="0"/>
              <w:rPr>
                <w:sz w:val="20"/>
                <w:szCs w:val="20"/>
                <w:color w:val="auto"/>
              </w:rPr>
            </w:pPr>
            <w:r>
              <w:rPr>
                <w:rFonts w:ascii="Times New Roman" w:cs="Times New Roman" w:eastAsia="Times New Roman" w:hAnsi="Times New Roman"/>
                <w:sz w:val="12"/>
                <w:szCs w:val="12"/>
                <w:color w:val="auto"/>
              </w:rPr>
              <w:t>Changes in the fair value of Tellutax Contingent Consideration during the three months ended June 30, 2024 were as follows:</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Pr>
          <w:p>
            <w:pPr>
              <w:jc w:val="center"/>
              <w:ind w:left="535"/>
              <w:spacing w:after="0" w:line="99" w:lineRule="exact"/>
              <w:rPr>
                <w:sz w:val="20"/>
                <w:szCs w:val="20"/>
                <w:color w:val="auto"/>
              </w:rPr>
            </w:pPr>
            <w:r>
              <w:rPr>
                <w:rFonts w:ascii="Times New Roman" w:cs="Times New Roman" w:eastAsia="Times New Roman" w:hAnsi="Times New Roman"/>
                <w:sz w:val="10"/>
                <w:szCs w:val="10"/>
                <w:b w:val="1"/>
                <w:bCs w:val="1"/>
                <w:color w:val="auto"/>
                <w:w w:val="89"/>
              </w:rPr>
              <w:t>Tellutax</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Pr>
          <w:p>
            <w:pPr>
              <w:jc w:val="center"/>
              <w:ind w:left="535"/>
              <w:spacing w:after="0" w:line="99" w:lineRule="exact"/>
              <w:rPr>
                <w:sz w:val="20"/>
                <w:szCs w:val="20"/>
                <w:color w:val="auto"/>
              </w:rPr>
            </w:pPr>
            <w:r>
              <w:rPr>
                <w:rFonts w:ascii="Times New Roman" w:cs="Times New Roman" w:eastAsia="Times New Roman" w:hAnsi="Times New Roman"/>
                <w:sz w:val="10"/>
                <w:szCs w:val="10"/>
                <w:b w:val="1"/>
                <w:bCs w:val="1"/>
                <w:color w:val="auto"/>
                <w:w w:val="91"/>
              </w:rPr>
              <w:t>Contingent</w:t>
            </w: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0"/>
                <w:szCs w:val="10"/>
                <w:b w:val="1"/>
                <w:bCs w:val="1"/>
                <w:color w:val="auto"/>
                <w:w w:val="95"/>
              </w:rPr>
              <w:t>Consideration</w:t>
            </w: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tcPr>
          <w:p>
            <w:pPr>
              <w:jc w:val="center"/>
              <w:ind w:left="535"/>
              <w:spacing w:after="0" w:line="88" w:lineRule="exact"/>
              <w:rPr>
                <w:sz w:val="20"/>
                <w:szCs w:val="20"/>
                <w:color w:val="auto"/>
              </w:rPr>
            </w:pPr>
            <w:r>
              <w:rPr>
                <w:rFonts w:ascii="Times New Roman" w:cs="Times New Roman" w:eastAsia="Times New Roman" w:hAnsi="Times New Roman"/>
                <w:sz w:val="10"/>
                <w:szCs w:val="10"/>
                <w:b w:val="1"/>
                <w:bCs w:val="1"/>
                <w:color w:val="auto"/>
                <w:w w:val="95"/>
              </w:rPr>
              <w:t>(unaudited)</w:t>
            </w: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January 1, 2024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3040" w:type="dxa"/>
            <w:vAlign w:val="bottom"/>
            <w:gridSpan w:val="5"/>
            <w:shd w:val="clear" w:color="auto" w:fill="CCEEFF"/>
          </w:tcPr>
          <w:p>
            <w:pPr>
              <w:jc w:val="right"/>
              <w:ind w:right="1415"/>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4,900</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20"/>
                <w:szCs w:val="20"/>
                <w:color w:val="auto"/>
              </w:rPr>
            </w:pPr>
            <w:r>
              <w:rPr>
                <w:rFonts w:ascii="Times New Roman" w:cs="Times New Roman" w:eastAsia="Times New Roman" w:hAnsi="Times New Roman"/>
                <w:sz w:val="12"/>
                <w:szCs w:val="12"/>
                <w:color w:val="auto"/>
              </w:rPr>
              <w:t>Fair value adjustments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(2,375)</w:t>
            </w:r>
          </w:p>
        </w:tc>
        <w:tc>
          <w:tcPr>
            <w:tcW w:w="0" w:type="dxa"/>
            <w:vAlign w:val="bottom"/>
          </w:tcPr>
          <w:p>
            <w:pPr>
              <w:spacing w:after="0"/>
              <w:rPr>
                <w:sz w:val="1"/>
                <w:szCs w:val="1"/>
                <w:color w:val="auto"/>
              </w:rPr>
            </w:pPr>
          </w:p>
        </w:tc>
      </w:tr>
      <w:tr>
        <w:trPr>
          <w:trHeight w:val="14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Payments</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(2,325)</w:t>
            </w:r>
          </w:p>
        </w:tc>
        <w:tc>
          <w:tcPr>
            <w:tcW w:w="0" w:type="dxa"/>
            <w:vAlign w:val="bottom"/>
          </w:tcPr>
          <w:p>
            <w:pPr>
              <w:spacing w:after="0"/>
              <w:rPr>
                <w:sz w:val="1"/>
                <w:szCs w:val="1"/>
                <w:color w:val="auto"/>
              </w:rPr>
            </w:pPr>
          </w:p>
        </w:tc>
      </w:tr>
      <w:tr>
        <w:trPr>
          <w:trHeight w:val="140"/>
        </w:trPr>
        <w:tc>
          <w:tcPr>
            <w:tcW w:w="28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June 30, 2024</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520" w:type="dxa"/>
            <w:vAlign w:val="bottom"/>
            <w:gridSpan w:val="3"/>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1415"/>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88"/>
              </w:rPr>
              <w:t>200</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Assets and Liabilities for Which Fair Value is Only Disclosed</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carrying amounts of cash and cash equivalents and the carrying amount of funds held for customers were the same as their respective fair values and are considered Level 1 measurements.</w:t>
      </w:r>
    </w:p>
    <w:p>
      <w:pPr>
        <w:spacing w:after="0" w:line="111"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carrying amount of our bank debt approximates fair value as the variable rates on the debt approximate those commercially available in the market, and is considered a Level 3 measurement.</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Non-recurring Fair Value Measurements</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w:t>
      </w:r>
    </w:p>
    <w:p>
      <w:pPr>
        <w:spacing w:after="0" w:line="111" w:lineRule="exact"/>
        <w:rPr>
          <w:sz w:val="20"/>
          <w:szCs w:val="20"/>
          <w:color w:val="auto"/>
        </w:rPr>
      </w:pPr>
    </w:p>
    <w:p>
      <w:pPr>
        <w:jc w:val="both"/>
        <w:ind w:left="20" w:right="39" w:firstLine="216"/>
        <w:spacing w:after="0" w:line="252" w:lineRule="auto"/>
        <w:rPr>
          <w:sz w:val="20"/>
          <w:szCs w:val="20"/>
          <w:color w:val="auto"/>
        </w:rPr>
      </w:pPr>
      <w:r>
        <w:rPr>
          <w:rFonts w:ascii="Times New Roman" w:cs="Times New Roman" w:eastAsia="Times New Roman" w:hAnsi="Times New Roman"/>
          <w:sz w:val="12"/>
          <w:szCs w:val="12"/>
          <w:color w:val="auto"/>
        </w:rPr>
        <w:t>The Company had a contractual commitment to acquire the remaining equity interest from the original Systax Quotaholders incrementally through 2024. Purchase commitment payments for these incremental acquisition amounts were based on a multiple of Systax revenue and earnings before interest, depreciation, amortization, and income taxes (“EBITDA”) performance at the end of 2023 and 2022.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 to be $12,592. This amount has fluctuated as a result of changes in foreign currency exchange rates and is reflected in purchase commitment and contingent consideration liabilities in the condensed consolidated balance sheets, with such changes in exchange rates being reflected in other comprehensive loss or income in the condensed consolidated statements of comprehensive income (loss). Adjustments to the settlement date value that arose as a result of remeasurement at future balance sheet dates were recorded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as interest expense related to financing costs in the condensed consolidated statements of comprehensive income (loss) in the period the change is identified. A final adjustment for $423 to interest expense was recorded for the three and six months ended June 30, 2024. No such adjustments were recorded for the three or six months ended June 30, 2023.</w:t>
      </w:r>
    </w:p>
    <w:p>
      <w:pPr>
        <w:spacing w:after="0" w:line="111"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During the second quarter of 2024, the Company paid $9,622, to acquire the remaining 20% equity interest of Systax, which increased the Company’s ownership percentage of Systax to 100%, and settled the outstanding Purchase Commitment Liability. The Purchase Commitment Liability included in purchase commitment and contingent consideration liabilities, current in the condensed consolidated balance sheet on December 31, 2023 was $9,601. The carrying amount of the Purchase Commitment Liability approximated its respective fair value at December 31, 2023 and is considered a Level 3 non-recurring fair value measurement.</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Derivative Instruments</w:t>
      </w:r>
    </w:p>
    <w:p>
      <w:pPr>
        <w:spacing w:after="0" w:line="145"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Company may periodically enter into derivative contracts to reduce our exposure to foreign currency exchange rates. Historically, the Company has not designated derivative contracts as hedges. Such derivative contracts are typically designed to manage specific risks according to our strategies, which may change from time to time.</w:t>
      </w:r>
    </w:p>
    <w:p>
      <w:pPr>
        <w:spacing w:after="0" w:line="111"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The Company entered into a series of foreign currency forward contracts to reduce our exposure to adverse fluctuations in the Brazilian Real associated with a portion of the Purchase Commitment Liability. Such forward contracts have not been designated as a hedge, do not qualify for hedge accounting and are not material to our condensed consolidated financial statements. During the second quarter of 2024, the forward currency contracts matured as the Company settled the outstanding Purchase Commitment Liability. These forward contacts are remeasured at fair value on a recurring basis and are included in other assets in our December 31, 2023 condensed consolidated balance sheet with changes in their estimated fair value recognized as interest expense in our condensed consolidated statements of comprehensive income (loss). Our fair value determinations are based on foreign currency exchange rates in active markets, which are considered to be Level 2 measurements within the Fair Value Hierarchy.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Convertible Senior Notes</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As of June 30, 2024 and December 31, 2023, the fair value of the Notes were $410,271 and $0, respectively. The fair value was determined based on the quoted price of the Notes in an over-the-counter market on the last trading day of the reporting period and has been classified as Level 2 in the fair value hierarchy. For further information on the Notes, refer to Note 7, “Debt”.</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77" w:lineRule="exact"/>
        <w:rPr>
          <w:sz w:val="20"/>
          <w:szCs w:val="20"/>
          <w:color w:val="auto"/>
        </w:rPr>
      </w:pPr>
    </w:p>
    <w:p>
      <w:pPr>
        <w:ind w:left="500" w:hanging="262"/>
        <w:spacing w:after="0"/>
        <w:tabs>
          <w:tab w:leader="none" w:pos="500" w:val="left"/>
        </w:tabs>
        <w:numPr>
          <w:ilvl w:val="0"/>
          <w:numId w:val="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PROPERTY AND EQUIPMENT</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major components of property and equipment are as follows: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As of June 30,</w:t>
            </w:r>
          </w:p>
        </w:tc>
        <w:tc>
          <w:tcPr>
            <w:tcW w:w="140" w:type="dxa"/>
            <w:vAlign w:val="bottom"/>
          </w:tcPr>
          <w:p>
            <w:pPr>
              <w:spacing w:after="0"/>
              <w:rPr>
                <w:sz w:val="10"/>
                <w:szCs w:val="10"/>
                <w:color w:val="auto"/>
              </w:rPr>
            </w:pPr>
          </w:p>
        </w:tc>
        <w:tc>
          <w:tcPr>
            <w:tcW w:w="1080" w:type="dxa"/>
            <w:vAlign w:val="bottom"/>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115"/>
        </w:trPr>
        <w:tc>
          <w:tcPr>
            <w:tcW w:w="63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88"/>
        </w:trPr>
        <w:tc>
          <w:tcPr>
            <w:tcW w:w="6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jc w:val="center"/>
              <w:ind w:right="123"/>
              <w:spacing w:after="0" w:line="88" w:lineRule="exact"/>
              <w:rPr>
                <w:sz w:val="20"/>
                <w:szCs w:val="20"/>
                <w:color w:val="auto"/>
              </w:rPr>
            </w:pPr>
            <w:r>
              <w:rPr>
                <w:rFonts w:ascii="Times New Roman" w:cs="Times New Roman" w:eastAsia="Times New Roman" w:hAnsi="Times New Roman"/>
                <w:sz w:val="10"/>
                <w:szCs w:val="10"/>
                <w:b w:val="1"/>
                <w:bCs w:val="1"/>
                <w:color w:val="auto"/>
                <w:w w:val="95"/>
              </w:rPr>
              <w:t>(unaudited)</w:t>
            </w: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14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20,657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20,662</w:t>
            </w:r>
          </w:p>
        </w:tc>
      </w:tr>
      <w:tr>
        <w:trPr>
          <w:trHeight w:val="144"/>
        </w:trPr>
        <w:tc>
          <w:tcPr>
            <w:tcW w:w="6320" w:type="dxa"/>
            <w:vAlign w:val="bottom"/>
          </w:tcPr>
          <w:p>
            <w:pPr>
              <w:spacing w:after="0"/>
              <w:rPr>
                <w:sz w:val="20"/>
                <w:szCs w:val="20"/>
                <w:color w:val="auto"/>
              </w:rPr>
            </w:pPr>
            <w:r>
              <w:rPr>
                <w:rFonts w:ascii="Times New Roman" w:cs="Times New Roman" w:eastAsia="Times New Roman" w:hAnsi="Times New Roman"/>
                <w:sz w:val="12"/>
                <w:szCs w:val="12"/>
                <w:color w:val="auto"/>
              </w:rPr>
              <w:t>Equipment</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22,012</w:t>
            </w:r>
          </w:p>
        </w:tc>
      </w:tr>
      <w:tr>
        <w:trPr>
          <w:trHeight w:val="14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Computer software purchased</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2,690</w:t>
            </w:r>
          </w:p>
        </w:tc>
      </w:tr>
      <w:tr>
        <w:trPr>
          <w:trHeight w:val="144"/>
        </w:trPr>
        <w:tc>
          <w:tcPr>
            <w:tcW w:w="6320" w:type="dxa"/>
            <w:vAlign w:val="bottom"/>
          </w:tcPr>
          <w:p>
            <w:pPr>
              <w:spacing w:after="0"/>
              <w:rPr>
                <w:sz w:val="20"/>
                <w:szCs w:val="20"/>
                <w:color w:val="auto"/>
              </w:rPr>
            </w:pPr>
            <w:r>
              <w:rPr>
                <w:rFonts w:ascii="Times New Roman" w:cs="Times New Roman" w:eastAsia="Times New Roman" w:hAnsi="Times New Roman"/>
                <w:sz w:val="12"/>
                <w:szCs w:val="12"/>
                <w:color w:val="auto"/>
              </w:rPr>
              <w:t>Internal-use software developed:</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4"/>
        </w:trPr>
        <w:tc>
          <w:tcPr>
            <w:tcW w:w="6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Cloud-based customer solutions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164,722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142,302</w:t>
            </w:r>
          </w:p>
        </w:tc>
      </w:tr>
      <w:tr>
        <w:trPr>
          <w:trHeight w:val="144"/>
        </w:trPr>
        <w:tc>
          <w:tcPr>
            <w:tcW w:w="63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Internal systems and tools</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61,836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39,430</w:t>
            </w:r>
          </w:p>
        </w:tc>
      </w:tr>
      <w:tr>
        <w:trPr>
          <w:trHeight w:val="14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7,669</w:t>
            </w:r>
          </w:p>
        </w:tc>
      </w:tr>
      <w:tr>
        <w:trPr>
          <w:trHeight w:val="144"/>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In-process internal-use software</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18,428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28,883</w:t>
            </w:r>
          </w:p>
        </w:tc>
      </w:tr>
      <w:tr>
        <w:trPr>
          <w:trHeight w:val="133"/>
        </w:trPr>
        <w:tc>
          <w:tcPr>
            <w:tcW w:w="632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Property and equipment</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295,996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263,648</w:t>
            </w:r>
          </w:p>
        </w:tc>
      </w:tr>
      <w:tr>
        <w:trPr>
          <w:trHeight w:val="144"/>
        </w:trPr>
        <w:tc>
          <w:tcPr>
            <w:tcW w:w="632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18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(187,589)</w:t>
            </w: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(162,914)</w:t>
            </w:r>
          </w:p>
        </w:tc>
      </w:tr>
      <w:tr>
        <w:trPr>
          <w:trHeight w:val="140"/>
        </w:trPr>
        <w:tc>
          <w:tcPr>
            <w:tcW w:w="6320" w:type="dxa"/>
            <w:vAlign w:val="bottom"/>
            <w:tcBorders>
              <w:top w:val="single" w:sz="8" w:color="CCEEFF"/>
              <w:bottom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Property and equipment, net</w:t>
            </w: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108,407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100,734</w:t>
            </w:r>
          </w:p>
        </w:tc>
      </w:tr>
    </w:tbl>
    <w:p>
      <w:pPr>
        <w:spacing w:after="0" w:line="133"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Depreciation expense for property and equipment, excluding all internal-use software developed and finance leases, was $1,120 and $1,967 for the three months ended June 30, 2024 and 2023, respectively, and $2,365 and $3,484 for the six months ended June 30, 2024 and 2023, respectively, and is reflected in depreciation and amortization in the condensed consolidated statements of comprehensive income (loss).</w:t>
      </w:r>
    </w:p>
    <w:p>
      <w:pPr>
        <w:spacing w:after="0" w:line="119"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Finance lease amortization was $21 and $237 for the three months ended June 30, 2024 and 2023, respectively, and $42 and $516 for the six months ended June 30, 2024 and 2023, respectively, and is included in depreciation and amortization expense in the condensed consolidated statements of comprehensive income (loss).</w:t>
      </w:r>
    </w:p>
    <w:p>
      <w:pPr>
        <w:spacing w:after="0" w:line="111"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Assets under finance leases of $172 and $297, net of accumulated amortization of $60 and $190, respectively, at June 30, 2024 and December 31, 2023, respectively, are included in property and equipment in the condensed consolidated balance sheets.</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major components of internal-use software developed are as follows: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As of June 30,</w:t>
            </w:r>
          </w:p>
        </w:tc>
        <w:tc>
          <w:tcPr>
            <w:tcW w:w="120" w:type="dxa"/>
            <w:vAlign w:val="bottom"/>
          </w:tcPr>
          <w:p>
            <w:pPr>
              <w:spacing w:after="0"/>
              <w:rPr>
                <w:sz w:val="10"/>
                <w:szCs w:val="10"/>
                <w:color w:val="auto"/>
              </w:rPr>
            </w:pPr>
          </w:p>
        </w:tc>
        <w:tc>
          <w:tcPr>
            <w:tcW w:w="1080" w:type="dxa"/>
            <w:vAlign w:val="bottom"/>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115"/>
        </w:trPr>
        <w:tc>
          <w:tcPr>
            <w:tcW w:w="38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88"/>
        </w:trPr>
        <w:tc>
          <w:tcPr>
            <w:tcW w:w="38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jc w:val="center"/>
              <w:ind w:right="65"/>
              <w:spacing w:after="0" w:line="88" w:lineRule="exact"/>
              <w:rPr>
                <w:sz w:val="20"/>
                <w:szCs w:val="20"/>
                <w:color w:val="auto"/>
              </w:rPr>
            </w:pPr>
            <w:r>
              <w:rPr>
                <w:rFonts w:ascii="Times New Roman" w:cs="Times New Roman" w:eastAsia="Times New Roman" w:hAnsi="Times New Roman"/>
                <w:sz w:val="10"/>
                <w:szCs w:val="10"/>
                <w:b w:val="1"/>
                <w:bCs w:val="1"/>
                <w:color w:val="auto"/>
                <w:w w:val="95"/>
              </w:rPr>
              <w:t>(unaudited)</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14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Internal-use software developed</w:t>
            </w:r>
          </w:p>
        </w:tc>
        <w:tc>
          <w:tcPr>
            <w:tcW w:w="29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226,558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181,732</w:t>
            </w:r>
          </w:p>
        </w:tc>
      </w:tr>
      <w:tr>
        <w:trPr>
          <w:trHeight w:val="144"/>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(146,234)</w:t>
            </w: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(121,646)</w:t>
            </w:r>
          </w:p>
        </w:tc>
      </w:tr>
      <w:tr>
        <w:trPr>
          <w:trHeight w:val="133"/>
        </w:trPr>
        <w:tc>
          <w:tcPr>
            <w:tcW w:w="3820" w:type="dxa"/>
            <w:vAlign w:val="bottom"/>
            <w:tcBorders>
              <w:top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Internal-use software developed, net of accumulated depreciation</w:t>
            </w:r>
          </w:p>
        </w:tc>
        <w:tc>
          <w:tcPr>
            <w:tcW w:w="28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80,324</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60,086</w:t>
            </w:r>
          </w:p>
        </w:tc>
      </w:tr>
      <w:tr>
        <w:trPr>
          <w:trHeight w:val="144"/>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In-process internal-use software</w:t>
            </w:r>
          </w:p>
        </w:tc>
        <w:tc>
          <w:tcPr>
            <w:tcW w:w="28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18,428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28,883</w:t>
            </w:r>
          </w:p>
        </w:tc>
      </w:tr>
      <w:tr>
        <w:trPr>
          <w:trHeight w:val="153"/>
        </w:trPr>
        <w:tc>
          <w:tcPr>
            <w:tcW w:w="3820" w:type="dxa"/>
            <w:vAlign w:val="bottom"/>
            <w:tcBorders>
              <w:bottom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Internal-use software developed, net</w:t>
            </w:r>
          </w:p>
        </w:tc>
        <w:tc>
          <w:tcPr>
            <w:tcW w:w="28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98,752</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88,969</w:t>
            </w:r>
          </w:p>
        </w:tc>
      </w:tr>
      <w:tr>
        <w:trPr>
          <w:trHeight w:val="419"/>
        </w:trPr>
        <w:tc>
          <w:tcPr>
            <w:tcW w:w="3820" w:type="dxa"/>
            <w:vAlign w:val="bottom"/>
          </w:tcPr>
          <w:p>
            <w:pPr>
              <w:spacing w:after="0"/>
              <w:rPr>
                <w:sz w:val="24"/>
                <w:szCs w:val="24"/>
                <w:color w:val="auto"/>
              </w:rPr>
            </w:pPr>
          </w:p>
        </w:tc>
        <w:tc>
          <w:tcPr>
            <w:tcW w:w="2820" w:type="dxa"/>
            <w:vAlign w:val="bottom"/>
          </w:tcPr>
          <w:p>
            <w:pPr>
              <w:jc w:val="right"/>
              <w:ind w:right="2040"/>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0"/>
        </w:trPr>
        <w:tc>
          <w:tcPr>
            <w:tcW w:w="3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Amounts included in property and equipment additions related to capitalized internal-use software on the condensed consolidated statements of cash flows are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232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c>
          <w:tcPr>
            <w:tcW w:w="460" w:type="dxa"/>
            <w:vAlign w:val="bottom"/>
            <w:tcBorders>
              <w:bottom w:val="single" w:sz="8" w:color="auto"/>
            </w:tcBorders>
          </w:tcPr>
          <w:p>
            <w:pPr>
              <w:spacing w:after="0"/>
              <w:rPr>
                <w:sz w:val="10"/>
                <w:szCs w:val="10"/>
                <w:color w:val="auto"/>
              </w:rPr>
            </w:pPr>
          </w:p>
        </w:tc>
      </w:tr>
      <w:tr>
        <w:trPr>
          <w:trHeight w:val="88"/>
        </w:trPr>
        <w:tc>
          <w:tcPr>
            <w:tcW w:w="6180" w:type="dxa"/>
            <w:vAlign w:val="bottom"/>
          </w:tcPr>
          <w:p>
            <w:pPr>
              <w:spacing w:after="0"/>
              <w:rPr>
                <w:sz w:val="7"/>
                <w:szCs w:val="7"/>
                <w:color w:val="auto"/>
              </w:rPr>
            </w:pPr>
          </w:p>
        </w:tc>
        <w:tc>
          <w:tcPr>
            <w:tcW w:w="820" w:type="dxa"/>
            <w:vAlign w:val="bottom"/>
            <w:tcBorders>
              <w:bottom w:val="single" w:sz="8" w:color="auto"/>
            </w:tcBorders>
          </w:tcPr>
          <w:p>
            <w:pPr>
              <w:jc w:val="right"/>
              <w:ind w:right="29"/>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4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Borders>
              <w:bottom w:val="single" w:sz="8" w:color="auto"/>
            </w:tcBorders>
          </w:tcPr>
          <w:p>
            <w:pPr>
              <w:jc w:val="right"/>
              <w:ind w:right="28"/>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60" w:type="dxa"/>
            <w:vAlign w:val="bottom"/>
            <w:tcBorders>
              <w:bottom w:val="single" w:sz="8" w:color="auto"/>
            </w:tcBorders>
          </w:tcPr>
          <w:p>
            <w:pPr>
              <w:spacing w:after="0"/>
              <w:rPr>
                <w:sz w:val="7"/>
                <w:szCs w:val="7"/>
                <w:color w:val="auto"/>
              </w:rPr>
            </w:pPr>
          </w:p>
        </w:tc>
      </w:tr>
      <w:tr>
        <w:trPr>
          <w:trHeight w:val="79"/>
        </w:trPr>
        <w:tc>
          <w:tcPr>
            <w:tcW w:w="6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500" w:type="dxa"/>
            <w:vAlign w:val="bottom"/>
            <w:gridSpan w:val="3"/>
          </w:tcPr>
          <w:p>
            <w:pPr>
              <w:jc w:val="right"/>
              <w:ind w:right="628"/>
              <w:spacing w:after="0" w:line="79" w:lineRule="exact"/>
              <w:rPr>
                <w:sz w:val="20"/>
                <w:szCs w:val="20"/>
                <w:color w:val="auto"/>
              </w:rPr>
            </w:pPr>
            <w:r>
              <w:rPr>
                <w:rFonts w:ascii="Times New Roman" w:cs="Times New Roman" w:eastAsia="Times New Roman" w:hAnsi="Times New Roman"/>
                <w:sz w:val="8"/>
                <w:szCs w:val="8"/>
                <w:b w:val="1"/>
                <w:bCs w:val="1"/>
                <w:color w:val="auto"/>
              </w:rPr>
              <w:t>(unaudited)</w:t>
            </w:r>
          </w:p>
        </w:tc>
        <w:tc>
          <w:tcPr>
            <w:tcW w:w="460" w:type="dxa"/>
            <w:vAlign w:val="bottom"/>
          </w:tcPr>
          <w:p>
            <w:pPr>
              <w:spacing w:after="0"/>
              <w:rPr>
                <w:sz w:val="6"/>
                <w:szCs w:val="6"/>
                <w:color w:val="auto"/>
              </w:rPr>
            </w:pPr>
          </w:p>
        </w:tc>
      </w:tr>
      <w:tr>
        <w:trPr>
          <w:trHeight w:val="14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Cloud-based customer solutions</w:t>
            </w:r>
          </w:p>
        </w:tc>
        <w:tc>
          <w:tcPr>
            <w:tcW w:w="82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19,898</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14,154</w:t>
            </w:r>
          </w:p>
        </w:tc>
      </w:tr>
      <w:tr>
        <w:trPr>
          <w:trHeight w:val="144"/>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Internal systems and tools</w:t>
            </w: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9,559</w:t>
            </w:r>
          </w:p>
        </w:tc>
        <w:tc>
          <w:tcPr>
            <w:tcW w:w="2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7,662</w:t>
            </w:r>
          </w:p>
        </w:tc>
      </w:tr>
      <w:tr>
        <w:trPr>
          <w:trHeight w:val="140"/>
        </w:trPr>
        <w:tc>
          <w:tcPr>
            <w:tcW w:w="61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82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29,457</w:t>
            </w:r>
          </w:p>
        </w:tc>
        <w:tc>
          <w:tcPr>
            <w:tcW w:w="2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21,816</w:t>
            </w:r>
          </w:p>
        </w:tc>
      </w:tr>
    </w:tbl>
    <w:p>
      <w:pPr>
        <w:spacing w:after="0" w:line="133"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In-process internal-use software developed is not depreciated until it is available for its intended use. Depreciation expense for internal-use software developed for cloud-based customer solutions for the three months ended June 30, 2024 and 2023 was $8,345 and $8,260, respectively, and $17,778 and $16,408 for the six months ended June 30, 2024 and 2023, respectively, and is included in cost of revenues, software subscriptions in the condensed consolidated statements of comprehensive income (loss).</w:t>
      </w:r>
    </w:p>
    <w:p>
      <w:pPr>
        <w:spacing w:after="0" w:line="119"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Depreciation expense for internal-use software developed for internal systems and tools for the three months ended June 30, 2024 and 2023 was $4,072 and $1,674, respectively, and $7,811 and $3,619 for the six months ended June 30, 2024 and 2023, respectively, and is included in depreciation and amortization in the condensed consolidated statements of comprehensive income (loss).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Asset Acquisition</w:t>
      </w:r>
    </w:p>
    <w:p>
      <w:pPr>
        <w:spacing w:after="0" w:line="147" w:lineRule="exact"/>
        <w:rPr>
          <w:sz w:val="20"/>
          <w:szCs w:val="20"/>
          <w:color w:val="auto"/>
        </w:rPr>
      </w:pPr>
    </w:p>
    <w:p>
      <w:pPr>
        <w:jc w:val="both"/>
        <w:ind w:left="20" w:right="39" w:firstLine="432"/>
        <w:spacing w:after="0" w:line="250" w:lineRule="auto"/>
        <w:rPr>
          <w:sz w:val="20"/>
          <w:szCs w:val="20"/>
          <w:color w:val="auto"/>
        </w:rPr>
      </w:pPr>
      <w:r>
        <w:rPr>
          <w:rFonts w:ascii="Times New Roman" w:cs="Times New Roman" w:eastAsia="Times New Roman" w:hAnsi="Times New Roman"/>
          <w:sz w:val="12"/>
          <w:szCs w:val="12"/>
          <w:color w:val="auto"/>
        </w:rPr>
        <w:t>On May 31,</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2024, the Company entered into an asset purchase agreement with Ryan, LLC (“Ryan”) to acquire tax-specific artificial intelligence (“AI”) capabilities, designed to more effectively manage the complexity of tax mapping. The acquisition will accelerate the Company’s AI innovation strategy to help global companies manage tax complexity with greater speed and scale.</w:t>
      </w:r>
    </w:p>
    <w:p>
      <w:pPr>
        <w:spacing w:after="0" w:line="128"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The Company paid $6,075 in closing consideration, which included $75 in transaction costs. The purchase agreement also includes the potential for earnout payments and referral fees to Ryan over a five-year period. The earnout payments will be paid annually in an amount equal to the (a) applicable percentage (ranging from 0% to 35%) multiplied by (b) new sales (excluding new sales to new customers). The referral fees will be paid annually to compensate Ryan for new customers in an amount equal to 35% multiplied by new sales from such new customer. The agreement also contained the assignment and assumption of certain immaterial contracts related to the software.</w:t>
      </w:r>
    </w:p>
    <w:p>
      <w:pPr>
        <w:spacing w:after="0" w:line="120" w:lineRule="exact"/>
        <w:rPr>
          <w:sz w:val="20"/>
          <w:szCs w:val="20"/>
          <w:color w:val="auto"/>
        </w:rPr>
      </w:pPr>
    </w:p>
    <w:p>
      <w:pPr>
        <w:jc w:val="both"/>
        <w:ind w:left="20" w:right="39" w:firstLine="216"/>
        <w:spacing w:after="0" w:line="261" w:lineRule="auto"/>
        <w:rPr>
          <w:sz w:val="20"/>
          <w:szCs w:val="20"/>
          <w:color w:val="auto"/>
        </w:rPr>
      </w:pPr>
      <w:r>
        <w:rPr>
          <w:rFonts w:ascii="Times New Roman" w:cs="Times New Roman" w:eastAsia="Times New Roman" w:hAnsi="Times New Roman"/>
          <w:sz w:val="12"/>
          <w:szCs w:val="12"/>
          <w:color w:val="auto"/>
        </w:rPr>
        <w:t xml:space="preserve">Following the guidance provided under the FASB Accounting Standards Update No. 2017-01, </w:t>
      </w:r>
      <w:r>
        <w:rPr>
          <w:rFonts w:ascii="Times New Roman" w:cs="Times New Roman" w:eastAsia="Times New Roman" w:hAnsi="Times New Roman"/>
          <w:sz w:val="12"/>
          <w:szCs w:val="12"/>
          <w:i w:val="1"/>
          <w:iCs w:val="1"/>
          <w:color w:val="auto"/>
        </w:rPr>
        <w:t>Clarifying the Definition of a Business,</w:t>
      </w:r>
      <w:r>
        <w:rPr>
          <w:rFonts w:ascii="Times New Roman" w:cs="Times New Roman" w:eastAsia="Times New Roman" w:hAnsi="Times New Roman"/>
          <w:sz w:val="12"/>
          <w:szCs w:val="12"/>
          <w:color w:val="auto"/>
        </w:rPr>
        <w:t xml:space="preserve"> the transaction was accounted for as an asset acquisition and the entire consideration was allocated to the asset and recognized as in-process internal-use software within property and equipment on the condensed consolidated balance sheet. Once placed into service, the asset will be reported as internal-use cloud-based customer solutions software, net of accumulated amortization within property and equipment on the condensed consolidated balance sheet, and will amortize over its assigned useful life of 5 years.</w:t>
      </w:r>
    </w:p>
    <w:p>
      <w:pPr>
        <w:spacing w:after="0" w:line="262" w:lineRule="exact"/>
        <w:rPr>
          <w:sz w:val="20"/>
          <w:szCs w:val="20"/>
          <w:color w:val="auto"/>
        </w:rPr>
      </w:pPr>
    </w:p>
    <w:p>
      <w:pPr>
        <w:ind w:left="440" w:hanging="202"/>
        <w:spacing w:after="0"/>
        <w:tabs>
          <w:tab w:leader="none" w:pos="440"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CAPITALIZED SOFTWARE</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Capitalized software includes acquired software and direct labor and related expenses for software developed for sale for new products and enhancements to existing products.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major components of capitalized software are as follows:</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As of June 30,</w:t>
            </w:r>
          </w:p>
        </w:tc>
        <w:tc>
          <w:tcPr>
            <w:tcW w:w="140" w:type="dxa"/>
            <w:vAlign w:val="bottom"/>
          </w:tcPr>
          <w:p>
            <w:pPr>
              <w:spacing w:after="0"/>
              <w:rPr>
                <w:sz w:val="10"/>
                <w:szCs w:val="10"/>
                <w:color w:val="auto"/>
              </w:rPr>
            </w:pPr>
          </w:p>
        </w:tc>
        <w:tc>
          <w:tcPr>
            <w:tcW w:w="1080" w:type="dxa"/>
            <w:vAlign w:val="bottom"/>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115"/>
        </w:trPr>
        <w:tc>
          <w:tcPr>
            <w:tcW w:w="65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88"/>
        </w:trPr>
        <w:tc>
          <w:tcPr>
            <w:tcW w:w="6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jc w:val="center"/>
              <w:ind w:right="85"/>
              <w:spacing w:after="0" w:line="88" w:lineRule="exact"/>
              <w:rPr>
                <w:sz w:val="20"/>
                <w:szCs w:val="20"/>
                <w:color w:val="auto"/>
              </w:rPr>
            </w:pPr>
            <w:r>
              <w:rPr>
                <w:rFonts w:ascii="Times New Roman" w:cs="Times New Roman" w:eastAsia="Times New Roman" w:hAnsi="Times New Roman"/>
                <w:sz w:val="10"/>
                <w:szCs w:val="10"/>
                <w:b w:val="1"/>
                <w:bCs w:val="1"/>
                <w:color w:val="auto"/>
                <w:w w:val="95"/>
              </w:rPr>
              <w:t>(unaudited)</w:t>
            </w: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r>
      <w:tr>
        <w:trPr>
          <w:trHeight w:val="14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Capitalized software</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129,945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115,152</w:t>
            </w:r>
          </w:p>
        </w:tc>
      </w:tr>
      <w:tr>
        <w:trPr>
          <w:trHeight w:val="144"/>
        </w:trPr>
        <w:tc>
          <w:tcPr>
            <w:tcW w:w="6560" w:type="dxa"/>
            <w:vAlign w:val="bottom"/>
          </w:tcPr>
          <w:p>
            <w:pPr>
              <w:spacing w:after="0"/>
              <w:rPr>
                <w:sz w:val="20"/>
                <w:szCs w:val="20"/>
                <w:color w:val="auto"/>
              </w:rPr>
            </w:pPr>
            <w:r>
              <w:rPr>
                <w:rFonts w:ascii="Times New Roman" w:cs="Times New Roman" w:eastAsia="Times New Roman" w:hAnsi="Times New Roman"/>
                <w:sz w:val="12"/>
                <w:szCs w:val="12"/>
                <w:color w:val="auto"/>
              </w:rPr>
              <w:t>Less accumulated amortization</w:t>
            </w:r>
          </w:p>
        </w:tc>
        <w:tc>
          <w:tcPr>
            <w:tcW w:w="14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(93,438)</w:t>
            </w:r>
          </w:p>
        </w:tc>
        <w:tc>
          <w:tcPr>
            <w:tcW w:w="1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(81,410)</w:t>
            </w:r>
          </w:p>
        </w:tc>
      </w:tr>
      <w:tr>
        <w:trPr>
          <w:trHeight w:val="133"/>
        </w:trPr>
        <w:tc>
          <w:tcPr>
            <w:tcW w:w="6560" w:type="dxa"/>
            <w:vAlign w:val="bottom"/>
            <w:tcBorders>
              <w:top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Capitalized software, net of accumulated depreciation</w:t>
            </w: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36,507</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33,742</w:t>
            </w:r>
          </w:p>
        </w:tc>
      </w:tr>
      <w:tr>
        <w:trPr>
          <w:trHeight w:val="144"/>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In-process capitalized software</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5,029</w:t>
            </w:r>
          </w:p>
        </w:tc>
      </w:tr>
      <w:tr>
        <w:trPr>
          <w:trHeight w:val="140"/>
        </w:trPr>
        <w:tc>
          <w:tcPr>
            <w:tcW w:w="6560" w:type="dxa"/>
            <w:vAlign w:val="bottom"/>
            <w:tcBorders>
              <w:bottom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Capitalized software, net</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37,840</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38,771</w:t>
            </w:r>
          </w:p>
        </w:tc>
      </w:tr>
    </w:tbl>
    <w:p>
      <w:pPr>
        <w:spacing w:after="0" w:line="277"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Software development costs capitalized for the three months ended June 30, 2024 and 2023, were $5,482 and $5,035 respectively, and $11,097 and $9,042 for the six months ended June 30, 2024 and 2023, respectively.</w:t>
      </w:r>
    </w:p>
    <w:p>
      <w:pPr>
        <w:spacing w:after="0" w:line="111"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Capitalized software amortization expense, including amortization of acquired technology, was $6,174 and $4,364 for the three months ended June 30, 2024 and 2023, respectively, and $12,028 and $8,593 for the six months ended June 30, 2024 and 2023, respectively, and is included in cost of revenues, software subscriptions in the condensed consolidated statements of comprehensive income (loss).</w:t>
      </w:r>
    </w:p>
    <w:p>
      <w:pPr>
        <w:spacing w:after="0" w:line="259" w:lineRule="exact"/>
        <w:rPr>
          <w:sz w:val="20"/>
          <w:szCs w:val="20"/>
          <w:color w:val="auto"/>
        </w:rPr>
      </w:pPr>
    </w:p>
    <w:p>
      <w:pPr>
        <w:ind w:left="240" w:hanging="218"/>
        <w:spacing w:after="0"/>
        <w:tabs>
          <w:tab w:leader="none" w:pos="240"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GOODWILL AND OTHER INTANGIBLE ASSETS</w:t>
      </w:r>
    </w:p>
    <w:p>
      <w:pPr>
        <w:spacing w:after="0" w:line="154" w:lineRule="exact"/>
        <w:rPr>
          <w:rFonts w:ascii="Times New Roman" w:cs="Times New Roman" w:eastAsia="Times New Roman" w:hAnsi="Times New Roman"/>
          <w:sz w:val="12"/>
          <w:szCs w:val="12"/>
          <w:b w:val="1"/>
          <w:bCs w:val="1"/>
          <w:color w:val="auto"/>
        </w:rPr>
      </w:pPr>
    </w:p>
    <w:p>
      <w:pPr>
        <w:ind w:left="2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Goodwill and other intangible assets are as follows for the periods presented: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6"/>
              </w:rPr>
              <w:t>As of June 30,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right"/>
              <w:ind w:right="205"/>
              <w:spacing w:after="0"/>
              <w:rPr>
                <w:sz w:val="20"/>
                <w:szCs w:val="20"/>
                <w:color w:val="auto"/>
              </w:rPr>
            </w:pPr>
            <w:r>
              <w:rPr>
                <w:rFonts w:ascii="Times New Roman" w:cs="Times New Roman" w:eastAsia="Times New Roman" w:hAnsi="Times New Roman"/>
                <w:sz w:val="10"/>
                <w:szCs w:val="10"/>
                <w:b w:val="1"/>
                <w:bCs w:val="1"/>
                <w:color w:val="auto"/>
              </w:rPr>
              <w:t>As of December 31,</w:t>
            </w:r>
          </w:p>
        </w:tc>
      </w:tr>
      <w:tr>
        <w:trPr>
          <w:trHeight w:val="134"/>
        </w:trPr>
        <w:tc>
          <w:tcPr>
            <w:tcW w:w="374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24"/>
        </w:trPr>
        <w:tc>
          <w:tcPr>
            <w:tcW w:w="3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46"/>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26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251,178</w:t>
            </w:r>
          </w:p>
        </w:tc>
        <w:tc>
          <w:tcPr>
            <w:tcW w:w="4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257,842</w:t>
            </w:r>
          </w:p>
        </w:tc>
      </w:tr>
      <w:tr>
        <w:trPr>
          <w:trHeight w:val="144"/>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intangible assets, net</w:t>
            </w:r>
          </w:p>
        </w:tc>
        <w:tc>
          <w:tcPr>
            <w:tcW w:w="2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1,005</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2,396</w:t>
            </w:r>
          </w:p>
        </w:tc>
      </w:tr>
      <w:tr>
        <w:trPr>
          <w:trHeight w:val="140"/>
        </w:trPr>
        <w:tc>
          <w:tcPr>
            <w:tcW w:w="3740" w:type="dxa"/>
            <w:vAlign w:val="bottom"/>
            <w:tcBorders>
              <w:bottom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4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252,183</w:t>
            </w:r>
          </w:p>
        </w:tc>
        <w:tc>
          <w:tcPr>
            <w:tcW w:w="2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260,238</w:t>
            </w:r>
          </w:p>
        </w:tc>
      </w:tr>
    </w:tbl>
    <w:p>
      <w:pPr>
        <w:spacing w:after="0" w:line="133" w:lineRule="exact"/>
        <w:rPr>
          <w:sz w:val="20"/>
          <w:szCs w:val="20"/>
          <w:color w:val="auto"/>
        </w:rPr>
      </w:pPr>
    </w:p>
    <w:p>
      <w:pPr>
        <w:jc w:val="both"/>
        <w:ind w:left="20" w:right="499" w:firstLine="216"/>
        <w:spacing w:after="0" w:line="265" w:lineRule="auto"/>
        <w:rPr>
          <w:sz w:val="20"/>
          <w:szCs w:val="20"/>
          <w:color w:val="auto"/>
        </w:rPr>
      </w:pPr>
      <w:r>
        <w:rPr>
          <w:rFonts w:ascii="Times New Roman" w:cs="Times New Roman" w:eastAsia="Times New Roman" w:hAnsi="Times New Roman"/>
          <w:sz w:val="12"/>
          <w:szCs w:val="12"/>
          <w:color w:val="auto"/>
        </w:rPr>
        <w:t>The Company has recognized various amortizable other intangible assets in connection with acquisitions related to customer relationships, technology, and tradenames. The following tables provide additional information for other intangible assets, which are individually not material to the condensed consolidated financial statements, for the periods presented: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340" w:type="dxa"/>
            <w:vAlign w:val="bottom"/>
          </w:tcPr>
          <w:p>
            <w:pPr>
              <w:jc w:val="center"/>
              <w:ind w:left="450"/>
              <w:spacing w:after="0"/>
              <w:rPr>
                <w:sz w:val="20"/>
                <w:szCs w:val="20"/>
                <w:color w:val="auto"/>
              </w:rPr>
            </w:pPr>
            <w:r>
              <w:rPr>
                <w:rFonts w:ascii="Times New Roman" w:cs="Times New Roman" w:eastAsia="Times New Roman" w:hAnsi="Times New Roman"/>
                <w:sz w:val="10"/>
                <w:szCs w:val="10"/>
                <w:b w:val="1"/>
                <w:bCs w:val="1"/>
                <w:color w:val="auto"/>
                <w:w w:val="93"/>
              </w:rPr>
              <w:t>As of June 30,</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jc w:val="right"/>
              <w:ind w:right="464"/>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3140" w:type="dxa"/>
            <w:vAlign w:val="bottom"/>
            <w:gridSpan w:val="2"/>
          </w:tcPr>
          <w:p>
            <w:pPr>
              <w:jc w:val="center"/>
              <w:ind w:left="2264"/>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jc w:val="right"/>
              <w:ind w:right="764"/>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340" w:type="dxa"/>
            <w:vAlign w:val="bottom"/>
            <w:tcBorders>
              <w:top w:val="single" w:sz="8" w:color="auto"/>
            </w:tcBorders>
          </w:tcPr>
          <w:p>
            <w:pPr>
              <w:jc w:val="center"/>
              <w:ind w:left="470"/>
              <w:spacing w:after="0" w:line="88" w:lineRule="exact"/>
              <w:rPr>
                <w:sz w:val="20"/>
                <w:szCs w:val="20"/>
                <w:color w:val="auto"/>
              </w:rPr>
            </w:pPr>
            <w:r>
              <w:rPr>
                <w:rFonts w:ascii="Times New Roman" w:cs="Times New Roman" w:eastAsia="Times New Roman" w:hAnsi="Times New Roman"/>
                <w:sz w:val="10"/>
                <w:szCs w:val="10"/>
                <w:b w:val="1"/>
                <w:bCs w:val="1"/>
                <w:color w:val="auto"/>
                <w:w w:val="91"/>
              </w:rPr>
              <w:t>(unaudited)</w:t>
            </w:r>
          </w:p>
        </w:tc>
        <w:tc>
          <w:tcPr>
            <w:tcW w:w="5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5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amortization period (years)</w:t>
            </w:r>
          </w:p>
        </w:tc>
        <w:tc>
          <w:tcPr>
            <w:tcW w:w="180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3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value</w:t>
            </w:r>
          </w:p>
        </w:tc>
        <w:tc>
          <w:tcPr>
            <w:tcW w:w="314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10,517</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Accumulated amortization</w:t>
            </w:r>
          </w:p>
        </w:tc>
        <w:tc>
          <w:tcPr>
            <w:tcW w:w="1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(9,512)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(8,564)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Carrying value</w:t>
            </w:r>
          </w:p>
        </w:tc>
        <w:tc>
          <w:tcPr>
            <w:tcW w:w="1800" w:type="dxa"/>
            <w:vAlign w:val="bottom"/>
            <w:tcBorders>
              <w:top w:val="single" w:sz="8" w:color="CCEEFF"/>
              <w:bottom w:val="single" w:sz="8" w:color="CCEEFF"/>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2,396</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0" w:type="dxa"/>
            <w:vAlign w:val="bottom"/>
          </w:tcPr>
          <w:p>
            <w:pPr>
              <w:jc w:val="right"/>
              <w:ind w:right="524"/>
              <w:spacing w:after="0"/>
              <w:rPr>
                <w:sz w:val="20"/>
                <w:szCs w:val="20"/>
                <w:color w:val="auto"/>
              </w:rPr>
            </w:pPr>
            <w:r>
              <w:rPr>
                <w:rFonts w:ascii="Times New Roman" w:cs="Times New Roman" w:eastAsia="Times New Roman" w:hAnsi="Times New Roman"/>
                <w:sz w:val="12"/>
                <w:szCs w:val="12"/>
                <w:color w:val="auto"/>
              </w:rPr>
              <w:t>21</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presents amortization of other intangible assets: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1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three months ended June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5"/>
              </w:rPr>
              <w:t>Cost of Revenues, Software</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center"/>
              <w:ind w:right="126"/>
              <w:spacing w:after="0"/>
              <w:rPr>
                <w:sz w:val="20"/>
                <w:szCs w:val="20"/>
                <w:color w:val="auto"/>
              </w:rPr>
            </w:pPr>
            <w:r>
              <w:rPr>
                <w:rFonts w:ascii="Times New Roman" w:cs="Times New Roman" w:eastAsia="Times New Roman" w:hAnsi="Times New Roman"/>
                <w:sz w:val="10"/>
                <w:szCs w:val="10"/>
                <w:b w:val="1"/>
                <w:bCs w:val="1"/>
                <w:color w:val="auto"/>
                <w:w w:val="96"/>
              </w:rPr>
              <w:t>Selling and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Total Expense</w:t>
            </w:r>
          </w:p>
        </w:tc>
        <w:tc>
          <w:tcPr>
            <w:tcW w:w="0" w:type="dxa"/>
            <w:vAlign w:val="bottom"/>
          </w:tcPr>
          <w:p>
            <w:pPr>
              <w:spacing w:after="0"/>
              <w:rPr>
                <w:sz w:val="1"/>
                <w:szCs w:val="1"/>
                <w:color w:val="auto"/>
              </w:rPr>
            </w:pPr>
          </w:p>
        </w:tc>
      </w:tr>
      <w:tr>
        <w:trPr>
          <w:trHeight w:val="115"/>
        </w:trPr>
        <w:tc>
          <w:tcPr>
            <w:tcW w:w="416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5"/>
              </w:rPr>
              <w:t>Subscriptions</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0"/>
                <w:szCs w:val="10"/>
                <w:b w:val="1"/>
                <w:bCs w:val="1"/>
                <w:color w:val="auto"/>
                <w:w w:val="95"/>
              </w:rPr>
              <w:t>Marketing Expense</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650</w:t>
            </w:r>
          </w:p>
        </w:tc>
        <w:tc>
          <w:tcPr>
            <w:tcW w:w="0" w:type="dxa"/>
            <w:vAlign w:val="bottom"/>
          </w:tcPr>
          <w:p>
            <w:pPr>
              <w:spacing w:after="0"/>
              <w:rPr>
                <w:sz w:val="1"/>
                <w:szCs w:val="1"/>
                <w:color w:val="auto"/>
              </w:rPr>
            </w:pPr>
          </w:p>
        </w:tc>
      </w:tr>
      <w:tr>
        <w:trPr>
          <w:trHeight w:val="155"/>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w:t>
            </w:r>
          </w:p>
        </w:tc>
        <w:tc>
          <w:tcPr>
            <w:tcW w:w="0" w:type="dxa"/>
            <w:vAlign w:val="bottom"/>
          </w:tcPr>
          <w:p>
            <w:pPr>
              <w:spacing w:after="0"/>
              <w:rPr>
                <w:sz w:val="1"/>
                <w:szCs w:val="1"/>
                <w:color w:val="auto"/>
              </w:rPr>
            </w:pPr>
          </w:p>
        </w:tc>
      </w:tr>
      <w:tr>
        <w:trPr>
          <w:trHeight w:val="216"/>
        </w:trPr>
        <w:tc>
          <w:tcPr>
            <w:tcW w:w="41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six months ended June 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5"/>
              </w:rPr>
              <w:t>Cost of Revenues, Software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26"/>
              <w:spacing w:after="0"/>
              <w:rPr>
                <w:sz w:val="20"/>
                <w:szCs w:val="20"/>
                <w:color w:val="auto"/>
              </w:rPr>
            </w:pPr>
            <w:r>
              <w:rPr>
                <w:rFonts w:ascii="Times New Roman" w:cs="Times New Roman" w:eastAsia="Times New Roman" w:hAnsi="Times New Roman"/>
                <w:sz w:val="10"/>
                <w:szCs w:val="10"/>
                <w:b w:val="1"/>
                <w:bCs w:val="1"/>
                <w:color w:val="auto"/>
                <w:w w:val="96"/>
              </w:rPr>
              <w:t>Selling and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restart"/>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Total Expense</w:t>
            </w:r>
          </w:p>
        </w:tc>
        <w:tc>
          <w:tcPr>
            <w:tcW w:w="0" w:type="dxa"/>
            <w:vAlign w:val="bottom"/>
          </w:tcPr>
          <w:p>
            <w:pPr>
              <w:spacing w:after="0"/>
              <w:rPr>
                <w:sz w:val="1"/>
                <w:szCs w:val="1"/>
                <w:color w:val="auto"/>
              </w:rPr>
            </w:pPr>
          </w:p>
        </w:tc>
      </w:tr>
      <w:tr>
        <w:trPr>
          <w:trHeight w:val="115"/>
        </w:trPr>
        <w:tc>
          <w:tcPr>
            <w:tcW w:w="416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5"/>
              </w:rPr>
              <w:t>Subscriptions</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0"/>
                <w:szCs w:val="10"/>
                <w:b w:val="1"/>
                <w:bCs w:val="1"/>
                <w:color w:val="auto"/>
                <w:w w:val="95"/>
              </w:rPr>
              <w:t>Marketing Expense</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119</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1,187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1,306</w:t>
            </w:r>
          </w:p>
        </w:tc>
        <w:tc>
          <w:tcPr>
            <w:tcW w:w="0" w:type="dxa"/>
            <w:vAlign w:val="bottom"/>
          </w:tcPr>
          <w:p>
            <w:pPr>
              <w:spacing w:after="0"/>
              <w:rPr>
                <w:sz w:val="1"/>
                <w:szCs w:val="1"/>
                <w:color w:val="auto"/>
              </w:rPr>
            </w:pPr>
          </w:p>
        </w:tc>
      </w:tr>
      <w:tr>
        <w:trPr>
          <w:trHeight w:val="155"/>
        </w:trPr>
        <w:tc>
          <w:tcPr>
            <w:tcW w:w="416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1,570</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240" w:hanging="218"/>
        <w:spacing w:after="0"/>
        <w:tabs>
          <w:tab w:leader="none" w:pos="240"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DEBT</w:t>
      </w:r>
    </w:p>
    <w:p>
      <w:pPr>
        <w:spacing w:after="0" w:line="150" w:lineRule="exact"/>
        <w:rPr>
          <w:rFonts w:ascii="Times New Roman" w:cs="Times New Roman" w:eastAsia="Times New Roman" w:hAnsi="Times New Roman"/>
          <w:sz w:val="12"/>
          <w:szCs w:val="12"/>
          <w:b w:val="1"/>
          <w:bCs w:val="1"/>
          <w:color w:val="auto"/>
        </w:rPr>
      </w:pPr>
    </w:p>
    <w:p>
      <w:pPr>
        <w:ind w:left="2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Credit Agreement</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Company has a credit agreement (“Credit Agreement”) with a banking syndicate, which provided (i) a term loan in the aggregate amount of $50,000 (the “Term Loan”); and (ii) a $200,000 revolving facility (the “Line of Credit”).</w:t>
      </w:r>
    </w:p>
    <w:p>
      <w:pPr>
        <w:spacing w:after="0" w:line="111"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On April 19, 2024, the Company entered into the Fourth Amendment to the Credit Agreement (the “Fourth Amendment”) with a banking syndicate, which amended the Credit Agreement, dated as of June 30, 2020, providing for, among other things, amendments of certain definitions.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Indenture and Notes</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On April 26, 2024, the Company closed its offering of $345,000 aggregate principal amount of 0.750% Convertible Senior Notes due 2029 (the “Notes”) to qualified institutional buyers in accordance with Rule 144A under the Securities Act of 1933, as amended. The Notes were issued pursuant to, and are governed by, an indenture (the “Indenture”) between the Company and U.S. Bank Trust Company, National Association, as trustee. The Notes issued on April 26, 2024 include an additional $45,000 aggregate principal amount of Notes, issued pursuant to the full exercise by the initial purchasers of the Notes of their option to purchase additional Notes.</w:t>
      </w:r>
    </w:p>
    <w:p>
      <w:pPr>
        <w:spacing w:after="0" w:line="95"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Notes are the senior, unsecured obligations of the Company and are (i) ranked equal in right of payment with the Company’s senior unsecured indebtedness, (ii) senior in right of payment to the Company’s indebtedness that is expressly subordinated to the Notes, (iii) effectively subordinated to the Company’s senior secured indebtedness, to the extent of the value of the collateral securing that indebtedness, and (iv) structurally subordinated to all indebtedness and other liabilities, including trade payables, and (to the extent the Company is not a holder thereof) preferred equity, if any, of the Company’s subsidiaries.</w:t>
      </w:r>
    </w:p>
    <w:p>
      <w:pPr>
        <w:spacing w:after="0" w:line="12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Notes bear interest at a rate of 0.750% per annum on the principal amount thereof, payable semi-annually in arrears on May 1 and November 1 of each year, beginning on November 1, 2024. The Notes will mature on May 1, 2029 (the “maturity date”), unless earlier repurchased, redeemed or converted in accordance with their terms. On November 1, 2028, and thereafter, holders may convert their Notes anytime at their election, until the close of business on the second scheduled trading day immediately before the maturity date. Before November 1, 2028, holders have the right to convert their Notes only upon the occurrence of the following events:</w:t>
      </w:r>
    </w:p>
    <w:p>
      <w:pPr>
        <w:spacing w:after="0" w:line="122" w:lineRule="exact"/>
        <w:rPr>
          <w:sz w:val="20"/>
          <w:szCs w:val="20"/>
          <w:color w:val="auto"/>
        </w:rPr>
      </w:pPr>
    </w:p>
    <w:p>
      <w:pPr>
        <w:jc w:val="both"/>
        <w:ind w:left="840" w:right="39" w:hanging="215"/>
        <w:spacing w:after="0" w:line="267" w:lineRule="auto"/>
        <w:tabs>
          <w:tab w:leader="none" w:pos="8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any calendar quarter after June 30, 2024 if the closing price of the Company's common stock for at least 20 trading days in a period of 30 consecutive trading days ending on and including the last trading day of the preceding calendar quarter is more than 130% of the then applicable conversion price (effectively $47.21) for the</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Notes per share of common stock.</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jc w:val="both"/>
        <w:ind w:left="840" w:right="39" w:hanging="215"/>
        <w:spacing w:after="0" w:line="261" w:lineRule="auto"/>
        <w:tabs>
          <w:tab w:leader="none" w:pos="8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five business days immediately after any ten consecutive trading day period in which the trading price per $1,000 principal amount of Notes, as determined following a request by a holder of Notes, for each day of that period was less than 98% of the product of the closing price of the Company’s common stock and the then applicable conversion rate.</w:t>
      </w:r>
    </w:p>
    <w:p>
      <w:pPr>
        <w:spacing w:after="0" w:line="1" w:lineRule="exact"/>
        <w:rPr>
          <w:rFonts w:ascii="Times New Roman" w:cs="Times New Roman" w:eastAsia="Times New Roman" w:hAnsi="Times New Roman"/>
          <w:sz w:val="12"/>
          <w:szCs w:val="12"/>
          <w:color w:val="auto"/>
        </w:rPr>
      </w:pPr>
    </w:p>
    <w:p>
      <w:pPr>
        <w:ind w:left="840" w:right="39" w:hanging="215"/>
        <w:spacing w:after="0" w:line="266" w:lineRule="auto"/>
        <w:tabs>
          <w:tab w:leader="none" w:pos="8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Company calls any or all of the Notes for redemption, holders may convert all or any portion of their notes at any time prior to the close of business on the scheduled trading day prior to the redemption date, even if the Notes are not otherwise convertible at such time.</w:t>
      </w:r>
    </w:p>
    <w:p>
      <w:pPr>
        <w:ind w:left="840" w:hanging="215"/>
        <w:spacing w:after="0"/>
        <w:tabs>
          <w:tab w:leader="none" w:pos="8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specified distributions to holders of the Company’s common stock are made or specified corporate events occur.</w:t>
      </w:r>
    </w:p>
    <w:p>
      <w:pPr>
        <w:spacing w:after="0" w:line="103" w:lineRule="exact"/>
        <w:rPr>
          <w:sz w:val="20"/>
          <w:szCs w:val="20"/>
          <w:color w:val="auto"/>
        </w:rPr>
      </w:pPr>
    </w:p>
    <w:p>
      <w:pPr>
        <w:jc w:val="both"/>
        <w:ind w:left="20" w:right="39" w:firstLine="432"/>
        <w:spacing w:after="0" w:line="295" w:lineRule="auto"/>
        <w:rPr>
          <w:sz w:val="20"/>
          <w:szCs w:val="20"/>
          <w:color w:val="auto"/>
        </w:rPr>
      </w:pPr>
      <w:r>
        <w:rPr>
          <w:rFonts w:ascii="Times New Roman" w:cs="Times New Roman" w:eastAsia="Times New Roman" w:hAnsi="Times New Roman"/>
          <w:sz w:val="12"/>
          <w:szCs w:val="12"/>
          <w:color w:val="auto"/>
        </w:rPr>
        <w:t>If a holder converts upon a make-whole fundamental change (as defined in the Indenture) or Company redemption, the holder may be eligible to receive a make-whole premium through an increase to the conversion rate.</w:t>
      </w:r>
    </w:p>
    <w:p>
      <w:pPr>
        <w:spacing w:after="0" w:line="120"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Upon conversion, the Company will pay or deliver, as applicable, cash, shares of Class A common stock or a combination of cash and shares of Class A common stock at the Company’s election. The initial conversion rate for the Notes is 27.5315 shares of Class A common stock per $1,000 principal amount of Notes, which represents an initial conversion price of approximately $36.32 per share of Class A common stock, and is subject to adjustment upon the occurrence of certain specified events as set forth in the Indenture.</w:t>
      </w:r>
    </w:p>
    <w:p>
      <w:pPr>
        <w:spacing w:after="0" w:line="11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net proceeds from the offering of the Notes were $333,716, after deducting the initial purchasers’ discount and commissions, and other transaction and offering expenses. The Company used $42,366 of the net proceeds from this offering to fund the cost of the Capped Call Transactions (as defined below) and intends to use the remainder for working capital or other general corporate expenses, which may include capital expenditures, potential acquisitions, and strategic transactions.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Capped Call Transactions</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connection with the pricing of the Notes on April 23, 2024, the Company entered into privately negotiated capped call transactions (the “Base Capped Calls”) with certain financial institutions (together, the “Option Counterparties”). In connection with the exercise of the option to purchase the additional Notes in full, the Company entered into additional capped call transactions with the Option Counterparties (together, the “Additional Capped Call Transactions” and, together with the Base Capped Call Transactions, the “Capped Call Transactions”).</w:t>
      </w:r>
    </w:p>
    <w:p>
      <w:pPr>
        <w:spacing w:after="0" w:line="95"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The cap price of the Capped Call Transactions will initially be $55.88 per share of Class A common stock, and is subject to certain adjustments under the terms of the Capped Call Transactions. The Capped Call Transactions are expected generally to reduce the potential dilution to the Class A common stock upon any conversion of the Notes and/or to offset any cash payments the Company is required to make in excess of the principal amount of the converted Notes, as the case may be, upon any conversion of the Notes. The Capped Call Transactions cover, subject to anti-dilution adjustments substantially similar to those applicable to the Notes, approximately 12,348 shares of the Company’s common stock. The cost of the Capped Call Transactions was $42,366, which was included in additional paid-in capital, net of tax, in the condensed consolidated balance sheets, with no remeasurement in subsequent periods as it meets the conditions for equity classification.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Term Loan</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On May 10, 2024, the Company repaid the outstanding Term Loan balance of $46,332, which included $82 of interest. The Term Loan was originally due on March 8, 2027. The Company also wrote off $276 in deferred financing fees pertaining to the Term Loan.</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Company’s indebtedness at June 30, 2024 and December 31, 2023 was as follows: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4"/>
              </w:rPr>
              <w:t>As of June 30, 2024</w:t>
            </w: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b w:val="1"/>
                <w:bCs w:val="1"/>
                <w:color w:val="auto"/>
              </w:rPr>
              <w:t>As of December 31, 2023</w:t>
            </w: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Discounts and</w:t>
            </w:r>
          </w:p>
        </w:tc>
        <w:tc>
          <w:tcPr>
            <w:tcW w:w="100" w:type="dxa"/>
            <w:vAlign w:val="bottom"/>
          </w:tcPr>
          <w:p>
            <w:pPr>
              <w:spacing w:after="0"/>
              <w:rPr>
                <w:sz w:val="20"/>
                <w:szCs w:val="20"/>
                <w:color w:val="auto"/>
              </w:rPr>
            </w:pPr>
          </w:p>
        </w:tc>
        <w:tc>
          <w:tcPr>
            <w:tcW w:w="860" w:type="dxa"/>
            <w:vAlign w:val="bottom"/>
            <w:vMerge w:val="restart"/>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Net Carrying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6"/>
              </w:rPr>
              <w:t>Discounts and</w:t>
            </w:r>
          </w:p>
        </w:tc>
        <w:tc>
          <w:tcPr>
            <w:tcW w:w="100" w:type="dxa"/>
            <w:vAlign w:val="bottom"/>
          </w:tcPr>
          <w:p>
            <w:pPr>
              <w:spacing w:after="0"/>
              <w:rPr>
                <w:sz w:val="20"/>
                <w:szCs w:val="20"/>
                <w:color w:val="auto"/>
              </w:rPr>
            </w:pPr>
          </w:p>
        </w:tc>
        <w:tc>
          <w:tcPr>
            <w:tcW w:w="880" w:type="dxa"/>
            <w:vAlign w:val="bottom"/>
            <w:vMerge w:val="restart"/>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Net Carrying</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right"/>
              <w:ind w:right="2"/>
              <w:spacing w:after="0"/>
              <w:rPr>
                <w:sz w:val="20"/>
                <w:szCs w:val="20"/>
                <w:color w:val="auto"/>
              </w:rPr>
            </w:pPr>
            <w:r>
              <w:rPr>
                <w:rFonts w:ascii="Times New Roman" w:cs="Times New Roman" w:eastAsia="Times New Roman" w:hAnsi="Times New Roman"/>
                <w:sz w:val="10"/>
                <w:szCs w:val="10"/>
                <w:b w:val="1"/>
                <w:bCs w:val="1"/>
                <w:color w:val="auto"/>
              </w:rPr>
              <w:t>Principal Amount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2"/>
          </w:tcPr>
          <w:p>
            <w:pPr>
              <w:jc w:val="center"/>
              <w:ind w:right="20"/>
              <w:spacing w:after="0" w:line="99" w:lineRule="exact"/>
              <w:rPr>
                <w:sz w:val="20"/>
                <w:szCs w:val="20"/>
                <w:color w:val="auto"/>
              </w:rPr>
            </w:pPr>
            <w:r>
              <w:rPr>
                <w:rFonts w:ascii="Times New Roman" w:cs="Times New Roman" w:eastAsia="Times New Roman" w:hAnsi="Times New Roman"/>
                <w:sz w:val="10"/>
                <w:szCs w:val="10"/>
                <w:b w:val="1"/>
                <w:bCs w:val="1"/>
                <w:color w:val="auto"/>
                <w:w w:val="95"/>
              </w:rPr>
              <w:t>Deferred Financing</w:t>
            </w: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restart"/>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Principal Amount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0"/>
                <w:szCs w:val="10"/>
                <w:b w:val="1"/>
                <w:bCs w:val="1"/>
                <w:color w:val="auto"/>
                <w:w w:val="95"/>
              </w:rPr>
              <w:t>Deferred Financing</w:t>
            </w: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Costs</w:t>
            </w:r>
          </w:p>
        </w:tc>
        <w:tc>
          <w:tcPr>
            <w:tcW w:w="100" w:type="dxa"/>
            <w:vAlign w:val="bottom"/>
          </w:tcPr>
          <w:p>
            <w:pPr>
              <w:spacing w:after="0"/>
              <w:rPr>
                <w:sz w:val="10"/>
                <w:szCs w:val="10"/>
                <w:color w:val="auto"/>
              </w:rPr>
            </w:pPr>
          </w:p>
        </w:tc>
        <w:tc>
          <w:tcPr>
            <w:tcW w:w="860" w:type="dxa"/>
            <w:vAlign w:val="bottom"/>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4"/>
              </w:rPr>
              <w:t>Costs</w:t>
            </w:r>
          </w:p>
        </w:tc>
        <w:tc>
          <w:tcPr>
            <w:tcW w:w="100" w:type="dxa"/>
            <w:vAlign w:val="bottom"/>
          </w:tcPr>
          <w:p>
            <w:pPr>
              <w:spacing w:after="0"/>
              <w:rPr>
                <w:sz w:val="10"/>
                <w:szCs w:val="10"/>
                <w:color w:val="auto"/>
              </w:rPr>
            </w:pPr>
          </w:p>
        </w:tc>
        <w:tc>
          <w:tcPr>
            <w:tcW w:w="880" w:type="dxa"/>
            <w:vAlign w:val="bottom"/>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Term Loan</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w:t>
            </w:r>
          </w:p>
        </w:tc>
        <w:tc>
          <w:tcPr>
            <w:tcW w:w="1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60" w:type="dxa"/>
            <w:vAlign w:val="bottom"/>
            <w:tcBorders>
              <w:bottom w:val="single" w:sz="8" w:color="CCEEFF"/>
            </w:tcBorders>
          </w:tcPr>
          <w:p>
            <w:pPr>
              <w:ind w:left="80"/>
              <w:spacing w:after="0" w:line="133" w:lineRule="exact"/>
              <w:rPr>
                <w:sz w:val="20"/>
                <w:szCs w:val="20"/>
                <w:color w:val="auto"/>
              </w:rPr>
            </w:pPr>
            <w:r>
              <w:rPr>
                <w:rFonts w:ascii="Times New Roman" w:cs="Times New Roman" w:eastAsia="Times New Roman" w:hAnsi="Times New Roman"/>
                <w:sz w:val="12"/>
                <w:szCs w:val="12"/>
                <w:color w:val="auto"/>
              </w:rPr>
              <w:t>Current portion of long-term debt</w:t>
            </w:r>
          </w:p>
        </w:tc>
        <w:tc>
          <w:tcPr>
            <w:tcW w:w="5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2,500</w:t>
            </w: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2,500</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Term Loan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44,375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(316)</w:t>
            </w:r>
          </w:p>
        </w:tc>
        <w:tc>
          <w:tcPr>
            <w:tcW w:w="1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44,059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60" w:type="dxa"/>
            <w:vAlign w:val="bottom"/>
            <w:tcBorders>
              <w:top w:val="single" w:sz="8" w:color="CCEEFF"/>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Debt, net of current portion</w:t>
            </w:r>
          </w:p>
        </w:tc>
        <w:tc>
          <w:tcPr>
            <w:tcW w:w="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44,375</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44,059</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senior notes, non-current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(10,908)</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334,092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debt</w:t>
            </w:r>
          </w:p>
        </w:tc>
        <w:tc>
          <w:tcPr>
            <w:tcW w:w="5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345,000</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(10,908)</w:t>
            </w: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334,092</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46,875</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(316)</w:t>
            </w: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46,559</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Company’s interest expense related to the Notes is as follows: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21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0"/>
                <w:szCs w:val="10"/>
                <w:b w:val="1"/>
                <w:bCs w:val="1"/>
                <w:color w:val="auto"/>
              </w:rPr>
              <w:t>For the three months ended June 30,</w:t>
            </w: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r>
      <w:tr>
        <w:trPr>
          <w:trHeight w:val="133"/>
        </w:trPr>
        <w:tc>
          <w:tcPr>
            <w:tcW w:w="4040" w:type="dxa"/>
            <w:vAlign w:val="bottom"/>
          </w:tcPr>
          <w:p>
            <w:pPr>
              <w:spacing w:after="0"/>
              <w:rPr>
                <w:sz w:val="11"/>
                <w:szCs w:val="11"/>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0"/>
                <w:szCs w:val="10"/>
                <w:b w:val="1"/>
                <w:bCs w:val="1"/>
                <w:color w:val="auto"/>
              </w:rPr>
              <w:t>2024</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0"/>
                <w:szCs w:val="10"/>
                <w:b w:val="1"/>
                <w:bCs w:val="1"/>
                <w:color w:val="auto"/>
              </w:rPr>
              <w:t>2023</w:t>
            </w:r>
          </w:p>
        </w:tc>
        <w:tc>
          <w:tcPr>
            <w:tcW w:w="2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4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3"/>
          </w:tcPr>
          <w:p>
            <w:pPr>
              <w:jc w:val="right"/>
              <w:ind w:right="584"/>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720" w:type="dxa"/>
            <w:vAlign w:val="bottom"/>
          </w:tcPr>
          <w:p>
            <w:pPr>
              <w:spacing w:after="0"/>
              <w:rPr>
                <w:sz w:val="11"/>
                <w:szCs w:val="11"/>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Contractual interest expense</w:t>
            </w:r>
          </w:p>
        </w:tc>
        <w:tc>
          <w:tcPr>
            <w:tcW w:w="78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Amortization of issuance costs</w:t>
            </w: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376</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40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interest expense, Convertible Senior Notes</w:t>
            </w:r>
          </w:p>
        </w:tc>
        <w:tc>
          <w:tcPr>
            <w:tcW w:w="780" w:type="dxa"/>
            <w:vAlign w:val="bottom"/>
            <w:tcBorders>
              <w:bottom w:val="single" w:sz="8" w:color="auto"/>
            </w:tcBorders>
            <w:shd w:val="clear" w:color="auto" w:fill="CCEEFF"/>
          </w:tcPr>
          <w:p>
            <w:pPr>
              <w:jc w:val="right"/>
              <w:ind w:right="646"/>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807</w:t>
            </w: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664"/>
              <w:spacing w:after="0" w:line="133"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bottom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Borders>
              <w:bottom w:val="single" w:sz="8" w:color="auto"/>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807</w:t>
            </w: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auto"/>
            </w:tcBorders>
            <w:shd w:val="clear" w:color="auto" w:fill="CCEEFF"/>
          </w:tcPr>
          <w:p>
            <w:pPr>
              <w:ind w:left="560"/>
              <w:spacing w:after="0" w:line="133" w:lineRule="exact"/>
              <w:rPr>
                <w:sz w:val="20"/>
                <w:szCs w:val="20"/>
                <w:color w:val="auto"/>
              </w:rPr>
            </w:pPr>
            <w:r>
              <w:rPr>
                <w:rFonts w:ascii="Times New Roman" w:cs="Times New Roman" w:eastAsia="Times New Roman" w:hAnsi="Times New Roman"/>
                <w:sz w:val="12"/>
                <w:szCs w:val="12"/>
                <w:color w:val="auto"/>
              </w:rPr>
              <w:t>—</w:t>
            </w:r>
          </w:p>
        </w:tc>
      </w:tr>
    </w:tbl>
    <w:p>
      <w:pPr>
        <w:spacing w:after="0" w:line="219" w:lineRule="exact"/>
        <w:rPr>
          <w:sz w:val="20"/>
          <w:szCs w:val="20"/>
          <w:color w:val="auto"/>
        </w:rPr>
      </w:pPr>
    </w:p>
    <w:p>
      <w:pPr>
        <w:ind w:left="240" w:right="7239" w:hanging="218"/>
        <w:spacing w:after="0" w:line="504" w:lineRule="auto"/>
        <w:tabs>
          <w:tab w:leader="none" w:pos="240"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STOCKHOLDERS’ EQUITY Common Stock</w:t>
      </w:r>
    </w:p>
    <w:p>
      <w:pPr>
        <w:jc w:val="both"/>
        <w:ind w:left="20" w:right="39" w:firstLine="216"/>
        <w:spacing w:after="0" w:line="254" w:lineRule="auto"/>
        <w:rPr>
          <w:sz w:val="20"/>
          <w:szCs w:val="20"/>
          <w:color w:val="auto"/>
        </w:rPr>
      </w:pPr>
      <w:r>
        <w:rPr>
          <w:rFonts w:ascii="Times New Roman" w:cs="Times New Roman" w:eastAsia="Times New Roman" w:hAnsi="Times New Roman"/>
          <w:sz w:val="12"/>
          <w:szCs w:val="12"/>
          <w:color w:val="auto"/>
        </w:rPr>
        <w:t>During the three months ended June 30, 2024, the Company issued 194 shares of Class A common stock related to the exercise of options, net of 1 share returned to the Company in lieu of payment of the exercise price and taxes due on these exercises. During this period, the Company also issued 32 shares of Class A common stock in connection with the vesting of Restricted Stock Units (“RSUs”), net of 14 shares returned to the Company in lieu of payment of taxes due on the vesting of these RSUs. During the six months ended June 30, 2024, the Company issued 847 shares of Class A common stock related to the exercise of options, net of 266 shares returned to the Company in lieu of payment of the exercise price and taxes due on these exercises and the Company also issued 706 shares of Class A common stock in connection with the vesting of RSUs, net of 431 shares returned to the Company in lieu of payment of taxes due on the vesting of these RSUs. During the three and six months ended June 30, 2024, the Company issued 62 shares of Class A common stock in connection with the vesting of Restricted Stock Awards (“RSAs”) and the Company also issued 61 shares in connection with the ESPP and a stockholder exchanged 2,500 shares of Class B common stock, for an equivalent number of shares of Class A common stock.</w:t>
      </w:r>
    </w:p>
    <w:p>
      <w:pPr>
        <w:spacing w:after="0" w:line="128"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During the three months ended June 30, 2023, the Company issued 259 shares of Class A common stock related to the exercise of options, net of 6 shares returned to the Company in lieu of payment of the exercise price and taxes due on these exercises. During this period, the Company issued 22 shares of Class A common stock in connection with the vesting of RSUs, net of 11 shares returned to the Company in lieu of payment of taxes due on the vesting of these RSUs. During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the six months ended June 30, 2023, the Company issued 851 shares of Class A common stock related to the exercise of options, net of 23 shares returned to the Company in lieu of payment of the exercise price and taxes due on these exercises and the Company also issued 413 shares of Class A common stock in connection with the vesting of RSUs, net of 242 shares returned to the Company in lieu of payment of taxes due on the vesting of these RSUs. During the three and six months ended June 30, 2023, the Company issued 106 shares of Class A common stock in connection with the vesting of RSAs and the Company also issued 81 shares in connection with the ESPP and a stockholder exchanged 2,589 shares of Class B common stock for an equivalent number of shares of Class A common stock.</w:t>
      </w:r>
    </w:p>
    <w:p>
      <w:pPr>
        <w:spacing w:after="0" w:line="265" w:lineRule="exact"/>
        <w:rPr>
          <w:sz w:val="20"/>
          <w:szCs w:val="20"/>
          <w:color w:val="auto"/>
        </w:rPr>
      </w:pPr>
    </w:p>
    <w:p>
      <w:pPr>
        <w:ind w:left="240" w:hanging="218"/>
        <w:spacing w:after="0"/>
        <w:tabs>
          <w:tab w:leader="none" w:pos="240"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EARNINGS PER SHARE</w:t>
      </w:r>
    </w:p>
    <w:p>
      <w:pPr>
        <w:spacing w:after="0" w:line="154"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The Company has two classes of common stock outstanding and thus calculates earnings per share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w:t>
      </w:r>
    </w:p>
    <w:p>
      <w:pPr>
        <w:spacing w:after="0" w:line="122" w:lineRule="exact"/>
        <w:rPr>
          <w:sz w:val="20"/>
          <w:szCs w:val="20"/>
          <w:color w:val="auto"/>
        </w:rPr>
      </w:pPr>
    </w:p>
    <w:p>
      <w:pPr>
        <w:jc w:val="both"/>
        <w:ind w:left="20" w:right="39" w:firstLine="216"/>
        <w:spacing w:after="0" w:line="254" w:lineRule="auto"/>
        <w:rPr>
          <w:sz w:val="20"/>
          <w:szCs w:val="20"/>
          <w:color w:val="auto"/>
        </w:rPr>
      </w:pPr>
      <w:r>
        <w:rPr>
          <w:rFonts w:ascii="Times New Roman" w:cs="Times New Roman" w:eastAsia="Times New Roman" w:hAnsi="Times New Roman"/>
          <w:sz w:val="12"/>
          <w:szCs w:val="12"/>
          <w:color w:val="auto"/>
        </w:rPr>
        <w:t>Basic and diluted net income (loss) per share attributable to common stockholders is calculated using the treasury stock and if-converted methods. The basic net income (loss) per share attributable to Class A common stockholders includes RSAs, RSUs, and ESPP shares once vesting or purchase contingencies are resolved, and the related shares 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and nonvested RSAs and RSUs are considered common stock equivalents. The portion of ESPP shares for which the Company has received payments but for which the related shares are not yet issuable are also considered potential common stock equivalents. Additionally, the dilutive effect of shares issuable upon conversion of the Notes is included in the calculation of diluted EPS by application of the if-converted method. In connection with the issuance of the Notes, the Company entered into the Capped Calls Transactions, which are not included for purposes of calculating the number of diluted weighted-average shares outstanding, as their effect would be anti-dilutive. In periods of net loss available to common stockholders diluted calculations are equal to basic calculations because the inclusion of potential common stock equivalents would be anti-dilutive.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ind w:left="20" w:right="200" w:firstLine="216"/>
        <w:spacing w:after="0" w:line="279" w:lineRule="auto"/>
        <w:rPr>
          <w:sz w:val="20"/>
          <w:szCs w:val="20"/>
          <w:color w:val="auto"/>
        </w:rPr>
      </w:pPr>
      <w:r>
        <w:rPr>
          <w:rFonts w:ascii="Times New Roman" w:cs="Times New Roman" w:eastAsia="Times New Roman" w:hAnsi="Times New Roman"/>
          <w:sz w:val="12"/>
          <w:szCs w:val="12"/>
          <w:color w:val="auto"/>
        </w:rPr>
        <w:t>The tables below illustrate the calculation of basic and diluted net income (loss) per common share for the Class A common stock and Class B common stock for the periods reflected below.</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5"/>
              </w:rPr>
              <w:t>Three months ended June 30,</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Six months ended June 30,</w:t>
            </w: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4"/>
          </w:tcPr>
          <w:p>
            <w:pPr>
              <w:jc w:val="right"/>
              <w:ind w:right="432"/>
              <w:spacing w:after="0" w:line="106" w:lineRule="exact"/>
              <w:rPr>
                <w:sz w:val="20"/>
                <w:szCs w:val="20"/>
                <w:color w:val="auto"/>
              </w:rPr>
            </w:pPr>
            <w:r>
              <w:rPr>
                <w:rFonts w:ascii="Times New Roman" w:cs="Times New Roman" w:eastAsia="Times New Roman" w:hAnsi="Times New Roman"/>
                <w:sz w:val="10"/>
                <w:szCs w:val="10"/>
                <w:b w:val="1"/>
                <w:bCs w:val="1"/>
                <w:color w:val="auto"/>
                <w:w w:val="99"/>
              </w:rPr>
              <w:t>2024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bottom w:val="single" w:sz="8" w:color="auto"/>
            </w:tcBorders>
            <w:gridSpan w:val="5"/>
          </w:tcPr>
          <w:p>
            <w:pPr>
              <w:jc w:val="right"/>
              <w:ind w:right="40"/>
              <w:spacing w:after="0" w:line="106" w:lineRule="exact"/>
              <w:rPr>
                <w:sz w:val="20"/>
                <w:szCs w:val="20"/>
                <w:color w:val="auto"/>
              </w:rPr>
            </w:pPr>
            <w:r>
              <w:rPr>
                <w:rFonts w:ascii="Times New Roman" w:cs="Times New Roman" w:eastAsia="Times New Roman" w:hAnsi="Times New Roman"/>
                <w:sz w:val="10"/>
                <w:szCs w:val="10"/>
                <w:b w:val="1"/>
                <w:bCs w:val="1"/>
                <w:color w:val="auto"/>
              </w:rPr>
              <w:t>2023</w:t>
            </w: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gridSpan w:val="4"/>
          </w:tcPr>
          <w:p>
            <w:pPr>
              <w:jc w:val="right"/>
              <w:ind w:right="40"/>
              <w:spacing w:after="0" w:line="106" w:lineRule="exact"/>
              <w:rPr>
                <w:sz w:val="20"/>
                <w:szCs w:val="20"/>
                <w:color w:val="auto"/>
              </w:rPr>
            </w:pPr>
            <w:r>
              <w:rPr>
                <w:rFonts w:ascii="Times New Roman" w:cs="Times New Roman" w:eastAsia="Times New Roman" w:hAnsi="Times New Roman"/>
                <w:sz w:val="10"/>
                <w:szCs w:val="10"/>
                <w:b w:val="1"/>
                <w:bCs w:val="1"/>
                <w:color w:val="auto"/>
                <w:w w:val="89"/>
              </w:rPr>
              <w:t>2024</w:t>
            </w: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gridSpan w:val="3"/>
          </w:tcPr>
          <w:p>
            <w:pPr>
              <w:jc w:val="right"/>
              <w:ind w:right="60"/>
              <w:spacing w:after="0" w:line="106" w:lineRule="exact"/>
              <w:rPr>
                <w:sz w:val="20"/>
                <w:szCs w:val="20"/>
                <w:color w:val="auto"/>
              </w:rPr>
            </w:pPr>
            <w:r>
              <w:rPr>
                <w:rFonts w:ascii="Times New Roman" w:cs="Times New Roman" w:eastAsia="Times New Roman" w:hAnsi="Times New Roman"/>
                <w:sz w:val="10"/>
                <w:szCs w:val="10"/>
                <w:b w:val="1"/>
                <w:bCs w:val="1"/>
                <w:color w:val="auto"/>
                <w:w w:val="89"/>
              </w:rPr>
              <w:t>2023</w:t>
            </w: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jc w:val="right"/>
              <w:ind w:right="12"/>
              <w:spacing w:after="0" w:line="88" w:lineRule="exact"/>
              <w:rPr>
                <w:sz w:val="20"/>
                <w:szCs w:val="20"/>
                <w:color w:val="auto"/>
              </w:rPr>
            </w:pPr>
            <w:r>
              <w:rPr>
                <w:rFonts w:ascii="Times New Roman" w:cs="Times New Roman" w:eastAsia="Times New Roman" w:hAnsi="Times New Roman"/>
                <w:sz w:val="10"/>
                <w:szCs w:val="10"/>
                <w:b w:val="1"/>
                <w:bCs w:val="1"/>
                <w:color w:val="auto"/>
              </w:rPr>
              <w:t>Class A</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jc w:val="right"/>
              <w:ind w:right="52"/>
              <w:spacing w:after="0" w:line="88" w:lineRule="exact"/>
              <w:rPr>
                <w:sz w:val="20"/>
                <w:szCs w:val="20"/>
                <w:color w:val="auto"/>
              </w:rPr>
            </w:pPr>
            <w:r>
              <w:rPr>
                <w:rFonts w:ascii="Times New Roman" w:cs="Times New Roman" w:eastAsia="Times New Roman" w:hAnsi="Times New Roman"/>
                <w:sz w:val="10"/>
                <w:szCs w:val="10"/>
                <w:b w:val="1"/>
                <w:bCs w:val="1"/>
                <w:color w:val="auto"/>
              </w:rPr>
              <w:t>Class B</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tcPr>
          <w:p>
            <w:pPr>
              <w:jc w:val="right"/>
              <w:ind w:right="140"/>
              <w:spacing w:after="0" w:line="88" w:lineRule="exact"/>
              <w:rPr>
                <w:sz w:val="20"/>
                <w:szCs w:val="20"/>
                <w:color w:val="auto"/>
              </w:rPr>
            </w:pPr>
            <w:r>
              <w:rPr>
                <w:rFonts w:ascii="Times New Roman" w:cs="Times New Roman" w:eastAsia="Times New Roman" w:hAnsi="Times New Roman"/>
                <w:sz w:val="10"/>
                <w:szCs w:val="10"/>
                <w:b w:val="1"/>
                <w:bCs w:val="1"/>
                <w:color w:val="auto"/>
              </w:rPr>
              <w:t>Class A</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jc w:val="right"/>
              <w:ind w:right="52"/>
              <w:spacing w:after="0" w:line="88" w:lineRule="exact"/>
              <w:rPr>
                <w:sz w:val="20"/>
                <w:szCs w:val="20"/>
                <w:color w:val="auto"/>
              </w:rPr>
            </w:pPr>
            <w:r>
              <w:rPr>
                <w:rFonts w:ascii="Times New Roman" w:cs="Times New Roman" w:eastAsia="Times New Roman" w:hAnsi="Times New Roman"/>
                <w:sz w:val="10"/>
                <w:szCs w:val="10"/>
                <w:b w:val="1"/>
                <w:bCs w:val="1"/>
                <w:color w:val="auto"/>
              </w:rPr>
              <w:t>Class B</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jc w:val="right"/>
              <w:ind w:right="32"/>
              <w:spacing w:after="0" w:line="88" w:lineRule="exact"/>
              <w:rPr>
                <w:sz w:val="20"/>
                <w:szCs w:val="20"/>
                <w:color w:val="auto"/>
              </w:rPr>
            </w:pPr>
            <w:r>
              <w:rPr>
                <w:rFonts w:ascii="Times New Roman" w:cs="Times New Roman" w:eastAsia="Times New Roman" w:hAnsi="Times New Roman"/>
                <w:sz w:val="10"/>
                <w:szCs w:val="10"/>
                <w:b w:val="1"/>
                <w:bCs w:val="1"/>
                <w:color w:val="auto"/>
              </w:rPr>
              <w:t>Class A</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jc w:val="right"/>
              <w:ind w:right="52"/>
              <w:spacing w:after="0" w:line="88" w:lineRule="exact"/>
              <w:rPr>
                <w:sz w:val="20"/>
                <w:szCs w:val="20"/>
                <w:color w:val="auto"/>
              </w:rPr>
            </w:pPr>
            <w:r>
              <w:rPr>
                <w:rFonts w:ascii="Times New Roman" w:cs="Times New Roman" w:eastAsia="Times New Roman" w:hAnsi="Times New Roman"/>
                <w:sz w:val="10"/>
                <w:szCs w:val="10"/>
                <w:b w:val="1"/>
                <w:bCs w:val="1"/>
                <w:color w:val="auto"/>
              </w:rPr>
              <w:t>Class B</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right"/>
              <w:ind w:right="52"/>
              <w:spacing w:after="0" w:line="88" w:lineRule="exact"/>
              <w:rPr>
                <w:sz w:val="20"/>
                <w:szCs w:val="20"/>
                <w:color w:val="auto"/>
              </w:rPr>
            </w:pPr>
            <w:r>
              <w:rPr>
                <w:rFonts w:ascii="Times New Roman" w:cs="Times New Roman" w:eastAsia="Times New Roman" w:hAnsi="Times New Roman"/>
                <w:sz w:val="10"/>
                <w:szCs w:val="10"/>
                <w:b w:val="1"/>
                <w:bCs w:val="1"/>
                <w:color w:val="auto"/>
              </w:rPr>
              <w:t>Class A</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jc w:val="right"/>
              <w:ind w:right="72"/>
              <w:spacing w:after="0" w:line="88" w:lineRule="exact"/>
              <w:rPr>
                <w:sz w:val="20"/>
                <w:szCs w:val="20"/>
                <w:color w:val="auto"/>
              </w:rPr>
            </w:pPr>
            <w:r>
              <w:rPr>
                <w:rFonts w:ascii="Times New Roman" w:cs="Times New Roman" w:eastAsia="Times New Roman" w:hAnsi="Times New Roman"/>
                <w:sz w:val="10"/>
                <w:szCs w:val="10"/>
                <w:b w:val="1"/>
                <w:bCs w:val="1"/>
                <w:color w:val="auto"/>
              </w:rPr>
              <w:t>Class B</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56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Basic net income (loss) per share:</w:t>
            </w:r>
          </w:p>
        </w:tc>
        <w:tc>
          <w:tcPr>
            <w:tcW w:w="1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Numerator</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8"/>
                <w:szCs w:val="8"/>
                <w:color w:val="auto"/>
              </w:rPr>
              <w:t xml:space="preserve">Allocation of net income (loss) </w:t>
            </w:r>
            <w:r>
              <w:rPr>
                <w:rFonts w:ascii="Times New Roman" w:cs="Times New Roman" w:eastAsia="Times New Roman" w:hAnsi="Times New Roman"/>
                <w:sz w:val="11"/>
                <w:szCs w:val="11"/>
                <w:color w:val="auto"/>
                <w:vertAlign w:val="superscript"/>
              </w:rPr>
              <w:t>(1)</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2,137</w:t>
            </w:r>
          </w:p>
        </w:tc>
        <w:tc>
          <w:tcPr>
            <w:tcW w:w="20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3,027</w:t>
            </w:r>
          </w:p>
        </w:tc>
        <w:tc>
          <w:tcPr>
            <w:tcW w:w="180" w:type="dxa"/>
            <w:vAlign w:val="bottom"/>
            <w:gridSpan w:val="2"/>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(2,447)</w:t>
            </w:r>
          </w:p>
        </w:tc>
        <w:tc>
          <w:tcPr>
            <w:tcW w:w="12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(4,449)</w:t>
            </w:r>
          </w:p>
        </w:tc>
        <w:tc>
          <w:tcPr>
            <w:tcW w:w="220" w:type="dxa"/>
            <w:vAlign w:val="bottom"/>
            <w:gridSpan w:val="2"/>
            <w:shd w:val="clear" w:color="auto" w:fill="CCEEFF"/>
          </w:tcPr>
          <w:p>
            <w:pPr>
              <w:jc w:val="right"/>
              <w:ind w:right="36"/>
              <w:spacing w:after="0" w:line="99"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3,190</w:t>
            </w:r>
          </w:p>
        </w:tc>
        <w:tc>
          <w:tcPr>
            <w:tcW w:w="200" w:type="dxa"/>
            <w:vAlign w:val="bottom"/>
            <w:gridSpan w:val="3"/>
            <w:shd w:val="clear" w:color="auto" w:fill="CCEEFF"/>
          </w:tcPr>
          <w:p>
            <w:pPr>
              <w:jc w:val="right"/>
              <w:ind w:right="36"/>
              <w:spacing w:after="0" w:line="99"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4,658</w:t>
            </w:r>
          </w:p>
        </w:tc>
        <w:tc>
          <w:tcPr>
            <w:tcW w:w="18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(8,633)</w:t>
            </w:r>
          </w:p>
        </w:tc>
        <w:tc>
          <w:tcPr>
            <w:tcW w:w="180" w:type="dxa"/>
            <w:vAlign w:val="bottom"/>
            <w:gridSpan w:val="2"/>
            <w:shd w:val="clear" w:color="auto" w:fill="CCEEFF"/>
          </w:tcPr>
          <w:p>
            <w:pPr>
              <w:jc w:val="right"/>
              <w:ind w:right="36"/>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(16,395)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Denominator</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Total shares used in per share computation</w:t>
            </w:r>
          </w:p>
        </w:tc>
        <w:tc>
          <w:tcPr>
            <w:tcW w:w="1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64,198</w:t>
            </w:r>
          </w:p>
        </w:tc>
        <w:tc>
          <w:tcPr>
            <w:tcW w:w="2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90,930</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53,762</w:t>
            </w: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97,718</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62,879</w:t>
            </w:r>
          </w:p>
        </w:tc>
        <w:tc>
          <w:tcPr>
            <w:tcW w:w="2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91,796</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52,109</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98,969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58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Basic net income (loss) per share:</w:t>
            </w:r>
          </w:p>
        </w:tc>
        <w:tc>
          <w:tcPr>
            <w:tcW w:w="1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0.03</w:t>
            </w: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0.03</w:t>
            </w:r>
          </w:p>
        </w:tc>
        <w:tc>
          <w:tcPr>
            <w:tcW w:w="80" w:type="dxa"/>
            <w:vAlign w:val="bottom"/>
          </w:tcPr>
          <w:p>
            <w:pPr>
              <w:spacing w:after="0"/>
              <w:rPr>
                <w:sz w:val="8"/>
                <w:szCs w:val="8"/>
                <w:color w:val="auto"/>
              </w:rPr>
            </w:pPr>
          </w:p>
        </w:tc>
        <w:tc>
          <w:tcPr>
            <w:tcW w:w="100" w:type="dxa"/>
            <w:vAlign w:val="bottom"/>
            <w:tcBorders>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(0.05)</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(0.05)</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0.05</w:t>
            </w: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0.05</w:t>
            </w:r>
          </w:p>
        </w:tc>
        <w:tc>
          <w:tcPr>
            <w:tcW w:w="80" w:type="dxa"/>
            <w:vAlign w:val="bottom"/>
          </w:tcPr>
          <w:p>
            <w:pPr>
              <w:spacing w:after="0"/>
              <w:rPr>
                <w:sz w:val="8"/>
                <w:szCs w:val="8"/>
                <w:color w:val="auto"/>
              </w:rPr>
            </w:pPr>
          </w:p>
        </w:tc>
        <w:tc>
          <w:tcPr>
            <w:tcW w:w="1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(0.17)</w:t>
            </w:r>
          </w:p>
        </w:tc>
        <w:tc>
          <w:tcPr>
            <w:tcW w:w="80" w:type="dxa"/>
            <w:vAlign w:val="bottom"/>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35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Diluted net income (loss) per share:</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Numerator</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8"/>
                <w:szCs w:val="8"/>
                <w:color w:val="auto"/>
              </w:rPr>
              <w:t xml:space="preserve">Allocation of net income (loss) </w:t>
            </w:r>
            <w:r>
              <w:rPr>
                <w:rFonts w:ascii="Times New Roman" w:cs="Times New Roman" w:eastAsia="Times New Roman" w:hAnsi="Times New Roman"/>
                <w:sz w:val="11"/>
                <w:szCs w:val="11"/>
                <w:color w:val="auto"/>
                <w:vertAlign w:val="superscript"/>
              </w:rPr>
              <w:t>(1)</w:t>
            </w:r>
          </w:p>
        </w:tc>
        <w:tc>
          <w:tcPr>
            <w:tcW w:w="1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2,255</w:t>
            </w:r>
          </w:p>
        </w:tc>
        <w:tc>
          <w:tcPr>
            <w:tcW w:w="200" w:type="dxa"/>
            <w:vAlign w:val="bottom"/>
            <w:gridSpan w:val="3"/>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2,909</w:t>
            </w:r>
          </w:p>
        </w:tc>
        <w:tc>
          <w:tcPr>
            <w:tcW w:w="180" w:type="dxa"/>
            <w:vAlign w:val="bottom"/>
            <w:gridSpan w:val="2"/>
            <w:shd w:val="clear" w:color="auto" w:fill="CCEEFF"/>
          </w:tcPr>
          <w:p>
            <w:pPr>
              <w:jc w:val="center"/>
              <w:spacing w:after="0" w:line="99" w:lineRule="exact"/>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(2,447)</w:t>
            </w:r>
          </w:p>
        </w:tc>
        <w:tc>
          <w:tcPr>
            <w:tcW w:w="12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(4,449)</w:t>
            </w:r>
          </w:p>
        </w:tc>
        <w:tc>
          <w:tcPr>
            <w:tcW w:w="220" w:type="dxa"/>
            <w:vAlign w:val="bottom"/>
            <w:gridSpan w:val="2"/>
            <w:shd w:val="clear" w:color="auto" w:fill="CCEEFF"/>
          </w:tcPr>
          <w:p>
            <w:pPr>
              <w:jc w:val="right"/>
              <w:ind w:right="36"/>
              <w:spacing w:after="0" w:line="99"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3,374</w:t>
            </w:r>
          </w:p>
        </w:tc>
        <w:tc>
          <w:tcPr>
            <w:tcW w:w="200" w:type="dxa"/>
            <w:vAlign w:val="bottom"/>
            <w:gridSpan w:val="3"/>
            <w:shd w:val="clear" w:color="auto" w:fill="CCEEFF"/>
          </w:tcPr>
          <w:p>
            <w:pPr>
              <w:jc w:val="right"/>
              <w:ind w:right="36"/>
              <w:spacing w:after="0" w:line="99"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4,474</w:t>
            </w:r>
          </w:p>
        </w:tc>
        <w:tc>
          <w:tcPr>
            <w:tcW w:w="18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(8,633)</w:t>
            </w:r>
          </w:p>
        </w:tc>
        <w:tc>
          <w:tcPr>
            <w:tcW w:w="180" w:type="dxa"/>
            <w:vAlign w:val="bottom"/>
            <w:gridSpan w:val="2"/>
            <w:shd w:val="clear" w:color="auto" w:fill="CCEEFF"/>
          </w:tcPr>
          <w:p>
            <w:pPr>
              <w:jc w:val="right"/>
              <w:ind w:right="36"/>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(16,395)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net income (loss) used in per diluted computation</w:t>
            </w:r>
          </w:p>
        </w:tc>
        <w:tc>
          <w:tcPr>
            <w:tcW w:w="1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2,255</w:t>
            </w: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2,909</w:t>
            </w:r>
          </w:p>
        </w:tc>
        <w:tc>
          <w:tcPr>
            <w:tcW w:w="8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(2,447)</w:t>
            </w:r>
          </w:p>
        </w:tc>
        <w:tc>
          <w:tcPr>
            <w:tcW w:w="6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(4,449)</w:t>
            </w: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3,374</w:t>
            </w: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4,474</w:t>
            </w:r>
          </w:p>
        </w:tc>
        <w:tc>
          <w:tcPr>
            <w:tcW w:w="8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(8,633)</w:t>
            </w:r>
          </w:p>
        </w:tc>
        <w:tc>
          <w:tcPr>
            <w:tcW w:w="8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(16,395)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shd w:val="clear" w:color="auto" w:fill="CCEEFF"/>
          </w:tcPr>
          <w:p>
            <w:pPr>
              <w:ind w:left="60"/>
              <w:spacing w:after="0" w:line="99" w:lineRule="exact"/>
              <w:rPr>
                <w:sz w:val="20"/>
                <w:szCs w:val="20"/>
                <w:color w:val="auto"/>
              </w:rPr>
            </w:pPr>
            <w:r>
              <w:rPr>
                <w:rFonts w:ascii="Times New Roman" w:cs="Times New Roman" w:eastAsia="Times New Roman" w:hAnsi="Times New Roman"/>
                <w:sz w:val="10"/>
                <w:szCs w:val="10"/>
                <w:color w:val="auto"/>
              </w:rPr>
              <w:t>Denominator</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Number shares used in basic per share computation</w:t>
            </w:r>
          </w:p>
        </w:tc>
        <w:tc>
          <w:tcPr>
            <w:tcW w:w="100" w:type="dxa"/>
            <w:vAlign w:val="bottom"/>
          </w:tcPr>
          <w:p>
            <w:pPr>
              <w:spacing w:after="0"/>
              <w:rPr>
                <w:sz w:val="8"/>
                <w:szCs w:val="8"/>
                <w:color w:val="auto"/>
              </w:rPr>
            </w:pPr>
          </w:p>
        </w:tc>
        <w:tc>
          <w:tcPr>
            <w:tcW w:w="4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64,198</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90,930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53,762</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97,718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62,879</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91,796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52,109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98,969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56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Dilutive effect of common stock equivalents</w:t>
            </w: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6,311</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6,336</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56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7"/>
                <w:szCs w:val="7"/>
                <w:color w:val="auto"/>
              </w:rPr>
              <w:t xml:space="preserve">Total shares used in per share computation </w:t>
            </w:r>
            <w:r>
              <w:rPr>
                <w:rFonts w:ascii="Times New Roman" w:cs="Times New Roman" w:eastAsia="Times New Roman" w:hAnsi="Times New Roman"/>
                <w:sz w:val="10"/>
                <w:szCs w:val="10"/>
                <w:color w:val="auto"/>
                <w:vertAlign w:val="superscript"/>
              </w:rPr>
              <w:t>(2)</w:t>
            </w:r>
          </w:p>
        </w:tc>
        <w:tc>
          <w:tcPr>
            <w:tcW w:w="10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70,509</w:t>
            </w:r>
          </w:p>
        </w:tc>
        <w:tc>
          <w:tcPr>
            <w:tcW w:w="2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90,930</w:t>
            </w:r>
          </w:p>
        </w:tc>
        <w:tc>
          <w:tcPr>
            <w:tcW w:w="8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53,762</w:t>
            </w:r>
          </w:p>
        </w:tc>
        <w:tc>
          <w:tcPr>
            <w:tcW w:w="6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97,718</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69,215</w:t>
            </w:r>
          </w:p>
        </w:tc>
        <w:tc>
          <w:tcPr>
            <w:tcW w:w="2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91,796</w:t>
            </w:r>
          </w:p>
        </w:tc>
        <w:tc>
          <w:tcPr>
            <w:tcW w:w="8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52,109</w:t>
            </w:r>
          </w:p>
        </w:tc>
        <w:tc>
          <w:tcPr>
            <w:tcW w:w="8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98,969</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Dilutive net income (loss) per share:</w:t>
            </w:r>
          </w:p>
        </w:tc>
        <w:tc>
          <w:tcPr>
            <w:tcW w:w="1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0.03</w:t>
            </w:r>
          </w:p>
        </w:tc>
        <w:tc>
          <w:tcPr>
            <w:tcW w:w="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0.03</w:t>
            </w: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center"/>
              <w:spacing w:after="0" w:line="8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(0.05)</w:t>
            </w:r>
          </w:p>
        </w:tc>
        <w:tc>
          <w:tcPr>
            <w:tcW w:w="6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(0.05)</w:t>
            </w: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0.05</w:t>
            </w:r>
          </w:p>
        </w:tc>
        <w:tc>
          <w:tcPr>
            <w:tcW w:w="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0.05</w:t>
            </w: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(0.17)</w:t>
            </w: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120" w:hanging="98"/>
        <w:spacing w:after="0"/>
        <w:tabs>
          <w:tab w:leader="none" w:pos="120" w:val="left"/>
        </w:tabs>
        <w:numPr>
          <w:ilvl w:val="0"/>
          <w:numId w:val="1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8"/>
          <w:szCs w:val="8"/>
          <w:color w:val="auto"/>
        </w:rPr>
        <w:t>Allocation of net income (loss) is based on the percentages of average shares outstanding.</w:t>
      </w:r>
    </w:p>
    <w:p>
      <w:pPr>
        <w:ind w:left="120" w:hanging="98"/>
        <w:spacing w:after="0" w:line="197" w:lineRule="auto"/>
        <w:tabs>
          <w:tab w:leader="none" w:pos="120" w:val="left"/>
        </w:tabs>
        <w:numPr>
          <w:ilvl w:val="0"/>
          <w:numId w:val="1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8"/>
          <w:szCs w:val="8"/>
          <w:color w:val="auto"/>
        </w:rPr>
        <w:t>The Notes were issued on April 26, 2024. Proration of shares assumed to be converted from the Notes during the current year periods resulted in anti-dilutive impact to EPS.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weighted-average outstanding shares of common stock equivalents by award type were excluded from the computation of diluted net loss per share attributable to</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Class A stockholders, as the impact of including them would have been anti-dilutive:</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For the three months ended June 30,</w:t>
            </w: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5"/>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r>
      <w:tr>
        <w:trPr>
          <w:trHeight w:val="133"/>
        </w:trPr>
        <w:tc>
          <w:tcPr>
            <w:tcW w:w="4440" w:type="dxa"/>
            <w:vAlign w:val="bottom"/>
          </w:tcPr>
          <w:p>
            <w:pPr>
              <w:spacing w:after="0"/>
              <w:rPr>
                <w:sz w:val="11"/>
                <w:szCs w:val="11"/>
                <w:color w:val="auto"/>
              </w:rPr>
            </w:pPr>
          </w:p>
        </w:tc>
        <w:tc>
          <w:tcPr>
            <w:tcW w:w="7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3"/>
        </w:trPr>
        <w:tc>
          <w:tcPr>
            <w:tcW w:w="4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4"/>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4"/>
          </w:tcPr>
          <w:p>
            <w:pPr>
              <w:ind w:left="740"/>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720" w:type="dxa"/>
            <w:vAlign w:val="bottom"/>
          </w:tcPr>
          <w:p>
            <w:pPr>
              <w:spacing w:after="0"/>
              <w:rPr>
                <w:sz w:val="11"/>
                <w:szCs w:val="11"/>
                <w:color w:val="auto"/>
              </w:rPr>
            </w:pPr>
          </w:p>
        </w:tc>
      </w:tr>
      <w:tr>
        <w:trPr>
          <w:trHeight w:val="164"/>
        </w:trPr>
        <w:tc>
          <w:tcPr>
            <w:tcW w:w="5160" w:type="dxa"/>
            <w:vAlign w:val="bottom"/>
            <w:gridSpan w:val="3"/>
            <w:shd w:val="clear" w:color="auto" w:fill="CCEEFF"/>
          </w:tcPr>
          <w:p>
            <w:pPr>
              <w:ind w:left="80"/>
              <w:spacing w:after="0" w:line="144" w:lineRule="exact"/>
              <w:rPr>
                <w:sz w:val="20"/>
                <w:szCs w:val="20"/>
                <w:color w:val="auto"/>
              </w:rPr>
            </w:pPr>
            <w:r>
              <w:rPr>
                <w:rFonts w:ascii="Times New Roman" w:cs="Times New Roman" w:eastAsia="Times New Roman" w:hAnsi="Times New Roman"/>
                <w:sz w:val="11"/>
                <w:szCs w:val="11"/>
                <w:color w:val="auto"/>
              </w:rPr>
              <w:t xml:space="preserve">Stock Options </w:t>
            </w:r>
            <w:r>
              <w:rPr>
                <w:rFonts w:ascii="Times New Roman" w:cs="Times New Roman" w:eastAsia="Times New Roman" w:hAnsi="Times New Roman"/>
                <w:sz w:val="16"/>
                <w:szCs w:val="16"/>
                <w:color w:val="auto"/>
                <w:vertAlign w:val="superscript"/>
              </w:rPr>
              <w:t>(1)</w:t>
            </w:r>
          </w:p>
        </w:tc>
        <w:tc>
          <w:tcPr>
            <w:tcW w:w="1240" w:type="dxa"/>
            <w:vAlign w:val="bottom"/>
            <w:gridSpan w:val="4"/>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7,527</w:t>
            </w:r>
          </w:p>
        </w:tc>
        <w:tc>
          <w:tcPr>
            <w:tcW w:w="120" w:type="dxa"/>
            <w:vAlign w:val="bottom"/>
            <w:shd w:val="clear" w:color="auto" w:fill="CCEEFF"/>
          </w:tcPr>
          <w:p>
            <w:pPr>
              <w:spacing w:after="0"/>
              <w:rPr>
                <w:sz w:val="14"/>
                <w:szCs w:val="14"/>
                <w:color w:val="auto"/>
              </w:rPr>
            </w:pPr>
          </w:p>
        </w:tc>
        <w:tc>
          <w:tcPr>
            <w:tcW w:w="134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7,577</w:t>
            </w:r>
          </w:p>
        </w:tc>
      </w:tr>
      <w:tr>
        <w:trPr>
          <w:trHeight w:val="138"/>
        </w:trPr>
        <w:tc>
          <w:tcPr>
            <w:tcW w:w="4540" w:type="dxa"/>
            <w:vAlign w:val="bottom"/>
            <w:tcBorders>
              <w:top w:val="single" w:sz="8" w:color="CCEEFF"/>
              <w:bottom w:val="single" w:sz="8" w:color="CCEEFF"/>
            </w:tcBorders>
            <w:gridSpan w:val="2"/>
          </w:tcPr>
          <w:p>
            <w:pPr>
              <w:ind w:left="80"/>
              <w:spacing w:after="0" w:line="131" w:lineRule="exact"/>
              <w:rPr>
                <w:sz w:val="20"/>
                <w:szCs w:val="20"/>
                <w:color w:val="auto"/>
              </w:rPr>
            </w:pPr>
            <w:r>
              <w:rPr>
                <w:rFonts w:ascii="Times New Roman" w:cs="Times New Roman" w:eastAsia="Times New Roman" w:hAnsi="Times New Roman"/>
                <w:sz w:val="12"/>
                <w:szCs w:val="12"/>
                <w:color w:val="auto"/>
              </w:rPr>
              <w:t>Stock Options out-of-the money options</w:t>
            </w:r>
          </w:p>
        </w:tc>
        <w:tc>
          <w:tcPr>
            <w:tcW w:w="6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117</w:t>
            </w:r>
          </w:p>
        </w:tc>
        <w:tc>
          <w:tcPr>
            <w:tcW w:w="18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261</w:t>
            </w:r>
          </w:p>
        </w:tc>
        <w:tc>
          <w:tcPr>
            <w:tcW w:w="120" w:type="dxa"/>
            <w:vAlign w:val="bottom"/>
            <w:tcBorders>
              <w:top w:val="single" w:sz="8" w:color="CCEEFF"/>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174</w:t>
            </w:r>
          </w:p>
        </w:tc>
        <w:tc>
          <w:tcPr>
            <w:tcW w:w="2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483</w:t>
            </w:r>
          </w:p>
        </w:tc>
      </w:tr>
      <w:tr>
        <w:trPr>
          <w:trHeight w:val="164"/>
        </w:trPr>
        <w:tc>
          <w:tcPr>
            <w:tcW w:w="4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RSAs</w:t>
            </w:r>
          </w:p>
        </w:tc>
        <w:tc>
          <w:tcPr>
            <w:tcW w:w="6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w:t>
            </w:r>
          </w:p>
        </w:tc>
      </w:tr>
      <w:tr>
        <w:trPr>
          <w:trHeight w:val="138"/>
        </w:trPr>
        <w:tc>
          <w:tcPr>
            <w:tcW w:w="4540" w:type="dxa"/>
            <w:vAlign w:val="bottom"/>
            <w:tcBorders>
              <w:bottom w:val="single" w:sz="8" w:color="CCEEFF"/>
            </w:tcBorders>
            <w:gridSpan w:val="2"/>
          </w:tcPr>
          <w:p>
            <w:pPr>
              <w:ind w:left="80"/>
              <w:spacing w:after="0" w:line="131" w:lineRule="exact"/>
              <w:rPr>
                <w:sz w:val="20"/>
                <w:szCs w:val="20"/>
                <w:color w:val="auto"/>
              </w:rPr>
            </w:pPr>
            <w:r>
              <w:rPr>
                <w:rFonts w:ascii="Times New Roman" w:cs="Times New Roman" w:eastAsia="Times New Roman" w:hAnsi="Times New Roman"/>
                <w:sz w:val="12"/>
                <w:szCs w:val="12"/>
                <w:color w:val="auto"/>
              </w:rPr>
              <w:t>RSUs</w:t>
            </w: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4,161</w:t>
            </w:r>
          </w:p>
        </w:tc>
        <w:tc>
          <w:tcPr>
            <w:tcW w:w="1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3,654</w:t>
            </w:r>
          </w:p>
        </w:tc>
      </w:tr>
      <w:tr>
        <w:trPr>
          <w:trHeight w:val="164"/>
        </w:trPr>
        <w:tc>
          <w:tcPr>
            <w:tcW w:w="45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ESPP</w:t>
            </w:r>
          </w:p>
        </w:tc>
        <w:tc>
          <w:tcPr>
            <w:tcW w:w="6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38"/>
        </w:trPr>
        <w:tc>
          <w:tcPr>
            <w:tcW w:w="45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2"/>
                <w:szCs w:val="12"/>
                <w:color w:val="auto"/>
              </w:rPr>
              <w:t>Convertible Senior Notes</w:t>
            </w: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6,860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3,411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r>
    </w:tbl>
    <w:p>
      <w:pPr>
        <w:spacing w:after="0" w:line="91" w:lineRule="exact"/>
        <w:rPr>
          <w:sz w:val="20"/>
          <w:szCs w:val="20"/>
          <w:color w:val="auto"/>
        </w:rPr>
      </w:pPr>
    </w:p>
    <w:p>
      <w:pPr>
        <w:ind w:left="300" w:hanging="206"/>
        <w:spacing w:after="0"/>
        <w:tabs>
          <w:tab w:leader="none" w:pos="300" w:val="left"/>
        </w:tabs>
        <w:numPr>
          <w:ilvl w:val="1"/>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Excludes out-of-the-money options.</w:t>
      </w:r>
    </w:p>
    <w:p>
      <w:pPr>
        <w:spacing w:after="0" w:line="286" w:lineRule="exact"/>
        <w:rPr>
          <w:rFonts w:ascii="Times New Roman" w:cs="Times New Roman" w:eastAsia="Times New Roman" w:hAnsi="Times New Roman"/>
          <w:sz w:val="16"/>
          <w:szCs w:val="16"/>
          <w:color w:val="auto"/>
          <w:vertAlign w:val="superscript"/>
        </w:rPr>
      </w:pPr>
    </w:p>
    <w:p>
      <w:pPr>
        <w:ind w:left="300" w:hanging="278"/>
        <w:spacing w:after="0"/>
        <w:tabs>
          <w:tab w:leader="none" w:pos="300"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STOCK-BASED AWARD PLANS</w:t>
      </w:r>
    </w:p>
    <w:p>
      <w:pPr>
        <w:spacing w:after="0" w:line="172" w:lineRule="exact"/>
        <w:rPr>
          <w:sz w:val="20"/>
          <w:szCs w:val="20"/>
          <w:color w:val="auto"/>
        </w:rPr>
      </w:pPr>
    </w:p>
    <w:p>
      <w:pPr>
        <w:ind w:left="20" w:right="260" w:firstLine="216"/>
        <w:spacing w:after="0" w:line="265" w:lineRule="auto"/>
        <w:rPr>
          <w:sz w:val="20"/>
          <w:szCs w:val="20"/>
          <w:color w:val="auto"/>
        </w:rPr>
      </w:pPr>
      <w:r>
        <w:rPr>
          <w:rFonts w:ascii="Times New Roman" w:cs="Times New Roman" w:eastAsia="Times New Roman" w:hAnsi="Times New Roman"/>
          <w:sz w:val="12"/>
          <w:szCs w:val="12"/>
          <w:color w:val="auto"/>
        </w:rPr>
        <w:t>The 2020 Incentive Award Plan (the “2020 Plan”) provides the ability to grant cash and equity-based incentive awards to eligible employees, directors and service providers in order to attract, retain and motivate those that make important contributions to the Company. The Company issued stock options, RSAs, and RSUs under the 2020 Plan. As of June 30, 2024, 20,843 shares of Class A common stock were available for issuance under the 2020 Plan.</w:t>
      </w:r>
    </w:p>
    <w:p>
      <w:pPr>
        <w:spacing w:after="0" w:line="13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180"/>
          </w:cols>
          <w:pgMar w:left="1440" w:top="390" w:right="127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u w:val="single" w:color="auto"/>
          <w:color w:val="auto"/>
        </w:rPr>
        <w:t>Options</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summarizes activity for options outstanding under the 2020 Plan for the six months ended June 30, 2024:</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06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0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restart"/>
          </w:tcPr>
          <w:p>
            <w:pPr>
              <w:jc w:val="center"/>
              <w:ind w:right="66"/>
              <w:spacing w:after="0"/>
              <w:rPr>
                <w:sz w:val="20"/>
                <w:szCs w:val="20"/>
                <w:color w:val="auto"/>
              </w:rPr>
            </w:pPr>
            <w:r>
              <w:rPr>
                <w:rFonts w:ascii="Times New Roman" w:cs="Times New Roman" w:eastAsia="Times New Roman" w:hAnsi="Times New Roman"/>
                <w:sz w:val="10"/>
                <w:szCs w:val="10"/>
                <w:b w:val="1"/>
                <w:bCs w:val="1"/>
                <w:color w:val="auto"/>
                <w:w w:val="95"/>
              </w:rPr>
              <w:t>Aggregate</w:t>
            </w:r>
          </w:p>
        </w:tc>
        <w:tc>
          <w:tcPr>
            <w:tcW w:w="0" w:type="dxa"/>
            <w:vAlign w:val="bottom"/>
          </w:tcPr>
          <w:p>
            <w:pPr>
              <w:spacing w:after="0"/>
              <w:rPr>
                <w:sz w:val="1"/>
                <w:szCs w:val="1"/>
                <w:color w:val="auto"/>
              </w:rPr>
            </w:pPr>
          </w:p>
        </w:tc>
      </w:tr>
      <w:tr>
        <w:trPr>
          <w:trHeight w:val="99"/>
        </w:trPr>
        <w:tc>
          <w:tcPr>
            <w:tcW w:w="10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7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Remaining</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2020 Plan Option Activity</w:t>
            </w:r>
          </w:p>
        </w:tc>
        <w:tc>
          <w:tcPr>
            <w:tcW w:w="9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200" w:type="dxa"/>
            <w:vAlign w:val="bottom"/>
          </w:tcPr>
          <w:p>
            <w:pPr>
              <w:spacing w:after="0"/>
              <w:rPr>
                <w:sz w:val="8"/>
                <w:szCs w:val="8"/>
                <w:color w:val="auto"/>
              </w:rPr>
            </w:pPr>
          </w:p>
        </w:tc>
        <w:tc>
          <w:tcPr>
            <w:tcW w:w="8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7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2"/>
              </w:rPr>
              <w:t>Contractual</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jc w:val="center"/>
              <w:ind w:right="66"/>
              <w:spacing w:after="0" w:line="99" w:lineRule="exact"/>
              <w:rPr>
                <w:sz w:val="20"/>
                <w:szCs w:val="20"/>
                <w:color w:val="auto"/>
              </w:rPr>
            </w:pPr>
            <w:r>
              <w:rPr>
                <w:rFonts w:ascii="Times New Roman" w:cs="Times New Roman" w:eastAsia="Times New Roman" w:hAnsi="Times New Roman"/>
                <w:sz w:val="10"/>
                <w:szCs w:val="10"/>
                <w:b w:val="1"/>
                <w:bCs w:val="1"/>
                <w:color w:val="auto"/>
                <w:w w:val="92"/>
              </w:rPr>
              <w:t>Intrinsic</w:t>
            </w:r>
          </w:p>
        </w:tc>
        <w:tc>
          <w:tcPr>
            <w:tcW w:w="0" w:type="dxa"/>
            <w:vAlign w:val="bottom"/>
          </w:tcPr>
          <w:p>
            <w:pPr>
              <w:spacing w:after="0"/>
              <w:rPr>
                <w:sz w:val="1"/>
                <w:szCs w:val="1"/>
                <w:color w:val="auto"/>
              </w:rPr>
            </w:pPr>
          </w:p>
        </w:tc>
      </w:tr>
      <w:tr>
        <w:trPr>
          <w:trHeight w:val="106"/>
        </w:trPr>
        <w:tc>
          <w:tcPr>
            <w:tcW w:w="532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0"/>
                <w:szCs w:val="10"/>
                <w:b w:val="1"/>
                <w:bCs w:val="1"/>
                <w:color w:val="auto"/>
                <w:w w:val="98"/>
              </w:rPr>
              <w:t>Price</w:t>
            </w:r>
          </w:p>
        </w:tc>
        <w:tc>
          <w:tcPr>
            <w:tcW w:w="7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3"/>
              </w:rPr>
              <w:t>Life (Years)</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center"/>
              <w:ind w:right="66"/>
              <w:spacing w:after="0" w:line="107" w:lineRule="exact"/>
              <w:rPr>
                <w:sz w:val="20"/>
                <w:szCs w:val="20"/>
                <w:color w:val="auto"/>
              </w:rPr>
            </w:pPr>
            <w:r>
              <w:rPr>
                <w:rFonts w:ascii="Times New Roman" w:cs="Times New Roman" w:eastAsia="Times New Roman" w:hAnsi="Times New Roman"/>
                <w:sz w:val="10"/>
                <w:szCs w:val="10"/>
                <w:b w:val="1"/>
                <w:bCs w:val="1"/>
                <w:color w:val="auto"/>
                <w:w w:val="87"/>
              </w:rPr>
              <w:t>Value</w:t>
            </w: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3"/>
          </w:tcPr>
          <w:p>
            <w:pPr>
              <w:jc w:val="right"/>
              <w:ind w:right="548"/>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at January 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124,327</w:t>
            </w:r>
          </w:p>
        </w:tc>
        <w:tc>
          <w:tcPr>
            <w:tcW w:w="0" w:type="dxa"/>
            <w:vAlign w:val="bottom"/>
          </w:tcPr>
          <w:p>
            <w:pPr>
              <w:spacing w:after="0"/>
              <w:rPr>
                <w:sz w:val="1"/>
                <w:szCs w:val="1"/>
                <w:color w:val="auto"/>
              </w:rPr>
            </w:pPr>
          </w:p>
        </w:tc>
      </w:tr>
      <w:tr>
        <w:trPr>
          <w:trHeight w:val="144"/>
        </w:trPr>
        <w:tc>
          <w:tcPr>
            <w:tcW w:w="53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Exercised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(1,113)</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32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2020 Plan options outstanding at June 30, 2024</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4,579</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139,299</w:t>
            </w:r>
          </w:p>
        </w:tc>
        <w:tc>
          <w:tcPr>
            <w:tcW w:w="0" w:type="dxa"/>
            <w:vAlign w:val="bottom"/>
          </w:tcPr>
          <w:p>
            <w:pPr>
              <w:spacing w:after="0"/>
              <w:rPr>
                <w:sz w:val="1"/>
                <w:szCs w:val="1"/>
                <w:color w:val="auto"/>
              </w:rPr>
            </w:pPr>
          </w:p>
        </w:tc>
      </w:tr>
      <w:tr>
        <w:trPr>
          <w:trHeight w:val="138"/>
        </w:trPr>
        <w:tc>
          <w:tcPr>
            <w:tcW w:w="5320" w:type="dxa"/>
            <w:vAlign w:val="bottom"/>
            <w:gridSpan w:val="2"/>
          </w:tcPr>
          <w:p>
            <w:pPr>
              <w:spacing w:after="0" w:line="131" w:lineRule="exact"/>
              <w:rPr>
                <w:sz w:val="20"/>
                <w:szCs w:val="20"/>
                <w:color w:val="auto"/>
              </w:rPr>
            </w:pPr>
            <w:r>
              <w:rPr>
                <w:rFonts w:ascii="Times New Roman" w:cs="Times New Roman" w:eastAsia="Times New Roman" w:hAnsi="Times New Roman"/>
                <w:sz w:val="12"/>
                <w:szCs w:val="12"/>
                <w:color w:val="auto"/>
              </w:rPr>
              <w:t>2020 Plan options exercisable at June 30, 2024</w:t>
            </w:r>
          </w:p>
        </w:tc>
        <w:tc>
          <w:tcPr>
            <w:tcW w:w="8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3,388</w:t>
            </w:r>
          </w:p>
        </w:tc>
        <w:tc>
          <w:tcPr>
            <w:tcW w:w="60" w:type="dxa"/>
            <w:vAlign w:val="bottom"/>
          </w:tcPr>
          <w:p>
            <w:pPr>
              <w:spacing w:after="0"/>
              <w:rPr>
                <w:sz w:val="12"/>
                <w:szCs w:val="12"/>
                <w:color w:val="auto"/>
              </w:rPr>
            </w:pPr>
          </w:p>
        </w:tc>
        <w:tc>
          <w:tcPr>
            <w:tcW w:w="2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4.83</w:t>
            </w:r>
          </w:p>
        </w:tc>
        <w:tc>
          <w:tcPr>
            <w:tcW w:w="160" w:type="dxa"/>
            <w:vAlign w:val="bottom"/>
          </w:tcPr>
          <w:p>
            <w:pPr>
              <w:spacing w:after="0"/>
              <w:rPr>
                <w:sz w:val="12"/>
                <w:szCs w:val="12"/>
                <w:color w:val="auto"/>
              </w:rPr>
            </w:pP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105,752</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detail of options outstanding, vested, and exercisable under the 2020 Plan as of June 30, 2024 is as follows: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60" w:type="dxa"/>
            <w:vAlign w:val="bottom"/>
            <w:gridSpan w:val="5"/>
          </w:tcPr>
          <w:p>
            <w:pPr>
              <w:ind w:left="520"/>
              <w:spacing w:after="0"/>
              <w:rPr>
                <w:sz w:val="20"/>
                <w:szCs w:val="20"/>
                <w:color w:val="auto"/>
              </w:rPr>
            </w:pPr>
            <w:r>
              <w:rPr>
                <w:rFonts w:ascii="Times New Roman" w:cs="Times New Roman" w:eastAsia="Times New Roman" w:hAnsi="Times New Roman"/>
                <w:sz w:val="10"/>
                <w:szCs w:val="10"/>
                <w:b w:val="1"/>
                <w:bCs w:val="1"/>
                <w:color w:val="auto"/>
              </w:rPr>
              <w:t>Options Outstanding</w:t>
            </w:r>
          </w:p>
        </w:tc>
        <w:tc>
          <w:tcPr>
            <w:tcW w:w="1720" w:type="dxa"/>
            <w:vAlign w:val="bottom"/>
            <w:gridSpan w:val="3"/>
          </w:tcPr>
          <w:p>
            <w:pPr>
              <w:ind w:left="80"/>
              <w:spacing w:after="0"/>
              <w:rPr>
                <w:sz w:val="20"/>
                <w:szCs w:val="20"/>
                <w:color w:val="auto"/>
              </w:rPr>
            </w:pPr>
            <w:r>
              <w:rPr>
                <w:rFonts w:ascii="Times New Roman" w:cs="Times New Roman" w:eastAsia="Times New Roman" w:hAnsi="Times New Roman"/>
                <w:sz w:val="10"/>
                <w:szCs w:val="10"/>
                <w:b w:val="1"/>
                <w:bCs w:val="1"/>
                <w:color w:val="auto"/>
              </w:rPr>
              <w:t>Options Vested and Exercisable</w:t>
            </w:r>
          </w:p>
        </w:tc>
        <w:tc>
          <w:tcPr>
            <w:tcW w:w="0" w:type="dxa"/>
            <w:vAlign w:val="bottom"/>
          </w:tcPr>
          <w:p>
            <w:pPr>
              <w:spacing w:after="0"/>
              <w:rPr>
                <w:sz w:val="1"/>
                <w:szCs w:val="1"/>
                <w:color w:val="auto"/>
              </w:rPr>
            </w:pPr>
          </w:p>
        </w:tc>
      </w:tr>
      <w:tr>
        <w:trPr>
          <w:trHeight w:val="72"/>
        </w:trPr>
        <w:tc>
          <w:tcPr>
            <w:tcW w:w="4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Weighted</w:t>
            </w:r>
          </w:p>
        </w:tc>
        <w:tc>
          <w:tcPr>
            <w:tcW w:w="1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Weighted</w:t>
            </w:r>
          </w:p>
        </w:tc>
        <w:tc>
          <w:tcPr>
            <w:tcW w:w="0" w:type="dxa"/>
            <w:vAlign w:val="bottom"/>
          </w:tcPr>
          <w:p>
            <w:pPr>
              <w:spacing w:after="0"/>
              <w:rPr>
                <w:sz w:val="1"/>
                <w:szCs w:val="1"/>
                <w:color w:val="auto"/>
              </w:rPr>
            </w:pPr>
          </w:p>
        </w:tc>
      </w:tr>
      <w:tr>
        <w:trPr>
          <w:trHeight w:val="99"/>
        </w:trPr>
        <w:tc>
          <w:tcPr>
            <w:tcW w:w="47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Exercise Prices</w:t>
            </w:r>
          </w:p>
        </w:tc>
        <w:tc>
          <w:tcPr>
            <w:tcW w:w="160" w:type="dxa"/>
            <w:vAlign w:val="bottom"/>
            <w:vMerge w:val="restart"/>
          </w:tcPr>
          <w:p>
            <w:pPr>
              <w:spacing w:after="0"/>
              <w:rPr>
                <w:sz w:val="8"/>
                <w:szCs w:val="8"/>
                <w:color w:val="auto"/>
              </w:rPr>
            </w:pPr>
          </w:p>
        </w:tc>
        <w:tc>
          <w:tcPr>
            <w:tcW w:w="900" w:type="dxa"/>
            <w:vAlign w:val="bottom"/>
            <w:vMerge w:val="restart"/>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40" w:type="dxa"/>
            <w:vAlign w:val="bottom"/>
          </w:tcPr>
          <w:p>
            <w:pPr>
              <w:spacing w:after="0"/>
              <w:rPr>
                <w:sz w:val="8"/>
                <w:szCs w:val="8"/>
                <w:color w:val="auto"/>
              </w:rPr>
            </w:pPr>
          </w:p>
        </w:tc>
        <w:tc>
          <w:tcPr>
            <w:tcW w:w="1320" w:type="dxa"/>
            <w:vAlign w:val="bottom"/>
            <w:gridSpan w:val="3"/>
          </w:tcPr>
          <w:p>
            <w:pPr>
              <w:jc w:val="center"/>
              <w:ind w:right="42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16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0" w:type="dxa"/>
            <w:vAlign w:val="bottom"/>
          </w:tcPr>
          <w:p>
            <w:pPr>
              <w:spacing w:after="0"/>
              <w:rPr>
                <w:sz w:val="1"/>
                <w:szCs w:val="1"/>
                <w:color w:val="auto"/>
              </w:rPr>
            </w:pPr>
          </w:p>
        </w:tc>
      </w:tr>
      <w:tr>
        <w:trPr>
          <w:trHeight w:val="115"/>
        </w:trPr>
        <w:tc>
          <w:tcPr>
            <w:tcW w:w="4720" w:type="dxa"/>
            <w:vAlign w:val="bottom"/>
            <w:tcBorders>
              <w:bottom w:val="single" w:sz="8" w:color="auto"/>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Life (Years)</w:t>
            </w:r>
          </w:p>
        </w:tc>
        <w:tc>
          <w:tcPr>
            <w:tcW w:w="1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Life (Years)</w:t>
            </w:r>
          </w:p>
        </w:tc>
        <w:tc>
          <w:tcPr>
            <w:tcW w:w="0" w:type="dxa"/>
            <w:vAlign w:val="bottom"/>
          </w:tcPr>
          <w:p>
            <w:pPr>
              <w:spacing w:after="0"/>
              <w:rPr>
                <w:sz w:val="1"/>
                <w:szCs w:val="1"/>
                <w:color w:val="auto"/>
              </w:rPr>
            </w:pPr>
          </w:p>
        </w:tc>
      </w:tr>
      <w:tr>
        <w:trPr>
          <w:trHeight w:val="88"/>
        </w:trPr>
        <w:tc>
          <w:tcPr>
            <w:tcW w:w="4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tcPr>
          <w:p>
            <w:pPr>
              <w:ind w:left="760"/>
              <w:spacing w:after="0" w:line="88"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$0.15 to $0.71</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$2.15</w:t>
            </w:r>
          </w:p>
        </w:tc>
        <w:tc>
          <w:tcPr>
            <w:tcW w:w="160" w:type="dxa"/>
            <w:vAlign w:val="bottom"/>
          </w:tcPr>
          <w:p>
            <w:pPr>
              <w:spacing w:after="0"/>
              <w:rPr>
                <w:sz w:val="12"/>
                <w:szCs w:val="12"/>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$2.50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1,159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1,159</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$3.17</w:t>
            </w:r>
          </w:p>
        </w:tc>
        <w:tc>
          <w:tcPr>
            <w:tcW w:w="160" w:type="dxa"/>
            <w:vAlign w:val="bottom"/>
          </w:tcPr>
          <w:p>
            <w:pPr>
              <w:spacing w:after="0"/>
              <w:rPr>
                <w:sz w:val="12"/>
                <w:szCs w:val="12"/>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320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$3.73</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$4.70</w:t>
            </w:r>
          </w:p>
        </w:tc>
        <w:tc>
          <w:tcPr>
            <w:tcW w:w="160" w:type="dxa"/>
            <w:vAlign w:val="bottom"/>
          </w:tcPr>
          <w:p>
            <w:pPr>
              <w:spacing w:after="0"/>
              <w:rPr>
                <w:sz w:val="12"/>
                <w:szCs w:val="12"/>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566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$18.47</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$18.96</w:t>
            </w:r>
          </w:p>
        </w:tc>
        <w:tc>
          <w:tcPr>
            <w:tcW w:w="160" w:type="dxa"/>
            <w:vAlign w:val="bottom"/>
          </w:tcPr>
          <w:p>
            <w:pPr>
              <w:spacing w:after="0"/>
              <w:rPr>
                <w:sz w:val="12"/>
                <w:szCs w:val="12"/>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110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$19.00</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0" w:type="dxa"/>
            <w:vAlign w:val="bottom"/>
          </w:tcPr>
          <w:p>
            <w:pPr>
              <w:spacing w:after="0"/>
              <w:rPr>
                <w:sz w:val="1"/>
                <w:szCs w:val="1"/>
                <w:color w:val="auto"/>
              </w:rPr>
            </w:pPr>
          </w:p>
        </w:tc>
      </w:tr>
      <w:tr>
        <w:trPr>
          <w:trHeight w:val="144"/>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$32.16</w:t>
            </w: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242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0" w:type="dxa"/>
            <w:vAlign w:val="bottom"/>
          </w:tcPr>
          <w:p>
            <w:pPr>
              <w:spacing w:after="0"/>
              <w:rPr>
                <w:sz w:val="1"/>
                <w:szCs w:val="1"/>
                <w:color w:val="auto"/>
              </w:rPr>
            </w:pPr>
          </w:p>
        </w:tc>
      </w:tr>
      <w:tr>
        <w:trPr>
          <w:trHeight w:val="140"/>
        </w:trPr>
        <w:tc>
          <w:tcPr>
            <w:tcW w:w="47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4,579</w:t>
            </w:r>
          </w:p>
        </w:tc>
        <w:tc>
          <w:tcPr>
            <w:tcW w:w="1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3,388</w:t>
            </w:r>
          </w:p>
        </w:tc>
        <w:tc>
          <w:tcPr>
            <w:tcW w:w="1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0"/>
          <w:szCs w:val="10"/>
          <w:color w:val="auto"/>
        </w:rPr>
        <w:t>*These options have indefinite contractual lives.</w:t>
      </w:r>
    </w:p>
    <w:p>
      <w:pPr>
        <w:spacing w:after="0" w:line="132"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The Board of Directors (the “Board”) intends all options granted to be exercisable at a price per share not less than the per share fair market value of the Company’s Class A common stock underlying the options on the date of grant. Compensation expense for option awards are measured based on the grant date fair value of the awards and recognized in the condensed consolidated statements of comprehensive income (loss) over the period during which the participant is required to perform the requisite services. The vesting period is generally one to four years. The grant date fair value of options is estimated using the Black-Scholes model.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There were no options issued under the 2020 Plan during the three or six months ended June 30, 2024 or 2023.</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At June 30, 2024, $2,559 of unrecognized compensation expense associated with options is expected to be recognized over a weighted average period of approximately 0.8 years.</w:t>
      </w:r>
    </w:p>
    <w:p>
      <w:pPr>
        <w:spacing w:after="0" w:line="1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u w:val="single" w:color="auto"/>
          <w:color w:val="auto"/>
        </w:rPr>
        <w:t>Restricted Stock Units</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summarizes RSU activity for the six months ended June 30, 2024:</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20" w:type="dxa"/>
            <w:vAlign w:val="bottom"/>
          </w:tcPr>
          <w:p>
            <w:pPr>
              <w:jc w:val="center"/>
              <w:ind w:right="305"/>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0" w:type="dxa"/>
            <w:vAlign w:val="bottom"/>
          </w:tcPr>
          <w:p>
            <w:pPr>
              <w:spacing w:after="0"/>
              <w:rPr>
                <w:sz w:val="1"/>
                <w:szCs w:val="1"/>
                <w:color w:val="auto"/>
              </w:rPr>
            </w:pPr>
          </w:p>
        </w:tc>
      </w:tr>
      <w:tr>
        <w:trPr>
          <w:trHeight w:val="99"/>
        </w:trPr>
        <w:tc>
          <w:tcPr>
            <w:tcW w:w="5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20" w:type="dxa"/>
            <w:vAlign w:val="bottom"/>
          </w:tcPr>
          <w:p>
            <w:pPr>
              <w:jc w:val="center"/>
              <w:ind w:right="305"/>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0" w:type="dxa"/>
            <w:vAlign w:val="bottom"/>
          </w:tcPr>
          <w:p>
            <w:pPr>
              <w:spacing w:after="0"/>
              <w:rPr>
                <w:sz w:val="1"/>
                <w:szCs w:val="1"/>
                <w:color w:val="auto"/>
              </w:rPr>
            </w:pPr>
          </w:p>
        </w:tc>
      </w:tr>
      <w:tr>
        <w:trPr>
          <w:trHeight w:val="99"/>
        </w:trPr>
        <w:tc>
          <w:tcPr>
            <w:tcW w:w="5540" w:type="dxa"/>
            <w:vAlign w:val="bottom"/>
          </w:tcPr>
          <w:p>
            <w:pPr>
              <w:spacing w:after="0"/>
              <w:rPr>
                <w:sz w:val="8"/>
                <w:szCs w:val="8"/>
                <w:color w:val="auto"/>
              </w:rPr>
            </w:pP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20" w:type="dxa"/>
            <w:vAlign w:val="bottom"/>
          </w:tcPr>
          <w:p>
            <w:pPr>
              <w:jc w:val="center"/>
              <w:ind w:right="305"/>
              <w:spacing w:after="0" w:line="99" w:lineRule="exact"/>
              <w:rPr>
                <w:sz w:val="20"/>
                <w:szCs w:val="20"/>
                <w:color w:val="auto"/>
              </w:rPr>
            </w:pPr>
            <w:r>
              <w:rPr>
                <w:rFonts w:ascii="Times New Roman" w:cs="Times New Roman" w:eastAsia="Times New Roman" w:hAnsi="Times New Roman"/>
                <w:sz w:val="10"/>
                <w:szCs w:val="10"/>
                <w:b w:val="1"/>
                <w:bCs w:val="1"/>
                <w:color w:val="auto"/>
                <w:w w:val="94"/>
              </w:rPr>
              <w:t>Grant Date Fair</w:t>
            </w:r>
          </w:p>
        </w:tc>
        <w:tc>
          <w:tcPr>
            <w:tcW w:w="0" w:type="dxa"/>
            <w:vAlign w:val="bottom"/>
          </w:tcPr>
          <w:p>
            <w:pPr>
              <w:spacing w:after="0"/>
              <w:rPr>
                <w:sz w:val="1"/>
                <w:szCs w:val="1"/>
                <w:color w:val="auto"/>
              </w:rPr>
            </w:pPr>
          </w:p>
        </w:tc>
      </w:tr>
      <w:tr>
        <w:trPr>
          <w:trHeight w:val="115"/>
        </w:trPr>
        <w:tc>
          <w:tcPr>
            <w:tcW w:w="55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center"/>
              <w:ind w:right="305"/>
              <w:spacing w:after="0"/>
              <w:rPr>
                <w:sz w:val="20"/>
                <w:szCs w:val="20"/>
                <w:color w:val="auto"/>
              </w:rPr>
            </w:pPr>
            <w:r>
              <w:rPr>
                <w:rFonts w:ascii="Times New Roman" w:cs="Times New Roman" w:eastAsia="Times New Roman" w:hAnsi="Times New Roman"/>
                <w:sz w:val="10"/>
                <w:szCs w:val="10"/>
                <w:b w:val="1"/>
                <w:bCs w:val="1"/>
                <w:color w:val="auto"/>
                <w:w w:val="94"/>
              </w:rPr>
              <w:t>Value Per Share</w:t>
            </w:r>
          </w:p>
        </w:tc>
        <w:tc>
          <w:tcPr>
            <w:tcW w:w="0" w:type="dxa"/>
            <w:vAlign w:val="bottom"/>
          </w:tcPr>
          <w:p>
            <w:pPr>
              <w:spacing w:after="0"/>
              <w:rPr>
                <w:sz w:val="1"/>
                <w:szCs w:val="1"/>
                <w:color w:val="auto"/>
              </w:rPr>
            </w:pP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January 1, 2024</w:t>
            </w: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16.11</w:t>
            </w:r>
          </w:p>
        </w:tc>
        <w:tc>
          <w:tcPr>
            <w:tcW w:w="0" w:type="dxa"/>
            <w:vAlign w:val="bottom"/>
          </w:tcPr>
          <w:p>
            <w:pPr>
              <w:spacing w:after="0"/>
              <w:rPr>
                <w:sz w:val="1"/>
                <w:szCs w:val="1"/>
                <w:color w:val="auto"/>
              </w:rPr>
            </w:pPr>
          </w:p>
        </w:tc>
      </w:tr>
      <w:tr>
        <w:trPr>
          <w:trHeight w:val="144"/>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25.44</w:t>
            </w:r>
          </w:p>
        </w:tc>
        <w:tc>
          <w:tcPr>
            <w:tcW w:w="0" w:type="dxa"/>
            <w:vAlign w:val="bottom"/>
          </w:tcPr>
          <w:p>
            <w:pPr>
              <w:spacing w:after="0"/>
              <w:rPr>
                <w:sz w:val="1"/>
                <w:szCs w:val="1"/>
                <w:color w:val="auto"/>
              </w:rPr>
            </w:pPr>
          </w:p>
        </w:tc>
      </w:tr>
      <w:tr>
        <w:trPr>
          <w:trHeight w:val="144"/>
        </w:trPr>
        <w:tc>
          <w:tcPr>
            <w:tcW w:w="6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Vested</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(1,137)</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16.29</w:t>
            </w:r>
          </w:p>
        </w:tc>
        <w:tc>
          <w:tcPr>
            <w:tcW w:w="0" w:type="dxa"/>
            <w:vAlign w:val="bottom"/>
          </w:tcPr>
          <w:p>
            <w:pPr>
              <w:spacing w:after="0"/>
              <w:rPr>
                <w:sz w:val="1"/>
                <w:szCs w:val="1"/>
                <w:color w:val="auto"/>
              </w:rPr>
            </w:pPr>
          </w:p>
        </w:tc>
      </w:tr>
      <w:tr>
        <w:trPr>
          <w:trHeight w:val="144"/>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Forfeited</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(103)</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16.02</w:t>
            </w:r>
          </w:p>
        </w:tc>
        <w:tc>
          <w:tcPr>
            <w:tcW w:w="0" w:type="dxa"/>
            <w:vAlign w:val="bottom"/>
          </w:tcPr>
          <w:p>
            <w:pPr>
              <w:spacing w:after="0"/>
              <w:rPr>
                <w:sz w:val="1"/>
                <w:szCs w:val="1"/>
                <w:color w:val="auto"/>
              </w:rPr>
            </w:pPr>
          </w:p>
        </w:tc>
      </w:tr>
      <w:tr>
        <w:trPr>
          <w:trHeight w:val="140"/>
        </w:trPr>
        <w:tc>
          <w:tcPr>
            <w:tcW w:w="55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June 30, 2024</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4,677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gridSpan w:val="2"/>
            <w:shd w:val="clear" w:color="auto" w:fill="CCEEFF"/>
          </w:tcPr>
          <w:p>
            <w:pPr>
              <w:jc w:val="right"/>
              <w:ind w:right="2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2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19.54</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Stock-based compensation cost for RSUs is measured based on the fair value of the Company’s underlying common stock on the date of grant and is recognized on a straight-line basis in the condensed consolidated statements of comprehensive income (loss) over the period during which the participant is required to perform services in exchange for the award, which is generally one to four years. Vested RSUs are settled by issuing Class A shares or the equivalent value in cash at the Board’s discretion. At June 30, 2024, $67,772 of unrecognized compensation cost for RSUs is expected to be recognized over a weighted average period of approximately 2.7 years.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u w:val="single" w:color="auto"/>
          <w:color w:val="auto"/>
        </w:rPr>
        <w:t>Restricted Stock Awards</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summarizes RSA activity for the six months ended June 30, 2024:</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jc w:val="center"/>
              <w:ind w:right="146"/>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0" w:type="dxa"/>
            <w:vAlign w:val="bottom"/>
          </w:tcPr>
          <w:p>
            <w:pPr>
              <w:spacing w:after="0"/>
              <w:rPr>
                <w:sz w:val="1"/>
                <w:szCs w:val="1"/>
                <w:color w:val="auto"/>
              </w:rPr>
            </w:pPr>
          </w:p>
        </w:tc>
      </w:tr>
      <w:tr>
        <w:trPr>
          <w:trHeight w:val="99"/>
        </w:trPr>
        <w:tc>
          <w:tcPr>
            <w:tcW w:w="6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jc w:val="center"/>
              <w:ind w:right="146"/>
              <w:spacing w:after="0" w:line="99" w:lineRule="exact"/>
              <w:rPr>
                <w:sz w:val="20"/>
                <w:szCs w:val="20"/>
                <w:color w:val="auto"/>
              </w:rPr>
            </w:pPr>
            <w:r>
              <w:rPr>
                <w:rFonts w:ascii="Times New Roman" w:cs="Times New Roman" w:eastAsia="Times New Roman" w:hAnsi="Times New Roman"/>
                <w:sz w:val="10"/>
                <w:szCs w:val="10"/>
                <w:b w:val="1"/>
                <w:bCs w:val="1"/>
                <w:color w:val="auto"/>
                <w:w w:val="89"/>
              </w:rPr>
              <w:t>Average</w:t>
            </w:r>
          </w:p>
        </w:tc>
        <w:tc>
          <w:tcPr>
            <w:tcW w:w="0" w:type="dxa"/>
            <w:vAlign w:val="bottom"/>
          </w:tcPr>
          <w:p>
            <w:pPr>
              <w:spacing w:after="0"/>
              <w:rPr>
                <w:sz w:val="1"/>
                <w:szCs w:val="1"/>
                <w:color w:val="auto"/>
              </w:rPr>
            </w:pPr>
          </w:p>
        </w:tc>
      </w:tr>
      <w:tr>
        <w:trPr>
          <w:trHeight w:val="99"/>
        </w:trPr>
        <w:tc>
          <w:tcPr>
            <w:tcW w:w="6440" w:type="dxa"/>
            <w:vAlign w:val="bottom"/>
          </w:tcPr>
          <w:p>
            <w:pPr>
              <w:spacing w:after="0"/>
              <w:rPr>
                <w:sz w:val="8"/>
                <w:szCs w:val="8"/>
                <w:color w:val="auto"/>
              </w:rPr>
            </w:pPr>
          </w:p>
        </w:tc>
        <w:tc>
          <w:tcPr>
            <w:tcW w:w="6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b w:val="1"/>
                <w:bCs w:val="1"/>
                <w:color w:val="auto"/>
              </w:rPr>
              <w:t>Units</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jc w:val="center"/>
              <w:ind w:right="146"/>
              <w:spacing w:after="0" w:line="99" w:lineRule="exact"/>
              <w:rPr>
                <w:sz w:val="20"/>
                <w:szCs w:val="20"/>
                <w:color w:val="auto"/>
              </w:rPr>
            </w:pPr>
            <w:r>
              <w:rPr>
                <w:rFonts w:ascii="Times New Roman" w:cs="Times New Roman" w:eastAsia="Times New Roman" w:hAnsi="Times New Roman"/>
                <w:sz w:val="10"/>
                <w:szCs w:val="10"/>
                <w:b w:val="1"/>
                <w:bCs w:val="1"/>
                <w:color w:val="auto"/>
                <w:w w:val="97"/>
              </w:rPr>
              <w:t>Grant Date Fair</w:t>
            </w:r>
          </w:p>
        </w:tc>
        <w:tc>
          <w:tcPr>
            <w:tcW w:w="0" w:type="dxa"/>
            <w:vAlign w:val="bottom"/>
          </w:tcPr>
          <w:p>
            <w:pPr>
              <w:spacing w:after="0"/>
              <w:rPr>
                <w:sz w:val="1"/>
                <w:szCs w:val="1"/>
                <w:color w:val="auto"/>
              </w:rPr>
            </w:pPr>
          </w:p>
        </w:tc>
      </w:tr>
      <w:tr>
        <w:trPr>
          <w:trHeight w:val="115"/>
        </w:trPr>
        <w:tc>
          <w:tcPr>
            <w:tcW w:w="644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0"/>
                <w:szCs w:val="10"/>
                <w:b w:val="1"/>
                <w:bCs w:val="1"/>
                <w:color w:val="auto"/>
                <w:w w:val="94"/>
              </w:rPr>
              <w:t>Value Per Share</w:t>
            </w:r>
          </w:p>
        </w:tc>
        <w:tc>
          <w:tcPr>
            <w:tcW w:w="0" w:type="dxa"/>
            <w:vAlign w:val="bottom"/>
          </w:tcPr>
          <w:p>
            <w:pPr>
              <w:spacing w:after="0"/>
              <w:rPr>
                <w:sz w:val="1"/>
                <w:szCs w:val="1"/>
                <w:color w:val="auto"/>
              </w:rPr>
            </w:pPr>
          </w:p>
        </w:tc>
      </w:tr>
      <w:tr>
        <w:trPr>
          <w:trHeight w:val="133"/>
        </w:trPr>
        <w:tc>
          <w:tcPr>
            <w:tcW w:w="6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January 1, 2024</w:t>
            </w: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21.50</w:t>
            </w:r>
          </w:p>
        </w:tc>
        <w:tc>
          <w:tcPr>
            <w:tcW w:w="0" w:type="dxa"/>
            <w:vAlign w:val="bottom"/>
          </w:tcPr>
          <w:p>
            <w:pPr>
              <w:spacing w:after="0"/>
              <w:rPr>
                <w:sz w:val="1"/>
                <w:szCs w:val="1"/>
                <w:color w:val="auto"/>
              </w:rPr>
            </w:pPr>
          </w:p>
        </w:tc>
      </w:tr>
      <w:tr>
        <w:trPr>
          <w:trHeight w:val="144"/>
        </w:trPr>
        <w:tc>
          <w:tcPr>
            <w:tcW w:w="71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Granted</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35.06</w:t>
            </w:r>
          </w:p>
        </w:tc>
        <w:tc>
          <w:tcPr>
            <w:tcW w:w="0" w:type="dxa"/>
            <w:vAlign w:val="bottom"/>
          </w:tcPr>
          <w:p>
            <w:pPr>
              <w:spacing w:after="0"/>
              <w:rPr>
                <w:sz w:val="1"/>
                <w:szCs w:val="1"/>
                <w:color w:val="auto"/>
              </w:rPr>
            </w:pPr>
          </w:p>
        </w:tc>
      </w:tr>
      <w:tr>
        <w:trPr>
          <w:trHeight w:val="144"/>
        </w:trPr>
        <w:tc>
          <w:tcPr>
            <w:tcW w:w="7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Vested</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22.69</w:t>
            </w:r>
          </w:p>
        </w:tc>
        <w:tc>
          <w:tcPr>
            <w:tcW w:w="0" w:type="dxa"/>
            <w:vAlign w:val="bottom"/>
          </w:tcPr>
          <w:p>
            <w:pPr>
              <w:spacing w:after="0"/>
              <w:rPr>
                <w:sz w:val="1"/>
                <w:szCs w:val="1"/>
                <w:color w:val="auto"/>
              </w:rPr>
            </w:pPr>
          </w:p>
        </w:tc>
      </w:tr>
      <w:tr>
        <w:trPr>
          <w:trHeight w:val="140"/>
        </w:trPr>
        <w:tc>
          <w:tcPr>
            <w:tcW w:w="64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Outstanding at June 30, 2024</w:t>
            </w:r>
          </w:p>
        </w:tc>
        <w:tc>
          <w:tcPr>
            <w:tcW w:w="6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w:t>
            </w:r>
          </w:p>
        </w:tc>
        <w:tc>
          <w:tcPr>
            <w:tcW w:w="380" w:type="dxa"/>
            <w:vAlign w:val="bottom"/>
            <w:gridSpan w:val="2"/>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27.62</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Stock-based compensation cost for RSAs is measured based on the fair value of the Company’s underlying common stock on the date of grant and is recognized on a straight-line basis in the condensed consolidated statements of comprehensive income (loss) over the period during which the participant is required to perform services in exchange for the award, which is generally one to four years. At June 30, 2024, $1,184 of unrecognized compensation cost for RSAs is expected to be recognized over a weighted average period of approximately 1.0 years.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u w:val="single" w:color="auto"/>
          <w:color w:val="auto"/>
        </w:rPr>
        <w:t>Employee Stock Purchase Plan</w:t>
      </w:r>
    </w:p>
    <w:p>
      <w:pPr>
        <w:spacing w:after="0" w:line="152"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The ESPP provides eligible employees with rights during each six-month ESPP offering period to purchase shares of the Company’s Class A common stock through payroll deductions of up to a specified percentage of their eligible compensation. The purchase price of the shares, in the absence of a contrary designation, is 85% of the lower of the fair value of the Class A common stock on the first or last day of the ESPP offering period. Amounts withheld from participants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are reflected in accrued salaries and benefits in the condensed consolidated balance sheets until such shares are purchased. Amounts withheld from participants for the offering period ending November 30, 2024 aggregated $424 as of June 30, 2024. As of June 30, 2024, 6,390 shares of Class A common stock were available for issuance under the ESPP.</w:t>
      </w:r>
    </w:p>
    <w:p>
      <w:pPr>
        <w:spacing w:after="0" w:line="111"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As of June 30, 2024, there was approximately $438 of unrecognized ESPP stock-based compensation cost expected to be recognized on a straight-line basis over the remaining term of the six-month offering period ending November 30, 2024.</w:t>
      </w:r>
    </w:p>
    <w:p>
      <w:pPr>
        <w:spacing w:after="0" w:line="111"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At June 30, 2024 and 2023, there were two ESPP offering periods open that end November 30, 2024 and 2023, respectively. The fair value of ESPP purchase rights for the offering periods is comprised of the value of the 15% ESPP discount and the value associated with the call or put over the respective ESPP offering period. ESPP offering periods reflected in the June 30, 2024 and 2023 financial statements include the periods noted below in the table. The value of the call or put was estimated using the Black-Scholes model with the following assumptions:</w:t>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06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4"/>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Offering Period Ending</w:t>
            </w:r>
          </w:p>
        </w:tc>
        <w:tc>
          <w:tcPr>
            <w:tcW w:w="280" w:type="dxa"/>
            <w:vAlign w:val="bottom"/>
            <w:tcBorders>
              <w:bottom w:val="single" w:sz="8" w:color="auto"/>
            </w:tcBorders>
          </w:tcPr>
          <w:p>
            <w:pPr>
              <w:spacing w:after="0"/>
              <w:rPr>
                <w:sz w:val="10"/>
                <w:szCs w:val="10"/>
                <w:color w:val="auto"/>
              </w:rPr>
            </w:pPr>
          </w:p>
        </w:tc>
      </w:tr>
      <w:tr>
        <w:trPr>
          <w:trHeight w:val="88"/>
        </w:trPr>
        <w:tc>
          <w:tcPr>
            <w:tcW w:w="3060" w:type="dxa"/>
            <w:vAlign w:val="bottom"/>
            <w:tcBorders>
              <w:bottom w:val="single" w:sz="8" w:color="CCEEFF"/>
            </w:tcBorders>
          </w:tcPr>
          <w:p>
            <w:pPr>
              <w:spacing w:after="0"/>
              <w:rPr>
                <w:sz w:val="7"/>
                <w:szCs w:val="7"/>
                <w:color w:val="auto"/>
              </w:rPr>
            </w:pPr>
          </w:p>
        </w:tc>
        <w:tc>
          <w:tcPr>
            <w:tcW w:w="34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223"/>
              <w:spacing w:after="0" w:line="88" w:lineRule="exact"/>
              <w:rPr>
                <w:sz w:val="20"/>
                <w:szCs w:val="20"/>
                <w:color w:val="auto"/>
              </w:rPr>
            </w:pPr>
            <w:r>
              <w:rPr>
                <w:rFonts w:ascii="Times New Roman" w:cs="Times New Roman" w:eastAsia="Times New Roman" w:hAnsi="Times New Roman"/>
                <w:sz w:val="10"/>
                <w:szCs w:val="10"/>
                <w:b w:val="1"/>
                <w:bCs w:val="1"/>
                <w:color w:val="auto"/>
              </w:rPr>
              <w:t>11/30/2024</w:t>
            </w:r>
          </w:p>
        </w:tc>
        <w:tc>
          <w:tcPr>
            <w:tcW w:w="2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182"/>
              <w:spacing w:after="0" w:line="88" w:lineRule="exact"/>
              <w:rPr>
                <w:sz w:val="20"/>
                <w:szCs w:val="20"/>
                <w:color w:val="auto"/>
              </w:rPr>
            </w:pPr>
            <w:r>
              <w:rPr>
                <w:rFonts w:ascii="Times New Roman" w:cs="Times New Roman" w:eastAsia="Times New Roman" w:hAnsi="Times New Roman"/>
                <w:sz w:val="10"/>
                <w:szCs w:val="10"/>
                <w:b w:val="1"/>
                <w:bCs w:val="1"/>
                <w:color w:val="auto"/>
              </w:rPr>
              <w:t>11/30/2023</w:t>
            </w:r>
          </w:p>
        </w:tc>
        <w:tc>
          <w:tcPr>
            <w:tcW w:w="280" w:type="dxa"/>
            <w:vAlign w:val="bottom"/>
            <w:tcBorders>
              <w:bottom w:val="single" w:sz="8" w:color="CCEEFF"/>
            </w:tcBorders>
          </w:tcPr>
          <w:p>
            <w:pPr>
              <w:spacing w:after="0"/>
              <w:rPr>
                <w:sz w:val="7"/>
                <w:szCs w:val="7"/>
                <w:color w:val="auto"/>
              </w:rPr>
            </w:pPr>
          </w:p>
        </w:tc>
      </w:tr>
      <w:tr>
        <w:trPr>
          <w:trHeight w:val="133"/>
        </w:trPr>
        <w:tc>
          <w:tcPr>
            <w:tcW w:w="3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Fair market value of common stock</w:t>
            </w:r>
          </w:p>
        </w:tc>
        <w:tc>
          <w:tcPr>
            <w:tcW w:w="34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27.82</w:t>
            </w: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21.76</w:t>
            </w:r>
          </w:p>
        </w:tc>
        <w:tc>
          <w:tcPr>
            <w:tcW w:w="280" w:type="dxa"/>
            <w:vAlign w:val="bottom"/>
            <w:shd w:val="clear" w:color="auto" w:fill="CCEEFF"/>
          </w:tcPr>
          <w:p>
            <w:pPr>
              <w:spacing w:after="0"/>
              <w:rPr>
                <w:sz w:val="11"/>
                <w:szCs w:val="11"/>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Volatility</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80" w:type="dxa"/>
            <w:vAlign w:val="bottom"/>
            <w:shd w:val="clear" w:color="auto" w:fill="CCEEFF"/>
          </w:tcPr>
          <w:p>
            <w:pPr>
              <w:spacing w:after="0"/>
              <w:rPr>
                <w:sz w:val="12"/>
                <w:szCs w:val="12"/>
                <w:color w:val="auto"/>
              </w:rPr>
            </w:pPr>
          </w:p>
        </w:tc>
      </w:tr>
      <w:tr>
        <w:trPr>
          <w:trHeight w:val="144"/>
        </w:trPr>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79"/>
              </w:rPr>
              <w:t>%</w:t>
            </w:r>
          </w:p>
        </w:tc>
      </w:tr>
      <w:tr>
        <w:trPr>
          <w:trHeight w:val="207"/>
        </w:trPr>
        <w:tc>
          <w:tcPr>
            <w:tcW w:w="3060" w:type="dxa"/>
            <w:vAlign w:val="bottom"/>
          </w:tcPr>
          <w:p>
            <w:pPr>
              <w:spacing w:after="0"/>
              <w:rPr>
                <w:sz w:val="18"/>
                <w:szCs w:val="18"/>
                <w:color w:val="auto"/>
              </w:rPr>
            </w:pPr>
          </w:p>
        </w:tc>
        <w:tc>
          <w:tcPr>
            <w:tcW w:w="3460" w:type="dxa"/>
            <w:vAlign w:val="bottom"/>
          </w:tcPr>
          <w:p>
            <w:pPr>
              <w:jc w:val="right"/>
              <w:ind w:right="1920"/>
              <w:spacing w:after="0"/>
              <w:rPr>
                <w:sz w:val="20"/>
                <w:szCs w:val="20"/>
                <w:color w:val="auto"/>
              </w:rPr>
            </w:pPr>
            <w:r>
              <w:rPr>
                <w:rFonts w:ascii="Times New Roman" w:cs="Times New Roman" w:eastAsia="Times New Roman" w:hAnsi="Times New Roman"/>
                <w:sz w:val="12"/>
                <w:szCs w:val="12"/>
                <w:color w:val="auto"/>
              </w:rPr>
              <w:t>29</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360"/>
        </w:trPr>
        <w:tc>
          <w:tcPr>
            <w:tcW w:w="30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81" w:lineRule="exact"/>
        <w:rPr>
          <w:sz w:val="20"/>
          <w:szCs w:val="20"/>
          <w:color w:val="auto"/>
        </w:rPr>
      </w:pPr>
    </w:p>
    <w:p>
      <w:pPr>
        <w:jc w:val="both"/>
        <w:ind w:left="20" w:right="39" w:firstLine="246"/>
        <w:spacing w:after="0" w:line="265" w:lineRule="auto"/>
        <w:rPr>
          <w:sz w:val="20"/>
          <w:szCs w:val="20"/>
          <w:color w:val="auto"/>
        </w:rPr>
      </w:pPr>
      <w:r>
        <w:rPr>
          <w:rFonts w:ascii="Times New Roman" w:cs="Times New Roman" w:eastAsia="Times New Roman" w:hAnsi="Times New Roman"/>
          <w:sz w:val="12"/>
          <w:szCs w:val="12"/>
          <w:color w:val="auto"/>
        </w:rPr>
        <w:t>Volatility is representative of expected stock price volatility over the offering period. The Company’s volatility is applied to current and future offering periods. The expected term represents the term of the ESPP offering period, which is six months. The Company does not expect to pay dividends. The risk-free interest rate was based on the rate for a U.S. Treasury zero-coupon issue with a term that closely approximates the expected term of the award at the date nearest to the offering term.</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Stock-Based Compensation</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Company recognized total stock-based compensation cost related to incentive awards, net of forfeitures, as follows: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6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For the three months ended June 30,</w:t>
            </w:r>
          </w:p>
        </w:tc>
        <w:tc>
          <w:tcPr>
            <w:tcW w:w="3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4"/>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c>
          <w:tcPr>
            <w:tcW w:w="0" w:type="dxa"/>
            <w:vAlign w:val="bottom"/>
          </w:tcPr>
          <w:p>
            <w:pPr>
              <w:spacing w:after="0"/>
              <w:rPr>
                <w:sz w:val="1"/>
                <w:szCs w:val="1"/>
                <w:color w:val="auto"/>
              </w:rPr>
            </w:pPr>
          </w:p>
        </w:tc>
      </w:tr>
      <w:tr>
        <w:trPr>
          <w:trHeight w:val="124"/>
        </w:trPr>
        <w:tc>
          <w:tcPr>
            <w:tcW w:w="3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34"/>
        </w:trPr>
        <w:tc>
          <w:tcPr>
            <w:tcW w:w="32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jc w:val="right"/>
              <w:ind w:right="489"/>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2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Stock options</w:t>
            </w:r>
          </w:p>
        </w:tc>
        <w:tc>
          <w:tcPr>
            <w:tcW w:w="174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w:t>
            </w:r>
          </w:p>
        </w:tc>
        <w:tc>
          <w:tcPr>
            <w:tcW w:w="900" w:type="dxa"/>
            <w:vAlign w:val="bottom"/>
            <w:gridSpan w:val="2"/>
            <w:shd w:val="clear" w:color="auto" w:fill="CCEEFF"/>
          </w:tcPr>
          <w:p>
            <w:pPr>
              <w:jc w:val="right"/>
              <w:ind w:right="609"/>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1,102</w:t>
            </w:r>
          </w:p>
        </w:tc>
        <w:tc>
          <w:tcPr>
            <w:tcW w:w="3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w:t>
            </w:r>
          </w:p>
        </w:tc>
        <w:tc>
          <w:tcPr>
            <w:tcW w:w="48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3,273</w:t>
            </w:r>
          </w:p>
        </w:tc>
        <w:tc>
          <w:tcPr>
            <w:tcW w:w="0" w:type="dxa"/>
            <w:vAlign w:val="bottom"/>
          </w:tcPr>
          <w:p>
            <w:pPr>
              <w:spacing w:after="0"/>
              <w:rPr>
                <w:sz w:val="1"/>
                <w:szCs w:val="1"/>
                <w:color w:val="auto"/>
              </w:rPr>
            </w:pPr>
          </w:p>
        </w:tc>
      </w:tr>
      <w:tr>
        <w:trPr>
          <w:trHeight w:val="144"/>
        </w:trPr>
        <w:tc>
          <w:tcPr>
            <w:tcW w:w="32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RSUs</w:t>
            </w:r>
          </w:p>
        </w:tc>
        <w:tc>
          <w:tcPr>
            <w:tcW w:w="1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8,145</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21,148</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13,310</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RSAs</w:t>
            </w:r>
          </w:p>
        </w:tc>
        <w:tc>
          <w:tcPr>
            <w:tcW w:w="10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966</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1,478</w:t>
            </w:r>
          </w:p>
        </w:tc>
        <w:tc>
          <w:tcPr>
            <w:tcW w:w="0" w:type="dxa"/>
            <w:vAlign w:val="bottom"/>
          </w:tcPr>
          <w:p>
            <w:pPr>
              <w:spacing w:after="0"/>
              <w:rPr>
                <w:sz w:val="1"/>
                <w:szCs w:val="1"/>
                <w:color w:val="auto"/>
              </w:rPr>
            </w:pPr>
          </w:p>
        </w:tc>
      </w:tr>
      <w:tr>
        <w:trPr>
          <w:trHeight w:val="144"/>
        </w:trPr>
        <w:tc>
          <w:tcPr>
            <w:tcW w:w="3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ESPP</w:t>
            </w:r>
          </w:p>
        </w:tc>
        <w:tc>
          <w:tcPr>
            <w:tcW w:w="10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1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461</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0" w:type="dxa"/>
            <w:vAlign w:val="bottom"/>
          </w:tcPr>
          <w:p>
            <w:pPr>
              <w:spacing w:after="0"/>
              <w:rPr>
                <w:sz w:val="1"/>
                <w:szCs w:val="1"/>
                <w:color w:val="auto"/>
              </w:rPr>
            </w:pPr>
          </w:p>
        </w:tc>
      </w:tr>
      <w:tr>
        <w:trPr>
          <w:trHeight w:val="140"/>
        </w:trPr>
        <w:tc>
          <w:tcPr>
            <w:tcW w:w="320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10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10,001</w:t>
            </w: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7,022</w:t>
            </w:r>
          </w:p>
        </w:tc>
        <w:tc>
          <w:tcPr>
            <w:tcW w:w="1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26,325</w:t>
            </w: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18,456</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Company recognized stock-based compensation cost in the condensed consolidated statements of comprehensive income (loss) as follows: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8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For the three months ended June 30,</w:t>
            </w:r>
          </w:p>
        </w:tc>
        <w:tc>
          <w:tcPr>
            <w:tcW w:w="3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Borders>
              <w:bottom w:val="single" w:sz="8" w:color="auto"/>
            </w:tcBorders>
            <w:gridSpan w:val="5"/>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jc w:val="right"/>
              <w:ind w:right="509"/>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gridSpan w:val="4"/>
          </w:tcPr>
          <w:p>
            <w:pPr>
              <w:jc w:val="right"/>
              <w:ind w:right="444"/>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1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Cost of revenues, software subscriptions</w:t>
            </w:r>
          </w:p>
        </w:tc>
        <w:tc>
          <w:tcPr>
            <w:tcW w:w="17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w:t>
            </w:r>
          </w:p>
        </w:tc>
        <w:tc>
          <w:tcPr>
            <w:tcW w:w="860" w:type="dxa"/>
            <w:vAlign w:val="bottom"/>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w:t>
            </w:r>
          </w:p>
        </w:tc>
        <w:tc>
          <w:tcPr>
            <w:tcW w:w="8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2,543</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8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revenues, services</w:t>
            </w: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565</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0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Selling and marketing</w:t>
            </w: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2,928</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1,082</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0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3,633</w:t>
            </w:r>
          </w:p>
        </w:tc>
        <w:tc>
          <w:tcPr>
            <w:tcW w:w="20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4,581</w:t>
            </w: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1040" w:type="dxa"/>
            <w:vAlign w:val="bottom"/>
          </w:tcPr>
          <w:p>
            <w:pPr>
              <w:spacing w:after="0"/>
              <w:rPr>
                <w:sz w:val="12"/>
                <w:szCs w:val="12"/>
                <w:color w:val="auto"/>
              </w:rPr>
            </w:pPr>
          </w:p>
        </w:tc>
        <w:tc>
          <w:tcPr>
            <w:tcW w:w="7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10,001</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7,022</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26,325</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18,456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11.  COMMITMENTS AND CONTINGENCIES</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In January 2022, the Company filed a complaint against a competitor alleging claims of unfair competition, intentional interference with contractual relations, and trade secret misappropriation. The outcome of the case is subject to a number of uncertainties; therefore, the Company has not recognized any potential impact to the condensed consolidated financial statements.</w:t>
      </w:r>
    </w:p>
    <w:p>
      <w:pPr>
        <w:spacing w:after="0" w:line="119"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Vertex, Inc. and Subsidiaries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 continued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(Amounts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95250</wp:posOffset>
            </wp:positionV>
            <wp:extent cx="56921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12.  INCOME TAXES</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The Company reported income tax (benefit) expense of $2,200 and $2,929 for the three months ended June 30, 2024 and 2023, respectively, and $(2,335) and $12,482 for the six months ended June 30, 2024 and 2023, respectively. The effective income tax rate ("ETR") was 29.9% for the three months ended June 30, 2024, compared to (73.8)% for the three months ended June 30, 2023, and (42.4)% for the six months ended June 30, 2024, compared to (99.5)% for the six months ended June 30, 2023.</w:t>
      </w:r>
    </w:p>
    <w:p>
      <w:pPr>
        <w:spacing w:after="0" w:line="119"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In determining interim provisions for income taxes, the Company uses the annual estimated effective tax rate applied to the actual year-to-date loss adjusted for discrete items arising in that quarter. The Company’s effective tax rate differs from the U.S. federal statutory rate of 21% primarily due to state taxes, foreign taxes, limitations on deductions of certain employees’ compensation under Internal Revenue Code Section 162(m), tax benefits on the exercises and vesting of stock awards, tax credits, and fluctuations in valuation allowances on certain foreign deferred tax assets.</w:t>
      </w:r>
    </w:p>
    <w:p>
      <w:pPr>
        <w:spacing w:after="0" w:line="131"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The income tax expense for the three months ended June 30, 2024 was primarily attributable to income tax expense from profitable jurisdictions and on income allocated to state jurisdictions. This income tax expense was partially offset by tax benefits from stock based awards exercised or vested during the quarter, net of the impact from limitations on deductions of certain employees’ compensation, and benefits from tax credits. The income tax benefit for the six months ended June 30, 2024 was primarily attributable to tax benefits from stock based awards exercised or vested, net of the impact from limitations on deductions of certain employees’ compensation, which were greater than the income tax expense recognized during the three months ended June 30, 2024. The income tax expense for the three and six months ended June 30, 2023 was primarily attributable to taxes in foreign jurisdictions, fluctuations in valuation allowances on certain foreign deferred tax assets, and income tax expense on income allocated to state jurisdictions.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13.  SUBSEQUENT EVENTS</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On August 7, 2024, the Company announced it signed a definitive agreement to acquire ecosio GmbH (“Ecosio”), a limited liability company incorporated under the laws of Austria and a provider of electronic data interchange (“EDI”) and e-invoicing services. The acquisition is expected to close during the third quarter of 2024 pending customary Austrian regulatory approvals.</w:t>
      </w:r>
    </w:p>
    <w:p>
      <w:pPr>
        <w:spacing w:after="0" w:line="119"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Under the terms of the agreement, the acquisition includes an upfront cash payment of $69,000, net of certain closing adjustments. The acquisition also includes a targeted cash earn-out payment of $76,000 and a stock earn-out of up to $35,000 in the Company’s Class A common stock, based on Ecosio achieving certain financial performance targets over the next three years, subject to adjustment pursuant to the terms of the acquisition agreement.</w:t>
      </w:r>
    </w:p>
    <w:p>
      <w:pPr>
        <w:spacing w:after="0" w:line="119"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Company expects to fund the upfront cash consideration using cash on hand. Transaction costs related to the acquisition that were incurred during the second quarter of 2024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as well as our audited consolidated financial statements and related notes as disclosed in our Annual Report on Form 10-K filed with the Securities and Exchange Commission (“SEC”) on February 29, 2024 (the “2023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 and in Part I, Item 1A of the 2023 Annual Report and as may be subsequently updated by our other SEC filings.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1,500 professionals and serves companies across the globe.</w:t>
      </w:r>
    </w:p>
    <w:p>
      <w:pPr>
        <w:spacing w:after="0" w:line="122"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the majority of our customers annually in advance of the subscription period.</w:t>
      </w:r>
    </w:p>
    <w:p>
      <w:pPr>
        <w:spacing w:after="0" w:line="119"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22" w:lineRule="exact"/>
        <w:rPr>
          <w:sz w:val="20"/>
          <w:szCs w:val="20"/>
          <w:color w:val="auto"/>
        </w:rPr>
      </w:pPr>
    </w:p>
    <w:p>
      <w:pPr>
        <w:jc w:val="both"/>
        <w:ind w:left="20" w:right="39" w:firstLine="246"/>
        <w:spacing w:after="0" w:line="255" w:lineRule="auto"/>
        <w:rPr>
          <w:sz w:val="20"/>
          <w:szCs w:val="20"/>
          <w:color w:val="auto"/>
        </w:rPr>
      </w:pPr>
      <w:r>
        <w:rPr>
          <w:rFonts w:ascii="Times New Roman" w:cs="Times New Roman" w:eastAsia="Times New Roman" w:hAnsi="Times New Roman"/>
          <w:sz w:val="12"/>
          <w:szCs w:val="12"/>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faster rate than on-premise software subscription sales, which is a trend that we expect to continue over time. We generated 49% and 43% of software subscription revenue from cloud-based subscriptions during the three months ended June 30, 2024 and 2023, respectively, and 48% and 43% for the six months ended June 30, 2024 and 2023, respectively. While our on-premise software subscription revenue comprised 51% and 57% of our software subscription revenue during the three months ended June 30, 2024 and 2023, respectively, and 52% and 57% for the six months ended June 30, 2024 and 2023, respectively, it continues to decrease as a percentage of total software subscriptions revenues as cloud-based subscriptions grow.</w:t>
      </w:r>
    </w:p>
    <w:p>
      <w:pPr>
        <w:spacing w:after="0" w:line="126"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11"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Our partner ecosystem is a differentiating, competitive strength in both our software development and our sales and marketing activities. We integrate with key technology partners that span Enterprise Resource Planning (“ERP”), Customer Relationship Management (“CRM”), procurement, billing, Point of Sale (“POS”) and e-commerce. These partners include Adobe/Magento, Coupa, Microsoft Dynamics, NetSuite, Oracle, Salesforce, SAP, SAP Ariba, Shopify,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Workday and Zuora. We also collaborate with numerous accounting firms who have built implementation practices around our software to serve their customer base.</w:t>
      </w:r>
    </w:p>
    <w:p>
      <w:pPr>
        <w:spacing w:after="0" w:line="150"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We believe that global commerce and the compliance environment provides durable and accelerating growth opportunities for our business. We generated revenue of $161.1 million and $139.7 million for the three months ended June 30, 2024 and 2023, respectively, and $317.9 and $272.4 for the six months ended June 30, 2024 and 2023, respectively. We had net income (loss) of $5.2 million and $(6.9) million for the three months ended June 30, 2024 and 2023, respectively, and $7.8 million and $(25.0) million for the six months ended June 30, 2024 and 2023, respectively These amounts are presented in accordance with United States (“U.S.”) generally accepted accounting principles (“GAAP”).</w:t>
      </w:r>
    </w:p>
    <w:p>
      <w:pPr>
        <w:spacing w:after="0" w:line="122"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We define Adjusted EBITDA as net loss or income before interest (including adjustments to the settlement value of deferred purchase commitment liabilities), taxes, depreciation, and amortization, as adjusted to exclude charges for asset impairments, stock-based compensation expense, amortization of cloud computing arrangement implementation costs, severance expense, acquisition contingent consideration, litigation settlements, and transaction costs. Adjusted EBITDA was $38.5 million and $22.0 million for the three months ended June 30, 2024 and 2023, respectively and $75.3 million and $42.2 million for the six months ended June 30, 2024 and 2023, respectively. Adjusted EBITDA is a non-GAAP financial measure. Refer to “Management’s Discussion and Analysis of Financial Condition and Results of Operations—Key Business Metrics” and “Management’s Discussion and Analysis of Financial Condition and Results of Operations—Use and Reconciliation of Non-GAAP Financial Measures” for further discussion of key business metrics and non-GAAP financial measures and their comparison to GAAP financial measures.</w:t>
      </w:r>
    </w:p>
    <w:p>
      <w:pPr>
        <w:spacing w:after="0" w:line="126"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Issuance of Convertible Senior Notes</w:t>
      </w:r>
    </w:p>
    <w:p>
      <w:pPr>
        <w:spacing w:after="0" w:line="127"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On April 26, 2024, we closed our offering of $345.0 million aggregate principal amount of 0.750% Convertible Senior Notes due 2029 (the “Notes”) to qualified institutional buyers in accordance with Rule 144A under the Securities Act of 1933, as amended. The Notes were issued pursuant to, and are governed by, an indenture (the “Indenture”) between the Company and U.S. Bank Trust Company, National Association, as trustee. The Notes issued on April 26, 2024 include an additional $45.0 million aggregate principal amount of Notes, issued pursuant to the full exercise by the initial purchasers of the Notes of their option to purchase additional Notes.</w:t>
      </w:r>
    </w:p>
    <w:p>
      <w:pPr>
        <w:spacing w:after="0" w:line="95"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net proceeds from the offering of the Notes were $333.7 million after deducting the initial purchasers’ discount and commissions, and other transaction and offering expenses. We used $42.4 million of the net proceeds from this offering to fund the cost of the Capped Call Transactions (as defined in Note, 7 “Debt” to our condensed consolidated financial statements) and intend to use the remainder for working capital or other general corporate expenses, which may include capital expenditures, potential acquisitions, and strategic transactions.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May 10, 2024, we repaid our outstanding term loan balance of $46.3 million.</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For further information on the Notes or term loan, refer to Note 7, “Debt” to the condensed consolidated financial statements included in this Quarterly Report on Form 10-Q.</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Asset Acquisition</w:t>
      </w:r>
    </w:p>
    <w:p>
      <w:pPr>
        <w:spacing w:after="0" w:line="129" w:lineRule="exact"/>
        <w:rPr>
          <w:sz w:val="20"/>
          <w:szCs w:val="20"/>
          <w:color w:val="auto"/>
        </w:rPr>
      </w:pPr>
    </w:p>
    <w:p>
      <w:pPr>
        <w:jc w:val="both"/>
        <w:ind w:left="20" w:right="39" w:firstLine="432"/>
        <w:spacing w:after="0" w:line="233" w:lineRule="auto"/>
        <w:rPr>
          <w:sz w:val="20"/>
          <w:szCs w:val="20"/>
          <w:color w:val="auto"/>
        </w:rPr>
      </w:pPr>
      <w:r>
        <w:rPr>
          <w:rFonts w:ascii="Times New Roman" w:cs="Times New Roman" w:eastAsia="Times New Roman" w:hAnsi="Times New Roman"/>
          <w:sz w:val="12"/>
          <w:szCs w:val="12"/>
          <w:color w:val="auto"/>
        </w:rPr>
        <w:t>On May 31</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xml:space="preserve"> 2024, we entered into an asset purchase agreement with Ryan, LLC (“Ryan”) to acquire tax-specific artificial intelligence (“AI”) capabilities, designed to more effectively manage the complexity of tax mapping. The acquisition will accelerate our AI innovation strategy to help global companies manage tax complexity with greater speed and scale. We paid approximately $6.1 million in closing consideration, which included $0.1 million in transaction costs. The purchase agreement includes the potential for earnout payments and referral fees over a five-year period. For further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information, refer to Note 4, “Property and Equipment” to the condensed consolidated financial statements included in this Quarterly Report on Form 10-Q.</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Systax Acquisition</w:t>
      </w:r>
    </w:p>
    <w:p>
      <w:pPr>
        <w:spacing w:after="0" w:line="127"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During the second quarter of 2024, we paid $9.6 million to acquire the remaining 20% equity interest of Systax Sistemas Fiscais LTDA (“Systax”), a provider of Brazilian transaction tax content and software. Systax is now a wholly owned subsidiary of Vertex.</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ecosio GmbH</w:t>
      </w:r>
    </w:p>
    <w:p>
      <w:pPr>
        <w:spacing w:after="0" w:line="136"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On August 7, 2024, we announced the signing of a definitive agreement to acquire ecosio GmbH (“Ecosio”), a limited liability company incorporated under the laws of Austria and a provider of electronic data interchange (“EDI”) and e-invoicing services. The acquisition includes an upfront cash payment of $69.0 million, net of certain closing adjustments, as well as a targeted cash earn-out payment of $76.0 million and a stock earn-out of up to $35.0 million of our Class A common stock, based on Ecosio achieving certain financial performance targets over the next three years, subject to adjustment pursuant to the terms of the acquisition agreement. The acquisition is expected to close during the third quarter of 2024 pending customary Austrian regulatory approvals. For further information, refer to Note 13, “Subsequent Events” to the condensed consolidated financial statements included in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Components of Our Results of Operations</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Revenue</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generate revenue from software subscriptions and services.</w:t>
      </w:r>
    </w:p>
    <w:p>
      <w:pPr>
        <w:spacing w:after="0" w:line="150"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Software Subscriptions</w:t>
      </w:r>
    </w:p>
    <w:p>
      <w:pPr>
        <w:spacing w:after="0" w:line="154"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w:t>
      </w:r>
    </w:p>
    <w:p>
      <w:pPr>
        <w:spacing w:after="0" w:line="125"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Revenue recognition begins on the later of the beginning of the subscription period or the date the customer is provided access to the cloud-based solutions. All services within the cloud-based contracts consistently provide a benefit to the customer during the subscription period; thus, the associated revenue is recognized ratably over the subscription period.</w:t>
      </w:r>
    </w:p>
    <w:p>
      <w:pPr>
        <w:spacing w:after="0" w:line="122"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Services Revenue</w:t>
      </w:r>
    </w:p>
    <w:p>
      <w:pPr>
        <w:spacing w:after="0" w:line="154"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25"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Fluctuations in services revenue are directly correlated to fluctuations in our subscription revenues with respect to implementation and training services as we have historically experienced an attachment rate to subscription sales for these services of approximately 60%.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Cost of Revenue</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Software Subscriptions</w:t>
      </w:r>
    </w:p>
    <w:p>
      <w:pPr>
        <w:spacing w:after="0" w:line="154"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software subscriptions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certain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software subscriptions revenue in absolute dollars.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Services</w:t>
      </w:r>
    </w:p>
    <w:p>
      <w:pPr>
        <w:spacing w:after="0" w:line="154"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We devote substantial resources to developing new products and enhancing existing products, conducting quality assurance testing, improving our core technology, and integrating acquired technology with our products.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certain of which may be capitalized, there is no guarantee these solutions will be accepted by the market. This could result in increased costs or an impairment of capitalized development costs with no resulting future revenue benefit.</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Selling and Marketing Expenses</w:t>
      </w:r>
    </w:p>
    <w:p>
      <w:pPr>
        <w:spacing w:after="0" w:line="154"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will occur in advance of experiencing the benefits from such investments and may vary in scope and scale over future periods.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amortization of cloud computing arrangement implementation costs related to our ERP modernization initiative, and other internal support and infrastructure costs.</w:t>
      </w:r>
    </w:p>
    <w:p>
      <w:pPr>
        <w:spacing w:after="0" w:line="119"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We expect our general and administrative expenses to increase in absolute dollars as we continue to expand our operations, hire additional personnel, integrate current and future acquisitions, and incur additional costs associated with being a publicly-listed company, including costs related to compliance with Section 404(b) of the Sarbanes-Oxley Act of 2002 beginning in 2023, as well as the additional requirements resulting from the Company's loss of emerging growth company status.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Depreciation and Amortization</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tools. Depreciation and amortization will fluctuate in correlation with our ongoing investment in internal infrastructure costs to support our growth.</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Other Operating Expense (Income), net</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Other operating expense (income), net consists primarily of transactions costs associated with merger and acquisition activities, periodic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Interest Expense (Income), net</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Interest expense (income), net reflects the net amount of our interest expense and interest income within the same period.</w:t>
      </w:r>
    </w:p>
    <w:p>
      <w:pPr>
        <w:spacing w:after="0" w:line="150"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Interest expense consists primarily of interest incurred related to borrowings, the Notes, bank credit facility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as well as changes in the settlement value of the future payment obligation for the Systax Sistemas Fiscais Limited (“Systax”) acquisition, which was fully settled on June 5, 2024.</w:t>
      </w:r>
    </w:p>
    <w:p>
      <w:pPr>
        <w:spacing w:after="0" w:line="125"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Interest income reflects earnings on investments of our cash on hand and our investment securities. Interest income will vary as a result of fluctuations in the future level of funds available for investment and the rate of return available in the market on such funds.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Income Tax Expense (Benefit)</w:t>
      </w:r>
    </w:p>
    <w:p>
      <w:pPr>
        <w:spacing w:after="0" w:line="154"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Income tax expense (benefit) consists primarily of federal, foreign, state, and local taxes on our loss or income. In determining our annualized effective income tax rates, net deferred tax assets, valuation allowances, and cash paid for income taxes, we are required to make judgments and estimates about domestic and foreign profitability, the timing and usage of net operating loss and credit carryforwards, applicable tax rates, and transfer pricing methodologies. Judgments and estimates related to our projections and assumptions are inherently uncertain; therefore, actual results could materially differ from our projections.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27"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You should read the following discussion and analysis of our financial condition and results of operations in conjunction with our condensed consolidated financial statements and the notes thereto included elsewhere in this Quarterly Report on Form 10-Q, and our consolidated financial statements and the notes thereto included in our 2023 Annual Report. The period-to-period comparison of financial results is not necessarily indicative of financial results to be achieved in future periods. The following table sets forth our condensed consolidated statements of comprehensive income (loss) for the periods indicated.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gridSpan w:val="6"/>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For the three months ended</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5"/>
          </w:tcPr>
          <w:p>
            <w:pPr>
              <w:jc w:val="center"/>
              <w:ind w:right="126"/>
              <w:spacing w:after="0"/>
              <w:rPr>
                <w:sz w:val="20"/>
                <w:szCs w:val="20"/>
                <w:color w:val="auto"/>
              </w:rPr>
            </w:pPr>
            <w:r>
              <w:rPr>
                <w:rFonts w:ascii="Times New Roman" w:cs="Times New Roman" w:eastAsia="Times New Roman" w:hAnsi="Times New Roman"/>
                <w:sz w:val="10"/>
                <w:szCs w:val="10"/>
                <w:b w:val="1"/>
                <w:bCs w:val="1"/>
                <w:color w:val="auto"/>
                <w:w w:val="96"/>
              </w:rPr>
              <w:t>For the six months ended</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4"/>
        </w:trPr>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4"/>
          </w:tcPr>
          <w:p>
            <w:pPr>
              <w:jc w:val="center"/>
              <w:ind w:left="287"/>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5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jc w:val="center"/>
              <w:ind w:left="247"/>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15"/>
        </w:trPr>
        <w:tc>
          <w:tcPr>
            <w:tcW w:w="24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Period-Over-Period Change</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b w:val="1"/>
                <w:bCs w:val="1"/>
                <w:color w:val="auto"/>
                <w:w w:val="99"/>
              </w:rPr>
              <w:t>Period-Over-Period Change</w:t>
            </w:r>
          </w:p>
        </w:tc>
        <w:tc>
          <w:tcPr>
            <w:tcW w:w="140" w:type="dxa"/>
            <w:vAlign w:val="bottom"/>
          </w:tcPr>
          <w:p>
            <w:pPr>
              <w:spacing w:after="0"/>
              <w:rPr>
                <w:sz w:val="10"/>
                <w:szCs w:val="10"/>
                <w:color w:val="auto"/>
              </w:rPr>
            </w:pPr>
          </w:p>
        </w:tc>
      </w:tr>
      <w:tr>
        <w:trPr>
          <w:trHeight w:val="124"/>
        </w:trPr>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4"/>
          </w:tcPr>
          <w:p>
            <w:pPr>
              <w:jc w:val="center"/>
              <w:ind w:left="327"/>
              <w:spacing w:after="0" w:line="124" w:lineRule="exact"/>
              <w:rPr>
                <w:sz w:val="20"/>
                <w:szCs w:val="20"/>
                <w:color w:val="auto"/>
              </w:rPr>
            </w:pPr>
            <w:r>
              <w:rPr>
                <w:rFonts w:ascii="Times New Roman" w:cs="Times New Roman" w:eastAsia="Times New Roman" w:hAnsi="Times New Roman"/>
                <w:sz w:val="11"/>
                <w:szCs w:val="11"/>
                <w:b w:val="1"/>
                <w:bCs w:val="1"/>
                <w:color w:val="auto"/>
                <w:w w:val="98"/>
              </w:rPr>
              <w:t>(unaudited)</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4"/>
          </w:tcPr>
          <w:p>
            <w:pPr>
              <w:jc w:val="center"/>
              <w:ind w:left="287"/>
              <w:spacing w:after="0" w:line="124" w:lineRule="exact"/>
              <w:rPr>
                <w:sz w:val="20"/>
                <w:szCs w:val="20"/>
                <w:color w:val="auto"/>
              </w:rPr>
            </w:pPr>
            <w:r>
              <w:rPr>
                <w:rFonts w:ascii="Times New Roman" w:cs="Times New Roman" w:eastAsia="Times New Roman" w:hAnsi="Times New Roman"/>
                <w:sz w:val="11"/>
                <w:szCs w:val="11"/>
                <w:b w:val="1"/>
                <w:bCs w:val="1"/>
                <w:color w:val="auto"/>
                <w:w w:val="98"/>
              </w:rPr>
              <w:t>(unaudited)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5"/>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Revenues:</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2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Software subscriptions</w:t>
            </w:r>
          </w:p>
        </w:tc>
        <w:tc>
          <w:tcPr>
            <w:tcW w:w="38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136,443</w:t>
            </w:r>
          </w:p>
        </w:tc>
        <w:tc>
          <w:tcPr>
            <w:tcW w:w="80" w:type="dxa"/>
            <w:vAlign w:val="bottom"/>
          </w:tcPr>
          <w:p>
            <w:pPr>
              <w:spacing w:after="0"/>
              <w:rPr>
                <w:sz w:val="11"/>
                <w:szCs w:val="11"/>
                <w:color w:val="auto"/>
              </w:rPr>
            </w:pPr>
          </w:p>
        </w:tc>
        <w:tc>
          <w:tcPr>
            <w:tcW w:w="32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117,836</w:t>
            </w:r>
          </w:p>
        </w:tc>
        <w:tc>
          <w:tcPr>
            <w:tcW w:w="20" w:type="dxa"/>
            <w:vAlign w:val="bottom"/>
          </w:tcPr>
          <w:p>
            <w:pPr>
              <w:spacing w:after="0"/>
              <w:rPr>
                <w:sz w:val="11"/>
                <w:szCs w:val="11"/>
                <w:color w:val="auto"/>
              </w:rPr>
            </w:pPr>
          </w:p>
        </w:tc>
        <w:tc>
          <w:tcPr>
            <w:tcW w:w="200" w:type="dxa"/>
            <w:vAlign w:val="bottom"/>
            <w:gridSpan w:val="2"/>
          </w:tcPr>
          <w:p>
            <w:pPr>
              <w:jc w:val="right"/>
              <w:ind w:right="69"/>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18,607</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15.8 %</w:t>
            </w:r>
          </w:p>
        </w:tc>
        <w:tc>
          <w:tcPr>
            <w:tcW w:w="24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268,273</w:t>
            </w:r>
          </w:p>
        </w:tc>
        <w:tc>
          <w:tcPr>
            <w:tcW w:w="60" w:type="dxa"/>
            <w:vAlign w:val="bottom"/>
          </w:tcPr>
          <w:p>
            <w:pPr>
              <w:spacing w:after="0"/>
              <w:rPr>
                <w:sz w:val="11"/>
                <w:szCs w:val="11"/>
                <w:color w:val="auto"/>
              </w:rPr>
            </w:pPr>
          </w:p>
        </w:tc>
        <w:tc>
          <w:tcPr>
            <w:tcW w:w="32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228,850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39,423</w:t>
            </w:r>
          </w:p>
        </w:tc>
        <w:tc>
          <w:tcPr>
            <w:tcW w:w="14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17.2 %</w:t>
            </w:r>
          </w:p>
        </w:tc>
      </w:tr>
      <w:tr>
        <w:trPr>
          <w:trHeight w:val="135"/>
        </w:trPr>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Services</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24,661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21,859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2,802</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12.8 %</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49,612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43,596</w:t>
            </w: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6,016</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13.8 %</w:t>
            </w:r>
          </w:p>
        </w:tc>
      </w:tr>
      <w:tr>
        <w:trPr>
          <w:trHeight w:val="124"/>
        </w:trPr>
        <w:tc>
          <w:tcPr>
            <w:tcW w:w="2480" w:type="dxa"/>
            <w:vAlign w:val="bottom"/>
            <w:tcBorders>
              <w:bottom w:val="single" w:sz="8" w:color="CCEEFF"/>
            </w:tcBorders>
          </w:tcPr>
          <w:p>
            <w:pPr>
              <w:ind w:left="80"/>
              <w:spacing w:after="0" w:line="121" w:lineRule="exact"/>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161,104</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139,695</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21,409</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gridSpan w:val="2"/>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15.3 %</w:t>
            </w: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317,885</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272,446</w:t>
            </w: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45,439</w:t>
            </w:r>
          </w:p>
        </w:tc>
        <w:tc>
          <w:tcPr>
            <w:tcW w:w="1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gridSpan w:val="2"/>
          </w:tcPr>
          <w:p>
            <w:pPr>
              <w:jc w:val="right"/>
              <w:ind w:right="40"/>
              <w:spacing w:after="0" w:line="121" w:lineRule="exact"/>
              <w:rPr>
                <w:sz w:val="20"/>
                <w:szCs w:val="20"/>
                <w:color w:val="auto"/>
              </w:rPr>
            </w:pPr>
            <w:r>
              <w:rPr>
                <w:rFonts w:ascii="Times New Roman" w:cs="Times New Roman" w:eastAsia="Times New Roman" w:hAnsi="Times New Roman"/>
                <w:sz w:val="11"/>
                <w:szCs w:val="11"/>
                <w:color w:val="auto"/>
              </w:rPr>
              <w:t>16.7 %</w:t>
            </w:r>
          </w:p>
        </w:tc>
      </w:tr>
      <w:tr>
        <w:trPr>
          <w:trHeight w:val="124"/>
        </w:trPr>
        <w:tc>
          <w:tcPr>
            <w:tcW w:w="24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Cost of revenues:</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2480" w:type="dxa"/>
            <w:vAlign w:val="bottom"/>
          </w:tcPr>
          <w:p>
            <w:pPr>
              <w:ind w:left="80"/>
              <w:spacing w:after="0" w:line="135" w:lineRule="exact"/>
              <w:rPr>
                <w:sz w:val="20"/>
                <w:szCs w:val="20"/>
                <w:color w:val="auto"/>
              </w:rPr>
            </w:pPr>
            <w:r>
              <w:rPr>
                <w:rFonts w:ascii="Times New Roman" w:cs="Times New Roman" w:eastAsia="Times New Roman" w:hAnsi="Times New Roman"/>
                <w:sz w:val="10"/>
                <w:szCs w:val="10"/>
                <w:color w:val="auto"/>
              </w:rPr>
              <w:t xml:space="preserve">Software subscriptions </w:t>
            </w:r>
            <w:r>
              <w:rPr>
                <w:rFonts w:ascii="Times New Roman" w:cs="Times New Roman" w:eastAsia="Times New Roman" w:hAnsi="Times New Roman"/>
                <w:sz w:val="15"/>
                <w:szCs w:val="15"/>
                <w:color w:val="auto"/>
                <w:vertAlign w:val="superscript"/>
              </w:rPr>
              <w:t>(1)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42,261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38,516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3,745</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9.7 %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87,389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75,919</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11,470</w:t>
            </w:r>
          </w:p>
        </w:tc>
        <w:tc>
          <w:tcPr>
            <w:tcW w:w="14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15.1 %</w:t>
            </w:r>
          </w:p>
        </w:tc>
      </w:tr>
      <w:tr>
        <w:trPr>
          <w:trHeight w:val="135"/>
        </w:trPr>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0"/>
                <w:szCs w:val="10"/>
                <w:color w:val="auto"/>
              </w:rPr>
              <w:t xml:space="preserve">Services </w:t>
            </w:r>
            <w:r>
              <w:rPr>
                <w:rFonts w:ascii="Times New Roman" w:cs="Times New Roman" w:eastAsia="Times New Roman" w:hAnsi="Times New Roman"/>
                <w:sz w:val="15"/>
                <w:szCs w:val="15"/>
                <w:color w:val="auto"/>
                <w:vertAlign w:val="superscript"/>
              </w:rPr>
              <w:t>(1)</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16,155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15,363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5.2 %</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32,016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29,707</w:t>
            </w: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7.8 %</w:t>
            </w:r>
          </w:p>
        </w:tc>
      </w:tr>
      <w:tr>
        <w:trPr>
          <w:trHeight w:val="124"/>
        </w:trPr>
        <w:tc>
          <w:tcPr>
            <w:tcW w:w="2480" w:type="dxa"/>
            <w:vAlign w:val="bottom"/>
            <w:tcBorders>
              <w:bottom w:val="single" w:sz="8" w:color="CCEEFF"/>
            </w:tcBorders>
          </w:tcPr>
          <w:p>
            <w:pPr>
              <w:ind w:left="80"/>
              <w:spacing w:after="0" w:line="121" w:lineRule="exact"/>
              <w:rPr>
                <w:sz w:val="20"/>
                <w:szCs w:val="20"/>
                <w:color w:val="auto"/>
              </w:rPr>
            </w:pPr>
            <w:r>
              <w:rPr>
                <w:rFonts w:ascii="Times New Roman" w:cs="Times New Roman" w:eastAsia="Times New Roman" w:hAnsi="Times New Roman"/>
                <w:sz w:val="11"/>
                <w:szCs w:val="11"/>
                <w:color w:val="auto"/>
              </w:rPr>
              <w:t>Total cost of revenues</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58,416</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53,879</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4,537</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gridSpan w:val="2"/>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8.4 %</w:t>
            </w: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119,405</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105,626</w:t>
            </w: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13,779</w:t>
            </w:r>
          </w:p>
        </w:tc>
        <w:tc>
          <w:tcPr>
            <w:tcW w:w="1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gridSpan w:val="2"/>
          </w:tcPr>
          <w:p>
            <w:pPr>
              <w:jc w:val="right"/>
              <w:ind w:right="40"/>
              <w:spacing w:after="0" w:line="121" w:lineRule="exact"/>
              <w:rPr>
                <w:sz w:val="20"/>
                <w:szCs w:val="20"/>
                <w:color w:val="auto"/>
              </w:rPr>
            </w:pPr>
            <w:r>
              <w:rPr>
                <w:rFonts w:ascii="Times New Roman" w:cs="Times New Roman" w:eastAsia="Times New Roman" w:hAnsi="Times New Roman"/>
                <w:sz w:val="11"/>
                <w:szCs w:val="11"/>
                <w:color w:val="auto"/>
              </w:rPr>
              <w:t>13.0 %</w:t>
            </w:r>
          </w:p>
        </w:tc>
      </w:tr>
      <w:tr>
        <w:trPr>
          <w:trHeight w:val="124"/>
        </w:trPr>
        <w:tc>
          <w:tcPr>
            <w:tcW w:w="2480" w:type="dxa"/>
            <w:vAlign w:val="bottom"/>
            <w:shd w:val="clear" w:color="auto" w:fill="CCEEFF"/>
          </w:tcPr>
          <w:p>
            <w:pPr>
              <w:ind w:left="140"/>
              <w:spacing w:after="0" w:line="121" w:lineRule="exact"/>
              <w:rPr>
                <w:sz w:val="20"/>
                <w:szCs w:val="20"/>
                <w:color w:val="auto"/>
              </w:rPr>
            </w:pPr>
            <w:r>
              <w:rPr>
                <w:rFonts w:ascii="Times New Roman" w:cs="Times New Roman" w:eastAsia="Times New Roman" w:hAnsi="Times New Roman"/>
                <w:sz w:val="11"/>
                <w:szCs w:val="11"/>
                <w:color w:val="auto"/>
              </w:rPr>
              <w:t>Gross profit</w:t>
            </w:r>
          </w:p>
        </w:tc>
        <w:tc>
          <w:tcPr>
            <w:tcW w:w="1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102,688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85,816</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16,872</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19.7 %</w:t>
            </w:r>
          </w:p>
        </w:tc>
        <w:tc>
          <w:tcPr>
            <w:tcW w:w="6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198,480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166,820</w:t>
            </w:r>
          </w:p>
        </w:tc>
        <w:tc>
          <w:tcPr>
            <w:tcW w:w="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31,660</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line="121" w:lineRule="exact"/>
              <w:rPr>
                <w:sz w:val="20"/>
                <w:szCs w:val="20"/>
                <w:color w:val="auto"/>
              </w:rPr>
            </w:pPr>
            <w:r>
              <w:rPr>
                <w:rFonts w:ascii="Times New Roman" w:cs="Times New Roman" w:eastAsia="Times New Roman" w:hAnsi="Times New Roman"/>
                <w:sz w:val="11"/>
                <w:szCs w:val="11"/>
                <w:color w:val="auto"/>
              </w:rPr>
              <w:t>19.0 %</w:t>
            </w:r>
          </w:p>
        </w:tc>
      </w:tr>
      <w:tr>
        <w:trPr>
          <w:trHeight w:val="122"/>
        </w:trPr>
        <w:tc>
          <w:tcPr>
            <w:tcW w:w="2480" w:type="dxa"/>
            <w:vAlign w:val="bottom"/>
          </w:tcPr>
          <w:p>
            <w:pPr>
              <w:spacing w:after="0" w:line="121" w:lineRule="exact"/>
              <w:rPr>
                <w:sz w:val="20"/>
                <w:szCs w:val="20"/>
                <w:color w:val="auto"/>
              </w:rPr>
            </w:pPr>
            <w:r>
              <w:rPr>
                <w:rFonts w:ascii="Times New Roman" w:cs="Times New Roman" w:eastAsia="Times New Roman" w:hAnsi="Times New Roman"/>
                <w:sz w:val="11"/>
                <w:szCs w:val="11"/>
                <w:color w:val="auto"/>
              </w:rPr>
              <w:t>Operating expenses:</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37"/>
        </w:trPr>
        <w:tc>
          <w:tcPr>
            <w:tcW w:w="2480" w:type="dxa"/>
            <w:vAlign w:val="bottom"/>
            <w:shd w:val="clear" w:color="auto" w:fill="CCEEFF"/>
          </w:tcPr>
          <w:p>
            <w:pPr>
              <w:ind w:left="80"/>
              <w:spacing w:after="0" w:line="137" w:lineRule="exact"/>
              <w:rPr>
                <w:sz w:val="20"/>
                <w:szCs w:val="20"/>
                <w:color w:val="auto"/>
              </w:rPr>
            </w:pPr>
            <w:r>
              <w:rPr>
                <w:rFonts w:ascii="Times New Roman" w:cs="Times New Roman" w:eastAsia="Times New Roman" w:hAnsi="Times New Roman"/>
                <w:sz w:val="10"/>
                <w:szCs w:val="10"/>
                <w:color w:val="auto"/>
              </w:rPr>
              <w:t xml:space="preserve">Research and development </w:t>
            </w:r>
            <w:r>
              <w:rPr>
                <w:rFonts w:ascii="Times New Roman" w:cs="Times New Roman" w:eastAsia="Times New Roman" w:hAnsi="Times New Roman"/>
                <w:sz w:val="15"/>
                <w:szCs w:val="15"/>
                <w:color w:val="auto"/>
                <w:vertAlign w:val="superscript"/>
              </w:rPr>
              <w:t>(1)</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14,614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12,680</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15.3 %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31,459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28,542</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2,917</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10.2 %</w:t>
            </w:r>
          </w:p>
        </w:tc>
      </w:tr>
      <w:tr>
        <w:trPr>
          <w:trHeight w:val="135"/>
        </w:trPr>
        <w:tc>
          <w:tcPr>
            <w:tcW w:w="2480" w:type="dxa"/>
            <w:vAlign w:val="bottom"/>
          </w:tcPr>
          <w:p>
            <w:pPr>
              <w:ind w:left="80"/>
              <w:spacing w:after="0" w:line="135" w:lineRule="exact"/>
              <w:rPr>
                <w:sz w:val="20"/>
                <w:szCs w:val="20"/>
                <w:color w:val="auto"/>
              </w:rPr>
            </w:pPr>
            <w:r>
              <w:rPr>
                <w:rFonts w:ascii="Times New Roman" w:cs="Times New Roman" w:eastAsia="Times New Roman" w:hAnsi="Times New Roman"/>
                <w:sz w:val="10"/>
                <w:szCs w:val="10"/>
                <w:color w:val="auto"/>
              </w:rPr>
              <w:t xml:space="preserve">Selling and marketing </w:t>
            </w:r>
            <w:r>
              <w:rPr>
                <w:rFonts w:ascii="Times New Roman" w:cs="Times New Roman" w:eastAsia="Times New Roman" w:hAnsi="Times New Roman"/>
                <w:sz w:val="15"/>
                <w:szCs w:val="15"/>
                <w:color w:val="auto"/>
                <w:vertAlign w:val="superscript"/>
              </w:rPr>
              <w:t>(1)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40,541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33,541</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7,000</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20.9 %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81,032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69,277</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11,755</w:t>
            </w:r>
          </w:p>
        </w:tc>
        <w:tc>
          <w:tcPr>
            <w:tcW w:w="14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17.0 %</w:t>
            </w:r>
          </w:p>
        </w:tc>
      </w:tr>
      <w:tr>
        <w:trPr>
          <w:trHeight w:val="135"/>
        </w:trPr>
        <w:tc>
          <w:tcPr>
            <w:tcW w:w="2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0"/>
                <w:szCs w:val="10"/>
                <w:color w:val="auto"/>
              </w:rPr>
              <w:t xml:space="preserve">General and administrative </w:t>
            </w:r>
            <w:r>
              <w:rPr>
                <w:rFonts w:ascii="Times New Roman" w:cs="Times New Roman" w:eastAsia="Times New Roman" w:hAnsi="Times New Roman"/>
                <w:sz w:val="15"/>
                <w:szCs w:val="15"/>
                <w:color w:val="auto"/>
                <w:vertAlign w:val="superscript"/>
              </w:rPr>
              <w:t>(1)</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35,874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39,376</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(3,502)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(8.9)%</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71,416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73,686</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(2,270)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(3.1)%</w:t>
            </w:r>
          </w:p>
        </w:tc>
      </w:tr>
      <w:tr>
        <w:trPr>
          <w:trHeight w:val="135"/>
        </w:trPr>
        <w:tc>
          <w:tcPr>
            <w:tcW w:w="2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3,878</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1,334</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34.4 %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7,619</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14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34.1 %</w:t>
            </w:r>
          </w:p>
        </w:tc>
      </w:tr>
      <w:tr>
        <w:trPr>
          <w:trHeight w:val="135"/>
        </w:trPr>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operating expense (income), net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(1,098)</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(1,511)</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(1,625)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697</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(2,322)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r>
      <w:tr>
        <w:trPr>
          <w:trHeight w:val="124"/>
        </w:trPr>
        <w:tc>
          <w:tcPr>
            <w:tcW w:w="2480" w:type="dxa"/>
            <w:vAlign w:val="bottom"/>
            <w:tcBorders>
              <w:bottom w:val="single" w:sz="8" w:color="CCEEFF"/>
            </w:tcBorders>
          </w:tcPr>
          <w:p>
            <w:pPr>
              <w:ind w:left="80"/>
              <w:spacing w:after="0" w:line="121" w:lineRule="exact"/>
              <w:rPr>
                <w:sz w:val="20"/>
                <w:szCs w:val="20"/>
                <w:color w:val="auto"/>
              </w:rPr>
            </w:pPr>
            <w:r>
              <w:rPr>
                <w:rFonts w:ascii="Times New Roman" w:cs="Times New Roman" w:eastAsia="Times New Roman" w:hAnsi="Times New Roman"/>
                <w:sz w:val="11"/>
                <w:szCs w:val="11"/>
                <w:color w:val="auto"/>
              </w:rPr>
              <w:t>Total operating expenses</w:t>
            </w:r>
          </w:p>
        </w:tc>
        <w:tc>
          <w:tcPr>
            <w:tcW w:w="1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95,143</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89,888</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5,255</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gridSpan w:val="2"/>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5.8 %</w:t>
            </w:r>
          </w:p>
        </w:tc>
        <w:tc>
          <w:tcPr>
            <w:tcW w:w="6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192,500</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179,821</w:t>
            </w: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12,679</w:t>
            </w:r>
          </w:p>
        </w:tc>
        <w:tc>
          <w:tcPr>
            <w:tcW w:w="1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gridSpan w:val="2"/>
          </w:tcPr>
          <w:p>
            <w:pPr>
              <w:jc w:val="right"/>
              <w:ind w:right="40"/>
              <w:spacing w:after="0" w:line="121" w:lineRule="exact"/>
              <w:rPr>
                <w:sz w:val="20"/>
                <w:szCs w:val="20"/>
                <w:color w:val="auto"/>
              </w:rPr>
            </w:pPr>
            <w:r>
              <w:rPr>
                <w:rFonts w:ascii="Times New Roman" w:cs="Times New Roman" w:eastAsia="Times New Roman" w:hAnsi="Times New Roman"/>
                <w:sz w:val="11"/>
                <w:szCs w:val="11"/>
                <w:color w:val="auto"/>
              </w:rPr>
              <w:t>7.1 %</w:t>
            </w:r>
          </w:p>
        </w:tc>
      </w:tr>
      <w:tr>
        <w:trPr>
          <w:trHeight w:val="124"/>
        </w:trPr>
        <w:tc>
          <w:tcPr>
            <w:tcW w:w="2480" w:type="dxa"/>
            <w:vAlign w:val="bottom"/>
            <w:shd w:val="clear" w:color="auto" w:fill="CCEEFF"/>
          </w:tcPr>
          <w:p>
            <w:pPr>
              <w:ind w:left="140"/>
              <w:spacing w:after="0" w:line="121" w:lineRule="exact"/>
              <w:rPr>
                <w:sz w:val="20"/>
                <w:szCs w:val="20"/>
                <w:color w:val="auto"/>
              </w:rPr>
            </w:pPr>
            <w:r>
              <w:rPr>
                <w:rFonts w:ascii="Times New Roman" w:cs="Times New Roman" w:eastAsia="Times New Roman" w:hAnsi="Times New Roman"/>
                <w:sz w:val="11"/>
                <w:szCs w:val="11"/>
                <w:color w:val="auto"/>
              </w:rPr>
              <w:t>Income (loss) from operations</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7,545</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(4,072)</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11,617</w:t>
            </w:r>
          </w:p>
        </w:tc>
        <w:tc>
          <w:tcPr>
            <w:tcW w:w="1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(285.3)%</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5,980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(13,001)</w:t>
            </w: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18,981</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40"/>
              <w:spacing w:after="0" w:line="121" w:lineRule="exact"/>
              <w:rPr>
                <w:sz w:val="20"/>
                <w:szCs w:val="20"/>
                <w:color w:val="auto"/>
              </w:rPr>
            </w:pPr>
            <w:r>
              <w:rPr>
                <w:rFonts w:ascii="Times New Roman" w:cs="Times New Roman" w:eastAsia="Times New Roman" w:hAnsi="Times New Roman"/>
                <w:sz w:val="11"/>
                <w:szCs w:val="11"/>
                <w:color w:val="auto"/>
              </w:rPr>
              <w:t>(146.0)%</w:t>
            </w:r>
          </w:p>
        </w:tc>
      </w:tr>
      <w:tr>
        <w:trPr>
          <w:trHeight w:val="135"/>
        </w:trPr>
        <w:tc>
          <w:tcPr>
            <w:tcW w:w="2480" w:type="dxa"/>
            <w:vAlign w:val="bottom"/>
          </w:tcPr>
          <w:p>
            <w:pPr>
              <w:spacing w:after="0"/>
              <w:rPr>
                <w:sz w:val="20"/>
                <w:szCs w:val="20"/>
                <w:color w:val="auto"/>
              </w:rPr>
            </w:pPr>
            <w:r>
              <w:rPr>
                <w:rFonts w:ascii="Times New Roman" w:cs="Times New Roman" w:eastAsia="Times New Roman" w:hAnsi="Times New Roman"/>
                <w:sz w:val="11"/>
                <w:szCs w:val="11"/>
                <w:color w:val="auto"/>
              </w:rPr>
              <w:t>Other (income) expense:</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5"/>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expense (income), net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(105)</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922</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r>
      <w:tr>
        <w:trPr>
          <w:trHeight w:val="124"/>
        </w:trPr>
        <w:tc>
          <w:tcPr>
            <w:tcW w:w="2480" w:type="dxa"/>
            <w:vAlign w:val="bottom"/>
          </w:tcPr>
          <w:p>
            <w:pPr>
              <w:ind w:left="140"/>
              <w:spacing w:after="0" w:line="121" w:lineRule="exact"/>
              <w:rPr>
                <w:sz w:val="20"/>
                <w:szCs w:val="20"/>
                <w:color w:val="auto"/>
              </w:rPr>
            </w:pPr>
            <w:r>
              <w:rPr>
                <w:rFonts w:ascii="Times New Roman" w:cs="Times New Roman" w:eastAsia="Times New Roman" w:hAnsi="Times New Roman"/>
                <w:sz w:val="11"/>
                <w:szCs w:val="11"/>
                <w:color w:val="auto"/>
              </w:rPr>
              <w:t>Income (loss) before income taxes</w:t>
            </w: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7,364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(3,967)</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11,331</w:t>
            </w:r>
          </w:p>
        </w:tc>
        <w:tc>
          <w:tcPr>
            <w:tcW w:w="120" w:type="dxa"/>
            <w:vAlign w:val="bottom"/>
          </w:tcPr>
          <w:p>
            <w:pPr>
              <w:spacing w:after="0"/>
              <w:rPr>
                <w:sz w:val="10"/>
                <w:szCs w:val="10"/>
                <w:color w:val="auto"/>
              </w:rPr>
            </w:pPr>
          </w:p>
        </w:tc>
        <w:tc>
          <w:tcPr>
            <w:tcW w:w="580" w:type="dxa"/>
            <w:vAlign w:val="bottom"/>
            <w:gridSpan w:val="2"/>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(285.6)%</w:t>
            </w: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5,513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(12,546)</w:t>
            </w: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18,059</w:t>
            </w:r>
          </w:p>
        </w:tc>
        <w:tc>
          <w:tcPr>
            <w:tcW w:w="140" w:type="dxa"/>
            <w:vAlign w:val="bottom"/>
          </w:tcPr>
          <w:p>
            <w:pPr>
              <w:spacing w:after="0"/>
              <w:rPr>
                <w:sz w:val="10"/>
                <w:szCs w:val="10"/>
                <w:color w:val="auto"/>
              </w:rPr>
            </w:pPr>
          </w:p>
        </w:tc>
        <w:tc>
          <w:tcPr>
            <w:tcW w:w="580" w:type="dxa"/>
            <w:vAlign w:val="bottom"/>
            <w:gridSpan w:val="2"/>
          </w:tcPr>
          <w:p>
            <w:pPr>
              <w:jc w:val="right"/>
              <w:ind w:right="40"/>
              <w:spacing w:after="0" w:line="121" w:lineRule="exact"/>
              <w:rPr>
                <w:sz w:val="20"/>
                <w:szCs w:val="20"/>
                <w:color w:val="auto"/>
              </w:rPr>
            </w:pPr>
            <w:r>
              <w:rPr>
                <w:rFonts w:ascii="Times New Roman" w:cs="Times New Roman" w:eastAsia="Times New Roman" w:hAnsi="Times New Roman"/>
                <w:sz w:val="11"/>
                <w:szCs w:val="11"/>
                <w:color w:val="auto"/>
              </w:rPr>
              <w:t>(143.9)%</w:t>
            </w:r>
          </w:p>
        </w:tc>
      </w:tr>
      <w:tr>
        <w:trPr>
          <w:trHeight w:val="135"/>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(729)</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(2,335)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12,482</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(14,817)</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r>
      <w:tr>
        <w:trPr>
          <w:trHeight w:val="124"/>
        </w:trPr>
        <w:tc>
          <w:tcPr>
            <w:tcW w:w="2480" w:type="dxa"/>
            <w:vAlign w:val="bottom"/>
            <w:tcBorders>
              <w:bottom w:val="single" w:sz="8" w:color="CCEEFF"/>
            </w:tcBorders>
          </w:tcPr>
          <w:p>
            <w:pPr>
              <w:ind w:left="80"/>
              <w:spacing w:after="0" w:line="121" w:lineRule="exact"/>
              <w:rPr>
                <w:sz w:val="20"/>
                <w:szCs w:val="20"/>
                <w:color w:val="auto"/>
              </w:rPr>
            </w:pPr>
            <w:r>
              <w:rPr>
                <w:rFonts w:ascii="Times New Roman" w:cs="Times New Roman" w:eastAsia="Times New Roman" w:hAnsi="Times New Roman"/>
                <w:sz w:val="11"/>
                <w:szCs w:val="11"/>
                <w:color w:val="auto"/>
              </w:rPr>
              <w:t>Net income (loss)</w:t>
            </w:r>
          </w:p>
        </w:tc>
        <w:tc>
          <w:tcPr>
            <w:tcW w:w="1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5,164</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(6,896)</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12,060</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gridSpan w:val="2"/>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(174.9)%</w:t>
            </w:r>
          </w:p>
        </w:tc>
        <w:tc>
          <w:tcPr>
            <w:tcW w:w="6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7,848</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(25,028)</w:t>
            </w: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32,876</w:t>
            </w:r>
          </w:p>
        </w:tc>
        <w:tc>
          <w:tcPr>
            <w:tcW w:w="1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gridSpan w:val="2"/>
          </w:tcPr>
          <w:p>
            <w:pPr>
              <w:jc w:val="right"/>
              <w:ind w:right="40"/>
              <w:spacing w:after="0" w:line="121" w:lineRule="exact"/>
              <w:rPr>
                <w:sz w:val="20"/>
                <w:szCs w:val="20"/>
                <w:color w:val="auto"/>
              </w:rPr>
            </w:pPr>
            <w:r>
              <w:rPr>
                <w:rFonts w:ascii="Times New Roman" w:cs="Times New Roman" w:eastAsia="Times New Roman" w:hAnsi="Times New Roman"/>
                <w:sz w:val="11"/>
                <w:szCs w:val="11"/>
                <w:color w:val="auto"/>
              </w:rPr>
              <w:t>(131.4)%</w:t>
            </w:r>
          </w:p>
        </w:tc>
      </w:tr>
      <w:tr>
        <w:trPr>
          <w:trHeight w:val="124"/>
        </w:trPr>
        <w:tc>
          <w:tcPr>
            <w:tcW w:w="248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Other comprehensive (income) loss:</w:t>
            </w: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35"/>
        </w:trPr>
        <w:tc>
          <w:tcPr>
            <w:tcW w:w="24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Foreign currency translation adjustments, net of tax</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(609)</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3,944</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(647.6)%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(3,731)</w:t>
            </w: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11,077</w:t>
            </w:r>
          </w:p>
        </w:tc>
        <w:tc>
          <w:tcPr>
            <w:tcW w:w="140" w:type="dxa"/>
            <w:vAlign w:val="bottom"/>
          </w:tcPr>
          <w:p>
            <w:pPr>
              <w:spacing w:after="0"/>
              <w:rPr>
                <w:sz w:val="11"/>
                <w:szCs w:val="1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(296.9)%</w:t>
            </w:r>
          </w:p>
        </w:tc>
      </w:tr>
      <w:tr>
        <w:trPr>
          <w:trHeight w:val="135"/>
        </w:trPr>
        <w:tc>
          <w:tcPr>
            <w:tcW w:w="2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Unrealized (gain) loss on investments, net of tax</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(19)</w:t>
            </w: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(22)</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 %</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 %</w:t>
            </w:r>
          </w:p>
        </w:tc>
      </w:tr>
      <w:tr>
        <w:trPr>
          <w:trHeight w:val="124"/>
        </w:trPr>
        <w:tc>
          <w:tcPr>
            <w:tcW w:w="2480" w:type="dxa"/>
            <w:vAlign w:val="bottom"/>
            <w:tcBorders>
              <w:bottom w:val="single" w:sz="8" w:color="CCEEFF"/>
            </w:tcBorders>
          </w:tcPr>
          <w:p>
            <w:pPr>
              <w:ind w:left="80"/>
              <w:spacing w:after="0" w:line="121" w:lineRule="exact"/>
              <w:rPr>
                <w:sz w:val="20"/>
                <w:szCs w:val="20"/>
                <w:color w:val="auto"/>
              </w:rPr>
            </w:pPr>
            <w:r>
              <w:rPr>
                <w:rFonts w:ascii="Times New Roman" w:cs="Times New Roman" w:eastAsia="Times New Roman" w:hAnsi="Times New Roman"/>
                <w:sz w:val="11"/>
                <w:szCs w:val="11"/>
                <w:color w:val="auto"/>
              </w:rPr>
              <w:t>Total other comprehensive (income) loss, net of tax</w:t>
            </w:r>
          </w:p>
        </w:tc>
        <w:tc>
          <w:tcPr>
            <w:tcW w:w="1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3,316</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(606)</w:t>
            </w: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3,922</w:t>
            </w:r>
          </w:p>
        </w:tc>
        <w:tc>
          <w:tcPr>
            <w:tcW w:w="12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gridSpan w:val="2"/>
          </w:tcPr>
          <w:p>
            <w:pPr>
              <w:jc w:val="right"/>
              <w:ind w:right="60"/>
              <w:spacing w:after="0" w:line="121" w:lineRule="exact"/>
              <w:rPr>
                <w:sz w:val="20"/>
                <w:szCs w:val="20"/>
                <w:color w:val="auto"/>
              </w:rPr>
            </w:pPr>
            <w:r>
              <w:rPr>
                <w:rFonts w:ascii="Times New Roman" w:cs="Times New Roman" w:eastAsia="Times New Roman" w:hAnsi="Times New Roman"/>
                <w:sz w:val="11"/>
                <w:szCs w:val="11"/>
                <w:color w:val="auto"/>
              </w:rPr>
              <w:t>* %</w:t>
            </w:r>
          </w:p>
        </w:tc>
        <w:tc>
          <w:tcPr>
            <w:tcW w:w="6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7,344</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(3,741)</w:t>
            </w: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11,085</w:t>
            </w:r>
          </w:p>
        </w:tc>
        <w:tc>
          <w:tcPr>
            <w:tcW w:w="1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gridSpan w:val="2"/>
          </w:tcPr>
          <w:p>
            <w:pPr>
              <w:jc w:val="right"/>
              <w:ind w:right="40"/>
              <w:spacing w:after="0" w:line="121" w:lineRule="exact"/>
              <w:rPr>
                <w:sz w:val="20"/>
                <w:szCs w:val="20"/>
                <w:color w:val="auto"/>
              </w:rPr>
            </w:pPr>
            <w:r>
              <w:rPr>
                <w:rFonts w:ascii="Times New Roman" w:cs="Times New Roman" w:eastAsia="Times New Roman" w:hAnsi="Times New Roman"/>
                <w:sz w:val="11"/>
                <w:szCs w:val="11"/>
                <w:color w:val="auto"/>
              </w:rPr>
              <w:t>* %</w:t>
            </w:r>
          </w:p>
        </w:tc>
      </w:tr>
      <w:tr>
        <w:trPr>
          <w:trHeight w:val="131"/>
        </w:trPr>
        <w:tc>
          <w:tcPr>
            <w:tcW w:w="2480" w:type="dxa"/>
            <w:vAlign w:val="bottom"/>
            <w:tcBorders>
              <w:bottom w:val="single" w:sz="8" w:color="CCEEFF"/>
            </w:tcBorders>
            <w:shd w:val="clear" w:color="auto" w:fill="CCEEFF"/>
          </w:tcPr>
          <w:p>
            <w:pPr>
              <w:ind w:left="80"/>
              <w:spacing w:after="0" w:line="124" w:lineRule="exact"/>
              <w:rPr>
                <w:sz w:val="20"/>
                <w:szCs w:val="20"/>
                <w:color w:val="auto"/>
              </w:rPr>
            </w:pPr>
            <w:r>
              <w:rPr>
                <w:rFonts w:ascii="Times New Roman" w:cs="Times New Roman" w:eastAsia="Times New Roman" w:hAnsi="Times New Roman"/>
                <w:sz w:val="11"/>
                <w:szCs w:val="11"/>
                <w:color w:val="auto"/>
              </w:rPr>
              <w:t>Total comprehensive income (loss)</w:t>
            </w:r>
          </w:p>
        </w:tc>
        <w:tc>
          <w:tcPr>
            <w:tcW w:w="1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1,848</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(6,290)</w:t>
            </w:r>
          </w:p>
        </w:tc>
        <w:tc>
          <w:tcPr>
            <w:tcW w:w="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9"/>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8,138</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1"/>
                <w:szCs w:val="11"/>
                <w:color w:val="auto"/>
              </w:rPr>
              <w:t>(129.4)%</w:t>
            </w:r>
          </w:p>
        </w:tc>
        <w:tc>
          <w:tcPr>
            <w:tcW w:w="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504</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(21,287)$</w:t>
            </w: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21,791</w:t>
            </w: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1"/>
                <w:szCs w:val="11"/>
                <w:color w:val="auto"/>
              </w:rPr>
              <w:t>(102.4)%</w:t>
            </w:r>
          </w:p>
        </w:tc>
      </w:tr>
    </w:tbl>
    <w:p>
      <w:pPr>
        <w:spacing w:after="0" w:line="126" w:lineRule="exact"/>
        <w:rPr>
          <w:sz w:val="20"/>
          <w:szCs w:val="20"/>
          <w:color w:val="auto"/>
        </w:rPr>
      </w:pPr>
    </w:p>
    <w:p>
      <w:pPr>
        <w:ind w:left="220" w:right="5359" w:hanging="18"/>
        <w:spacing w:after="0" w:line="212" w:lineRule="auto"/>
        <w:tabs>
          <w:tab w:leader="none" w:pos="427"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Includes stock-based compensation expenses as follows in the table below. * Percentage change not meaningful.</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4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gridSpan w:val="8"/>
          </w:tcPr>
          <w:p>
            <w:pPr>
              <w:ind w:left="3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00" w:type="dxa"/>
            <w:vAlign w:val="bottom"/>
          </w:tcPr>
          <w:p>
            <w:pPr>
              <w:spacing w:after="0"/>
              <w:rPr>
                <w:sz w:val="10"/>
                <w:szCs w:val="10"/>
                <w:color w:val="auto"/>
              </w:rPr>
            </w:pPr>
          </w:p>
        </w:tc>
        <w:tc>
          <w:tcPr>
            <w:tcW w:w="1980" w:type="dxa"/>
            <w:vAlign w:val="bottom"/>
            <w:gridSpan w:val="7"/>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For the six months ended</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center"/>
              <w:ind w:right="46"/>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2023</w:t>
            </w:r>
          </w:p>
        </w:tc>
        <w:tc>
          <w:tcPr>
            <w:tcW w:w="3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0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Stock-based compensation expense: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3"/>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99"/>
              </w:rPr>
              <w:t>(unaudited)</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left="482"/>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0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revenues, software subscriptions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2,543</w:t>
            </w:r>
          </w:p>
        </w:tc>
        <w:tc>
          <w:tcPr>
            <w:tcW w:w="14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Cost of revenues, services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565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1,571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1,922</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5,295</w:t>
            </w:r>
          </w:p>
        </w:tc>
        <w:tc>
          <w:tcPr>
            <w:tcW w:w="14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20"/>
                <w:szCs w:val="20"/>
                <w:color w:val="auto"/>
              </w:rPr>
            </w:pPr>
            <w:r>
              <w:rPr>
                <w:rFonts w:ascii="Times New Roman" w:cs="Times New Roman" w:eastAsia="Times New Roman" w:hAnsi="Times New Roman"/>
                <w:sz w:val="12"/>
                <w:szCs w:val="12"/>
                <w:color w:val="auto"/>
              </w:rPr>
              <w:t>Selling and marketing</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2,928</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1,082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7,150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5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3,633</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4,581</w:t>
            </w:r>
          </w:p>
        </w:tc>
        <w:tc>
          <w:tcPr>
            <w:tcW w:w="2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9,766</w:t>
            </w:r>
          </w:p>
        </w:tc>
        <w:tc>
          <w:tcPr>
            <w:tcW w:w="140" w:type="dxa"/>
            <w:vAlign w:val="bottom"/>
            <w:tcBorders>
              <w:right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4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stock-based compensation expense</w:t>
            </w:r>
          </w:p>
        </w:tc>
        <w:tc>
          <w:tcPr>
            <w:tcW w:w="5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10,001</w:t>
            </w:r>
          </w:p>
        </w:tc>
        <w:tc>
          <w:tcPr>
            <w:tcW w:w="160" w:type="dxa"/>
            <w:vAlign w:val="bottom"/>
          </w:tcPr>
          <w:p>
            <w:pPr>
              <w:spacing w:after="0"/>
              <w:rPr>
                <w:sz w:val="12"/>
                <w:szCs w:val="12"/>
                <w:color w:val="auto"/>
              </w:rPr>
            </w:pPr>
          </w:p>
        </w:tc>
        <w:tc>
          <w:tcPr>
            <w:tcW w:w="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7,022</w:t>
            </w:r>
          </w:p>
        </w:tc>
        <w:tc>
          <w:tcPr>
            <w:tcW w:w="2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26,325</w:t>
            </w:r>
          </w:p>
        </w:tc>
        <w:tc>
          <w:tcPr>
            <w:tcW w:w="14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18,456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020" w:type="dxa"/>
            <w:vAlign w:val="bottom"/>
            <w:gridSpan w:val="8"/>
          </w:tcPr>
          <w:p>
            <w:pPr>
              <w:ind w:left="260"/>
              <w:spacing w:after="0"/>
              <w:rPr>
                <w:sz w:val="20"/>
                <w:szCs w:val="20"/>
                <w:color w:val="auto"/>
              </w:rPr>
            </w:pPr>
            <w:r>
              <w:rPr>
                <w:rFonts w:ascii="Times New Roman" w:cs="Times New Roman" w:eastAsia="Times New Roman" w:hAnsi="Times New Roman"/>
                <w:sz w:val="12"/>
                <w:szCs w:val="12"/>
                <w:color w:val="auto"/>
              </w:rPr>
              <w:t>The following table sets forth our results of operations as a percentage of our total revenues for the periods presented.</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40" w:type="dxa"/>
            <w:vAlign w:val="bottom"/>
          </w:tcPr>
          <w:p>
            <w:pPr>
              <w:spacing w:after="0"/>
              <w:rPr>
                <w:sz w:val="22"/>
                <w:szCs w:val="22"/>
                <w:color w:val="auto"/>
              </w:rPr>
            </w:pPr>
          </w:p>
        </w:tc>
        <w:tc>
          <w:tcPr>
            <w:tcW w:w="1980" w:type="dxa"/>
            <w:vAlign w:val="bottom"/>
            <w:gridSpan w:val="7"/>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For the three months ended June 30,</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7"/>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w w:val="95"/>
              </w:rPr>
              <w:t>For the six months ended June 30,</w:t>
            </w:r>
          </w:p>
        </w:tc>
        <w:tc>
          <w:tcPr>
            <w:tcW w:w="0" w:type="dxa"/>
            <w:vAlign w:val="bottom"/>
          </w:tcPr>
          <w:p>
            <w:pPr>
              <w:spacing w:after="0"/>
              <w:rPr>
                <w:sz w:val="1"/>
                <w:szCs w:val="1"/>
                <w:color w:val="auto"/>
              </w:rPr>
            </w:pPr>
          </w:p>
        </w:tc>
      </w:tr>
      <w:tr>
        <w:trPr>
          <w:trHeight w:val="88"/>
        </w:trPr>
        <w:tc>
          <w:tcPr>
            <w:tcW w:w="4040" w:type="dxa"/>
            <w:vAlign w:val="bottom"/>
          </w:tcPr>
          <w:p>
            <w:pPr>
              <w:spacing w:after="0"/>
              <w:rPr>
                <w:sz w:val="7"/>
                <w:szCs w:val="7"/>
                <w:color w:val="auto"/>
              </w:rPr>
            </w:pPr>
          </w:p>
        </w:tc>
        <w:tc>
          <w:tcPr>
            <w:tcW w:w="68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7"/>
                <w:szCs w:val="7"/>
                <w:b w:val="1"/>
                <w:bCs w:val="1"/>
                <w:color w:val="auto"/>
                <w:w w:val="74"/>
              </w:rPr>
              <w:t>(unaudited)</w:t>
            </w:r>
          </w:p>
        </w:tc>
        <w:tc>
          <w:tcPr>
            <w:tcW w:w="22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8"/>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2023</w:t>
            </w:r>
          </w:p>
        </w:tc>
        <w:tc>
          <w:tcPr>
            <w:tcW w:w="360" w:type="dxa"/>
            <w:vAlign w:val="bottom"/>
            <w:tcBorders>
              <w:top w:val="single" w:sz="8" w:color="auto"/>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620" w:type="dxa"/>
            <w:vAlign w:val="bottom"/>
            <w:tcBorders>
              <w:top w:val="single" w:sz="8" w:color="auto"/>
              <w:bottom w:val="single" w:sz="8" w:color="auto"/>
            </w:tcBorders>
          </w:tcPr>
          <w:p>
            <w:pPr>
              <w:jc w:val="right"/>
              <w:ind w:right="34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2024</w:t>
            </w:r>
          </w:p>
        </w:tc>
        <w:tc>
          <w:tcPr>
            <w:tcW w:w="1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32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top w:val="single" w:sz="8" w:color="auto"/>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0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Revenues:</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3"/>
          </w:tcPr>
          <w:p>
            <w:pPr>
              <w:ind w:left="500"/>
              <w:spacing w:after="0"/>
              <w:rPr>
                <w:sz w:val="20"/>
                <w:szCs w:val="20"/>
                <w:color w:val="auto"/>
              </w:rPr>
            </w:pPr>
            <w:r>
              <w:rPr>
                <w:rFonts w:ascii="Times New Roman" w:cs="Times New Roman" w:eastAsia="Times New Roman" w:hAnsi="Times New Roman"/>
                <w:sz w:val="10"/>
                <w:szCs w:val="10"/>
                <w:b w:val="1"/>
                <w:bCs w:val="1"/>
                <w:color w:val="auto"/>
                <w:w w:val="71"/>
              </w:rPr>
              <w:t>(unaudited)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04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Software subscriptions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84.7 %</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84.4 %</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84.4 %</w:t>
            </w: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84.0 %</w:t>
            </w:r>
          </w:p>
        </w:tc>
        <w:tc>
          <w:tcPr>
            <w:tcW w:w="0" w:type="dxa"/>
            <w:vAlign w:val="bottom"/>
          </w:tcPr>
          <w:p>
            <w:pPr>
              <w:spacing w:after="0"/>
              <w:rPr>
                <w:sz w:val="1"/>
                <w:szCs w:val="1"/>
                <w:color w:val="auto"/>
              </w:rPr>
            </w:pPr>
          </w:p>
        </w:tc>
      </w:tr>
      <w:tr>
        <w:trPr>
          <w:trHeight w:val="144"/>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Services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15.3 %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15.6 %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15.6 %</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16.0 %</w:t>
            </w:r>
          </w:p>
        </w:tc>
        <w:tc>
          <w:tcPr>
            <w:tcW w:w="0" w:type="dxa"/>
            <w:vAlign w:val="bottom"/>
          </w:tcPr>
          <w:p>
            <w:pPr>
              <w:spacing w:after="0"/>
              <w:rPr>
                <w:sz w:val="1"/>
                <w:szCs w:val="1"/>
                <w:color w:val="auto"/>
              </w:rPr>
            </w:pPr>
          </w:p>
        </w:tc>
      </w:tr>
      <w:tr>
        <w:trPr>
          <w:trHeight w:val="133"/>
        </w:trPr>
        <w:tc>
          <w:tcPr>
            <w:tcW w:w="4040" w:type="dxa"/>
            <w:vAlign w:val="bottom"/>
            <w:tcBorders>
              <w:top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56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280" w:type="dxa"/>
            <w:vAlign w:val="bottom"/>
            <w:tcBorders>
              <w:top w:val="single" w:sz="8" w:color="CCEEFF"/>
            </w:tcBorders>
            <w:shd w:val="clear" w:color="auto" w:fill="CCEEFF"/>
          </w:tcPr>
          <w:p>
            <w:pPr>
              <w:jc w:val="right"/>
              <w:ind w:right="122"/>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300" w:type="dxa"/>
            <w:vAlign w:val="bottom"/>
            <w:tcBorders>
              <w:top w:val="single" w:sz="8" w:color="CCEEFF"/>
              <w:right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33"/>
        </w:trPr>
        <w:tc>
          <w:tcPr>
            <w:tcW w:w="40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Cost of revenues: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Software subscriptions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26.2 %</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27.6 %</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27.5 %</w:t>
            </w: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27.9 %</w:t>
            </w:r>
          </w:p>
        </w:tc>
        <w:tc>
          <w:tcPr>
            <w:tcW w:w="0" w:type="dxa"/>
            <w:vAlign w:val="bottom"/>
          </w:tcPr>
          <w:p>
            <w:pPr>
              <w:spacing w:after="0"/>
              <w:rPr>
                <w:sz w:val="1"/>
                <w:szCs w:val="1"/>
                <w:color w:val="auto"/>
              </w:rPr>
            </w:pPr>
          </w:p>
        </w:tc>
      </w:tr>
      <w:tr>
        <w:trPr>
          <w:trHeight w:val="144"/>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Services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10.0 %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11.0 %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10.1 %</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10.9 %</w:t>
            </w:r>
          </w:p>
        </w:tc>
        <w:tc>
          <w:tcPr>
            <w:tcW w:w="0" w:type="dxa"/>
            <w:vAlign w:val="bottom"/>
          </w:tcPr>
          <w:p>
            <w:pPr>
              <w:spacing w:after="0"/>
              <w:rPr>
                <w:sz w:val="1"/>
                <w:szCs w:val="1"/>
                <w:color w:val="auto"/>
              </w:rPr>
            </w:pPr>
          </w:p>
        </w:tc>
      </w:tr>
      <w:tr>
        <w:trPr>
          <w:trHeight w:val="133"/>
        </w:trPr>
        <w:tc>
          <w:tcPr>
            <w:tcW w:w="4040" w:type="dxa"/>
            <w:vAlign w:val="bottom"/>
            <w:tcBorders>
              <w:top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cost of revenues</w:t>
            </w:r>
          </w:p>
        </w:tc>
        <w:tc>
          <w:tcPr>
            <w:tcW w:w="56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36.2</w:t>
            </w:r>
          </w:p>
        </w:tc>
        <w:tc>
          <w:tcPr>
            <w:tcW w:w="280" w:type="dxa"/>
            <w:vAlign w:val="bottom"/>
            <w:tcBorders>
              <w:top w:val="single" w:sz="8" w:color="CCEEFF"/>
            </w:tcBorders>
            <w:shd w:val="clear" w:color="auto" w:fill="CCEEFF"/>
          </w:tcPr>
          <w:p>
            <w:pPr>
              <w:jc w:val="right"/>
              <w:ind w:right="122"/>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38.6</w:t>
            </w:r>
          </w:p>
        </w:tc>
        <w:tc>
          <w:tcPr>
            <w:tcW w:w="300" w:type="dxa"/>
            <w:vAlign w:val="bottom"/>
            <w:tcBorders>
              <w:top w:val="single" w:sz="8" w:color="CCEEFF"/>
              <w:right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37.6</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38.8</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33"/>
        </w:trPr>
        <w:tc>
          <w:tcPr>
            <w:tcW w:w="404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63.8</w:t>
            </w:r>
          </w:p>
        </w:tc>
        <w:tc>
          <w:tcPr>
            <w:tcW w:w="280" w:type="dxa"/>
            <w:vAlign w:val="bottom"/>
            <w:tcBorders>
              <w:bottom w:val="single" w:sz="8" w:color="CCEEFF"/>
            </w:tcBorders>
          </w:tcPr>
          <w:p>
            <w:pPr>
              <w:jc w:val="right"/>
              <w:ind w:right="122"/>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61.4</w:t>
            </w:r>
          </w:p>
        </w:tc>
        <w:tc>
          <w:tcPr>
            <w:tcW w:w="300" w:type="dxa"/>
            <w:vAlign w:val="bottom"/>
            <w:tcBorders>
              <w:bottom w:val="single" w:sz="8" w:color="CCEEFF"/>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62.4</w:t>
            </w:r>
          </w:p>
        </w:tc>
        <w:tc>
          <w:tcPr>
            <w:tcW w:w="140" w:type="dxa"/>
            <w:vAlign w:val="bottom"/>
            <w:tcBorders>
              <w:bottom w:val="single" w:sz="8" w:color="CCEEFF"/>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61.2</w:t>
            </w:r>
          </w:p>
        </w:tc>
        <w:tc>
          <w:tcPr>
            <w:tcW w:w="140" w:type="dxa"/>
            <w:vAlign w:val="bottom"/>
            <w:tcBorders>
              <w:bottom w:val="single" w:sz="8" w:color="CCEEFF"/>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33"/>
        </w:trPr>
        <w:tc>
          <w:tcPr>
            <w:tcW w:w="4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expenses:</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9.1 %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9.1 %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9.9 %</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10.5 %</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Selling and marketing</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25.2 %</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24.0 %</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25.5 %</w:t>
            </w: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25.4 %</w:t>
            </w:r>
          </w:p>
        </w:tc>
        <w:tc>
          <w:tcPr>
            <w:tcW w:w="0" w:type="dxa"/>
            <w:vAlign w:val="bottom"/>
          </w:tcPr>
          <w:p>
            <w:pPr>
              <w:spacing w:after="0"/>
              <w:rPr>
                <w:sz w:val="1"/>
                <w:szCs w:val="1"/>
                <w:color w:val="auto"/>
              </w:rPr>
            </w:pPr>
          </w:p>
        </w:tc>
      </w:tr>
      <w:tr>
        <w:trPr>
          <w:trHeight w:val="144"/>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22.3 %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28.2 %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22.5 %</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27.0 %</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3.2 %</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2.8 %</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3.2 %</w:t>
            </w: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2.8 %</w:t>
            </w:r>
          </w:p>
        </w:tc>
        <w:tc>
          <w:tcPr>
            <w:tcW w:w="0" w:type="dxa"/>
            <w:vAlign w:val="bottom"/>
          </w:tcPr>
          <w:p>
            <w:pPr>
              <w:spacing w:after="0"/>
              <w:rPr>
                <w:sz w:val="1"/>
                <w:szCs w:val="1"/>
                <w:color w:val="auto"/>
              </w:rPr>
            </w:pPr>
          </w:p>
        </w:tc>
      </w:tr>
      <w:tr>
        <w:trPr>
          <w:trHeight w:val="144"/>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operating expense (income), net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0.3 %</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0.3 %</w:t>
            </w:r>
          </w:p>
        </w:tc>
        <w:tc>
          <w:tcPr>
            <w:tcW w:w="0" w:type="dxa"/>
            <w:vAlign w:val="bottom"/>
          </w:tcPr>
          <w:p>
            <w:pPr>
              <w:spacing w:after="0"/>
              <w:rPr>
                <w:sz w:val="1"/>
                <w:szCs w:val="1"/>
                <w:color w:val="auto"/>
              </w:rPr>
            </w:pPr>
          </w:p>
        </w:tc>
      </w:tr>
      <w:tr>
        <w:trPr>
          <w:trHeight w:val="133"/>
        </w:trPr>
        <w:tc>
          <w:tcPr>
            <w:tcW w:w="4040" w:type="dxa"/>
            <w:vAlign w:val="bottom"/>
            <w:tcBorders>
              <w:top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56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59.1</w:t>
            </w:r>
          </w:p>
        </w:tc>
        <w:tc>
          <w:tcPr>
            <w:tcW w:w="280" w:type="dxa"/>
            <w:vAlign w:val="bottom"/>
            <w:tcBorders>
              <w:top w:val="single" w:sz="8" w:color="CCEEFF"/>
            </w:tcBorders>
            <w:shd w:val="clear" w:color="auto" w:fill="CCEEFF"/>
          </w:tcPr>
          <w:p>
            <w:pPr>
              <w:jc w:val="right"/>
              <w:ind w:right="122"/>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64.4</w:t>
            </w:r>
          </w:p>
        </w:tc>
        <w:tc>
          <w:tcPr>
            <w:tcW w:w="300" w:type="dxa"/>
            <w:vAlign w:val="bottom"/>
            <w:tcBorders>
              <w:top w:val="single" w:sz="8" w:color="CCEEFF"/>
              <w:right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66.0</w:t>
            </w:r>
          </w:p>
        </w:tc>
        <w:tc>
          <w:tcPr>
            <w:tcW w:w="1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33"/>
        </w:trPr>
        <w:tc>
          <w:tcPr>
            <w:tcW w:w="40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Income (loss) from operations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4.7</w:t>
            </w:r>
          </w:p>
        </w:tc>
        <w:tc>
          <w:tcPr>
            <w:tcW w:w="280" w:type="dxa"/>
            <w:vAlign w:val="bottom"/>
          </w:tcPr>
          <w:p>
            <w:pPr>
              <w:jc w:val="right"/>
              <w:ind w:right="122"/>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0.1 %</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0.1 %</w:t>
            </w: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Income (loss) before income taxes</w:t>
            </w: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auto"/>
                <w:w w:val="79"/>
              </w:rPr>
              <w:t>%</w:t>
            </w: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4.6</w:t>
            </w:r>
          </w:p>
        </w:tc>
        <w:tc>
          <w:tcPr>
            <w:tcW w:w="2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(4.6)%</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rPr>
              <w:t>1.4 %</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2.1 %</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4.6 %</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auto"/>
              </w:rPr>
              <w:t>Net income (loss)</w:t>
            </w: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auto"/>
                <w:w w:val="79"/>
              </w:rPr>
              <w:t>%</w:t>
            </w: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w:t>
            </w:r>
          </w:p>
        </w:tc>
        <w:tc>
          <w:tcPr>
            <w:tcW w:w="2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loss: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 currency translation adjustments, net of tax</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2"/>
              <w:spacing w:after="0"/>
              <w:rPr>
                <w:sz w:val="20"/>
                <w:szCs w:val="20"/>
                <w:color w:val="auto"/>
              </w:rPr>
            </w:pPr>
            <w:r>
              <w:rPr>
                <w:rFonts w:ascii="Times New Roman" w:cs="Times New Roman" w:eastAsia="Times New Roman" w:hAnsi="Times New Roman"/>
                <w:sz w:val="12"/>
                <w:szCs w:val="12"/>
                <w:color w:val="auto"/>
              </w:rPr>
              <w:t>2.1 %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2.3 %</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4"/>
        </w:trPr>
        <w:tc>
          <w:tcPr>
            <w:tcW w:w="4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Unrealized (gain) loss on investments, net of tax</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2"/>
                <w:szCs w:val="12"/>
                <w:color w:val="auto"/>
              </w:rPr>
              <w:t>— %</w:t>
            </w:r>
          </w:p>
        </w:tc>
        <w:tc>
          <w:tcPr>
            <w:tcW w:w="10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Total other comprehensive (income) loss, net of tax</w:t>
            </w: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22"/>
              <w:spacing w:after="0"/>
              <w:rPr>
                <w:sz w:val="20"/>
                <w:szCs w:val="20"/>
                <w:color w:val="auto"/>
              </w:rPr>
            </w:pPr>
            <w:r>
              <w:rPr>
                <w:rFonts w:ascii="Times New Roman" w:cs="Times New Roman" w:eastAsia="Times New Roman" w:hAnsi="Times New Roman"/>
                <w:sz w:val="12"/>
                <w:szCs w:val="12"/>
                <w:color w:val="auto"/>
                <w:w w:val="79"/>
              </w:rPr>
              <w:t>%</w:t>
            </w: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2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0"/>
        </w:trPr>
        <w:tc>
          <w:tcPr>
            <w:tcW w:w="4040" w:type="dxa"/>
            <w:vAlign w:val="bottom"/>
            <w:tcBorders>
              <w:top w:val="single" w:sz="8" w:color="CCEEFF"/>
              <w:bottom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comprehensive income (loss)</w:t>
            </w:r>
          </w:p>
        </w:tc>
        <w:tc>
          <w:tcPr>
            <w:tcW w:w="56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280" w:type="dxa"/>
            <w:vAlign w:val="bottom"/>
            <w:tcBorders>
              <w:top w:val="single" w:sz="8" w:color="CCEEFF"/>
              <w:bottom w:val="single" w:sz="8" w:color="CCEEFF"/>
            </w:tcBorders>
            <w:shd w:val="clear" w:color="auto" w:fill="CCEEFF"/>
          </w:tcPr>
          <w:p>
            <w:pPr>
              <w:jc w:val="right"/>
              <w:ind w:right="122"/>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w:t>
            </w:r>
          </w:p>
        </w:tc>
        <w:tc>
          <w:tcPr>
            <w:tcW w:w="300" w:type="dxa"/>
            <w:vAlign w:val="bottom"/>
            <w:tcBorders>
              <w:top w:val="single" w:sz="8" w:color="CCEEFF"/>
              <w:bottom w:val="single" w:sz="8" w:color="CCEEFF"/>
              <w:right w:val="single" w:sz="8" w:color="CCEEFF"/>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14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w:t>
            </w:r>
          </w:p>
        </w:tc>
        <w:tc>
          <w:tcPr>
            <w:tcW w:w="14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560" w:type="dxa"/>
            <w:vAlign w:val="bottom"/>
          </w:tcPr>
          <w:p>
            <w:pPr>
              <w:jc w:val="right"/>
              <w:ind w:right="6"/>
              <w:spacing w:after="0"/>
              <w:rPr>
                <w:sz w:val="20"/>
                <w:szCs w:val="20"/>
                <w:color w:val="auto"/>
              </w:rPr>
            </w:pPr>
            <w:r>
              <w:rPr>
                <w:rFonts w:ascii="Times New Roman" w:cs="Times New Roman" w:eastAsia="Times New Roman" w:hAnsi="Times New Roman"/>
                <w:sz w:val="12"/>
                <w:szCs w:val="12"/>
                <w:color w:val="auto"/>
              </w:rPr>
              <w:t>39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Three Months Ended June 30, 2024 Compared to Three Months Ended June 30, 2023</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Revenues</w:t>
      </w:r>
    </w:p>
    <w:tbl>
      <w:tblPr>
        <w:tblLayout w:type="fixed"/>
        <w:tblInd w:w="20" w:type="dxa"/>
        <w:tblCellMar>
          <w:top w:w="0" w:type="dxa"/>
          <w:left w:w="0" w:type="dxa"/>
          <w:bottom w:w="0" w:type="dxa"/>
          <w:right w:w="0" w:type="dxa"/>
        </w:tblCellMar>
      </w:tblPr>
      <w:tr>
        <w:trPr>
          <w:trHeight w:val="112"/>
        </w:trPr>
        <w:tc>
          <w:tcPr>
            <w:tcW w:w="4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0" w:type="dxa"/>
            <w:vAlign w:val="bottom"/>
            <w:gridSpan w:val="5"/>
          </w:tcPr>
          <w:p>
            <w:pPr>
              <w:jc w:val="center"/>
              <w:ind w:right="380"/>
              <w:spacing w:after="0" w:line="113" w:lineRule="exact"/>
              <w:rPr>
                <w:sz w:val="20"/>
                <w:szCs w:val="20"/>
                <w:color w:val="auto"/>
              </w:rPr>
            </w:pPr>
            <w:r>
              <w:rPr>
                <w:rFonts w:ascii="Times New Roman" w:cs="Times New Roman" w:eastAsia="Times New Roman" w:hAnsi="Times New Roman"/>
                <w:sz w:val="10"/>
                <w:szCs w:val="10"/>
                <w:b w:val="1"/>
                <w:bCs w:val="1"/>
                <w:color w:val="auto"/>
                <w:w w:val="96"/>
              </w:rPr>
              <w:t>For the three months ended</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7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left="367"/>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6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w w:val="96"/>
              </w:rPr>
              <w:t>Period-Over-Period Change</w:t>
            </w:r>
          </w:p>
        </w:tc>
        <w:tc>
          <w:tcPr>
            <w:tcW w:w="3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47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220" w:type="dxa"/>
            <w:vAlign w:val="bottom"/>
          </w:tcPr>
          <w:p>
            <w:pPr>
              <w:spacing w:after="0"/>
              <w:rPr>
                <w:sz w:val="9"/>
                <w:szCs w:val="9"/>
                <w:color w:val="auto"/>
              </w:rPr>
            </w:pPr>
          </w:p>
        </w:tc>
        <w:tc>
          <w:tcPr>
            <w:tcW w:w="1160" w:type="dxa"/>
            <w:vAlign w:val="bottom"/>
            <w:gridSpan w:val="3"/>
          </w:tcPr>
          <w:p>
            <w:pPr>
              <w:jc w:val="center"/>
              <w:ind w:left="387"/>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 subscriptions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136,443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117,836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18,607</w:t>
            </w: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Services</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24,661</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21,859</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2,802</w:t>
            </w:r>
          </w:p>
        </w:tc>
        <w:tc>
          <w:tcPr>
            <w:tcW w:w="5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00" w:type="dxa"/>
            <w:vAlign w:val="bottom"/>
            <w:tcBorders>
              <w:bottom w:val="single" w:sz="8" w:color="CCEEFF"/>
            </w:tcBorders>
          </w:tcPr>
          <w:p>
            <w:pPr>
              <w:jc w:val="right"/>
              <w:ind w:right="40"/>
              <w:spacing w:after="0"/>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0"/>
        </w:trPr>
        <w:tc>
          <w:tcPr>
            <w:tcW w:w="47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161,104</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139,695</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21,409</w:t>
            </w:r>
          </w:p>
        </w:tc>
        <w:tc>
          <w:tcPr>
            <w:tcW w:w="5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15.3</w:t>
            </w:r>
          </w:p>
        </w:tc>
        <w:tc>
          <w:tcPr>
            <w:tcW w:w="200" w:type="dxa"/>
            <w:vAlign w:val="bottom"/>
            <w:tcBorders>
              <w:bottom w:val="single" w:sz="8" w:color="CCEEFF"/>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Revenues increased $21.4 million, or 15.3%, to $161.1 million for the three months ended June 30, 2024 compared to $139.7 million for the same period in 2023. The increase in software subscriptions revenues of $18.6 million, or 15.8%, was primarily driven by increases from our existing customers in cross selling new products to existing customers, and to a lesser extent, increases due to expanded use and price increases. Software subscriptions revenues derived from new customers averaged 5.8% and 6.3% of total software subscriptions revenues in the three months ended June 30, 2024 and 2023, respectively.</w:t>
      </w:r>
    </w:p>
    <w:p>
      <w:pPr>
        <w:spacing w:after="0" w:line="122"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The $2.8 million increase in services revenues was primarily driven by an increase of $2.7 million in software subscription-related services associated with the growth in subscription revenues, which includes new customers implementing our solutions and existing customers upgrading to newer versions of our solutions. In addition, our managed services offering experienced a $0.1 million increase driven by an increase in recurring services revenues over the prior year due to returns processing volume increases related to customer business growth and regulatory changes as customers expanded their tax filings into more jurisdictions, as well as an increase in interest received from our funds held for customers.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Cost of Software Subscriptions Revenues</w:t>
      </w:r>
    </w:p>
    <w:p>
      <w:pPr>
        <w:spacing w:after="0" w:line="9"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226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460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0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Period-Over-Period Change</w:t>
            </w: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r>
      <w:tr>
        <w:trPr>
          <w:trHeight w:val="133"/>
        </w:trPr>
        <w:tc>
          <w:tcPr>
            <w:tcW w:w="4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Cost of software subscriptions revenues</w:t>
            </w:r>
          </w:p>
        </w:tc>
        <w:tc>
          <w:tcPr>
            <w:tcW w:w="22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42,261</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38,516</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706"/>
              <w:spacing w:after="0" w:line="133" w:lineRule="exact"/>
              <w:rPr>
                <w:sz w:val="20"/>
                <w:szCs w:val="20"/>
                <w:color w:val="auto"/>
              </w:rPr>
            </w:pPr>
            <w:r>
              <w:rPr>
                <w:rFonts w:ascii="Times New Roman" w:cs="Times New Roman" w:eastAsia="Times New Roman" w:hAnsi="Times New Roman"/>
                <w:sz w:val="12"/>
                <w:szCs w:val="12"/>
                <w:color w:val="auto"/>
              </w:rPr>
              <w:t>3,745</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42"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Cost of software subscriptions revenues increased $3.8 million, or 9.7%, to $42.3 million for the three months ended June 30, 2024 compared to $38.5 million for the same period in 2023. The increase in cost of software subscriptions revenues was primarily driven by a $1.9 million increase in costs of personnel supporting period-over-period growth of sales and customers, ongoing infrastructure investments and support costs to enable the continued expansion of customer transaction volumes for our cloud-based subscription customers. In addition, the increase in cost of software subscriptions revenues included an increase in depreciation and amortization of capitalized software and acquired intangible assets of $3.1 million associated with our ongoing investments in internal-use software for cloud-based subscription solutions, software developed for sale for new products and enhancements to existing products, and costs associated with the amortization of acquired intangible assets.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Cost of Services Revenues</w:t>
      </w:r>
    </w:p>
    <w:p>
      <w:pPr>
        <w:spacing w:after="0" w:line="9"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226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460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0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Period-Over-Period Change</w:t>
            </w: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r>
      <w:tr>
        <w:trPr>
          <w:trHeight w:val="133"/>
        </w:trPr>
        <w:tc>
          <w:tcPr>
            <w:tcW w:w="4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Cost of services revenues</w:t>
            </w:r>
          </w:p>
        </w:tc>
        <w:tc>
          <w:tcPr>
            <w:tcW w:w="22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16,155</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15,363</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706"/>
              <w:spacing w:after="0" w:line="133" w:lineRule="exact"/>
              <w:rPr>
                <w:sz w:val="20"/>
                <w:szCs w:val="20"/>
                <w:color w:val="auto"/>
              </w:rPr>
            </w:pPr>
            <w:r>
              <w:rPr>
                <w:rFonts w:ascii="Times New Roman" w:cs="Times New Roman" w:eastAsia="Times New Roman" w:hAnsi="Times New Roman"/>
                <w:sz w:val="12"/>
                <w:szCs w:val="12"/>
                <w:color w:val="auto"/>
              </w:rPr>
              <w:t>792</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Cost of services revenues increased $0.8 million, or 5.2%, to $16.2 million for the three months ended June 30, 2024, compared to $15.4 million for the same period in 2023. The increase in cost of services revenues was primarily due to an increase in costs of service delivery personnel to support revenue growth in software subscription-related services and our managed services offering.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9"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242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472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30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30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jc w:val="right"/>
              <w:ind w:right="6"/>
              <w:spacing w:after="0" w:line="88" w:lineRule="exact"/>
              <w:rPr>
                <w:sz w:val="20"/>
                <w:szCs w:val="20"/>
                <w:color w:val="auto"/>
              </w:rPr>
            </w:pPr>
            <w:r>
              <w:rPr>
                <w:rFonts w:ascii="Times New Roman" w:cs="Times New Roman" w:eastAsia="Times New Roman" w:hAnsi="Times New Roman"/>
                <w:sz w:val="10"/>
                <w:szCs w:val="10"/>
                <w:b w:val="1"/>
                <w:bCs w:val="1"/>
                <w:color w:val="auto"/>
              </w:rPr>
              <w:t>Period-Over-Period Change</w:t>
            </w: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r>
      <w:tr>
        <w:trPr>
          <w:trHeight w:val="133"/>
        </w:trPr>
        <w:tc>
          <w:tcPr>
            <w:tcW w:w="4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Research and development</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14,614</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12,680</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646"/>
              <w:spacing w:after="0" w:line="133" w:lineRule="exact"/>
              <w:rPr>
                <w:sz w:val="20"/>
                <w:szCs w:val="20"/>
                <w:color w:val="auto"/>
              </w:rPr>
            </w:pPr>
            <w:r>
              <w:rPr>
                <w:rFonts w:ascii="Times New Roman" w:cs="Times New Roman" w:eastAsia="Times New Roman" w:hAnsi="Times New Roman"/>
                <w:sz w:val="12"/>
                <w:szCs w:val="12"/>
                <w:color w:val="auto"/>
              </w:rPr>
              <w:t>1,934</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15.3</w:t>
            </w:r>
          </w:p>
        </w:tc>
        <w:tc>
          <w:tcPr>
            <w:tcW w:w="18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Research and development expenses increased $1.9 million, or 15.3%, to $14.6 million for the three months ended June 30, 2024 compared to $12.7 million for the same period in 2023. The increase in research and development expenses is due primarily to an increase in personnel costs related to development work associated with new solutions to address end-to-end data analysis and compliance needs of our customers, and continued expansion of connectors and application program interfaces (“APIs”) to customer ERP and other software platforms. Research and development expense excludes those costs that have been capitalized for solutions that have met our capitalization policy.</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Selling and Marketing</w:t>
      </w:r>
    </w:p>
    <w:p>
      <w:pPr>
        <w:spacing w:after="0" w:line="9"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180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270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1620" w:type="dxa"/>
            <w:vAlign w:val="bottom"/>
            <w:tcBorders>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Period-Over-Period Change</w:t>
            </w:r>
          </w:p>
        </w:tc>
        <w:tc>
          <w:tcPr>
            <w:tcW w:w="34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r>
      <w:tr>
        <w:trPr>
          <w:trHeight w:val="133"/>
        </w:trPr>
        <w:tc>
          <w:tcPr>
            <w:tcW w:w="2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Selling and marketing</w:t>
            </w:r>
          </w:p>
        </w:tc>
        <w:tc>
          <w:tcPr>
            <w:tcW w:w="16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40,541</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33,541</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ind w:right="706"/>
              <w:spacing w:after="0" w:line="133" w:lineRule="exact"/>
              <w:rPr>
                <w:sz w:val="20"/>
                <w:szCs w:val="20"/>
                <w:color w:val="auto"/>
              </w:rPr>
            </w:pPr>
            <w:r>
              <w:rPr>
                <w:rFonts w:ascii="Times New Roman" w:cs="Times New Roman" w:eastAsia="Times New Roman" w:hAnsi="Times New Roman"/>
                <w:sz w:val="12"/>
                <w:szCs w:val="12"/>
                <w:color w:val="auto"/>
              </w:rPr>
              <w:t>7,000</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20.9</w:t>
            </w:r>
          </w:p>
        </w:tc>
        <w:tc>
          <w:tcPr>
            <w:tcW w:w="220" w:type="dxa"/>
            <w:vAlign w:val="bottom"/>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42"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Selling and marketing expenses increased $7.0 million, or 20.9%, to $40.5 million for the three months ended June 30, 2024 compared to $33.5 million for the same period in 2023. This increase was primarily driven by a $4.1 million increase in payroll and related expenses associated with the growth in period-over-period subscription sales and services revenues and expansion of our partner and channel management programs. Additionally, there was an increase of $2.2 million in advertising and promotional spending related to expanded brand awareness efforts.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9"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232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466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30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jc w:val="right"/>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Period-Over-Period Change</w:t>
            </w:r>
          </w:p>
        </w:tc>
        <w:tc>
          <w:tcPr>
            <w:tcW w:w="30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r>
      <w:tr>
        <w:trPr>
          <w:trHeight w:val="133"/>
        </w:trPr>
        <w:tc>
          <w:tcPr>
            <w:tcW w:w="46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General and administrative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35,874</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39,376</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ind w:right="646"/>
              <w:spacing w:after="0" w:line="133" w:lineRule="exact"/>
              <w:rPr>
                <w:sz w:val="20"/>
                <w:szCs w:val="20"/>
                <w:color w:val="auto"/>
              </w:rPr>
            </w:pPr>
            <w:r>
              <w:rPr>
                <w:rFonts w:ascii="Times New Roman" w:cs="Times New Roman" w:eastAsia="Times New Roman" w:hAnsi="Times New Roman"/>
                <w:sz w:val="12"/>
                <w:szCs w:val="12"/>
                <w:color w:val="auto"/>
              </w:rPr>
              <w:t>(3,502)</w:t>
            </w:r>
          </w:p>
        </w:tc>
        <w:tc>
          <w:tcPr>
            <w:tcW w:w="4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(8.9)%</w:t>
            </w:r>
          </w:p>
        </w:tc>
      </w:tr>
    </w:tbl>
    <w:p>
      <w:pPr>
        <w:spacing w:after="0" w:line="142"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General and administrative expenses decreased $3.5 million, or 8.9%, to $35.9 million for the three months ended June 30, 2024 compared to $39.4 million for the same period in 2023. The decrease was primarily due to a $3.7 million reduction in spend related to 2023 ERP implementation costs incurred in the prior period as well as a $0.9 million decrease in stock-based compensation expense. This decrease was partly offset by an increase of $0.4 million for the amortization of capitalized cloud computing implementation costs related to our ERP modernization initiative.</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Depreciation and Amortization</w:t>
      </w:r>
    </w:p>
    <w:p>
      <w:pPr>
        <w:spacing w:after="0" w:line="9"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252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478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right"/>
              <w:ind w:right="28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jc w:val="right"/>
              <w:ind w:right="6"/>
              <w:spacing w:after="0" w:line="88" w:lineRule="exact"/>
              <w:rPr>
                <w:sz w:val="20"/>
                <w:szCs w:val="20"/>
                <w:color w:val="auto"/>
              </w:rPr>
            </w:pPr>
            <w:r>
              <w:rPr>
                <w:rFonts w:ascii="Times New Roman" w:cs="Times New Roman" w:eastAsia="Times New Roman" w:hAnsi="Times New Roman"/>
                <w:sz w:val="10"/>
                <w:szCs w:val="10"/>
                <w:b w:val="1"/>
                <w:bCs w:val="1"/>
                <w:color w:val="auto"/>
              </w:rPr>
              <w:t>Period-Over-Period change</w:t>
            </w:r>
          </w:p>
        </w:tc>
        <w:tc>
          <w:tcPr>
            <w:tcW w:w="32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r>
      <w:tr>
        <w:trPr>
          <w:trHeight w:val="133"/>
        </w:trPr>
        <w:tc>
          <w:tcPr>
            <w:tcW w:w="47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56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5,212</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3,878</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ind w:right="646"/>
              <w:spacing w:after="0" w:line="133" w:lineRule="exact"/>
              <w:rPr>
                <w:sz w:val="20"/>
                <w:szCs w:val="20"/>
                <w:color w:val="auto"/>
              </w:rPr>
            </w:pPr>
            <w:r>
              <w:rPr>
                <w:rFonts w:ascii="Times New Roman" w:cs="Times New Roman" w:eastAsia="Times New Roman" w:hAnsi="Times New Roman"/>
                <w:sz w:val="12"/>
                <w:szCs w:val="12"/>
                <w:color w:val="auto"/>
              </w:rPr>
              <w:t>1,334</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34.4</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277"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Depreciation and amortization increased $1.3 million, or 34.4%, to $5.2 million for the three months ended June 30, 2024 compared to $3.9 million for the same period in 2023. The increase was primarily due to the impact of infrastructure and technology purchases and other capitalized costs to support our growth.</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Other Operating Expense (Income), Net</w:t>
      </w:r>
    </w:p>
    <w:p>
      <w:pPr>
        <w:spacing w:after="0" w:line="9"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2200"/>
        <w:spacing w:after="0" w:line="236" w:lineRule="auto"/>
        <w:rPr>
          <w:sz w:val="20"/>
          <w:szCs w:val="20"/>
          <w:color w:val="auto"/>
        </w:rPr>
      </w:pPr>
      <w:r>
        <w:rPr>
          <w:rFonts w:ascii="Times New Roman" w:cs="Times New Roman" w:eastAsia="Times New Roman" w:hAnsi="Times New Roman"/>
          <w:sz w:val="10"/>
          <w:szCs w:val="1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-5715</wp:posOffset>
            </wp:positionV>
            <wp:extent cx="130302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15"/>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3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2023</w:t>
            </w: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Period-Over-Period Change</w:t>
            </w: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r>
      <w:tr>
        <w:trPr>
          <w:trHeight w:val="133"/>
        </w:trPr>
        <w:tc>
          <w:tcPr>
            <w:tcW w:w="3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operating expense (income), net</w:t>
            </w:r>
          </w:p>
        </w:tc>
        <w:tc>
          <w:tcPr>
            <w:tcW w:w="13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1"/>
              </w:rPr>
              <w:t>(1,098)</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413</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ind w:right="586"/>
              <w:spacing w:after="0" w:line="133" w:lineRule="exact"/>
              <w:rPr>
                <w:sz w:val="20"/>
                <w:szCs w:val="20"/>
                <w:color w:val="auto"/>
              </w:rPr>
            </w:pPr>
            <w:r>
              <w:rPr>
                <w:rFonts w:ascii="Times New Roman" w:cs="Times New Roman" w:eastAsia="Times New Roman" w:hAnsi="Times New Roman"/>
                <w:sz w:val="12"/>
                <w:szCs w:val="12"/>
                <w:color w:val="auto"/>
              </w:rPr>
              <w:t>(1,511)</w:t>
            </w:r>
          </w:p>
        </w:tc>
        <w:tc>
          <w:tcPr>
            <w:tcW w:w="5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(365.9)%</w:t>
            </w:r>
          </w:p>
        </w:tc>
      </w:tr>
    </w:tbl>
    <w:p>
      <w:pPr>
        <w:spacing w:after="0" w:line="133" w:lineRule="exact"/>
        <w:rPr>
          <w:sz w:val="20"/>
          <w:szCs w:val="20"/>
          <w:color w:val="auto"/>
        </w:rPr>
      </w:pPr>
    </w:p>
    <w:p>
      <w:pPr>
        <w:ind w:left="20" w:right="279" w:firstLine="216"/>
        <w:spacing w:after="0" w:line="279" w:lineRule="auto"/>
        <w:rPr>
          <w:sz w:val="20"/>
          <w:szCs w:val="20"/>
          <w:color w:val="auto"/>
        </w:rPr>
      </w:pPr>
      <w:r>
        <w:rPr>
          <w:rFonts w:ascii="Times New Roman" w:cs="Times New Roman" w:eastAsia="Times New Roman" w:hAnsi="Times New Roman"/>
          <w:sz w:val="12"/>
          <w:szCs w:val="12"/>
          <w:color w:val="auto"/>
        </w:rPr>
        <w:t>Other operating expense (income), net increased to income of $(1.1) million, net for the three months ended June 30, 2024 compared to expense of $0.4 million, net for the same period in 2023. The decrease in expense was primarily driven by a decrease in the contingent consideration liability for the Tellutax, Inc. acquisition (“Tellutax”).</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Interest Expense (Income), Net</w:t>
      </w:r>
    </w:p>
    <w:p>
      <w:pPr>
        <w:spacing w:after="0" w:line="9"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2220"/>
        <w:spacing w:after="0" w:line="236" w:lineRule="auto"/>
        <w:rPr>
          <w:sz w:val="20"/>
          <w:szCs w:val="20"/>
          <w:color w:val="auto"/>
        </w:rPr>
      </w:pPr>
      <w:r>
        <w:rPr>
          <w:rFonts w:ascii="Times New Roman" w:cs="Times New Roman" w:eastAsia="Times New Roman" w:hAnsi="Times New Roman"/>
          <w:sz w:val="10"/>
          <w:szCs w:val="1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2922905</wp:posOffset>
            </wp:positionH>
            <wp:positionV relativeFrom="paragraph">
              <wp:posOffset>-5715</wp:posOffset>
            </wp:positionV>
            <wp:extent cx="130302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15"/>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56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Period-Over-Period Change</w:t>
            </w: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r>
      <w:tr>
        <w:trPr>
          <w:trHeight w:val="133"/>
        </w:trPr>
        <w:tc>
          <w:tcPr>
            <w:tcW w:w="3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expense (income), net</w:t>
            </w:r>
          </w:p>
        </w:tc>
        <w:tc>
          <w:tcPr>
            <w:tcW w:w="15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181</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ind w:right="626"/>
              <w:spacing w:after="0" w:line="133" w:lineRule="exact"/>
              <w:rPr>
                <w:sz w:val="20"/>
                <w:szCs w:val="20"/>
                <w:color w:val="auto"/>
              </w:rPr>
            </w:pPr>
            <w:r>
              <w:rPr>
                <w:rFonts w:ascii="Times New Roman" w:cs="Times New Roman" w:eastAsia="Times New Roman" w:hAnsi="Times New Roman"/>
                <w:sz w:val="12"/>
                <w:szCs w:val="12"/>
                <w:color w:val="auto"/>
              </w:rPr>
              <w:t>286</w:t>
            </w:r>
          </w:p>
        </w:tc>
        <w:tc>
          <w:tcPr>
            <w:tcW w:w="56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(272.4)%</w:t>
            </w:r>
          </w:p>
        </w:tc>
      </w:tr>
    </w:tbl>
    <w:p>
      <w:pPr>
        <w:spacing w:after="0" w:line="133"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Interest expense (income), net increased to an expense of $0.2 million for the three months ended June 30, 2024, compared to interest income of $0.1 million for the same period in 2023. This change was mainly due to several factors: a $0.8 million increase in interest expense related to the convertible debt issuance and Systax acquisition, a $0.5 million decrease in the valuation of our foreign currency forward contracts due to market fluctuations, and a $0.7 million increase in deferred financing costs related to the convertible debt issuance and the repayment of our term loan in May. These increases were partially offset by $1.3 million of interest income, primarily due to increased dollars invested during the period, and a reduction of $0.5 million in interest expense related to the term loan repayment.</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Income Tax Expense</w:t>
      </w:r>
    </w:p>
    <w:p>
      <w:pPr>
        <w:spacing w:after="0" w:line="9" w:lineRule="exact"/>
        <w:rPr>
          <w:sz w:val="20"/>
          <w:szCs w:val="20"/>
          <w:color w:val="auto"/>
        </w:rPr>
      </w:pPr>
    </w:p>
    <w:p>
      <w:pPr>
        <w:jc w:val="center"/>
        <w:ind w:left="202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p>
      <w:pPr>
        <w:jc w:val="center"/>
        <w:ind w:left="2000"/>
        <w:spacing w:after="0" w:line="236" w:lineRule="auto"/>
        <w:rPr>
          <w:sz w:val="20"/>
          <w:szCs w:val="20"/>
          <w:color w:val="auto"/>
        </w:rPr>
      </w:pPr>
      <w:r>
        <w:rPr>
          <w:rFonts w:ascii="Times New Roman" w:cs="Times New Roman" w:eastAsia="Times New Roman" w:hAnsi="Times New Roman"/>
          <w:sz w:val="10"/>
          <w:szCs w:val="1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-5715</wp:posOffset>
            </wp:positionV>
            <wp:extent cx="136017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60170" cy="571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15"/>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72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Period-Over-Period Change</w:t>
            </w: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r>
      <w:tr>
        <w:trPr>
          <w:trHeight w:val="133"/>
        </w:trPr>
        <w:tc>
          <w:tcPr>
            <w:tcW w:w="2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expense</w:t>
            </w:r>
          </w:p>
        </w:tc>
        <w:tc>
          <w:tcPr>
            <w:tcW w:w="172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2,200</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2,929</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646"/>
              <w:spacing w:after="0" w:line="133" w:lineRule="exact"/>
              <w:rPr>
                <w:sz w:val="20"/>
                <w:szCs w:val="20"/>
                <w:color w:val="auto"/>
              </w:rPr>
            </w:pPr>
            <w:r>
              <w:rPr>
                <w:rFonts w:ascii="Times New Roman" w:cs="Times New Roman" w:eastAsia="Times New Roman" w:hAnsi="Times New Roman"/>
                <w:sz w:val="12"/>
                <w:szCs w:val="12"/>
                <w:color w:val="auto"/>
              </w:rPr>
              <w:t>(729)</w:t>
            </w:r>
          </w:p>
        </w:tc>
        <w:tc>
          <w:tcPr>
            <w:tcW w:w="52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(24.9)%</w:t>
            </w:r>
          </w:p>
        </w:tc>
      </w:tr>
    </w:tbl>
    <w:p>
      <w:pPr>
        <w:spacing w:after="0" w:line="151" w:lineRule="exact"/>
        <w:rPr>
          <w:sz w:val="20"/>
          <w:szCs w:val="20"/>
          <w:color w:val="auto"/>
        </w:rPr>
      </w:pPr>
    </w:p>
    <w:p>
      <w:pPr>
        <w:jc w:val="both"/>
        <w:ind w:left="20" w:right="39" w:firstLine="432"/>
        <w:spacing w:after="0" w:line="295" w:lineRule="auto"/>
        <w:rPr>
          <w:sz w:val="20"/>
          <w:szCs w:val="20"/>
          <w:color w:val="auto"/>
        </w:rPr>
      </w:pPr>
      <w:r>
        <w:rPr>
          <w:rFonts w:ascii="Times New Roman" w:cs="Times New Roman" w:eastAsia="Times New Roman" w:hAnsi="Times New Roman"/>
          <w:sz w:val="12"/>
          <w:szCs w:val="12"/>
          <w:color w:val="auto"/>
        </w:rPr>
        <w:t>Income tax expense was $2.2 million and $2.9 million for the three months ended June 30, 2024 and 2023, respectively. The change in tax expense was primarily driven by changes in benefits of tax credits, changes in jurisdictional income or loss allocation, and fluctuations in valuation allowances on certain foreign deferred tax assets.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Six Months Ended June 30, 2024 Compared to Six Months Ended June 30, 2023</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gridSpan w:val="4"/>
          </w:tcPr>
          <w:p>
            <w:pPr>
              <w:jc w:val="center"/>
              <w:ind w:right="143"/>
              <w:spacing w:after="0"/>
              <w:rPr>
                <w:sz w:val="20"/>
                <w:szCs w:val="20"/>
                <w:color w:val="auto"/>
              </w:rPr>
            </w:pPr>
            <w:r>
              <w:rPr>
                <w:rFonts w:ascii="Times New Roman" w:cs="Times New Roman" w:eastAsia="Times New Roman" w:hAnsi="Times New Roman"/>
                <w:sz w:val="10"/>
                <w:szCs w:val="10"/>
                <w:b w:val="1"/>
                <w:bCs w:val="1"/>
                <w:color w:val="auto"/>
                <w:w w:val="96"/>
              </w:rPr>
              <w:t>For the six months ended</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8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center"/>
              <w:ind w:left="387"/>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6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w w:val="98"/>
              </w:rPr>
              <w:t>Year-Over-Year Change</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9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307"/>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303"/>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9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3"/>
          </w:tcPr>
          <w:p>
            <w:pPr>
              <w:jc w:val="center"/>
              <w:ind w:left="407"/>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92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Software subscriptions</w:t>
            </w:r>
          </w:p>
        </w:tc>
        <w:tc>
          <w:tcPr>
            <w:tcW w:w="204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268,273</w:t>
            </w:r>
          </w:p>
        </w:tc>
        <w:tc>
          <w:tcPr>
            <w:tcW w:w="44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228,850</w:t>
            </w:r>
          </w:p>
        </w:tc>
        <w:tc>
          <w:tcPr>
            <w:tcW w:w="44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39,423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20"/>
                <w:szCs w:val="20"/>
                <w:color w:val="auto"/>
              </w:rPr>
            </w:pPr>
            <w:r>
              <w:rPr>
                <w:rFonts w:ascii="Times New Roman" w:cs="Times New Roman" w:eastAsia="Times New Roman" w:hAnsi="Times New Roman"/>
                <w:sz w:val="12"/>
                <w:szCs w:val="12"/>
                <w:color w:val="auto"/>
              </w:rPr>
              <w:t>Services</w:t>
            </w: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49,612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43,596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0"/>
        </w:trPr>
        <w:tc>
          <w:tcPr>
            <w:tcW w:w="29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revenues</w:t>
            </w:r>
          </w:p>
        </w:tc>
        <w:tc>
          <w:tcPr>
            <w:tcW w:w="18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317,885</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272,446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45,439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Revenues increased $45.4 million, or 16.7%, to $317.9 million for the six months ended June 30, 2024 compared to $272.4 million for the same period in 2023. The increase in software subscriptions revenues of $39.4 million, or 17.2%, was primarily driven by increases from our existing customers in cross selling new products to existing customers, and to a lesser extent, increases due to expanded use and price increases. Software subscriptions revenues derived from new customers averaged 5.7% and 6.5% of total software subscriptions revenues in the six months ended June 30, 2024 and 2023, respectively.</w:t>
      </w:r>
    </w:p>
    <w:p>
      <w:pPr>
        <w:spacing w:after="0" w:line="122"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The $6.0 million increase in services revenues was primarily driven by an increase of $4.6 million in software subscription-related services associated with the growth in subscription revenues, which includes new customers implementing our solutions and existing customers upgrading to newer versions of our solutions. In addition, our managed services offering experienced a $1.4 million increase driven by an increase in recurring services revenues over the prior year due to returns processing volume increases related to customer business growth and regulatory changes as customers expanded their tax filings into more jurisdictions, as well as an increase in interest received from our funds held for customers.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Cost of Software Subscriptions Revenues</w:t>
      </w:r>
    </w:p>
    <w:p>
      <w:pPr>
        <w:spacing w:after="0" w:line="9"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0"/>
          <w:szCs w:val="10"/>
          <w:b w:val="1"/>
          <w:bCs w:val="1"/>
          <w:color w:val="auto"/>
        </w:rPr>
        <w:t>For the six months ended</w:t>
      </w:r>
    </w:p>
    <w:p>
      <w:pPr>
        <w:jc w:val="center"/>
        <w:ind w:left="226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326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1340" w:type="dxa"/>
            <w:vAlign w:val="bottom"/>
            <w:tcBorders>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jc w:val="right"/>
              <w:ind w:right="66"/>
              <w:spacing w:after="0" w:line="88" w:lineRule="exact"/>
              <w:rPr>
                <w:sz w:val="20"/>
                <w:szCs w:val="20"/>
                <w:color w:val="auto"/>
              </w:rPr>
            </w:pPr>
            <w:r>
              <w:rPr>
                <w:rFonts w:ascii="Times New Roman" w:cs="Times New Roman" w:eastAsia="Times New Roman" w:hAnsi="Times New Roman"/>
                <w:sz w:val="10"/>
                <w:szCs w:val="10"/>
                <w:b w:val="1"/>
                <w:bCs w:val="1"/>
                <w:color w:val="auto"/>
              </w:rPr>
              <w:t>Year-Over-Year Change</w:t>
            </w:r>
          </w:p>
        </w:tc>
        <w:tc>
          <w:tcPr>
            <w:tcW w:w="36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r>
      <w:tr>
        <w:trPr>
          <w:trHeight w:val="133"/>
        </w:trPr>
        <w:tc>
          <w:tcPr>
            <w:tcW w:w="32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Cost of software subscriptions revenues</w:t>
            </w: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87,389</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75,919</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ind w:right="646"/>
              <w:spacing w:after="0" w:line="133" w:lineRule="exact"/>
              <w:rPr>
                <w:sz w:val="20"/>
                <w:szCs w:val="20"/>
                <w:color w:val="auto"/>
              </w:rPr>
            </w:pPr>
            <w:r>
              <w:rPr>
                <w:rFonts w:ascii="Times New Roman" w:cs="Times New Roman" w:eastAsia="Times New Roman" w:hAnsi="Times New Roman"/>
                <w:sz w:val="12"/>
                <w:szCs w:val="12"/>
                <w:color w:val="auto"/>
              </w:rPr>
              <w:t>11,470</w:t>
            </w: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15.1</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Cost of software subscriptions revenues increased $11.5 million, or 15.1%, to $87.4 million for the six months ended June 30, 2024 compared to $75.9 million for the same period in 2023. The increase in cost of software subscriptions revenues was primarily driven by a $6.7 million increase in costs of personnel supporting period-over-period growth of sales and customers, ongoing infrastructure investments and support costs to enable the continued expansion of customer transaction volumes for our cloud-based subscription customers. In addition, the increase in cost of software subscriptions revenues included an increase in depreciation and amortization of capitalized software and acquired intangible assets of $4.8 million associated with our ongoing investments in internal-use software for cloud-based subscription solutions, software developed for sale for new products and enhancements to existing products, and costs associated with the amortization of acquired intangible assets.</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Cost of Services Revenues</w:t>
      </w:r>
    </w:p>
    <w:p>
      <w:pPr>
        <w:spacing w:after="0" w:line="9" w:lineRule="exact"/>
        <w:rPr>
          <w:sz w:val="20"/>
          <w:szCs w:val="20"/>
          <w:color w:val="auto"/>
        </w:rPr>
      </w:pPr>
    </w:p>
    <w:p>
      <w:pPr>
        <w:jc w:val="center"/>
        <w:ind w:left="2280"/>
        <w:spacing w:after="0"/>
        <w:rPr>
          <w:sz w:val="20"/>
          <w:szCs w:val="20"/>
          <w:color w:val="auto"/>
        </w:rPr>
      </w:pPr>
      <w:r>
        <w:rPr>
          <w:rFonts w:ascii="Times New Roman" w:cs="Times New Roman" w:eastAsia="Times New Roman" w:hAnsi="Times New Roman"/>
          <w:sz w:val="10"/>
          <w:szCs w:val="10"/>
          <w:b w:val="1"/>
          <w:bCs w:val="1"/>
          <w:color w:val="auto"/>
        </w:rPr>
        <w:t>For the six months ended</w:t>
      </w:r>
    </w:p>
    <w:p>
      <w:pPr>
        <w:jc w:val="center"/>
        <w:ind w:left="226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292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1680" w:type="dxa"/>
            <w:vAlign w:val="bottom"/>
            <w:tcBorders>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Year-Over-Year Change</w:t>
            </w:r>
          </w:p>
        </w:tc>
        <w:tc>
          <w:tcPr>
            <w:tcW w:w="34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r>
      <w:tr>
        <w:trPr>
          <w:trHeight w:val="133"/>
        </w:trPr>
        <w:tc>
          <w:tcPr>
            <w:tcW w:w="2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Cost of services revenues</w:t>
            </w:r>
          </w:p>
        </w:tc>
        <w:tc>
          <w:tcPr>
            <w:tcW w:w="16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32,016</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29,707</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ind w:right="666"/>
              <w:spacing w:after="0" w:line="133" w:lineRule="exact"/>
              <w:rPr>
                <w:sz w:val="20"/>
                <w:szCs w:val="20"/>
                <w:color w:val="auto"/>
              </w:rPr>
            </w:pPr>
            <w:r>
              <w:rPr>
                <w:rFonts w:ascii="Times New Roman" w:cs="Times New Roman" w:eastAsia="Times New Roman" w:hAnsi="Times New Roman"/>
                <w:sz w:val="12"/>
                <w:szCs w:val="12"/>
                <w:color w:val="auto"/>
              </w:rPr>
              <w:t>2,309</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Cost of services revenues increased $2.3 million, or 7.8%, to $32.0 million for the six months ended June 30, 2024, compared to $29.7 million for the same period in 2023. The increase in cost of services revenues was primarily due to an increase in costs of service delivery personnel to support revenue growth in software subscription-related services and our managed services offering.</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9"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0"/>
          <w:szCs w:val="10"/>
          <w:b w:val="1"/>
          <w:bCs w:val="1"/>
          <w:color w:val="auto"/>
        </w:rPr>
        <w:t>For the six months ended</w:t>
      </w:r>
    </w:p>
    <w:p>
      <w:pPr>
        <w:jc w:val="center"/>
        <w:ind w:left="242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300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1720" w:type="dxa"/>
            <w:vAlign w:val="bottom"/>
            <w:tcBorders>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30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30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Year-Over-Year Change</w:t>
            </w:r>
          </w:p>
        </w:tc>
        <w:tc>
          <w:tcPr>
            <w:tcW w:w="36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r>
      <w:tr>
        <w:trPr>
          <w:trHeight w:val="133"/>
        </w:trPr>
        <w:tc>
          <w:tcPr>
            <w:tcW w:w="3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Research and development</w:t>
            </w:r>
          </w:p>
        </w:tc>
        <w:tc>
          <w:tcPr>
            <w:tcW w:w="172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31,459</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28,542</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ind w:right="606"/>
              <w:spacing w:after="0" w:line="133" w:lineRule="exact"/>
              <w:rPr>
                <w:sz w:val="20"/>
                <w:szCs w:val="20"/>
                <w:color w:val="auto"/>
              </w:rPr>
            </w:pPr>
            <w:r>
              <w:rPr>
                <w:rFonts w:ascii="Times New Roman" w:cs="Times New Roman" w:eastAsia="Times New Roman" w:hAnsi="Times New Roman"/>
                <w:sz w:val="12"/>
                <w:szCs w:val="12"/>
                <w:color w:val="auto"/>
              </w:rPr>
              <w:t>2,917</w:t>
            </w: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w:t>
            </w:r>
          </w:p>
        </w:tc>
        <w:tc>
          <w:tcPr>
            <w:tcW w:w="18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Research and development expenses increased $2.9 million, or 10.2%, to $31.5 million for the six months ended June 30, 2024 compared to $28.5 million for the same period in 2023. The increase in research and development expenses is due primarily to an increase in personnel costs related to development work associated with new solutions to address end-to-end data analysis and compliance needs of our customers, and continued expansion of connectors and APIs to customer ERP and other software platforms. Research and development expense excludes those costs that have been capitalized for solutions that have met our capitalization policy.</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Selling and Marketing</w:t>
      </w:r>
    </w:p>
    <w:p>
      <w:pPr>
        <w:spacing w:after="0" w:line="9" w:lineRule="exact"/>
        <w:rPr>
          <w:sz w:val="20"/>
          <w:szCs w:val="20"/>
          <w:color w:val="auto"/>
        </w:rPr>
      </w:pPr>
    </w:p>
    <w:p>
      <w:pPr>
        <w:jc w:val="center"/>
        <w:ind w:left="1820"/>
        <w:spacing w:after="0"/>
        <w:rPr>
          <w:sz w:val="20"/>
          <w:szCs w:val="20"/>
          <w:color w:val="auto"/>
        </w:rPr>
      </w:pPr>
      <w:r>
        <w:rPr>
          <w:rFonts w:ascii="Times New Roman" w:cs="Times New Roman" w:eastAsia="Times New Roman" w:hAnsi="Times New Roman"/>
          <w:sz w:val="10"/>
          <w:szCs w:val="10"/>
          <w:b w:val="1"/>
          <w:bCs w:val="1"/>
          <w:color w:val="auto"/>
        </w:rPr>
        <w:t>For the six months ended</w:t>
      </w:r>
    </w:p>
    <w:p>
      <w:pPr>
        <w:jc w:val="center"/>
        <w:ind w:left="180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270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1620" w:type="dxa"/>
            <w:vAlign w:val="bottom"/>
            <w:tcBorders>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top w:val="single" w:sz="8" w:color="auto"/>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Year-Over-Year Change</w:t>
            </w:r>
          </w:p>
        </w:tc>
        <w:tc>
          <w:tcPr>
            <w:tcW w:w="38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r>
      <w:tr>
        <w:trPr>
          <w:trHeight w:val="133"/>
        </w:trPr>
        <w:tc>
          <w:tcPr>
            <w:tcW w:w="2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Selling and marketing</w:t>
            </w:r>
          </w:p>
        </w:tc>
        <w:tc>
          <w:tcPr>
            <w:tcW w:w="16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81,032</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69,277</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ind w:right="666"/>
              <w:spacing w:after="0" w:line="133" w:lineRule="exact"/>
              <w:rPr>
                <w:sz w:val="20"/>
                <w:szCs w:val="20"/>
                <w:color w:val="auto"/>
              </w:rPr>
            </w:pPr>
            <w:r>
              <w:rPr>
                <w:rFonts w:ascii="Times New Roman" w:cs="Times New Roman" w:eastAsia="Times New Roman" w:hAnsi="Times New Roman"/>
                <w:sz w:val="12"/>
                <w:szCs w:val="12"/>
                <w:color w:val="auto"/>
              </w:rPr>
              <w:t>11,755</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17.0</w:t>
            </w:r>
          </w:p>
        </w:tc>
        <w:tc>
          <w:tcPr>
            <w:tcW w:w="220" w:type="dxa"/>
            <w:vAlign w:val="bottom"/>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Selling and marketing expenses increased $11.8 million, or 17.0%, to $81.0 million for the six months ended June 30, 2024 compared to $69.3 million for the same period in 2023. This increase was primarily driven by a $10.6 million increase in payroll and related expenses associated with the growth in period-over-period subscription sales and services revenues and expansion of our partner and channel management programs. Additionally, there was an increase of $0.5 million in advertising and promotional spending related to expanded brand awareness efforts.</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tbl>
      <w:tblPr>
        <w:tblLayout w:type="fixed"/>
        <w:tblInd w:w="20" w:type="dxa"/>
        <w:tblCellMar>
          <w:top w:w="0" w:type="dxa"/>
          <w:left w:w="0" w:type="dxa"/>
          <w:bottom w:w="0" w:type="dxa"/>
          <w:right w:w="0" w:type="dxa"/>
        </w:tblCellMar>
      </w:tblPr>
      <w:tr>
        <w:trPr>
          <w:trHeight w:val="112"/>
        </w:trPr>
        <w:tc>
          <w:tcPr>
            <w:tcW w:w="28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20" w:type="dxa"/>
            <w:vAlign w:val="bottom"/>
            <w:gridSpan w:val="4"/>
          </w:tcPr>
          <w:p>
            <w:pPr>
              <w:jc w:val="center"/>
              <w:ind w:right="166"/>
              <w:spacing w:after="0" w:line="113" w:lineRule="exact"/>
              <w:rPr>
                <w:sz w:val="20"/>
                <w:szCs w:val="20"/>
                <w:color w:val="auto"/>
              </w:rPr>
            </w:pPr>
            <w:r>
              <w:rPr>
                <w:rFonts w:ascii="Times New Roman" w:cs="Times New Roman" w:eastAsia="Times New Roman" w:hAnsi="Times New Roman"/>
                <w:sz w:val="10"/>
                <w:szCs w:val="10"/>
                <w:b w:val="1"/>
                <w:bCs w:val="1"/>
                <w:color w:val="auto"/>
                <w:w w:val="96"/>
              </w:rPr>
              <w:t>For the six months ended</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8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center"/>
              <w:ind w:left="429"/>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7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vMerge w:val="restart"/>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rPr>
              <w:t>Year-Over-Year Change</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860" w:type="dxa"/>
            <w:vAlign w:val="bottom"/>
            <w:tcBorders>
              <w:bottom w:val="single" w:sz="8" w:color="CCEEFF"/>
            </w:tcBorders>
            <w:vMerge w:val="continue"/>
          </w:tcPr>
          <w:p>
            <w:pPr>
              <w:spacing w:after="0"/>
              <w:rPr>
                <w:sz w:val="7"/>
                <w:szCs w:val="7"/>
                <w:color w:val="auto"/>
              </w:rPr>
            </w:pPr>
          </w:p>
        </w:tc>
        <w:tc>
          <w:tcPr>
            <w:tcW w:w="18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309"/>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32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8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General and administrative</w:t>
            </w:r>
          </w:p>
        </w:tc>
        <w:tc>
          <w:tcPr>
            <w:tcW w:w="18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71,416</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73,686</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586"/>
              <w:spacing w:after="0" w:line="133" w:lineRule="exact"/>
              <w:rPr>
                <w:sz w:val="20"/>
                <w:szCs w:val="20"/>
                <w:color w:val="auto"/>
              </w:rPr>
            </w:pPr>
            <w:r>
              <w:rPr>
                <w:rFonts w:ascii="Times New Roman" w:cs="Times New Roman" w:eastAsia="Times New Roman" w:hAnsi="Times New Roman"/>
                <w:sz w:val="12"/>
                <w:szCs w:val="12"/>
                <w:color w:val="auto"/>
              </w:rPr>
              <w:t>(2,270)</w:t>
            </w:r>
          </w:p>
        </w:tc>
        <w:tc>
          <w:tcPr>
            <w:tcW w:w="5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55"/>
        </w:trPr>
        <w:tc>
          <w:tcPr>
            <w:tcW w:w="2860" w:type="dxa"/>
            <w:vAlign w:val="bottom"/>
          </w:tcPr>
          <w:p>
            <w:pPr>
              <w:spacing w:after="0"/>
              <w:rPr>
                <w:sz w:val="13"/>
                <w:szCs w:val="13"/>
                <w:color w:val="auto"/>
              </w:rPr>
            </w:pPr>
          </w:p>
        </w:tc>
        <w:tc>
          <w:tcPr>
            <w:tcW w:w="1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43</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9"/>
        </w:trPr>
        <w:tc>
          <w:tcPr>
            <w:tcW w:w="28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28"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decreased $2.3 million, or 3.1%, to $71.4 million for the six months ended June 30, 2024 compared to $73.7 million for the same period in 2023. The decrease was primarily due to a $4.3 million reduction in spend related to 2023 ERP implementation costs incurred in the prior period. This increase was partly offset by an increase of $1.4 million for the amortization of capitalized cloud computing implementation costs related to our ERP modernization initiative.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Depreciation and Amortization</w:t>
      </w:r>
    </w:p>
    <w:p>
      <w:pPr>
        <w:spacing w:after="0" w:line="9" w:lineRule="exact"/>
        <w:rPr>
          <w:sz w:val="20"/>
          <w:szCs w:val="20"/>
          <w:color w:val="auto"/>
        </w:rPr>
      </w:pPr>
    </w:p>
    <w:p>
      <w:pPr>
        <w:jc w:val="center"/>
        <w:ind w:left="2540"/>
        <w:spacing w:after="0"/>
        <w:rPr>
          <w:sz w:val="20"/>
          <w:szCs w:val="20"/>
          <w:color w:val="auto"/>
        </w:rPr>
      </w:pPr>
      <w:r>
        <w:rPr>
          <w:rFonts w:ascii="Times New Roman" w:cs="Times New Roman" w:eastAsia="Times New Roman" w:hAnsi="Times New Roman"/>
          <w:sz w:val="10"/>
          <w:szCs w:val="10"/>
          <w:b w:val="1"/>
          <w:bCs w:val="1"/>
          <w:color w:val="auto"/>
        </w:rPr>
        <w:t>For the six months ended</w:t>
      </w:r>
    </w:p>
    <w:p>
      <w:pPr>
        <w:jc w:val="center"/>
        <w:ind w:left="252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312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1660" w:type="dxa"/>
            <w:vAlign w:val="bottom"/>
            <w:tcBorders>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jc w:val="right"/>
              <w:ind w:right="306"/>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jc w:val="right"/>
              <w:ind w:right="28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jc w:val="right"/>
              <w:ind w:right="46"/>
              <w:spacing w:after="0" w:line="88" w:lineRule="exact"/>
              <w:rPr>
                <w:sz w:val="20"/>
                <w:szCs w:val="20"/>
                <w:color w:val="auto"/>
              </w:rPr>
            </w:pPr>
            <w:r>
              <w:rPr>
                <w:rFonts w:ascii="Times New Roman" w:cs="Times New Roman" w:eastAsia="Times New Roman" w:hAnsi="Times New Roman"/>
                <w:sz w:val="10"/>
                <w:szCs w:val="10"/>
                <w:b w:val="1"/>
                <w:bCs w:val="1"/>
                <w:color w:val="auto"/>
              </w:rPr>
              <w:t>Year-Over-Year Change</w:t>
            </w:r>
          </w:p>
        </w:tc>
        <w:tc>
          <w:tcPr>
            <w:tcW w:w="34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r>
      <w:tr>
        <w:trPr>
          <w:trHeight w:val="133"/>
        </w:trPr>
        <w:tc>
          <w:tcPr>
            <w:tcW w:w="31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10,218</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7,619</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ind w:right="626"/>
              <w:spacing w:after="0" w:line="133" w:lineRule="exact"/>
              <w:rPr>
                <w:sz w:val="20"/>
                <w:szCs w:val="20"/>
                <w:color w:val="auto"/>
              </w:rPr>
            </w:pPr>
            <w:r>
              <w:rPr>
                <w:rFonts w:ascii="Times New Roman" w:cs="Times New Roman" w:eastAsia="Times New Roman" w:hAnsi="Times New Roman"/>
                <w:sz w:val="12"/>
                <w:szCs w:val="12"/>
                <w:color w:val="auto"/>
              </w:rPr>
              <w:t>2,599</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34.1</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Depreciation and amortization increased $2.6 million, or 34.1%, to $10.2 million for the six months ended June 30, 2024 compared to $7.6 million for the same period in 2023. The increase was primarily due to the impact of infrastructure and technology purchases and other capitalized costs to support our growth.</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Other Operating Expense (Income), Net</w:t>
      </w:r>
    </w:p>
    <w:p>
      <w:pPr>
        <w:spacing w:after="0" w:line="9"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0"/>
          <w:szCs w:val="10"/>
          <w:b w:val="1"/>
          <w:bCs w:val="1"/>
          <w:color w:val="auto"/>
        </w:rPr>
        <w:t>For the six months ended</w:t>
      </w:r>
    </w:p>
    <w:p>
      <w:pPr>
        <w:jc w:val="center"/>
        <w:ind w:left="220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458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CCEEFF"/>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29"/>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00" w:type="dxa"/>
            <w:vAlign w:val="bottom"/>
            <w:tcBorders>
              <w:top w:val="single" w:sz="8" w:color="auto"/>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jc w:val="right"/>
              <w:ind w:right="6"/>
              <w:spacing w:after="0" w:line="88" w:lineRule="exact"/>
              <w:rPr>
                <w:sz w:val="20"/>
                <w:szCs w:val="20"/>
                <w:color w:val="auto"/>
              </w:rPr>
            </w:pPr>
            <w:r>
              <w:rPr>
                <w:rFonts w:ascii="Times New Roman" w:cs="Times New Roman" w:eastAsia="Times New Roman" w:hAnsi="Times New Roman"/>
                <w:sz w:val="10"/>
                <w:szCs w:val="10"/>
                <w:b w:val="1"/>
                <w:bCs w:val="1"/>
                <w:color w:val="auto"/>
              </w:rPr>
              <w:t>Year-Over-Year Change</w:t>
            </w:r>
          </w:p>
        </w:tc>
        <w:tc>
          <w:tcPr>
            <w:tcW w:w="42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r>
      <w:tr>
        <w:trPr>
          <w:trHeight w:val="133"/>
        </w:trPr>
        <w:tc>
          <w:tcPr>
            <w:tcW w:w="4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operating expense (income), net</w:t>
            </w:r>
          </w:p>
        </w:tc>
        <w:tc>
          <w:tcPr>
            <w:tcW w:w="5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1"/>
              </w:rPr>
              <w:t>(1,625)</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697</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546"/>
              <w:spacing w:after="0" w:line="133" w:lineRule="exact"/>
              <w:rPr>
                <w:sz w:val="20"/>
                <w:szCs w:val="20"/>
                <w:color w:val="auto"/>
              </w:rPr>
            </w:pPr>
            <w:r>
              <w:rPr>
                <w:rFonts w:ascii="Times New Roman" w:cs="Times New Roman" w:eastAsia="Times New Roman" w:hAnsi="Times New Roman"/>
                <w:sz w:val="12"/>
                <w:szCs w:val="12"/>
                <w:color w:val="auto"/>
              </w:rPr>
              <w:t>(2,322)</w:t>
            </w:r>
          </w:p>
        </w:tc>
        <w:tc>
          <w:tcPr>
            <w:tcW w:w="6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(333.1)%</w:t>
            </w:r>
          </w:p>
        </w:tc>
      </w:tr>
    </w:tbl>
    <w:p>
      <w:pPr>
        <w:spacing w:after="0" w:line="133"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Other operating expense (income), net decreased to income of $(1.6) million, net for the six months ended June 30, 2024 compared to expense of $0.7 million, net for the same period in 2023. The decrease in expense was primarily driven by a decrease in the contingent consideration liability for the Tellutax acquisition.</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Interest Expense (Income), Net</w:t>
      </w:r>
    </w:p>
    <w:p>
      <w:pPr>
        <w:spacing w:after="0" w:line="9"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0"/>
          <w:szCs w:val="10"/>
          <w:b w:val="1"/>
          <w:bCs w:val="1"/>
          <w:color w:val="auto"/>
        </w:rPr>
        <w:t>For the six months ended</w:t>
      </w:r>
    </w:p>
    <w:p>
      <w:pPr>
        <w:jc w:val="center"/>
        <w:ind w:left="220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458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640" w:type="dxa"/>
            <w:vAlign w:val="bottom"/>
            <w:tcBorders>
              <w:top w:val="single" w:sz="8" w:color="auto"/>
              <w:bottom w:val="single" w:sz="8" w:color="auto"/>
            </w:tcBorders>
          </w:tcPr>
          <w:p>
            <w:pPr>
              <w:jc w:val="right"/>
              <w:ind w:right="29"/>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8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jc w:val="right"/>
              <w:ind w:right="32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jc w:val="right"/>
              <w:ind w:right="6"/>
              <w:spacing w:after="0" w:line="88" w:lineRule="exact"/>
              <w:rPr>
                <w:sz w:val="20"/>
                <w:szCs w:val="20"/>
                <w:color w:val="auto"/>
              </w:rPr>
            </w:pPr>
            <w:r>
              <w:rPr>
                <w:rFonts w:ascii="Times New Roman" w:cs="Times New Roman" w:eastAsia="Times New Roman" w:hAnsi="Times New Roman"/>
                <w:sz w:val="10"/>
                <w:szCs w:val="10"/>
                <w:b w:val="1"/>
                <w:bCs w:val="1"/>
                <w:color w:val="auto"/>
              </w:rPr>
              <w:t>Year-Over-Year Change</w:t>
            </w:r>
          </w:p>
        </w:tc>
        <w:tc>
          <w:tcPr>
            <w:tcW w:w="42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r>
      <w:tr>
        <w:trPr>
          <w:trHeight w:val="133"/>
        </w:trPr>
        <w:tc>
          <w:tcPr>
            <w:tcW w:w="4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Interest expense (income), net</w:t>
            </w:r>
          </w:p>
        </w:tc>
        <w:tc>
          <w:tcPr>
            <w:tcW w:w="64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467</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(455)</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586"/>
              <w:spacing w:after="0" w:line="133" w:lineRule="exact"/>
              <w:rPr>
                <w:sz w:val="20"/>
                <w:szCs w:val="20"/>
                <w:color w:val="auto"/>
              </w:rPr>
            </w:pPr>
            <w:r>
              <w:rPr>
                <w:rFonts w:ascii="Times New Roman" w:cs="Times New Roman" w:eastAsia="Times New Roman" w:hAnsi="Times New Roman"/>
                <w:sz w:val="12"/>
                <w:szCs w:val="12"/>
                <w:color w:val="auto"/>
              </w:rPr>
              <w:t>922</w:t>
            </w:r>
          </w:p>
        </w:tc>
        <w:tc>
          <w:tcPr>
            <w:tcW w:w="6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(202.6)%</w:t>
            </w:r>
          </w:p>
        </w:tc>
      </w:tr>
    </w:tbl>
    <w:p>
      <w:pPr>
        <w:spacing w:after="0" w:line="133"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Interest expense (income), net increased to an expense of $0.5 million for the six months ended June 30, 2024, compared to interest income of $0.5 million for the same period in 2023. The change was primarily due to a $0.8 million increase in interest expense related to the convertible debt issuance and Systax acquisition, a $0.9 million decrease in the valuation of our foreign currency forward contracts as a result of market fluctuations, and a $0.8 million increase in deferred financing costs related to the convertible debt issuance and the repayment of our term loan in May. These increases were offset by $1.1 million of interest income primarily due to increased dollars invested during the period and a reduction of $0.5 million in interest expense related to the term loan repayment.</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Income Tax (Benefit) Expense</w:t>
      </w:r>
    </w:p>
    <w:p>
      <w:pPr>
        <w:spacing w:after="0" w:line="9"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0"/>
          <w:szCs w:val="10"/>
          <w:b w:val="1"/>
          <w:bCs w:val="1"/>
          <w:color w:val="auto"/>
        </w:rPr>
        <w:t>For the six months ended</w:t>
      </w:r>
    </w:p>
    <w:p>
      <w:pPr>
        <w:jc w:val="center"/>
        <w:ind w:left="1980"/>
        <w:spacing w:after="0" w:line="215" w:lineRule="auto"/>
        <w:rPr>
          <w:sz w:val="20"/>
          <w:szCs w:val="20"/>
          <w:color w:val="auto"/>
        </w:rPr>
      </w:pPr>
      <w:r>
        <w:rPr>
          <w:rFonts w:ascii="Times New Roman" w:cs="Times New Roman" w:eastAsia="Times New Roman" w:hAnsi="Times New Roman"/>
          <w:sz w:val="10"/>
          <w:szCs w:val="10"/>
          <w:b w:val="1"/>
          <w:bCs w:val="1"/>
          <w:color w:val="auto"/>
        </w:rPr>
        <w:t>June 30,</w:t>
      </w:r>
    </w:p>
    <w:tbl>
      <w:tblPr>
        <w:tblLayout w:type="fixed"/>
        <w:tblInd w:w="20" w:type="dxa"/>
        <w:tblCellMar>
          <w:top w:w="0" w:type="dxa"/>
          <w:left w:w="0" w:type="dxa"/>
          <w:bottom w:w="0" w:type="dxa"/>
          <w:right w:w="0" w:type="dxa"/>
        </w:tblCellMar>
      </w:tblPr>
      <w:tr>
        <w:trPr>
          <w:trHeight w:val="88"/>
        </w:trPr>
        <w:tc>
          <w:tcPr>
            <w:tcW w:w="442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6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CCEEFF"/>
            </w:tcBorders>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380" w:type="dxa"/>
            <w:vAlign w:val="bottom"/>
            <w:tcBorders>
              <w:top w:val="single" w:sz="8" w:color="auto"/>
              <w:bottom w:val="single" w:sz="8" w:color="auto"/>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jc w:val="right"/>
              <w:ind w:right="26"/>
              <w:spacing w:after="0" w:line="88" w:lineRule="exact"/>
              <w:rPr>
                <w:sz w:val="20"/>
                <w:szCs w:val="20"/>
                <w:color w:val="auto"/>
              </w:rPr>
            </w:pPr>
            <w:r>
              <w:rPr>
                <w:rFonts w:ascii="Times New Roman" w:cs="Times New Roman" w:eastAsia="Times New Roman" w:hAnsi="Times New Roman"/>
                <w:sz w:val="10"/>
                <w:szCs w:val="10"/>
                <w:b w:val="1"/>
                <w:bCs w:val="1"/>
                <w:color w:val="auto"/>
              </w:rPr>
              <w:t>Year-Over-Year Change</w:t>
            </w: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r>
      <w:tr>
        <w:trPr>
          <w:trHeight w:val="133"/>
        </w:trPr>
        <w:tc>
          <w:tcPr>
            <w:tcW w:w="4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(benefit) expense</w:t>
            </w:r>
          </w:p>
        </w:tc>
        <w:tc>
          <w:tcPr>
            <w:tcW w:w="60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(2,335)</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12,482</w:t>
            </w: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566"/>
              <w:spacing w:after="0" w:line="133" w:lineRule="exact"/>
              <w:rPr>
                <w:sz w:val="20"/>
                <w:szCs w:val="20"/>
                <w:color w:val="auto"/>
              </w:rPr>
            </w:pPr>
            <w:r>
              <w:rPr>
                <w:rFonts w:ascii="Times New Roman" w:cs="Times New Roman" w:eastAsia="Times New Roman" w:hAnsi="Times New Roman"/>
                <w:sz w:val="12"/>
                <w:szCs w:val="12"/>
                <w:color w:val="auto"/>
              </w:rPr>
              <w:t>(14,817)</w:t>
            </w:r>
          </w:p>
        </w:tc>
        <w:tc>
          <w:tcPr>
            <w:tcW w:w="60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(118.7)%</w:t>
            </w:r>
          </w:p>
        </w:tc>
      </w:tr>
    </w:tbl>
    <w:p>
      <w:pPr>
        <w:spacing w:after="0" w:line="133" w:lineRule="exact"/>
        <w:rPr>
          <w:sz w:val="20"/>
          <w:szCs w:val="20"/>
          <w:color w:val="auto"/>
        </w:rPr>
      </w:pPr>
    </w:p>
    <w:p>
      <w:pPr>
        <w:jc w:val="both"/>
        <w:ind w:left="20" w:right="39" w:firstLine="216"/>
        <w:spacing w:after="0" w:line="272" w:lineRule="auto"/>
        <w:rPr>
          <w:sz w:val="20"/>
          <w:szCs w:val="20"/>
          <w:color w:val="auto"/>
        </w:rPr>
      </w:pPr>
      <w:r>
        <w:rPr>
          <w:rFonts w:ascii="Times New Roman" w:cs="Times New Roman" w:eastAsia="Times New Roman" w:hAnsi="Times New Roman"/>
          <w:sz w:val="12"/>
          <w:szCs w:val="12"/>
          <w:color w:val="auto"/>
        </w:rPr>
        <w:t>Income tax (benefit) expense was $(2.3) million and $12.5 million for the six months ended June 30, 2024 and 2023, respectively. The change in tax (benefit) expense was primarily driven by tax benefits on exercises and vesting of stock awards, net of limitations on deductions of certain employees’ compensation, changes in jurisdictional income or loss allocation, fluctuations in valuation allowances on certain foreign deferred tax assets, and changes in benefits of tax credits.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4" w:lineRule="exact"/>
        <w:rPr>
          <w:sz w:val="20"/>
          <w:szCs w:val="20"/>
          <w:color w:val="auto"/>
        </w:rPr>
      </w:pPr>
    </w:p>
    <w:p>
      <w:pPr>
        <w:jc w:val="both"/>
        <w:ind w:left="20" w:right="39" w:firstLine="216"/>
        <w:spacing w:after="0" w:line="259" w:lineRule="auto"/>
        <w:rPr>
          <w:sz w:val="20"/>
          <w:szCs w:val="20"/>
          <w:color w:val="auto"/>
        </w:rPr>
      </w:pPr>
      <w:r>
        <w:rPr>
          <w:rFonts w:ascii="Times New Roman" w:cs="Times New Roman" w:eastAsia="Times New Roman" w:hAnsi="Times New Roman"/>
          <w:sz w:val="12"/>
          <w:szCs w:val="12"/>
          <w:color w:val="auto"/>
        </w:rPr>
        <w:t>As of June 30, 2024, we had unrestricted cash and cash equivalents of $325.5 million and retained earnings of $7.3 million. In addition, we had $8.7 million in investment securities with a maturity date exceeding three months as of June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30, 2024, not included in unrestricted cash and cash equivalents. Our primary sources of capital include sales of our solutions, proceeds from bank lending facilities, and the offering of existing or future classes of stock.</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June 30, 2024, we had a credit agreement with a banking syndicate (the “Credit Agreement”) that provides a $200.0 million revolving facility (the “Line of Credit”).</w:t>
      </w:r>
    </w:p>
    <w:p>
      <w:pPr>
        <w:spacing w:after="0" w:line="150"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On April 26, 2024, we closed a private offering of $345.0 million aggregate principal amount of 0.750% Convertible Senior Notes due in 2029 (the “Notes”). The net proceeds from the offering of the Notes were $333.7 million, after deducting the initial purchasers’ discount and commissions, and other transaction and offering expenses. For additional information on the Notes, refer to Note 7, “Debt” to the condensed consolidated financial statements included in this Quarterly Report on Form 10-Q.</w:t>
      </w:r>
    </w:p>
    <w:p>
      <w:pPr>
        <w:spacing w:after="0" w:line="119" w:lineRule="exact"/>
        <w:rPr>
          <w:sz w:val="20"/>
          <w:szCs w:val="20"/>
          <w:color w:val="auto"/>
        </w:rPr>
      </w:pPr>
    </w:p>
    <w:p>
      <w:pPr>
        <w:jc w:val="both"/>
        <w:ind w:left="20" w:right="39" w:firstLine="216"/>
        <w:spacing w:after="0" w:line="256" w:lineRule="auto"/>
        <w:rPr>
          <w:sz w:val="20"/>
          <w:szCs w:val="20"/>
          <w:color w:val="auto"/>
        </w:rPr>
      </w:pPr>
      <w:r>
        <w:rPr>
          <w:rFonts w:ascii="Times New Roman" w:cs="Times New Roman" w:eastAsia="Times New Roman" w:hAnsi="Times New Roman"/>
          <w:sz w:val="12"/>
          <w:szCs w:val="12"/>
          <w:color w:val="auto"/>
        </w:rPr>
        <w:t>We believe that our existing cash resources and our Line of Credit will be sufficient to meet our capital requirements and fund our operations for the next 12 months as well as our longer-term liquidity needs. If an early conversion notice occurs on our Notes, we have the option to pay cash, shares of our Class A common stock, or a combination of both. Also, we expect to have access to additional sources of funds in the capital markets, and we may, from time to time, seek additional capital through a combination of additional debt and/or equity financings. If we were to raise additional funds by issuing equity securities, our stockholders may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2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presents a summary of our cash flows for the periods indicated: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80" w:type="dxa"/>
            <w:vAlign w:val="bottom"/>
            <w:gridSpan w:val="5"/>
          </w:tcPr>
          <w:p>
            <w:pPr>
              <w:ind w:left="240"/>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8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Year-Over-Year Change</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42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285"/>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8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30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82,292</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w:t>
            </w: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83,190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9,263.9</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(47,837)</w:t>
            </w:r>
          </w:p>
        </w:tc>
        <w:tc>
          <w:tcPr>
            <w:tcW w:w="2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(30,728)</w:t>
            </w:r>
          </w:p>
        </w:tc>
        <w:tc>
          <w:tcPr>
            <w:tcW w:w="2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(17,109)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(used in) financing activities</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238,126</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(3,481)</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241,607</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6,940.7</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Effect of foreign exchange rate changes</w:t>
            </w:r>
          </w:p>
        </w:tc>
        <w:tc>
          <w:tcPr>
            <w:tcW w:w="2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(789)</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(1,169)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(307.6)%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4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220" w:type="dxa"/>
            <w:vAlign w:val="bottom"/>
            <w:tcBorders>
              <w:top w:val="single" w:sz="8" w:color="auto"/>
              <w:bottom w:val="single" w:sz="8" w:color="auto"/>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271,792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(34,727)</w:t>
            </w: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306,519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882.7</w:t>
            </w:r>
          </w:p>
        </w:tc>
        <w:tc>
          <w:tcPr>
            <w:tcW w:w="260" w:type="dxa"/>
            <w:vAlign w:val="bottom"/>
            <w:tcBorders>
              <w:top w:val="single" w:sz="8" w:color="CCEEFF"/>
              <w:bottom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left="20" w:right="39" w:firstLine="216"/>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 xml:space="preserve">Operating Activities. </w:t>
      </w:r>
      <w:r>
        <w:rPr>
          <w:rFonts w:ascii="Times New Roman" w:cs="Times New Roman" w:eastAsia="Times New Roman" w:hAnsi="Times New Roman"/>
          <w:sz w:val="12"/>
          <w:szCs w:val="12"/>
          <w:color w:val="auto"/>
        </w:rPr>
        <w:t>Net cash provided by operating activities of $82.3 million for the six months ended June 30, 2024 consisted of net income of $7.8 million, adjusted for non-cash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charges of $60.7 million and cash inflows of $18.1 million from changes in operating assets and liabilities, which were partially offset by $4.7 million in payments for purchase commitment and contingent consideration liabilities in excess of their initial fair value. The change in operating assets and liabilities was primarily driven by a decrease in accounts receivable and an increase in deferred revenue, primarily due to cash collections and customer growth during the period. These changes were partially offset by decreases in accrued and deferred compensation and accrued expenses. These movements were primarily due to the timing of cash payments.</w:t>
      </w:r>
    </w:p>
    <w:p>
      <w:pPr>
        <w:spacing w:after="0" w:line="125" w:lineRule="exact"/>
        <w:rPr>
          <w:sz w:val="20"/>
          <w:szCs w:val="20"/>
          <w:color w:val="auto"/>
        </w:rPr>
      </w:pPr>
    </w:p>
    <w:p>
      <w:pPr>
        <w:jc w:val="both"/>
        <w:ind w:left="20" w:right="39" w:firstLine="216"/>
        <w:spacing w:after="0" w:line="270" w:lineRule="auto"/>
        <w:rPr>
          <w:sz w:val="20"/>
          <w:szCs w:val="20"/>
          <w:color w:val="auto"/>
        </w:rPr>
      </w:pPr>
      <w:r>
        <w:rPr>
          <w:rFonts w:ascii="Times New Roman" w:cs="Times New Roman" w:eastAsia="Times New Roman" w:hAnsi="Times New Roman"/>
          <w:sz w:val="12"/>
          <w:szCs w:val="12"/>
          <w:color w:val="auto"/>
        </w:rPr>
        <w:t>Net cash used in operating activities of $0.9 million for the six months ended June 30, 2023 consisted of a net loss of $25.0 million, adjusted for non-cash charges of $43.5 million, and cash outflows of $19.3 million from changes in operating assets and liabilities. The change in operating assets and liabilities was primarily driven by an increase in accounts receivable and a decrease in accrued and deferred compensation, which was partially offset by increases in accrued expenses and accounts payable. These movements were primarily due to timing of cash collections and payments during the period.</w:t>
      </w:r>
    </w:p>
    <w:p>
      <w:pPr>
        <w:spacing w:after="0" w:line="122" w:lineRule="exact"/>
        <w:rPr>
          <w:sz w:val="20"/>
          <w:szCs w:val="20"/>
          <w:color w:val="auto"/>
        </w:rPr>
      </w:pPr>
    </w:p>
    <w:p>
      <w:pPr>
        <w:jc w:val="both"/>
        <w:ind w:left="20" w:right="39" w:firstLine="216"/>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Investing Activities. </w:t>
      </w:r>
      <w:r>
        <w:rPr>
          <w:rFonts w:ascii="Times New Roman" w:cs="Times New Roman" w:eastAsia="Times New Roman" w:hAnsi="Times New Roman"/>
          <w:sz w:val="12"/>
          <w:szCs w:val="12"/>
          <w:color w:val="auto"/>
        </w:rPr>
        <w:t>Net cash used in investing activities of $47.8 million for the six months ended June 30, 2024 consisted of investments in property and equipment, and capitalized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software of $29.7 million and $11.1 million, respectively, related to investments in infrastructure, new products, and enhancements to existing products. Additionally, we invested $7.8 million in available-for-sale investment securities, which was more than offset by proceeds of $8.9</w:t>
      </w:r>
    </w:p>
    <w:p>
      <w:pPr>
        <w:jc w:val="center"/>
        <w:ind w:right="19"/>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million received during the period for sales and maturities in our investment securities. Finally, we paid $6.1 million related to an asset acquisition completed during the second quarter of 2024. For additional information on our asset acquisition, refer to Note 4, “Property and Equipment” to the condensed consolidated financial statements included in this Quarterly Report on Form 10-Q.</w:t>
      </w:r>
    </w:p>
    <w:p>
      <w:pPr>
        <w:spacing w:after="0" w:line="119"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Net cash used in investing activities of $30.7 million for the six months ended June 30, 2023 consisted of investments in property and equipment, and capitalized software of $21.9 million and $9.0 million, respectively, related to infrastructure investments to drive operating leverage and commercial solutions to support our customers. Additionally, we invested $8.4 million in available-for-sale investment securities, which was more than offset by proceeds of $8.6 million received during the period for sales and maturities in our investment securities.</w:t>
      </w:r>
    </w:p>
    <w:p>
      <w:pPr>
        <w:spacing w:after="0" w:line="115" w:lineRule="exact"/>
        <w:rPr>
          <w:sz w:val="20"/>
          <w:szCs w:val="20"/>
          <w:color w:val="auto"/>
        </w:rPr>
      </w:pPr>
    </w:p>
    <w:p>
      <w:pPr>
        <w:jc w:val="both"/>
        <w:ind w:left="20" w:right="39" w:firstLine="216"/>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Financing Activities. </w:t>
      </w:r>
      <w:r>
        <w:rPr>
          <w:rFonts w:ascii="Times New Roman" w:cs="Times New Roman" w:eastAsia="Times New Roman" w:hAnsi="Times New Roman"/>
          <w:sz w:val="12"/>
          <w:szCs w:val="12"/>
          <w:color w:val="auto"/>
        </w:rPr>
        <w:t>Net cash provided by financing activities of $238.1 million for the six months ended June 30, 2024 consisted of $345.0 million in gross proceeds from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Notes, as well as a $15.0 million increase in customer funds obligations, primarily due to timing differences between receipt of funds from customers and taxing jurisdiction withdrawals of these funds. These transactions were partly offset by $46.9 million for the repayment of our term loan, $42.4 million for the purchase of the Capped Call Transactions, $18.3 million in payments for taxes related to the net share settlement of stock-based awards, $11.4 million for payments related to deferred financing costs and $7.6 million for payments on purchase commitment and contingent consideration liabilities.</w:t>
      </w:r>
    </w:p>
    <w:p>
      <w:pPr>
        <w:spacing w:after="0" w:line="123" w:lineRule="exact"/>
        <w:rPr>
          <w:sz w:val="20"/>
          <w:szCs w:val="20"/>
          <w:color w:val="auto"/>
        </w:rPr>
      </w:pPr>
    </w:p>
    <w:p>
      <w:pPr>
        <w:jc w:val="both"/>
        <w:ind w:left="20" w:right="39" w:firstLine="246"/>
        <w:spacing w:after="0" w:line="260" w:lineRule="auto"/>
        <w:rPr>
          <w:sz w:val="20"/>
          <w:szCs w:val="20"/>
          <w:color w:val="auto"/>
        </w:rPr>
      </w:pPr>
      <w:r>
        <w:rPr>
          <w:rFonts w:ascii="Times New Roman" w:cs="Times New Roman" w:eastAsia="Times New Roman" w:hAnsi="Times New Roman"/>
          <w:sz w:val="12"/>
          <w:szCs w:val="12"/>
          <w:color w:val="auto"/>
        </w:rPr>
        <w:t>Net cash used in financing activities of $3.5 million for the six months ended June 30, 2023 consisted of a $10.0 million payment for a deferred purchase commitment, $6.4 million in payments for purchase commitment and contingent consideration liabilities, $4.0 million in payments for taxes related to the net share settlement of stock-based awards, and $0.9 million used for principal debt repayments. These transactions were partially offset by a $14.5 million increase in customer funds obligations, primarily due to timing differences between receipt of funds from customers and taxing jurisdiction withdrawals of these funds, and $2.2 million in proceeds from the exercise of stock options.</w:t>
      </w:r>
    </w:p>
    <w:p>
      <w:pPr>
        <w:spacing w:after="0" w:line="118" w:lineRule="exact"/>
        <w:rPr>
          <w:sz w:val="20"/>
          <w:szCs w:val="20"/>
          <w:color w:val="auto"/>
        </w:rPr>
      </w:pPr>
    </w:p>
    <w:p>
      <w:pPr>
        <w:jc w:val="both"/>
        <w:ind w:left="20" w:right="39" w:firstLine="216"/>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Debt</w:t>
      </w:r>
      <w:r>
        <w:rPr>
          <w:rFonts w:ascii="Times New Roman" w:cs="Times New Roman" w:eastAsia="Times New Roman" w:hAnsi="Times New Roman"/>
          <w:sz w:val="12"/>
          <w:szCs w:val="12"/>
          <w:color w:val="auto"/>
        </w:rPr>
        <w:t>. As of June 30, 2024, we had a $200.0 million Line of Credit with no outstanding borrowings in connection with our Credit Agreement. As of June 30, 2024, we had $345.0</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million aggregate principal amount of debt outstanding related to our Notes. For additional information on our debt refer to Note 7, “Debt” to the condensed consolidated financial statements included in this Quarterly Report on Form 10-Q.</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Funds Held for Customers and Customer Funds Obligations</w:t>
      </w:r>
    </w:p>
    <w:p>
      <w:pPr>
        <w:spacing w:after="0" w:line="154"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We maintain trust accounts with financial institutions, which allow our customers to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pacing w:after="0" w:line="119"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Contractual Obligations and Commitments</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pricing of the Notes on April 23, 2024, the Company entered into Capped Call Transactions. For additional information regarding the Capped Call Transactions, refer to Note 7, “Debt” to the condensed consolidated financial statements included in this Quarterly Report on Form 10-Q.</w:t>
      </w:r>
    </w:p>
    <w:p>
      <w:pPr>
        <w:spacing w:after="0" w:line="111"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As of June 30, 2024, we have no outstanding borrowings under the term loan or Line of Credit. Our Notes are due in May 2029. We expect to continue to fund debt maturities and interest payments with cash flows generated from operations, existing cash and cash equivalents, or proceeds from additional financing. For additional information on our debt obligations, refer to Note 7, “Debt” to the condensed consolidated financial statements included in this Quarterly Report on Form 10-Q.</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There have been no material updates or changes to our contractual obligations and commitments compared to contractual obligations and commitments described in our 2023 Annual Report, other than those noted above</w:t>
      </w:r>
      <w:r>
        <w:rPr>
          <w:rFonts w:ascii="Times New Roman" w:cs="Times New Roman" w:eastAsia="Times New Roman" w:hAnsi="Times New Roman"/>
          <w:sz w:val="10"/>
          <w:szCs w:val="10"/>
          <w:color w:val="auto"/>
        </w:rPr>
        <w:t>.</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Key Business Metrics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regularly review the metrics identified below to evaluate growth trends, measure our performance, formulate financial projections and make strategic decisions.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Annual Recurring Revenue (“ARR”) and Average Annual Revenue Per Customer (“AARPC”).</w:t>
      </w:r>
    </w:p>
    <w:p>
      <w:pPr>
        <w:spacing w:after="0" w:line="154"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AARPC represents average annual revenue per customer and is calculated by dividing ARR by the number of software subscription customers at the end of the respective period.</w:t>
      </w:r>
    </w:p>
    <w:p>
      <w:pPr>
        <w:spacing w:after="0" w:line="108"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millions)</w:t>
            </w:r>
          </w:p>
        </w:tc>
        <w:tc>
          <w:tcPr>
            <w:tcW w:w="2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0"/>
                <w:szCs w:val="10"/>
                <w:b w:val="1"/>
                <w:bCs w:val="1"/>
                <w:color w:val="auto"/>
              </w:rPr>
              <w:t>As of June 30,</w:t>
            </w:r>
          </w:p>
        </w:tc>
        <w:tc>
          <w:tcPr>
            <w:tcW w:w="8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restart"/>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Year-Over-Year Change</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jc w:val="right"/>
              <w:ind w:right="428"/>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jc w:val="right"/>
              <w:ind w:right="40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2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Annual Recurring Revenue</w:t>
            </w:r>
          </w:p>
        </w:tc>
        <w:tc>
          <w:tcPr>
            <w:tcW w:w="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ind w:right="8"/>
              <w:spacing w:after="0" w:line="133" w:lineRule="exact"/>
              <w:rPr>
                <w:sz w:val="20"/>
                <w:szCs w:val="20"/>
                <w:color w:val="auto"/>
              </w:rPr>
            </w:pPr>
            <w:r>
              <w:rPr>
                <w:rFonts w:ascii="Times New Roman" w:cs="Times New Roman" w:eastAsia="Times New Roman" w:hAnsi="Times New Roman"/>
                <w:sz w:val="12"/>
                <w:szCs w:val="12"/>
                <w:color w:val="auto"/>
              </w:rPr>
              <w:t>548.4</w:t>
            </w: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467.7</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ind w:right="586"/>
              <w:spacing w:after="0" w:line="133" w:lineRule="exact"/>
              <w:rPr>
                <w:sz w:val="20"/>
                <w:szCs w:val="20"/>
                <w:color w:val="auto"/>
              </w:rPr>
            </w:pPr>
            <w:r>
              <w:rPr>
                <w:rFonts w:ascii="Times New Roman" w:cs="Times New Roman" w:eastAsia="Times New Roman" w:hAnsi="Times New Roman"/>
                <w:sz w:val="12"/>
                <w:szCs w:val="12"/>
                <w:color w:val="auto"/>
              </w:rPr>
              <w:t>80.7</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17.3</w:t>
            </w:r>
          </w:p>
        </w:tc>
        <w:tc>
          <w:tcPr>
            <w:tcW w:w="220" w:type="dxa"/>
            <w:vAlign w:val="bottom"/>
            <w:tcBorders>
              <w:top w:val="single" w:sz="8" w:color="CCEEFF"/>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ARR increased by $80.7 million, or 17.3%, at June 30, 2024, as compared to June 30, 2023. The increase was primarily driven by $48.6 million of growth in revenues from existing customers through their expanded use of our solutions as well as price increases, and $26.0 million in growth of subscriptions of our solutions to new customers. Addionally, $6.1 million was added to ARR due to the inclusion of Systax’s ARR, which was included as a result of the acquisition of the remaining ownership interests of Systax during the second quarter of 2024. Excluding the impact of Systax, the ARR growth rate would have been 16.0%.</w:t>
      </w:r>
    </w:p>
    <w:p>
      <w:pPr>
        <w:spacing w:after="0" w:line="122"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We had 4,438 direct customers and AARPC was approximately $123,570 at June 30, 2024. At June 30, 2023, we had 4,284 direct customers and approximately $109,170 of AARPC. The increase in AARPC was primarily due to expansion of usage by existing customers and adding new customers through organic growth. Additionally, the inclusion of Systax added 150 customers to the second quarter of 2024.</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Net Revenue Retention Rate (“NRR”).</w:t>
      </w:r>
    </w:p>
    <w:p>
      <w:pPr>
        <w:spacing w:after="0" w:line="154" w:lineRule="exact"/>
        <w:rPr>
          <w:sz w:val="20"/>
          <w:szCs w:val="20"/>
          <w:color w:val="auto"/>
        </w:rPr>
      </w:pPr>
    </w:p>
    <w:p>
      <w:pPr>
        <w:jc w:val="both"/>
        <w:ind w:left="20" w:right="39" w:firstLine="309"/>
        <w:spacing w:after="0" w:line="254" w:lineRule="auto"/>
        <w:rPr>
          <w:sz w:val="20"/>
          <w:szCs w:val="20"/>
          <w:color w:val="auto"/>
        </w:rPr>
      </w:pPr>
      <w:r>
        <w:rPr>
          <w:rFonts w:ascii="Times New Roman" w:cs="Times New Roman" w:eastAsia="Times New Roman" w:hAnsi="Times New Roman"/>
          <w:sz w:val="12"/>
          <w:szCs w:val="12"/>
          <w:color w:val="auto"/>
        </w:rPr>
        <w:t>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those who have downgraded or reduced usage, as well as any revenue expansion from migrations, new licenses for additional products or contractual and usage-based price changes.</w:t>
      </w:r>
    </w:p>
    <w:p>
      <w:pPr>
        <w:ind w:left="6680"/>
        <w:spacing w:after="0" w:line="226" w:lineRule="auto"/>
        <w:rPr>
          <w:sz w:val="20"/>
          <w:szCs w:val="20"/>
          <w:color w:val="auto"/>
        </w:rPr>
      </w:pPr>
      <w:r>
        <w:rPr>
          <w:rFonts w:ascii="Times New Roman" w:cs="Times New Roman" w:eastAsia="Times New Roman" w:hAnsi="Times New Roman"/>
          <w:sz w:val="10"/>
          <w:szCs w:val="10"/>
          <w:b w:val="1"/>
          <w:bCs w:val="1"/>
          <w:color w:val="auto"/>
        </w:rPr>
        <w:t>As of June 30,</w:t>
      </w:r>
    </w:p>
    <w:tbl>
      <w:tblPr>
        <w:tblLayout w:type="fixed"/>
        <w:tblInd w:w="920" w:type="dxa"/>
        <w:tblCellMar>
          <w:top w:w="0" w:type="dxa"/>
          <w:left w:w="0" w:type="dxa"/>
          <w:bottom w:w="0" w:type="dxa"/>
          <w:right w:w="0" w:type="dxa"/>
        </w:tblCellMar>
      </w:tblPr>
      <w:tr>
        <w:trPr>
          <w:trHeight w:val="88"/>
        </w:trPr>
        <w:tc>
          <w:tcPr>
            <w:tcW w:w="5220" w:type="dxa"/>
            <w:vAlign w:val="bottom"/>
            <w:tcBorders>
              <w:bottom w:val="single" w:sz="8" w:color="CCEEFF"/>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1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6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CCEEFF"/>
            </w:tcBorders>
          </w:tcPr>
          <w:p>
            <w:pPr>
              <w:spacing w:after="0"/>
              <w:rPr>
                <w:sz w:val="7"/>
                <w:szCs w:val="7"/>
                <w:color w:val="auto"/>
              </w:rPr>
            </w:pPr>
          </w:p>
        </w:tc>
        <w:tc>
          <w:tcPr>
            <w:tcW w:w="660" w:type="dxa"/>
            <w:vAlign w:val="bottom"/>
            <w:tcBorders>
              <w:top w:val="single" w:sz="8" w:color="auto"/>
              <w:bottom w:val="single" w:sz="8" w:color="auto"/>
            </w:tcBorders>
          </w:tcPr>
          <w:p>
            <w:pPr>
              <w:jc w:val="right"/>
              <w:ind w:right="18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Borders>
              <w:bottom w:val="single" w:sz="8" w:color="CCEEFF"/>
            </w:tcBorders>
          </w:tcPr>
          <w:p>
            <w:pPr>
              <w:spacing w:after="0"/>
              <w:rPr>
                <w:sz w:val="7"/>
                <w:szCs w:val="7"/>
                <w:color w:val="auto"/>
              </w:rPr>
            </w:pPr>
          </w:p>
        </w:tc>
      </w:tr>
      <w:tr>
        <w:trPr>
          <w:trHeight w:val="133"/>
        </w:trPr>
        <w:tc>
          <w:tcPr>
            <w:tcW w:w="52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Revenue Retention Rate</w:t>
            </w: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111</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Gross Revenue Retention Rate (“GRR”).</w:t>
      </w:r>
    </w:p>
    <w:p>
      <w:pPr>
        <w:spacing w:after="0" w:line="154"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We believe our GRR provides insight into and demonstrates to investors our ability to retain revenues from our existing customers. Our GRR refers to how much of our MRR we retain each month after reduction for the effects of revenues lost from departing customers or those who have downgraded or reduced usage. GRR does not take into account revenue expansion from migrations, new licenses for additional products or contractual and usage-based price changes. GRR does not include revenue reductions resulting from cancellations of customer subscriptions that are replaced by new subscriptions associated with customer migrations to a newer version of the related software solution.</w:t>
      </w:r>
    </w:p>
    <w:p>
      <w:pPr>
        <w:spacing w:after="0" w:line="200" w:lineRule="exact"/>
        <w:rPr>
          <w:sz w:val="20"/>
          <w:szCs w:val="20"/>
          <w:color w:val="auto"/>
        </w:rPr>
      </w:pPr>
    </w:p>
    <w:p>
      <w:pPr>
        <w:spacing w:after="0" w:line="21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0"/>
          <w:szCs w:val="10"/>
          <w:b w:val="1"/>
          <w:bCs w:val="1"/>
          <w:color w:val="auto"/>
        </w:rPr>
        <w:t>As of June 30,</w:t>
      </w:r>
    </w:p>
    <w:tbl>
      <w:tblPr>
        <w:tblLayout w:type="fixed"/>
        <w:tblInd w:w="940" w:type="dxa"/>
        <w:tblCellMar>
          <w:top w:w="0" w:type="dxa"/>
          <w:left w:w="0" w:type="dxa"/>
          <w:bottom w:w="0" w:type="dxa"/>
          <w:right w:w="0" w:type="dxa"/>
        </w:tblCellMar>
      </w:tblPr>
      <w:tr>
        <w:trPr>
          <w:trHeight w:val="88"/>
        </w:trPr>
        <w:tc>
          <w:tcPr>
            <w:tcW w:w="520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32"/>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CCEEFF"/>
            </w:tcBorders>
          </w:tcPr>
          <w:p>
            <w:pPr>
              <w:spacing w:after="0"/>
              <w:rPr>
                <w:sz w:val="7"/>
                <w:szCs w:val="7"/>
                <w:color w:val="auto"/>
              </w:rPr>
            </w:pPr>
          </w:p>
        </w:tc>
        <w:tc>
          <w:tcPr>
            <w:tcW w:w="660" w:type="dxa"/>
            <w:vAlign w:val="bottom"/>
            <w:tcBorders>
              <w:top w:val="single" w:sz="8" w:color="auto"/>
              <w:bottom w:val="single" w:sz="8" w:color="auto"/>
            </w:tcBorders>
          </w:tcPr>
          <w:p>
            <w:pPr>
              <w:jc w:val="right"/>
              <w:ind w:right="186"/>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Borders>
              <w:bottom w:val="single" w:sz="8" w:color="CCEEFF"/>
            </w:tcBorders>
          </w:tcPr>
          <w:p>
            <w:pPr>
              <w:spacing w:after="0"/>
              <w:rPr>
                <w:sz w:val="7"/>
                <w:szCs w:val="7"/>
                <w:color w:val="auto"/>
              </w:rPr>
            </w:pPr>
          </w:p>
        </w:tc>
      </w:tr>
      <w:tr>
        <w:trPr>
          <w:trHeight w:val="133"/>
        </w:trPr>
        <w:tc>
          <w:tcPr>
            <w:tcW w:w="5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Revenue Retention Rate</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Adjusted EBITDA and Adjusted EBITDA Margin.</w:t>
      </w:r>
    </w:p>
    <w:p>
      <w:pPr>
        <w:spacing w:after="0" w:line="154" w:lineRule="exact"/>
        <w:rPr>
          <w:sz w:val="20"/>
          <w:szCs w:val="20"/>
          <w:color w:val="auto"/>
        </w:rPr>
      </w:pPr>
    </w:p>
    <w:p>
      <w:pPr>
        <w:jc w:val="both"/>
        <w:ind w:left="20" w:right="39" w:firstLine="216"/>
        <w:spacing w:after="0" w:line="252" w:lineRule="auto"/>
        <w:rPr>
          <w:sz w:val="20"/>
          <w:szCs w:val="20"/>
          <w:color w:val="auto"/>
        </w:rPr>
      </w:pPr>
      <w:r>
        <w:rPr>
          <w:rFonts w:ascii="Times New Roman" w:cs="Times New Roman" w:eastAsia="Times New Roman" w:hAnsi="Times New Roman"/>
          <w:sz w:val="12"/>
          <w:szCs w:val="12"/>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loss or income before interest (including adjustments to the settlement value of deferred purchase commitment liabilities), taxes, depreciation, and amortization, as adjusted to exclude charges for asset impairments, stock-based compensation expense, amortization of cloud computing arrangement implementation costs, severance expense, acquisition contingent consideration, litigation settlements, and transaction costs. Adjusted EBITDA margin represents Adjusted EBITDA divided by total revenues for the same period. For purposes of comparison, our net income (loss) was $5.2 million and $(6.9) million for the three months ended June 30, 2024 and 2023, respectively, while our net income (loss) margin was 3.2% and (4.9)% over the same periods, respectively. Additionally, our net income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(loss) was $7.8 million and $(25.0) million for the six months ended June 30, 2024 and 2023, respectively, while our net income (loss) margin was 2.5% and (9.2)% over the same periods, respectively.</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20" w:type="dxa"/>
            <w:vAlign w:val="bottom"/>
            <w:gridSpan w:val="6"/>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gridSpan w:val="6"/>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c>
          <w:tcPr>
            <w:tcW w:w="0" w:type="dxa"/>
            <w:vAlign w:val="bottom"/>
          </w:tcPr>
          <w:p>
            <w:pPr>
              <w:spacing w:after="0"/>
              <w:rPr>
                <w:sz w:val="1"/>
                <w:szCs w:val="1"/>
                <w:color w:val="auto"/>
              </w:rPr>
            </w:pPr>
          </w:p>
        </w:tc>
      </w:tr>
      <w:tr>
        <w:trPr>
          <w:trHeight w:val="115"/>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4"/>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5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43"/>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24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63"/>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ind w:right="24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4"/>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4"/>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Net income (loss)</w:t>
            </w:r>
          </w:p>
        </w:tc>
        <w:tc>
          <w:tcPr>
            <w:tcW w:w="3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5,164</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(6,896)</w:t>
            </w:r>
          </w:p>
        </w:tc>
        <w:tc>
          <w:tcPr>
            <w:tcW w:w="2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7,848</w:t>
            </w: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Interest expense (income), net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467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(2,335)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 – property and equipment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10,218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0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Depreciation and amortization of capitalized software and acquired intangible assets – cost of</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subscription revenues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12,686</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29,925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25,121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Amortization of acquired intangible assets – selling and marketing expense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1,187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cloud computing implementation costs – general and administrative</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1,989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26,325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Severance expense</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1,461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Acquisition contingent consideration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(1,575)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(2,375)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Transaction costs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548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0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Adjusted EBITDA</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38,515</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21,983</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ind w:right="3"/>
              <w:spacing w:after="0" w:line="133" w:lineRule="exact"/>
              <w:rPr>
                <w:sz w:val="20"/>
                <w:szCs w:val="20"/>
                <w:color w:val="auto"/>
              </w:rPr>
            </w:pPr>
            <w:r>
              <w:rPr>
                <w:rFonts w:ascii="Times New Roman" w:cs="Times New Roman" w:eastAsia="Times New Roman" w:hAnsi="Times New Roman"/>
                <w:sz w:val="12"/>
                <w:szCs w:val="12"/>
                <w:color w:val="auto"/>
              </w:rPr>
              <w:t>75,258</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42,185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EBITDA Margin: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Total revenues</w:t>
            </w:r>
          </w:p>
        </w:tc>
        <w:tc>
          <w:tcPr>
            <w:tcW w:w="3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161,104</w:t>
            </w:r>
          </w:p>
        </w:tc>
        <w:tc>
          <w:tcPr>
            <w:tcW w:w="1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139,695</w:t>
            </w:r>
          </w:p>
        </w:tc>
        <w:tc>
          <w:tcPr>
            <w:tcW w:w="1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317,885</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272,446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00" w:type="dxa"/>
            <w:vAlign w:val="bottom"/>
            <w:tcBorders>
              <w:top w:val="single" w:sz="8" w:color="CCEEFF"/>
            </w:tcBorders>
          </w:tcPr>
          <w:p>
            <w:pPr>
              <w:ind w:left="60"/>
              <w:spacing w:after="0" w:line="131" w:lineRule="exact"/>
              <w:rPr>
                <w:sz w:val="20"/>
                <w:szCs w:val="20"/>
                <w:color w:val="auto"/>
              </w:rPr>
            </w:pPr>
            <w:r>
              <w:rPr>
                <w:rFonts w:ascii="Times New Roman" w:cs="Times New Roman" w:eastAsia="Times New Roman" w:hAnsi="Times New Roman"/>
                <w:sz w:val="12"/>
                <w:szCs w:val="12"/>
                <w:b w:val="1"/>
                <w:bCs w:val="1"/>
                <w:color w:val="auto"/>
              </w:rPr>
              <w:t>Adjusted EBITDA margin</w:t>
            </w: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23.9</w:t>
            </w:r>
          </w:p>
        </w:tc>
        <w:tc>
          <w:tcPr>
            <w:tcW w:w="16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79"/>
              </w:rPr>
              <w:t>%</w:t>
            </w:r>
          </w:p>
        </w:tc>
        <w:tc>
          <w:tcPr>
            <w:tcW w:w="8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15.7</w:t>
            </w:r>
          </w:p>
        </w:tc>
        <w:tc>
          <w:tcPr>
            <w:tcW w:w="180" w:type="dxa"/>
            <w:vAlign w:val="bottom"/>
            <w:tcBorders>
              <w:top w:val="single" w:sz="8" w:color="CCEEFF"/>
            </w:tcBorders>
          </w:tcPr>
          <w:p>
            <w:pPr>
              <w:jc w:val="right"/>
              <w:ind w:right="20"/>
              <w:spacing w:after="0" w:line="131" w:lineRule="exact"/>
              <w:rPr>
                <w:sz w:val="20"/>
                <w:szCs w:val="20"/>
                <w:color w:val="auto"/>
              </w:rPr>
            </w:pPr>
            <w:r>
              <w:rPr>
                <w:rFonts w:ascii="Times New Roman" w:cs="Times New Roman" w:eastAsia="Times New Roman" w:hAnsi="Times New Roman"/>
                <w:sz w:val="12"/>
                <w:szCs w:val="12"/>
                <w:color w:val="auto"/>
                <w:w w:val="79"/>
              </w:rPr>
              <w:t>%</w:t>
            </w:r>
          </w:p>
        </w:tc>
        <w:tc>
          <w:tcPr>
            <w:tcW w:w="6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
              <w:spacing w:after="0" w:line="131" w:lineRule="exact"/>
              <w:rPr>
                <w:sz w:val="20"/>
                <w:szCs w:val="20"/>
                <w:color w:val="auto"/>
              </w:rPr>
            </w:pPr>
            <w:r>
              <w:rPr>
                <w:rFonts w:ascii="Times New Roman" w:cs="Times New Roman" w:eastAsia="Times New Roman" w:hAnsi="Times New Roman"/>
                <w:sz w:val="12"/>
                <w:szCs w:val="12"/>
                <w:color w:val="auto"/>
              </w:rPr>
              <w:t>23.7</w:t>
            </w:r>
          </w:p>
        </w:tc>
        <w:tc>
          <w:tcPr>
            <w:tcW w:w="16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79"/>
              </w:rPr>
              <w:t>%</w:t>
            </w: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15.5</w:t>
            </w:r>
          </w:p>
        </w:tc>
        <w:tc>
          <w:tcPr>
            <w:tcW w:w="16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 w:right="139" w:firstLine="216"/>
        <w:spacing w:after="0" w:line="260" w:lineRule="auto"/>
        <w:rPr>
          <w:sz w:val="20"/>
          <w:szCs w:val="20"/>
          <w:color w:val="auto"/>
        </w:rPr>
      </w:pPr>
      <w:r>
        <w:rPr>
          <w:rFonts w:ascii="Times New Roman" w:cs="Times New Roman" w:eastAsia="Times New Roman" w:hAnsi="Times New Roman"/>
          <w:sz w:val="12"/>
          <w:szCs w:val="12"/>
          <w:color w:val="auto"/>
        </w:rPr>
        <w:t>The increase in Adjusted EBITDA for the three months ended June 30, 2024 of $16.5 million over the comparable period in 2023 was primarily driven by an increase of $19.7 million in non-GAAP gross profit as well as a $2.6 million decrease in non-GAAP general and administrative expense, partly offset by a $5.2 million increase in non-GAAP selling and marketing expense. Adjusted EBITDA margin increased to 23.9% for the three months ended June 30, 2024, compared to 15.7% for the comparable period in 2023, primarily due to increased non-GAAP gross margin from both our software subscriptions and professional services revenue, as well as decreased non-GAAP general and administrative expense.</w:t>
      </w:r>
    </w:p>
    <w:p>
      <w:pPr>
        <w:spacing w:after="0" w:line="122" w:lineRule="exact"/>
        <w:rPr>
          <w:sz w:val="20"/>
          <w:szCs w:val="20"/>
          <w:color w:val="auto"/>
        </w:rPr>
      </w:pPr>
    </w:p>
    <w:p>
      <w:pPr>
        <w:ind w:left="20" w:right="79" w:firstLine="216"/>
        <w:spacing w:after="0" w:line="260" w:lineRule="auto"/>
        <w:rPr>
          <w:sz w:val="20"/>
          <w:szCs w:val="20"/>
          <w:color w:val="auto"/>
        </w:rPr>
      </w:pPr>
      <w:r>
        <w:rPr>
          <w:rFonts w:ascii="Times New Roman" w:cs="Times New Roman" w:eastAsia="Times New Roman" w:hAnsi="Times New Roman"/>
          <w:sz w:val="12"/>
          <w:szCs w:val="12"/>
          <w:color w:val="auto"/>
        </w:rPr>
        <w:t>The increase in Adjusted EBITDA for the six months ended June 30, 2024 of $33.1 million over the comparable period in 2023 was primarily driven by an increase of $38.2 million in non-GAAP gross profit as well as a decrease of $4.3 million in non-GAAP general and administrative expenses, offset by an $8.8 million increase in non-GAAP selling and marketing expense. Adjusted EBITDA margin increased to 23.7% for the six months ended June 30, 2024, compared to 15.5% for the comparable period in 2023, primarily due to increased non-GAAP gross margin from both our software subscriptions and professional services revenue as well as decreased non-GAAP general and administrative.</w:t>
      </w:r>
    </w:p>
    <w:p>
      <w:pPr>
        <w:spacing w:after="0" w:line="122" w:lineRule="exact"/>
        <w:rPr>
          <w:sz w:val="20"/>
          <w:szCs w:val="20"/>
          <w:color w:val="auto"/>
        </w:rPr>
      </w:pPr>
    </w:p>
    <w:p>
      <w:pPr>
        <w:jc w:val="both"/>
        <w:ind w:left="20" w:right="359" w:firstLine="216"/>
        <w:spacing w:after="0" w:line="265" w:lineRule="auto"/>
        <w:rPr>
          <w:sz w:val="20"/>
          <w:szCs w:val="20"/>
          <w:color w:val="auto"/>
        </w:rPr>
      </w:pPr>
      <w:r>
        <w:rPr>
          <w:rFonts w:ascii="Times New Roman" w:cs="Times New Roman" w:eastAsia="Times New Roman" w:hAnsi="Times New Roman"/>
          <w:sz w:val="12"/>
          <w:szCs w:val="12"/>
          <w:color w:val="auto"/>
        </w:rPr>
        <w:t>The increase in Adjusted EBITDA is also partially due to the previously announced strategic investments that were made primarily during 2020 through 2023 into information technology infrastructure, business and re-engineering processes, employees, and other initiatives, which were strategically aimed to deliver consistent revenue growth, drive future earnings leverage, and expand adjusted EBITDA margins.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Free Cash Flow and Free Cash Flow Margin.</w:t>
      </w:r>
    </w:p>
    <w:p>
      <w:pPr>
        <w:spacing w:after="0" w:line="154" w:lineRule="exact"/>
        <w:rPr>
          <w:sz w:val="20"/>
          <w:szCs w:val="20"/>
          <w:color w:val="auto"/>
        </w:rPr>
      </w:pPr>
    </w:p>
    <w:p>
      <w:pPr>
        <w:ind w:left="20" w:right="39" w:firstLine="216"/>
        <w:spacing w:after="0" w:line="259" w:lineRule="auto"/>
        <w:rPr>
          <w:sz w:val="20"/>
          <w:szCs w:val="20"/>
          <w:color w:val="auto"/>
        </w:rPr>
      </w:pPr>
      <w:r>
        <w:rPr>
          <w:rFonts w:ascii="Times New Roman" w:cs="Times New Roman" w:eastAsia="Times New Roman" w:hAnsi="Times New Roman"/>
          <w:sz w:val="12"/>
          <w:szCs w:val="12"/>
          <w:color w:val="auto"/>
        </w:rPr>
        <w:t>We use free cash flow as a critical measure in the evaluation of liquidity in conjunction with related GAAP amounts. We also use this measure when considering available cash, including for decision-making purposes related to dividends and discretionary investments. We consider free cash flow to be an important measure for investors because it measures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9" w:name="page50"/>
    <w:bookmarkEnd w:id="49"/>
    <w:p>
      <w:pPr>
        <w:ind w:left="18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jc w:val="both"/>
        <w:ind w:left="180" w:right="180"/>
        <w:spacing w:after="0" w:line="265" w:lineRule="auto"/>
        <w:rPr>
          <w:sz w:val="20"/>
          <w:szCs w:val="20"/>
          <w:color w:val="auto"/>
        </w:rPr>
      </w:pPr>
      <w:r>
        <w:rPr>
          <w:rFonts w:ascii="Times New Roman" w:cs="Times New Roman" w:eastAsia="Times New Roman" w:hAnsi="Times New Roman"/>
          <w:sz w:val="12"/>
          <w:szCs w:val="12"/>
          <w:color w:val="auto"/>
        </w:rPr>
        <w:t>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less purchases of property and equipment and capitalized software. We define free cash flow margin as free cash flow divided by total revenues for the same period.</w:t>
      </w:r>
    </w:p>
    <w:p>
      <w:pPr>
        <w:spacing w:after="0" w:line="119" w:lineRule="exact"/>
        <w:rPr>
          <w:sz w:val="20"/>
          <w:szCs w:val="20"/>
          <w:color w:val="auto"/>
        </w:rPr>
      </w:pPr>
    </w:p>
    <w:p>
      <w:pPr>
        <w:jc w:val="both"/>
        <w:ind w:left="180" w:right="180" w:firstLine="216"/>
        <w:spacing w:after="0" w:line="246" w:lineRule="auto"/>
        <w:rPr>
          <w:sz w:val="20"/>
          <w:szCs w:val="20"/>
          <w:color w:val="auto"/>
        </w:rPr>
      </w:pPr>
      <w:r>
        <w:rPr>
          <w:rFonts w:ascii="Times New Roman" w:cs="Times New Roman" w:eastAsia="Times New Roman" w:hAnsi="Times New Roman"/>
          <w:sz w:val="12"/>
          <w:szCs w:val="12"/>
          <w:color w:val="auto"/>
        </w:rPr>
        <w:t>Our net cash provided by operating activities was $57.7 million, and our net cash used in operating activities was $(4.4) million for the three months ended June 30, 2024 and 2023, respectively, while our operating cash flow margin was</w:t>
      </w:r>
      <w:r>
        <w:rPr>
          <w:sz w:val="1"/>
          <w:szCs w:val="1"/>
          <w:color w:val="auto"/>
        </w:rPr>
        <w:drawing>
          <wp:inline distT="0" distB="0" distL="0" distR="0">
            <wp:extent cx="22860" cy="8572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60" cy="85725"/>
                    </a:xfrm>
                    <a:prstGeom prst="rect">
                      <a:avLst/>
                    </a:prstGeom>
                    <a:noFill/>
                    <a:ln>
                      <a:noFill/>
                    </a:ln>
                  </pic:spPr>
                </pic:pic>
              </a:graphicData>
            </a:graphic>
          </wp:inline>
        </w:drawing>
      </w:r>
      <w:r>
        <w:rPr>
          <w:rFonts w:ascii="Times New Roman" w:cs="Times New Roman" w:eastAsia="Times New Roman" w:hAnsi="Times New Roman"/>
          <w:sz w:val="12"/>
          <w:szCs w:val="12"/>
          <w:color w:val="auto"/>
        </w:rPr>
        <w:t>35.8% and (3.1)% over the same periods, respectively. Our net cash provided by operating activities was $82.3 million and our net cash used in operating activities was $(0.9) million for the six months ended June 30, 2024 and 2023, respectively, while our operating cash flow margin was 25.9% and (0.3)% over the same periods, respectively.</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2"/>
          <w:szCs w:val="12"/>
          <w:color w:val="auto"/>
        </w:rPr>
        <w: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80" w:type="dxa"/>
            <w:vAlign w:val="bottom"/>
            <w:gridSpan w:val="5"/>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gridSpan w:val="6"/>
          </w:tcPr>
          <w:p>
            <w:pPr>
              <w:jc w:val="right"/>
              <w:ind w:right="731"/>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c>
          <w:tcPr>
            <w:tcW w:w="0" w:type="dxa"/>
            <w:vAlign w:val="bottom"/>
          </w:tcPr>
          <w:p>
            <w:pPr>
              <w:spacing w:after="0"/>
              <w:rPr>
                <w:sz w:val="1"/>
                <w:szCs w:val="1"/>
                <w:color w:val="auto"/>
              </w:rPr>
            </w:pPr>
          </w:p>
        </w:tc>
      </w:tr>
      <w:tr>
        <w:trPr>
          <w:trHeight w:val="115"/>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0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6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7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520" w:type="dxa"/>
            <w:vAlign w:val="bottom"/>
            <w:gridSpan w:val="2"/>
            <w:vMerge w:val="continue"/>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43"/>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38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28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304"/>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34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35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Free Cash Flow:</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jc w:val="right"/>
              <w:ind w:right="46"/>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52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Cash provided by (used in) operating activities</w:t>
            </w:r>
          </w:p>
        </w:tc>
        <w:tc>
          <w:tcPr>
            <w:tcW w:w="12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57,726</w:t>
            </w:r>
          </w:p>
        </w:tc>
        <w:tc>
          <w:tcPr>
            <w:tcW w:w="6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(4,389)</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82,292</w:t>
            </w: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Property and equipment additions</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(15,300)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(29,749)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(21,859)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Capitalized software additions</w:t>
            </w:r>
          </w:p>
        </w:tc>
        <w:tc>
          <w:tcPr>
            <w:tcW w:w="10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(5,482)</w:t>
            </w:r>
          </w:p>
        </w:tc>
        <w:tc>
          <w:tcPr>
            <w:tcW w:w="3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0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Free cash flow</w:t>
            </w:r>
          </w:p>
        </w:tc>
        <w:tc>
          <w:tcPr>
            <w:tcW w:w="10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36,944</w:t>
            </w:r>
          </w:p>
        </w:tc>
        <w:tc>
          <w:tcPr>
            <w:tcW w:w="3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(21,234)</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41,446</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(31,799)</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Free Cash Flow Margin:</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Total revenues</w:t>
            </w:r>
          </w:p>
        </w:tc>
        <w:tc>
          <w:tcPr>
            <w:tcW w:w="124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161,104</w:t>
            </w:r>
          </w:p>
        </w:tc>
        <w:tc>
          <w:tcPr>
            <w:tcW w:w="60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139,695</w:t>
            </w:r>
          </w:p>
        </w:tc>
        <w:tc>
          <w:tcPr>
            <w:tcW w:w="2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317,885</w:t>
            </w:r>
          </w:p>
        </w:tc>
        <w:tc>
          <w:tcPr>
            <w:tcW w:w="1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272,446</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00" w:type="dxa"/>
            <w:vAlign w:val="bottom"/>
            <w:tcBorders>
              <w:top w:val="single" w:sz="8" w:color="CCEEFF"/>
            </w:tcBorders>
          </w:tcPr>
          <w:p>
            <w:pPr>
              <w:ind w:left="60"/>
              <w:spacing w:after="0" w:line="131" w:lineRule="exact"/>
              <w:rPr>
                <w:sz w:val="20"/>
                <w:szCs w:val="20"/>
                <w:color w:val="auto"/>
              </w:rPr>
            </w:pPr>
            <w:r>
              <w:rPr>
                <w:rFonts w:ascii="Times New Roman" w:cs="Times New Roman" w:eastAsia="Times New Roman" w:hAnsi="Times New Roman"/>
                <w:sz w:val="12"/>
                <w:szCs w:val="12"/>
                <w:b w:val="1"/>
                <w:bCs w:val="1"/>
                <w:color w:val="auto"/>
              </w:rPr>
              <w:t>Free cash flow margin</w:t>
            </w:r>
          </w:p>
        </w:tc>
        <w:tc>
          <w:tcPr>
            <w:tcW w:w="106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22.9</w:t>
            </w:r>
          </w:p>
        </w:tc>
        <w:tc>
          <w:tcPr>
            <w:tcW w:w="380" w:type="dxa"/>
            <w:vAlign w:val="bottom"/>
            <w:tcBorders>
              <w:top w:val="single" w:sz="8" w:color="CCEEFF"/>
            </w:tcBorders>
          </w:tcPr>
          <w:p>
            <w:pPr>
              <w:jc w:val="right"/>
              <w:ind w:right="225"/>
              <w:spacing w:after="0" w:line="131" w:lineRule="exact"/>
              <w:rPr>
                <w:sz w:val="20"/>
                <w:szCs w:val="20"/>
                <w:color w:val="auto"/>
              </w:rPr>
            </w:pPr>
            <w:r>
              <w:rPr>
                <w:rFonts w:ascii="Times New Roman" w:cs="Times New Roman" w:eastAsia="Times New Roman" w:hAnsi="Times New Roman"/>
                <w:sz w:val="12"/>
                <w:szCs w:val="12"/>
                <w:color w:val="auto"/>
                <w:w w:val="79"/>
              </w:rPr>
              <w:t>%</w:t>
            </w:r>
          </w:p>
        </w:tc>
        <w:tc>
          <w:tcPr>
            <w:tcW w:w="2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(15.2)</w:t>
            </w:r>
          </w:p>
        </w:tc>
        <w:tc>
          <w:tcPr>
            <w:tcW w:w="220" w:type="dxa"/>
            <w:vAlign w:val="bottom"/>
            <w:tcBorders>
              <w:top w:val="single" w:sz="8" w:color="CCEEFF"/>
            </w:tcBorders>
          </w:tcPr>
          <w:p>
            <w:pPr>
              <w:jc w:val="right"/>
              <w:ind w:right="60"/>
              <w:spacing w:after="0" w:line="131" w:lineRule="exact"/>
              <w:rPr>
                <w:sz w:val="20"/>
                <w:szCs w:val="20"/>
                <w:color w:val="auto"/>
              </w:rPr>
            </w:pPr>
            <w:r>
              <w:rPr>
                <w:rFonts w:ascii="Times New Roman" w:cs="Times New Roman" w:eastAsia="Times New Roman" w:hAnsi="Times New Roman"/>
                <w:sz w:val="12"/>
                <w:szCs w:val="12"/>
                <w:color w:val="auto"/>
                <w:w w:val="79"/>
              </w:rPr>
              <w:t>%</w:t>
            </w:r>
          </w:p>
        </w:tc>
        <w:tc>
          <w:tcPr>
            <w:tcW w:w="120" w:type="dxa"/>
            <w:vAlign w:val="bottom"/>
            <w:tcBorders>
              <w:top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13.0</w:t>
            </w:r>
          </w:p>
        </w:tc>
        <w:tc>
          <w:tcPr>
            <w:tcW w:w="160" w:type="dxa"/>
            <w:vAlign w:val="bottom"/>
            <w:tcBorders>
              <w:top w:val="single" w:sz="8" w:color="CCEEFF"/>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79"/>
              </w:rPr>
              <w:t>%</w:t>
            </w:r>
          </w:p>
        </w:tc>
        <w:tc>
          <w:tcPr>
            <w:tcW w:w="8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(11.7)</w:t>
            </w:r>
          </w:p>
        </w:tc>
        <w:tc>
          <w:tcPr>
            <w:tcW w:w="220" w:type="dxa"/>
            <w:vAlign w:val="bottom"/>
            <w:tcBorders>
              <w:top w:val="single" w:sz="8" w:color="CCEEFF"/>
            </w:tcBorders>
          </w:tcPr>
          <w:p>
            <w:pPr>
              <w:jc w:val="right"/>
              <w:ind w:right="91"/>
              <w:spacing w:after="0"/>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180" w:right="180" w:firstLine="216"/>
        <w:spacing w:after="0" w:line="260" w:lineRule="auto"/>
        <w:rPr>
          <w:sz w:val="20"/>
          <w:szCs w:val="20"/>
          <w:color w:val="auto"/>
        </w:rPr>
      </w:pPr>
      <w:r>
        <w:rPr>
          <w:rFonts w:ascii="Times New Roman" w:cs="Times New Roman" w:eastAsia="Times New Roman" w:hAnsi="Times New Roman"/>
          <w:sz w:val="12"/>
          <w:szCs w:val="12"/>
          <w:color w:val="auto"/>
        </w:rPr>
        <w:t>Free cash flow increased by $58.2 million for the three months ended June 30, 2024, as compared to the same period in 2023. This increase was primarily driven by an increase in net cash provided by operating activities of $62.1 million, primarily attributable to customer growth and cash collections during the period. This increase was partly offset by a $3.9 million increase in ongoing investments in internal-use software for cloud-based subscription solutions and software developed for sale for new products and enhancements to existing products. Free cash flow margin increased to 22.9% for the three months ended June 30, 2024, compared to (15.2)% for the same period in 2023.</w:t>
      </w:r>
    </w:p>
    <w:p>
      <w:pPr>
        <w:spacing w:after="0" w:line="122" w:lineRule="exact"/>
        <w:rPr>
          <w:sz w:val="20"/>
          <w:szCs w:val="20"/>
          <w:color w:val="auto"/>
        </w:rPr>
      </w:pPr>
    </w:p>
    <w:p>
      <w:pPr>
        <w:jc w:val="both"/>
        <w:ind w:left="180" w:right="180" w:firstLine="216"/>
        <w:spacing w:after="0" w:line="260" w:lineRule="auto"/>
        <w:rPr>
          <w:sz w:val="20"/>
          <w:szCs w:val="20"/>
          <w:color w:val="auto"/>
        </w:rPr>
      </w:pPr>
      <w:r>
        <w:rPr>
          <w:rFonts w:ascii="Times New Roman" w:cs="Times New Roman" w:eastAsia="Times New Roman" w:hAnsi="Times New Roman"/>
          <w:sz w:val="12"/>
          <w:szCs w:val="12"/>
          <w:color w:val="auto"/>
        </w:rPr>
        <w:t>Free cash flow increased by $73.2 million for the six months ended June 30, 2024, as compared to the same period in 2023. This increase was primarily driven by an increase in net cash provided by operating activities of $83.2 million, primarily attributable to customer growth and cash collections during the period. This increase was partly offset by a $9.9 million increase in ongoing investments in internal-use software for cloud-based subscription solutions and software developed for sale for new products and enhancements to existing products. Free cash flow margin increased to 13.0% for the six months ended June 30, 2024, compared to (11.7)% for the same period in 2023.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Use and Reconciliation of Non-GAAP Financial Measures</w:t>
      </w:r>
    </w:p>
    <w:p>
      <w:pPr>
        <w:spacing w:after="0" w:line="154" w:lineRule="exact"/>
        <w:rPr>
          <w:sz w:val="20"/>
          <w:szCs w:val="20"/>
          <w:color w:val="auto"/>
        </w:rPr>
      </w:pPr>
    </w:p>
    <w:p>
      <w:pPr>
        <w:jc w:val="both"/>
        <w:ind w:left="180" w:right="180" w:firstLine="216"/>
        <w:spacing w:after="0" w:line="260" w:lineRule="auto"/>
        <w:rPr>
          <w:sz w:val="20"/>
          <w:szCs w:val="20"/>
          <w:color w:val="auto"/>
        </w:rPr>
      </w:pPr>
      <w:r>
        <w:rPr>
          <w:rFonts w:ascii="Times New Roman" w:cs="Times New Roman" w:eastAsia="Times New Roman" w:hAnsi="Times New Roman"/>
          <w:sz w:val="12"/>
          <w:szCs w:val="12"/>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22" w:lineRule="exact"/>
        <w:rPr>
          <w:sz w:val="20"/>
          <w:szCs w:val="20"/>
          <w:color w:val="auto"/>
        </w:rPr>
      </w:pPr>
    </w:p>
    <w:p>
      <w:pPr>
        <w:jc w:val="both"/>
        <w:ind w:left="180" w:right="180" w:firstLine="216"/>
        <w:spacing w:after="0" w:line="255" w:lineRule="auto"/>
        <w:rPr>
          <w:sz w:val="20"/>
          <w:szCs w:val="20"/>
          <w:color w:val="auto"/>
        </w:rPr>
      </w:pPr>
      <w:r>
        <w:rPr>
          <w:rFonts w:ascii="Times New Roman" w:cs="Times New Roman" w:eastAsia="Times New Roman" w:hAnsi="Times New Roman"/>
          <w:sz w:val="12"/>
          <w:szCs w:val="12"/>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 understanding and evaluating our results, prospects, and liquidity period-over-period without the impact of certain items</w:t>
      </w: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232410</wp:posOffset>
            </wp:positionV>
            <wp:extent cx="56921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320"/>
          </w:cols>
          <w:pgMar w:left="1280" w:top="390" w:right="129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Additional Non-GAAP Financial Measures</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11" w:lineRule="exact"/>
        <w:rPr>
          <w:sz w:val="20"/>
          <w:szCs w:val="20"/>
          <w:color w:val="auto"/>
        </w:rPr>
      </w:pPr>
    </w:p>
    <w:p>
      <w:pPr>
        <w:ind w:left="680" w:right="39" w:hanging="208"/>
        <w:spacing w:after="0" w:line="279" w:lineRule="auto"/>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11" w:lineRule="exact"/>
        <w:rPr>
          <w:rFonts w:ascii="Times New Roman" w:cs="Times New Roman" w:eastAsia="Times New Roman" w:hAnsi="Times New Roman"/>
          <w:sz w:val="12"/>
          <w:szCs w:val="12"/>
          <w:color w:val="auto"/>
        </w:rPr>
      </w:pPr>
    </w:p>
    <w:p>
      <w:pPr>
        <w:ind w:left="680" w:right="39" w:hanging="208"/>
        <w:spacing w:after="0" w:line="279" w:lineRule="auto"/>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cost of revenues, services is determined by adding back to GAAP cost of revenues, services, the stock-based compensation expense included in cost of revenues, services for the respective periods.</w:t>
      </w:r>
    </w:p>
    <w:p>
      <w:pPr>
        <w:spacing w:after="0" w:line="111" w:lineRule="exact"/>
        <w:rPr>
          <w:rFonts w:ascii="Times New Roman" w:cs="Times New Roman" w:eastAsia="Times New Roman" w:hAnsi="Times New Roman"/>
          <w:sz w:val="12"/>
          <w:szCs w:val="12"/>
          <w:color w:val="auto"/>
        </w:rPr>
      </w:pPr>
    </w:p>
    <w:p>
      <w:pPr>
        <w:ind w:left="680" w:right="39" w:hanging="208"/>
        <w:spacing w:after="0" w:line="279" w:lineRule="auto"/>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11"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gross margin is determined by dividing non-GAAP gross profit by total revenues for the respective periods.</w:t>
      </w:r>
    </w:p>
    <w:p>
      <w:pPr>
        <w:spacing w:after="0" w:line="150" w:lineRule="exact"/>
        <w:rPr>
          <w:rFonts w:ascii="Times New Roman" w:cs="Times New Roman" w:eastAsia="Times New Roman" w:hAnsi="Times New Roman"/>
          <w:sz w:val="12"/>
          <w:szCs w:val="12"/>
          <w:color w:val="auto"/>
        </w:rPr>
      </w:pPr>
    </w:p>
    <w:p>
      <w:pPr>
        <w:ind w:left="680" w:right="39" w:hanging="208"/>
        <w:spacing w:after="0" w:line="279" w:lineRule="auto"/>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research and development expense is determined by adding back to GAAP research and development expense the stock-based compensation expense included in research and development expense for the respective periods.</w:t>
      </w:r>
    </w:p>
    <w:p>
      <w:pPr>
        <w:spacing w:after="0" w:line="111" w:lineRule="exact"/>
        <w:rPr>
          <w:rFonts w:ascii="Times New Roman" w:cs="Times New Roman" w:eastAsia="Times New Roman" w:hAnsi="Times New Roman"/>
          <w:sz w:val="12"/>
          <w:szCs w:val="12"/>
          <w:color w:val="auto"/>
        </w:rPr>
      </w:pPr>
    </w:p>
    <w:p>
      <w:pPr>
        <w:ind w:left="680" w:right="39" w:hanging="208"/>
        <w:spacing w:after="0" w:line="279" w:lineRule="auto"/>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11" w:lineRule="exact"/>
        <w:rPr>
          <w:rFonts w:ascii="Times New Roman" w:cs="Times New Roman" w:eastAsia="Times New Roman" w:hAnsi="Times New Roman"/>
          <w:sz w:val="12"/>
          <w:szCs w:val="12"/>
          <w:color w:val="auto"/>
        </w:rPr>
      </w:pPr>
    </w:p>
    <w:p>
      <w:pPr>
        <w:ind w:left="680" w:right="39" w:hanging="208"/>
        <w:spacing w:after="0" w:line="279" w:lineRule="auto"/>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general and administrative expense is determined by adding back to GAAP general and administrative expense the stock-based compensation expense, amortization of cloud computing implementation costs and severance expense included in general and administrative expense for the respective periods.</w:t>
      </w:r>
    </w:p>
    <w:p>
      <w:pPr>
        <w:spacing w:after="0" w:line="111" w:lineRule="exact"/>
        <w:rPr>
          <w:rFonts w:ascii="Times New Roman" w:cs="Times New Roman" w:eastAsia="Times New Roman" w:hAnsi="Times New Roman"/>
          <w:sz w:val="12"/>
          <w:szCs w:val="12"/>
          <w:color w:val="auto"/>
        </w:rPr>
      </w:pPr>
    </w:p>
    <w:p>
      <w:pPr>
        <w:jc w:val="both"/>
        <w:ind w:left="680" w:right="39" w:hanging="208"/>
        <w:spacing w:after="0" w:line="260" w:lineRule="auto"/>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operating income is determined by adding back to GAAP loss or income from operations the stock-based compensation expense, depreciation and amortization of capitalized software and acquired intangible assets included in cost of subscription revenues, amortization of acquired intangible assets included in selling and marketing expense, amortization of cloud computing implementation costs in general and administrative expense, severance expense, acquisition contingent consideration, litigation settlements, and transaction costs, included in GAAP loss or income from operations for the respective periods.</w:t>
      </w:r>
    </w:p>
    <w:p>
      <w:pPr>
        <w:spacing w:after="0" w:line="122" w:lineRule="exact"/>
        <w:rPr>
          <w:rFonts w:ascii="Times New Roman" w:cs="Times New Roman" w:eastAsia="Times New Roman" w:hAnsi="Times New Roman"/>
          <w:sz w:val="12"/>
          <w:szCs w:val="12"/>
          <w:color w:val="auto"/>
        </w:rPr>
      </w:pPr>
    </w:p>
    <w:p>
      <w:pPr>
        <w:jc w:val="both"/>
        <w:ind w:left="680" w:right="39" w:hanging="208"/>
        <w:spacing w:after="0" w:line="259" w:lineRule="auto"/>
        <w:tabs>
          <w:tab w:leader="none" w:pos="6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Non-GAAP net income is determined by adding back to GAAP net income or loss income tax benefit or expense, stock-based compensation expense, depreciation and amortization of capitalized software and acquired intangible assets included in cost of subscription revenues, amortization of acquired intangible assets included in selling</w:t>
      </w:r>
    </w:p>
    <w:p>
      <w:pPr>
        <w:spacing w:after="0" w:line="1" w:lineRule="exact"/>
        <w:rPr>
          <w:sz w:val="20"/>
          <w:szCs w:val="20"/>
          <w:color w:val="auto"/>
        </w:rPr>
      </w:pPr>
    </w:p>
    <w:p>
      <w:pPr>
        <w:ind w:left="680" w:right="39"/>
        <w:spacing w:after="0" w:line="250" w:lineRule="auto"/>
        <w:rPr>
          <w:sz w:val="20"/>
          <w:szCs w:val="20"/>
          <w:color w:val="auto"/>
        </w:rPr>
      </w:pPr>
      <w:r>
        <w:rPr>
          <w:rFonts w:ascii="Times New Roman" w:cs="Times New Roman" w:eastAsia="Times New Roman" w:hAnsi="Times New Roman"/>
          <w:sz w:val="12"/>
          <w:szCs w:val="12"/>
          <w:color w:val="auto"/>
        </w:rPr>
        <w:t>and marketing expense, amortization of cloud computing implementation costs in general and administrative expense, severance expense, acquisition contingent consideration, adjustments to the settlement value of deferred purchase commitment liabilities recorded as interest expense, litigation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232410</wp:posOffset>
            </wp:positionV>
            <wp:extent cx="56921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5" w:lineRule="exact"/>
        <w:rPr>
          <w:sz w:val="20"/>
          <w:szCs w:val="20"/>
          <w:color w:val="auto"/>
        </w:rPr>
      </w:pPr>
    </w:p>
    <w:p>
      <w:pPr>
        <w:jc w:val="both"/>
        <w:ind w:left="680" w:right="39"/>
        <w:spacing w:after="0" w:line="265" w:lineRule="auto"/>
        <w:rPr>
          <w:sz w:val="20"/>
          <w:szCs w:val="20"/>
          <w:color w:val="auto"/>
        </w:rPr>
      </w:pPr>
      <w:r>
        <w:rPr>
          <w:rFonts w:ascii="Times New Roman" w:cs="Times New Roman" w:eastAsia="Times New Roman" w:hAnsi="Times New Roman"/>
          <w:sz w:val="12"/>
          <w:szCs w:val="12"/>
          <w:color w:val="auto"/>
        </w:rPr>
        <w:t>settlements, and transaction costs, included in GAAP net income or loss for the respective periods to determine non-GAAP income or loss before income taxes. Non-GAAP income or loss before income taxes is then adjusted for income taxes calculated using the respective statutory tax rates for applicable jurisdictions, which for purposes of this determination were assumed to be 25.5%.</w:t>
      </w:r>
    </w:p>
    <w:p>
      <w:pPr>
        <w:spacing w:after="0" w:line="119" w:lineRule="exact"/>
        <w:rPr>
          <w:sz w:val="20"/>
          <w:szCs w:val="20"/>
          <w:color w:val="auto"/>
        </w:rPr>
      </w:pPr>
    </w:p>
    <w:p>
      <w:pPr>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schedules reflect our additional non-GAAP financial measures and reconciles our additional non-GAAP financial measures to the related GAAP financial measures.</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8"/>
          </w:tcPr>
          <w:p>
            <w:pPr>
              <w:spacing w:after="0"/>
              <w:rPr>
                <w:sz w:val="20"/>
                <w:szCs w:val="20"/>
                <w:color w:val="auto"/>
              </w:rPr>
            </w:pPr>
            <w:r>
              <w:rPr>
                <w:rFonts w:ascii="Times New Roman" w:cs="Times New Roman" w:eastAsia="Times New Roman" w:hAnsi="Times New Roman"/>
                <w:sz w:val="10"/>
                <w:szCs w:val="10"/>
                <w:b w:val="1"/>
                <w:bCs w:val="1"/>
                <w:color w:val="auto"/>
                <w:w w:val="94"/>
              </w:rPr>
              <w:t>For the three months ended</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40" w:type="dxa"/>
            <w:vAlign w:val="bottom"/>
            <w:gridSpan w:val="9"/>
          </w:tcPr>
          <w:p>
            <w:pPr>
              <w:jc w:val="center"/>
              <w:ind w:right="446"/>
              <w:spacing w:after="0"/>
              <w:rPr>
                <w:sz w:val="20"/>
                <w:szCs w:val="20"/>
                <w:color w:val="auto"/>
              </w:rPr>
            </w:pPr>
            <w:r>
              <w:rPr>
                <w:rFonts w:ascii="Times New Roman" w:cs="Times New Roman" w:eastAsia="Times New Roman" w:hAnsi="Times New Roman"/>
                <w:sz w:val="10"/>
                <w:szCs w:val="10"/>
                <w:b w:val="1"/>
                <w:bCs w:val="1"/>
                <w:color w:val="auto"/>
                <w:w w:val="96"/>
              </w:rPr>
              <w:t>For the six months ended</w:t>
            </w:r>
          </w:p>
        </w:tc>
        <w:tc>
          <w:tcPr>
            <w:tcW w:w="0" w:type="dxa"/>
            <w:vAlign w:val="bottom"/>
          </w:tcPr>
          <w:p>
            <w:pPr>
              <w:spacing w:after="0"/>
              <w:rPr>
                <w:sz w:val="1"/>
                <w:szCs w:val="1"/>
                <w:color w:val="auto"/>
              </w:rPr>
            </w:pPr>
          </w:p>
        </w:tc>
      </w:tr>
      <w:tr>
        <w:trPr>
          <w:trHeight w:val="115"/>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5"/>
          </w:tcPr>
          <w:p>
            <w:pPr>
              <w:jc w:val="center"/>
              <w:ind w:left="44"/>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6"/>
          </w:tcPr>
          <w:p>
            <w:pPr>
              <w:jc w:val="center"/>
              <w:ind w:left="125"/>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5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3"/>
          </w:tcPr>
          <w:p>
            <w:pPr>
              <w:jc w:val="right"/>
              <w:ind w:right="204"/>
              <w:spacing w:after="0" w:line="88" w:lineRule="exact"/>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Borders>
              <w:bottom w:val="single" w:sz="8" w:color="auto"/>
            </w:tcBorders>
          </w:tcPr>
          <w:p>
            <w:pPr>
              <w:spacing w:after="0"/>
              <w:rPr>
                <w:sz w:val="7"/>
                <w:szCs w:val="7"/>
                <w:color w:val="auto"/>
              </w:rPr>
            </w:pPr>
          </w:p>
        </w:tc>
        <w:tc>
          <w:tcPr>
            <w:tcW w:w="260" w:type="dxa"/>
            <w:vAlign w:val="bottom"/>
            <w:vMerge w:val="restart"/>
          </w:tcPr>
          <w:p>
            <w:pPr>
              <w:jc w:val="center"/>
              <w:spacing w:after="0"/>
              <w:rPr>
                <w:sz w:val="20"/>
                <w:szCs w:val="20"/>
                <w:color w:val="auto"/>
              </w:rPr>
            </w:pPr>
            <w:r>
              <w:rPr>
                <w:rFonts w:ascii="Times New Roman" w:cs="Times New Roman" w:eastAsia="Times New Roman" w:hAnsi="Times New Roman"/>
                <w:sz w:val="7"/>
                <w:szCs w:val="7"/>
                <w:b w:val="1"/>
                <w:bCs w:val="1"/>
                <w:color w:val="auto"/>
                <w:w w:val="74"/>
              </w:rPr>
              <w:t>(unaudited)</w:t>
            </w: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gridSpan w:val="3"/>
          </w:tcPr>
          <w:p>
            <w:pPr>
              <w:ind w:left="80"/>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245"/>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2024</w:t>
            </w:r>
          </w:p>
        </w:tc>
        <w:tc>
          <w:tcPr>
            <w:tcW w:w="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6"/>
                <w:szCs w:val="6"/>
                <w:b w:val="1"/>
                <w:bCs w:val="1"/>
                <w:color w:val="auto"/>
                <w:w w:val="79"/>
              </w:rPr>
              <w:t>(unaudited)</w:t>
            </w: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ind w:right="244"/>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2023</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gridSpan w:val="2"/>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cost of revenues, software subscriptions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26,730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25,411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54,921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49,383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Non-GAAP cost of revenues, services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15,590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15,197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30,445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28,705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gross profit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118,784</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99,087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232,519</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194,358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Non-GAAP gross margin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118"/>
              <w:spacing w:after="0"/>
              <w:rPr>
                <w:sz w:val="20"/>
                <w:szCs w:val="20"/>
                <w:color w:val="auto"/>
              </w:rPr>
            </w:pPr>
            <w:r>
              <w:rPr>
                <w:rFonts w:ascii="Times New Roman" w:cs="Times New Roman" w:eastAsia="Times New Roman" w:hAnsi="Times New Roman"/>
                <w:sz w:val="12"/>
                <w:szCs w:val="12"/>
                <w:color w:val="auto"/>
              </w:rPr>
              <w:t>73.7 %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2"/>
                <w:szCs w:val="12"/>
                <w:color w:val="auto"/>
              </w:rPr>
              <w:t>70.9 %</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
              <w:spacing w:after="0"/>
              <w:rPr>
                <w:sz w:val="20"/>
                <w:szCs w:val="20"/>
                <w:color w:val="auto"/>
              </w:rPr>
            </w:pPr>
            <w:r>
              <w:rPr>
                <w:rFonts w:ascii="Times New Roman" w:cs="Times New Roman" w:eastAsia="Times New Roman" w:hAnsi="Times New Roman"/>
                <w:sz w:val="12"/>
                <w:szCs w:val="12"/>
                <w:color w:val="auto"/>
              </w:rPr>
              <w:t>73.1 %</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jc w:val="right"/>
              <w:ind w:right="46"/>
              <w:spacing w:after="0"/>
              <w:rPr>
                <w:sz w:val="20"/>
                <w:szCs w:val="20"/>
                <w:color w:val="auto"/>
              </w:rPr>
            </w:pPr>
            <w:r>
              <w:rPr>
                <w:rFonts w:ascii="Times New Roman" w:cs="Times New Roman" w:eastAsia="Times New Roman" w:hAnsi="Times New Roman"/>
                <w:sz w:val="12"/>
                <w:szCs w:val="12"/>
                <w:color w:val="auto"/>
              </w:rPr>
              <w:t>71.3 %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research and development expense</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12,692</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11,905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26,164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25,533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Non-GAAP selling and marketing expense</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37,021</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31,775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72,695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63,847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general and administrative expense</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30,627</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33,259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58,200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62,544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2"/>
                <w:szCs w:val="12"/>
                <w:color w:val="auto"/>
              </w:rPr>
              <w:t>Non-GAAP operating income</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33,303</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18,105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65,040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34,566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Non-GAAP net income</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24,991</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13,566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48,422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26,091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3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8"/>
          </w:tcPr>
          <w:p>
            <w:pPr>
              <w:jc w:val="center"/>
              <w:ind w:left="144"/>
              <w:spacing w:after="0"/>
              <w:rPr>
                <w:sz w:val="20"/>
                <w:szCs w:val="20"/>
                <w:color w:val="auto"/>
              </w:rPr>
            </w:pPr>
            <w:r>
              <w:rPr>
                <w:rFonts w:ascii="Times New Roman" w:cs="Times New Roman" w:eastAsia="Times New Roman" w:hAnsi="Times New Roman"/>
                <w:sz w:val="10"/>
                <w:szCs w:val="10"/>
                <w:b w:val="1"/>
                <w:bCs w:val="1"/>
                <w:color w:val="auto"/>
                <w:w w:val="96"/>
              </w:rPr>
              <w:t>For the 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gridSpan w:val="9"/>
          </w:tcPr>
          <w:p>
            <w:pPr>
              <w:jc w:val="center"/>
              <w:ind w:right="126"/>
              <w:spacing w:after="0"/>
              <w:rPr>
                <w:sz w:val="20"/>
                <w:szCs w:val="20"/>
                <w:color w:val="auto"/>
              </w:rPr>
            </w:pPr>
            <w:r>
              <w:rPr>
                <w:rFonts w:ascii="Times New Roman" w:cs="Times New Roman" w:eastAsia="Times New Roman" w:hAnsi="Times New Roman"/>
                <w:sz w:val="10"/>
                <w:szCs w:val="10"/>
                <w:b w:val="1"/>
                <w:bCs w:val="1"/>
                <w:color w:val="auto"/>
                <w:w w:val="96"/>
              </w:rPr>
              <w:t>For the six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4"/>
          </w:tcPr>
          <w:p>
            <w:pPr>
              <w:jc w:val="center"/>
              <w:ind w:right="6"/>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7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3"/>
          </w:tcPr>
          <w:p>
            <w:pPr>
              <w:jc w:val="right"/>
              <w:ind w:right="158"/>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0"/>
                <w:szCs w:val="10"/>
                <w:b w:val="1"/>
                <w:bCs w:val="1"/>
                <w:color w:val="auto"/>
              </w:rPr>
              <w:t>2024</w:t>
            </w:r>
          </w:p>
        </w:tc>
        <w:tc>
          <w:tcPr>
            <w:tcW w:w="1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2023</w:t>
            </w:r>
          </w:p>
        </w:tc>
        <w:tc>
          <w:tcPr>
            <w:tcW w:w="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Non-GAAP Cost of Revenues, Software Subscriptions: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5"/>
          </w:tcPr>
          <w:p>
            <w:pPr>
              <w:jc w:val="center"/>
              <w:ind w:left="178"/>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Cost of revenues, software subscriptions</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42,261</w:t>
            </w:r>
          </w:p>
        </w:tc>
        <w:tc>
          <w:tcPr>
            <w:tcW w:w="1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38,516</w:t>
            </w:r>
          </w:p>
        </w:tc>
        <w:tc>
          <w:tcPr>
            <w:tcW w:w="10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87,389</w:t>
            </w:r>
          </w:p>
        </w:tc>
        <w:tc>
          <w:tcPr>
            <w:tcW w:w="4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75,919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4"/>
          </w:tcPr>
          <w:p>
            <w:pPr>
              <w:jc w:val="right"/>
              <w:ind w:right="91"/>
              <w:spacing w:after="0"/>
              <w:rPr>
                <w:sz w:val="20"/>
                <w:szCs w:val="20"/>
                <w:color w:val="auto"/>
              </w:rPr>
            </w:pPr>
            <w:r>
              <w:rPr>
                <w:rFonts w:ascii="Times New Roman" w:cs="Times New Roman" w:eastAsia="Times New Roman" w:hAnsi="Times New Roman"/>
                <w:sz w:val="11"/>
                <w:szCs w:val="11"/>
                <w:color w:val="auto"/>
              </w:rPr>
              <w:t>(953)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gridSpan w:val="3"/>
          </w:tcPr>
          <w:p>
            <w:pPr>
              <w:jc w:val="right"/>
              <w:ind w:right="51"/>
              <w:spacing w:after="0"/>
              <w:rPr>
                <w:sz w:val="20"/>
                <w:szCs w:val="20"/>
                <w:color w:val="auto"/>
              </w:rPr>
            </w:pPr>
            <w:r>
              <w:rPr>
                <w:rFonts w:ascii="Times New Roman" w:cs="Times New Roman" w:eastAsia="Times New Roman" w:hAnsi="Times New Roman"/>
                <w:sz w:val="11"/>
                <w:szCs w:val="11"/>
                <w:color w:val="auto"/>
              </w:rPr>
              <w:t>(419)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(2,543)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99"/>
              </w:rPr>
              <w:t>Depreciation and amortization of capitalized software and acquired intangible assets – cost of subscription</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revenues</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91"/>
              <w:spacing w:after="0"/>
              <w:rPr>
                <w:sz w:val="20"/>
                <w:szCs w:val="20"/>
                <w:color w:val="auto"/>
              </w:rPr>
            </w:pPr>
            <w:r>
              <w:rPr>
                <w:rFonts w:ascii="Times New Roman" w:cs="Times New Roman" w:eastAsia="Times New Roman" w:hAnsi="Times New Roman"/>
                <w:sz w:val="11"/>
                <w:szCs w:val="11"/>
                <w:color w:val="auto"/>
              </w:rPr>
              <w:t>(14,578)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51"/>
              <w:spacing w:after="0"/>
              <w:rPr>
                <w:sz w:val="20"/>
                <w:szCs w:val="20"/>
                <w:color w:val="auto"/>
              </w:rPr>
            </w:pPr>
            <w:r>
              <w:rPr>
                <w:rFonts w:ascii="Times New Roman" w:cs="Times New Roman" w:eastAsia="Times New Roman" w:hAnsi="Times New Roman"/>
                <w:sz w:val="11"/>
                <w:szCs w:val="11"/>
                <w:color w:val="auto"/>
              </w:rPr>
              <w:t>(12,686)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(29,925)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(25,121)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40" w:type="dxa"/>
            <w:vAlign w:val="bottom"/>
            <w:tcBorders>
              <w:bottom w:val="single" w:sz="8" w:color="CCEEFF"/>
            </w:tcBorders>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Non-GAAP cost of revenues, software subscriptions</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gridSpan w:val="3"/>
          </w:tcPr>
          <w:p>
            <w:pPr>
              <w:jc w:val="right"/>
              <w:spacing w:after="0" w:line="124" w:lineRule="exact"/>
              <w:rPr>
                <w:sz w:val="20"/>
                <w:szCs w:val="20"/>
                <w:color w:val="auto"/>
              </w:rPr>
            </w:pPr>
            <w:r>
              <w:rPr>
                <w:rFonts w:ascii="Times New Roman" w:cs="Times New Roman" w:eastAsia="Times New Roman" w:hAnsi="Times New Roman"/>
                <w:sz w:val="11"/>
                <w:szCs w:val="11"/>
                <w:color w:val="auto"/>
              </w:rPr>
              <w:t>26,730</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gridSpan w:val="3"/>
          </w:tcPr>
          <w:p>
            <w:pPr>
              <w:jc w:val="right"/>
              <w:ind w:right="40"/>
              <w:spacing w:after="0" w:line="124" w:lineRule="exact"/>
              <w:rPr>
                <w:sz w:val="20"/>
                <w:szCs w:val="20"/>
                <w:color w:val="auto"/>
              </w:rPr>
            </w:pPr>
            <w:r>
              <w:rPr>
                <w:rFonts w:ascii="Times New Roman" w:cs="Times New Roman" w:eastAsia="Times New Roman" w:hAnsi="Times New Roman"/>
                <w:sz w:val="11"/>
                <w:szCs w:val="11"/>
                <w:color w:val="auto"/>
              </w:rPr>
              <w:t>25,411</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1"/>
                <w:szCs w:val="11"/>
                <w:color w:val="auto"/>
              </w:rPr>
              <w:t>54,921</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gridSpan w:val="2"/>
          </w:tcPr>
          <w:p>
            <w:pPr>
              <w:spacing w:after="0"/>
              <w:rPr>
                <w:sz w:val="11"/>
                <w:szCs w:val="11"/>
                <w:color w:val="auto"/>
              </w:rPr>
            </w:pPr>
          </w:p>
        </w:tc>
        <w:tc>
          <w:tcPr>
            <w:tcW w:w="160" w:type="dxa"/>
            <w:vAlign w:val="bottom"/>
            <w:tcBorders>
              <w:top w:val="single" w:sz="8" w:color="auto"/>
              <w:bottom w:val="single" w:sz="8" w:color="auto"/>
            </w:tcBorders>
          </w:tcPr>
          <w:p>
            <w:pPr>
              <w:jc w:val="right"/>
              <w:ind w:right="4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gridSpan w:val="2"/>
          </w:tcPr>
          <w:p>
            <w:pPr>
              <w:jc w:val="right"/>
              <w:ind w:right="40"/>
              <w:spacing w:after="0" w:line="124" w:lineRule="exact"/>
              <w:rPr>
                <w:sz w:val="20"/>
                <w:szCs w:val="20"/>
                <w:color w:val="auto"/>
              </w:rPr>
            </w:pPr>
            <w:r>
              <w:rPr>
                <w:rFonts w:ascii="Times New Roman" w:cs="Times New Roman" w:eastAsia="Times New Roman" w:hAnsi="Times New Roman"/>
                <w:sz w:val="11"/>
                <w:szCs w:val="11"/>
                <w:color w:val="auto"/>
              </w:rPr>
              <w:t>49,383</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Non-GAAP Cost of Revenues, Services: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Cost of revenues, services</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16,155</w:t>
            </w:r>
          </w:p>
        </w:tc>
        <w:tc>
          <w:tcPr>
            <w:tcW w:w="14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15,363</w:t>
            </w:r>
          </w:p>
        </w:tc>
        <w:tc>
          <w:tcPr>
            <w:tcW w:w="10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32,016</w:t>
            </w:r>
          </w:p>
        </w:tc>
        <w:tc>
          <w:tcPr>
            <w:tcW w:w="4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29,707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gridSpan w:val="4"/>
          </w:tcPr>
          <w:p>
            <w:pPr>
              <w:jc w:val="right"/>
              <w:ind w:right="91"/>
              <w:spacing w:after="0"/>
              <w:rPr>
                <w:sz w:val="20"/>
                <w:szCs w:val="20"/>
                <w:color w:val="auto"/>
              </w:rPr>
            </w:pPr>
            <w:r>
              <w:rPr>
                <w:rFonts w:ascii="Times New Roman" w:cs="Times New Roman" w:eastAsia="Times New Roman" w:hAnsi="Times New Roman"/>
                <w:sz w:val="11"/>
                <w:szCs w:val="11"/>
                <w:color w:val="auto"/>
              </w:rPr>
              <w:t>(565)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gridSpan w:val="3"/>
          </w:tcPr>
          <w:p>
            <w:pPr>
              <w:jc w:val="right"/>
              <w:ind w:right="51"/>
              <w:spacing w:after="0"/>
              <w:rPr>
                <w:sz w:val="20"/>
                <w:szCs w:val="20"/>
                <w:color w:val="auto"/>
              </w:rPr>
            </w:pPr>
            <w:r>
              <w:rPr>
                <w:rFonts w:ascii="Times New Roman" w:cs="Times New Roman" w:eastAsia="Times New Roman" w:hAnsi="Times New Roman"/>
                <w:sz w:val="11"/>
                <w:szCs w:val="11"/>
                <w:color w:val="auto"/>
              </w:rPr>
              <w:t>(166)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(1,571)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740" w:type="dxa"/>
            <w:vAlign w:val="bottom"/>
            <w:tcBorders>
              <w:top w:val="single" w:sz="8" w:color="CCEEFF"/>
              <w:bottom w:val="single" w:sz="8" w:color="CCEEFF"/>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Non-GAAP cost of revenues, services</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gridSpan w:val="3"/>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15,590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gridSpan w:val="3"/>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1"/>
                <w:szCs w:val="11"/>
                <w:color w:val="auto"/>
              </w:rPr>
              <w:t>15,197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30,445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4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1"/>
                <w:szCs w:val="11"/>
                <w:color w:val="auto"/>
              </w:rPr>
              <w:t>28,705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Non-GAAP Gross Profit:</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Gross profit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102,688</w:t>
            </w:r>
          </w:p>
        </w:tc>
        <w:tc>
          <w:tcPr>
            <w:tcW w:w="140" w:type="dxa"/>
            <w:vAlign w:val="bottom"/>
          </w:tcPr>
          <w:p>
            <w:pPr>
              <w:spacing w:after="0"/>
              <w:rPr>
                <w:sz w:val="11"/>
                <w:szCs w:val="11"/>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85,816</w:t>
            </w:r>
          </w:p>
        </w:tc>
        <w:tc>
          <w:tcPr>
            <w:tcW w:w="100" w:type="dxa"/>
            <w:vAlign w:val="bottom"/>
          </w:tcPr>
          <w:p>
            <w:pPr>
              <w:spacing w:after="0"/>
              <w:rPr>
                <w:sz w:val="11"/>
                <w:szCs w:val="11"/>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198,480</w:t>
            </w:r>
          </w:p>
        </w:tc>
        <w:tc>
          <w:tcPr>
            <w:tcW w:w="40" w:type="dxa"/>
            <w:vAlign w:val="bottom"/>
          </w:tcPr>
          <w:p>
            <w:pPr>
              <w:spacing w:after="0"/>
              <w:rPr>
                <w:sz w:val="11"/>
                <w:szCs w:val="11"/>
                <w:color w:val="auto"/>
              </w:rPr>
            </w:pPr>
          </w:p>
        </w:tc>
        <w:tc>
          <w:tcPr>
            <w:tcW w:w="34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166,820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585</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4,114</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2,417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99"/>
              </w:rPr>
              <w:t>Depreciation and amortization of capitalized software and acquired intangible assets – cost of subscription</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color w:val="auto"/>
              </w:rPr>
              <w:t>revenues</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14,578</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12,686</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29,925</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25,121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Non-GAAP gross profit</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118,784</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99,087</w:t>
            </w:r>
          </w:p>
        </w:tc>
        <w:tc>
          <w:tcPr>
            <w:tcW w:w="1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232,519</w:t>
            </w:r>
          </w:p>
        </w:tc>
        <w:tc>
          <w:tcPr>
            <w:tcW w:w="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gridSpan w:val="2"/>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194,358</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Non-GAAP Gross Margin:</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Total revenues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161,104</w:t>
            </w:r>
          </w:p>
        </w:tc>
        <w:tc>
          <w:tcPr>
            <w:tcW w:w="14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139,695</w:t>
            </w:r>
          </w:p>
        </w:tc>
        <w:tc>
          <w:tcPr>
            <w:tcW w:w="100" w:type="dxa"/>
            <w:vAlign w:val="bottom"/>
          </w:tcPr>
          <w:p>
            <w:pPr>
              <w:spacing w:after="0"/>
              <w:rPr>
                <w:sz w:val="12"/>
                <w:szCs w:val="12"/>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317,885</w:t>
            </w:r>
          </w:p>
        </w:tc>
        <w:tc>
          <w:tcPr>
            <w:tcW w:w="40" w:type="dxa"/>
            <w:vAlign w:val="bottom"/>
          </w:tcPr>
          <w:p>
            <w:pPr>
              <w:spacing w:after="0"/>
              <w:rPr>
                <w:sz w:val="12"/>
                <w:szCs w:val="12"/>
                <w:color w:val="auto"/>
              </w:rPr>
            </w:pPr>
          </w:p>
        </w:tc>
        <w:tc>
          <w:tcPr>
            <w:tcW w:w="340" w:type="dxa"/>
            <w:vAlign w:val="bottom"/>
            <w:gridSpan w:val="3"/>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272,446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Non-GAAP gross margin</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40" w:type="dxa"/>
            <w:vAlign w:val="bottom"/>
            <w:tcBorders>
              <w:top w:val="single" w:sz="8" w:color="CCEEFF"/>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1"/>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70.9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1"/>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22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86"/>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71.3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671"/>
        </w:trPr>
        <w:tc>
          <w:tcPr>
            <w:tcW w:w="4760" w:type="dxa"/>
            <w:vAlign w:val="bottom"/>
            <w:gridSpan w:val="2"/>
          </w:tcPr>
          <w:p>
            <w:pPr>
              <w:jc w:val="right"/>
              <w:ind w:right="164"/>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gridSpan w:val="6"/>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For the three months ended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7"/>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For the six months ended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4"/>
          </w:tcPr>
          <w:p>
            <w:pPr>
              <w:jc w:val="center"/>
              <w:ind w:left="327"/>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5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9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2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0"/>
                <w:szCs w:val="10"/>
                <w:b w:val="1"/>
                <w:bCs w:val="1"/>
                <w:color w:val="auto"/>
              </w:rPr>
              <w:t>2023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4"/>
          </w:tcPr>
          <w:p>
            <w:pPr>
              <w:jc w:val="center"/>
              <w:ind w:left="347"/>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5"/>
          </w:tcPr>
          <w:p>
            <w:pPr>
              <w:jc w:val="center"/>
              <w:ind w:left="527"/>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Non-GAAP Research and Development Expense: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Research and development expense</w:t>
            </w:r>
          </w:p>
        </w:tc>
        <w:tc>
          <w:tcPr>
            <w:tcW w:w="46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14,614</w:t>
            </w:r>
          </w:p>
        </w:tc>
        <w:tc>
          <w:tcPr>
            <w:tcW w:w="100" w:type="dxa"/>
            <w:vAlign w:val="bottom"/>
          </w:tcPr>
          <w:p>
            <w:pPr>
              <w:spacing w:after="0"/>
              <w:rPr>
                <w:sz w:val="11"/>
                <w:szCs w:val="11"/>
                <w:color w:val="auto"/>
              </w:rPr>
            </w:pPr>
          </w:p>
        </w:tc>
        <w:tc>
          <w:tcPr>
            <w:tcW w:w="32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12,680</w:t>
            </w:r>
          </w:p>
        </w:tc>
        <w:tc>
          <w:tcPr>
            <w:tcW w:w="60" w:type="dxa"/>
            <w:vAlign w:val="bottom"/>
          </w:tcPr>
          <w:p>
            <w:pPr>
              <w:spacing w:after="0"/>
              <w:rPr>
                <w:sz w:val="11"/>
                <w:szCs w:val="1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31,459</w:t>
            </w:r>
          </w:p>
        </w:tc>
        <w:tc>
          <w:tcPr>
            <w:tcW w:w="12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28,542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(1,922)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(775)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(5,295)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Borders>
              <w:bottom w:val="single" w:sz="8" w:color="CCEEFF"/>
            </w:tcBorders>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Non-GAAP research and development expense</w:t>
            </w:r>
          </w:p>
        </w:tc>
        <w:tc>
          <w:tcPr>
            <w:tcW w:w="2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12,692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11,905</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26,164</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25,533</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9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Non-GAAP Selling and Marketing Expense: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Selling and marketing expense</w:t>
            </w:r>
          </w:p>
        </w:tc>
        <w:tc>
          <w:tcPr>
            <w:tcW w:w="4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40,541</w:t>
            </w:r>
          </w:p>
        </w:tc>
        <w:tc>
          <w:tcPr>
            <w:tcW w:w="1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33,541</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81,032</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69,277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(2,928)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(1,082)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(7,150)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Amortization of acquired intangible assets – selling and marketing expense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(592)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(684)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(1,187)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Non-GAAP selling and marketing expense</w:t>
            </w:r>
          </w:p>
        </w:tc>
        <w:tc>
          <w:tcPr>
            <w:tcW w:w="2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37,021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31,775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72,695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63,847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4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Non-GAAP General and Administrative Expense:</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General and administrative expense</w:t>
            </w:r>
          </w:p>
        </w:tc>
        <w:tc>
          <w:tcPr>
            <w:tcW w:w="4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35,874</w:t>
            </w:r>
          </w:p>
        </w:tc>
        <w:tc>
          <w:tcPr>
            <w:tcW w:w="1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39,376</w:t>
            </w:r>
          </w:p>
        </w:tc>
        <w:tc>
          <w:tcPr>
            <w:tcW w:w="6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71,416</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73,686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(3,633)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(4,581)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(9,766)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Severance expense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(619)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(1,461)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Amortization of cloud computing implementation costs – general and administrative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(995)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(1,989)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tcBorders>
              <w:top w:val="single" w:sz="8" w:color="CCEEFF"/>
              <w:bottom w:val="single" w:sz="8" w:color="CCEEFF"/>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Non-GAAP general and administrative expense</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30,627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33,259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58,200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62,544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Non-GAAP Operating Income:</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Income (loss) from operations</w:t>
            </w:r>
          </w:p>
        </w:tc>
        <w:tc>
          <w:tcPr>
            <w:tcW w:w="4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7,545</w:t>
            </w:r>
          </w:p>
        </w:tc>
        <w:tc>
          <w:tcPr>
            <w:tcW w:w="1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(4,072)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5,980</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7,022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18,456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Depreciation and amortization of capitalized software and acquired intangible assets – cost of subscription</w:t>
            </w: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revenues</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12,686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25,121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Amortization of acquired intangible assets – selling and marketing expense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Amortization of cloud computing implementation costs – general and administrative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Severance expense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Acquisition contingent consideration</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(1,575)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(2,375)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Transaction costs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Borders>
              <w:top w:val="single" w:sz="8" w:color="CCEEFF"/>
              <w:bottom w:val="single" w:sz="8" w:color="CCEEFF"/>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Non-GAAP operating income</w:t>
            </w: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33,303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18,105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65,040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34,566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4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7"/>
          </w:tcPr>
          <w:p>
            <w:pPr>
              <w:jc w:val="center"/>
              <w:ind w:left="27"/>
              <w:spacing w:after="0"/>
              <w:rPr>
                <w:sz w:val="20"/>
                <w:szCs w:val="20"/>
                <w:color w:val="auto"/>
              </w:rPr>
            </w:pPr>
            <w:r>
              <w:rPr>
                <w:rFonts w:ascii="Times New Roman" w:cs="Times New Roman" w:eastAsia="Times New Roman" w:hAnsi="Times New Roman"/>
                <w:sz w:val="10"/>
                <w:szCs w:val="10"/>
                <w:b w:val="1"/>
                <w:bCs w:val="1"/>
                <w:color w:val="auto"/>
                <w:w w:val="96"/>
              </w:rPr>
              <w:t>For the three months ended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7"/>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For the six months ended</w:t>
            </w:r>
          </w:p>
        </w:tc>
        <w:tc>
          <w:tcPr>
            <w:tcW w:w="0" w:type="dxa"/>
            <w:vAlign w:val="bottom"/>
          </w:tcPr>
          <w:p>
            <w:pPr>
              <w:spacing w:after="0"/>
              <w:rPr>
                <w:sz w:val="1"/>
                <w:szCs w:val="1"/>
                <w:color w:val="auto"/>
              </w:rPr>
            </w:pPr>
          </w:p>
        </w:tc>
      </w:tr>
      <w:tr>
        <w:trPr>
          <w:trHeight w:val="125"/>
        </w:trPr>
        <w:tc>
          <w:tcPr>
            <w:tcW w:w="4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(Dollars in thousands)</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2023</w:t>
            </w: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Non-GAAP Net Income: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5"/>
          </w:tcPr>
          <w:p>
            <w:pPr>
              <w:jc w:val="center"/>
              <w:ind w:left="527"/>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5"/>
          </w:tcPr>
          <w:p>
            <w:pPr>
              <w:jc w:val="center"/>
              <w:ind w:left="527"/>
              <w:spacing w:after="0"/>
              <w:rPr>
                <w:sz w:val="20"/>
                <w:szCs w:val="20"/>
                <w:color w:val="auto"/>
              </w:rPr>
            </w:pPr>
            <w:r>
              <w:rPr>
                <w:rFonts w:ascii="Times New Roman" w:cs="Times New Roman" w:eastAsia="Times New Roman" w:hAnsi="Times New Roman"/>
                <w:sz w:val="10"/>
                <w:szCs w:val="10"/>
                <w:b w:val="1"/>
                <w:bCs w:val="1"/>
                <w:color w:val="auto"/>
                <w:w w:val="95"/>
              </w:rPr>
              <w:t>(unaudited)</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49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4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5,164</w:t>
            </w:r>
          </w:p>
        </w:tc>
        <w:tc>
          <w:tcPr>
            <w:tcW w:w="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center"/>
              <w:ind w:left="69"/>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(6,896)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7,848</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(25,028)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(2,335)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10,001</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26,325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18,456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Depreciation and amortization of capitalized software and acquired intangible assets – cost of subscription</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revenues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14,578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12,686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25,121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Amortization of acquired intangible assets – selling and marketing expense</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Amortization of cloud computing implementation costs – general and administrative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Severance expense</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Acquisition contingent consideration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(1,575)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(2,375)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Transaction costs</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49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Change in settlement value of deferred purchase commitment liability – interest expense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4"/>
        </w:trPr>
        <w:tc>
          <w:tcPr>
            <w:tcW w:w="4960" w:type="dxa"/>
            <w:vAlign w:val="bottom"/>
            <w:tcBorders>
              <w:top w:val="single" w:sz="8" w:color="CCEEFF"/>
            </w:tcBorders>
            <w:shd w:val="clear" w:color="auto" w:fill="CCEEFF"/>
          </w:tcPr>
          <w:p>
            <w:pPr>
              <w:ind w:left="80"/>
              <w:spacing w:after="0" w:line="121" w:lineRule="exact"/>
              <w:rPr>
                <w:sz w:val="20"/>
                <w:szCs w:val="20"/>
                <w:color w:val="auto"/>
              </w:rPr>
            </w:pPr>
            <w:r>
              <w:rPr>
                <w:rFonts w:ascii="Times New Roman" w:cs="Times New Roman" w:eastAsia="Times New Roman" w:hAnsi="Times New Roman"/>
                <w:sz w:val="11"/>
                <w:szCs w:val="11"/>
                <w:color w:val="auto"/>
              </w:rPr>
              <w:t>Non-GAAP income before income taxes</w:t>
            </w: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33,545</w:t>
            </w: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18,210</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64,996</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35,021</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960" w:type="dxa"/>
            <w:vAlign w:val="bottom"/>
          </w:tcPr>
          <w:p>
            <w:pPr>
              <w:ind w:left="80"/>
              <w:spacing w:after="0" w:line="135" w:lineRule="exact"/>
              <w:rPr>
                <w:sz w:val="20"/>
                <w:szCs w:val="20"/>
                <w:color w:val="auto"/>
              </w:rPr>
            </w:pPr>
            <w:r>
              <w:rPr>
                <w:rFonts w:ascii="Times New Roman" w:cs="Times New Roman" w:eastAsia="Times New Roman" w:hAnsi="Times New Roman"/>
                <w:sz w:val="10"/>
                <w:szCs w:val="10"/>
                <w:color w:val="auto"/>
              </w:rPr>
              <w:t xml:space="preserve">Income tax adjustment at statutory rate </w:t>
            </w:r>
            <w:r>
              <w:rPr>
                <w:rFonts w:ascii="Times New Roman" w:cs="Times New Roman" w:eastAsia="Times New Roman" w:hAnsi="Times New Roman"/>
                <w:sz w:val="15"/>
                <w:szCs w:val="15"/>
                <w:color w:val="auto"/>
                <w:vertAlign w:val="superscript"/>
              </w:rPr>
              <w:t>(1)</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(8,554)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(4,644)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(16,574)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(8,930)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960" w:type="dxa"/>
            <w:vAlign w:val="bottom"/>
            <w:tcBorders>
              <w:top w:val="single" w:sz="8" w:color="CCEEFF"/>
              <w:bottom w:val="single" w:sz="8" w:color="CCEEFF"/>
            </w:tcBorders>
            <w:shd w:val="clear" w:color="auto" w:fill="CCEEFF"/>
          </w:tcPr>
          <w:p>
            <w:pPr>
              <w:ind w:left="80"/>
              <w:spacing w:after="0" w:line="124" w:lineRule="exact"/>
              <w:rPr>
                <w:sz w:val="20"/>
                <w:szCs w:val="20"/>
                <w:color w:val="auto"/>
              </w:rPr>
            </w:pPr>
            <w:r>
              <w:rPr>
                <w:rFonts w:ascii="Times New Roman" w:cs="Times New Roman" w:eastAsia="Times New Roman" w:hAnsi="Times New Roman"/>
                <w:sz w:val="11"/>
                <w:szCs w:val="11"/>
                <w:b w:val="1"/>
                <w:bCs w:val="1"/>
                <w:color w:val="auto"/>
              </w:rPr>
              <w:t>Non-GAAP net income</w:t>
            </w:r>
          </w:p>
        </w:tc>
        <w:tc>
          <w:tcPr>
            <w:tcW w:w="2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24,991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center"/>
              <w:ind w:right="6"/>
              <w:spacing w:after="0" w:line="124"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13,566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48,422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26,091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ind w:left="120" w:hanging="98"/>
        <w:spacing w:after="0" w:line="220" w:lineRule="auto"/>
        <w:tabs>
          <w:tab w:leader="none" w:pos="120" w:val="left"/>
        </w:tabs>
        <w:numPr>
          <w:ilvl w:val="0"/>
          <w:numId w:val="2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8"/>
          <w:szCs w:val="8"/>
          <w:color w:val="auto"/>
        </w:rPr>
        <w:t>Non-GAAP income (loss) before income taxes is adjusted for income taxes using the respective statutory tax rates for applicable jurisdictions, which for purposes of this determination were assumed to be 25.5%.</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 critical accounting policies that reflect our more significant judgments and estimates used in the preparation of our condensed consolidated financial statements include revenue recognition and income taxes, which are described in our 2023 Annual Report.</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There have been no material updates or changes to our critical accounting estimates compared to the critical accounting estimates described in our 2023 Annual Report.</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For further information on recent accounting pronouncements, refer to Note 1, “Summary of Significant Accounting Policies” to the condensed consolidated financial statements included in this Quarterly Report on Form 10-Q.</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Interest Rate Risk</w:t>
      </w:r>
    </w:p>
    <w:p>
      <w:pPr>
        <w:spacing w:after="0" w:line="154" w:lineRule="exact"/>
        <w:rPr>
          <w:sz w:val="20"/>
          <w:szCs w:val="20"/>
          <w:color w:val="auto"/>
        </w:rPr>
      </w:pPr>
    </w:p>
    <w:p>
      <w:pPr>
        <w:jc w:val="both"/>
        <w:ind w:left="20" w:right="39" w:firstLine="216"/>
        <w:spacing w:after="0" w:line="257" w:lineRule="auto"/>
        <w:rPr>
          <w:sz w:val="20"/>
          <w:szCs w:val="20"/>
          <w:color w:val="auto"/>
        </w:rPr>
      </w:pPr>
      <w:r>
        <w:rPr>
          <w:rFonts w:ascii="Times New Roman" w:cs="Times New Roman" w:eastAsia="Times New Roman" w:hAnsi="Times New Roman"/>
          <w:sz w:val="12"/>
          <w:szCs w:val="12"/>
          <w:color w:val="auto"/>
        </w:rPr>
        <w:t>We had unrestricted cash and cash equivalents of $325.5 million and $68.2 million as of June 30, 2024 and December 31, 2023, respectively, and investments of $8.7 million and $9.5 million as of June 30, 2024 and December 31, 2023, respectively. We maintain our cash and cash equivalents in deposit accounts, money market funds with various financial institutions, and in short duration fixed income securities. Due to the short-term nature of these instruments, we believe that we do not have any material exposure to changes in the fair value of these investments as a result of changes in interest rates. Increases or declines in interest rates would be expected to augment or reduce future interest income by an insignificant amount.</w:t>
      </w:r>
    </w:p>
    <w:p>
      <w:pPr>
        <w:spacing w:after="0" w:line="125" w:lineRule="exact"/>
        <w:rPr>
          <w:sz w:val="20"/>
          <w:szCs w:val="20"/>
          <w:color w:val="auto"/>
        </w:rPr>
      </w:pPr>
    </w:p>
    <w:p>
      <w:pPr>
        <w:ind w:left="20" w:right="99" w:firstLine="216"/>
        <w:spacing w:after="0" w:line="279" w:lineRule="auto"/>
        <w:rPr>
          <w:sz w:val="20"/>
          <w:szCs w:val="20"/>
          <w:color w:val="auto"/>
        </w:rPr>
      </w:pPr>
      <w:r>
        <w:rPr>
          <w:rFonts w:ascii="Times New Roman" w:cs="Times New Roman" w:eastAsia="Times New Roman" w:hAnsi="Times New Roman"/>
          <w:sz w:val="12"/>
          <w:szCs w:val="12"/>
          <w:color w:val="auto"/>
        </w:rPr>
        <w:t>We are exposed to risk related to changes in interest rates on our outstanding borrowings. Borrowings under our Credit Agreement bear interest at rates that are variable. Increases in the bank prime or SOFR rates would increase the interest rate on any future outstanding borrowings. Any debt we incur in the future may also bear interest at variable rates.</w:t>
      </w:r>
    </w:p>
    <w:p>
      <w:pPr>
        <w:spacing w:after="0" w:line="111" w:lineRule="exact"/>
        <w:rPr>
          <w:sz w:val="20"/>
          <w:szCs w:val="20"/>
          <w:color w:val="auto"/>
        </w:rPr>
      </w:pPr>
    </w:p>
    <w:p>
      <w:pPr>
        <w:jc w:val="both"/>
        <w:ind w:left="20" w:right="159" w:firstLine="216"/>
        <w:spacing w:after="0" w:line="265" w:lineRule="auto"/>
        <w:rPr>
          <w:sz w:val="20"/>
          <w:szCs w:val="20"/>
          <w:color w:val="auto"/>
        </w:rPr>
      </w:pPr>
      <w:r>
        <w:rPr>
          <w:rFonts w:ascii="Times New Roman" w:cs="Times New Roman" w:eastAsia="Times New Roman" w:hAnsi="Times New Roman"/>
          <w:sz w:val="12"/>
          <w:szCs w:val="12"/>
          <w:color w:val="auto"/>
        </w:rPr>
        <w:t>Our Notes have a fixed annual interest rate; therefore, we have no financial or economic interest exposure associated with changes in interest rates. However, the fair value of fixed rate debt instruments fluctuates when interest rates change. Additionally, the fair value of the Notes can be affected when the market price of our common stock fluctuates. We carry the Notes at principal value less unamortized issuance costs on our condensed consolidated balance sheets, and we present fair value for required disclosure purposes only.</w:t>
      </w:r>
    </w:p>
    <w:p>
      <w:pPr>
        <w:spacing w:after="0" w:line="2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Foreign Currency Exchange Risk</w:t>
      </w:r>
    </w:p>
    <w:p>
      <w:pPr>
        <w:spacing w:after="0" w:line="154"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six months ended June 30, 2024 and 2023, approximately 4% and 3%, respectively, of our revenues were denominated in currencies other than U.S. Dollars.</w:t>
      </w:r>
    </w:p>
    <w:p>
      <w:pPr>
        <w:spacing w:after="0" w:line="122" w:lineRule="exact"/>
        <w:rPr>
          <w:sz w:val="20"/>
          <w:szCs w:val="20"/>
          <w:color w:val="auto"/>
        </w:rPr>
      </w:pPr>
    </w:p>
    <w:p>
      <w:pPr>
        <w:jc w:val="both"/>
        <w:ind w:left="20" w:right="39" w:firstLine="216"/>
        <w:spacing w:after="0" w:line="260" w:lineRule="auto"/>
        <w:rPr>
          <w:sz w:val="20"/>
          <w:szCs w:val="20"/>
          <w:color w:val="auto"/>
        </w:rPr>
      </w:pPr>
      <w:r>
        <w:rPr>
          <w:rFonts w:ascii="Times New Roman" w:cs="Times New Roman" w:eastAsia="Times New Roman" w:hAnsi="Times New Roman"/>
          <w:sz w:val="12"/>
          <w:szCs w:val="12"/>
          <w:color w:val="auto"/>
        </w:rPr>
        <w:t>We have experienced and will continue to experience fluctuations in our net loss or income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54" w:lineRule="exact"/>
        <w:rPr>
          <w:sz w:val="20"/>
          <w:szCs w:val="20"/>
          <w:color w:val="auto"/>
        </w:rPr>
      </w:pPr>
    </w:p>
    <w:p>
      <w:pPr>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Our management, with the participation of our principal executive officer and principal financial officer, evaluated the effectiveness of our disclosure controls and procedures as defined in Rule 13a-15(b) of the Securities Exchange Act of 1934, as amended (the “Exchange Act”).</w:t>
      </w:r>
    </w:p>
    <w:p>
      <w:pPr>
        <w:spacing w:after="0" w:line="111" w:lineRule="exact"/>
        <w:rPr>
          <w:sz w:val="20"/>
          <w:szCs w:val="20"/>
          <w:color w:val="auto"/>
        </w:rPr>
      </w:pPr>
    </w:p>
    <w:p>
      <w:pPr>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Based on the evaluation of our disclosure controls and procedures, our principal executive officer and principal financial officer concluded that, as of June 30, 2024, our disclosure controls and procedures were effective at a reasonable assurance level.</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54" w:lineRule="exact"/>
        <w:rPr>
          <w:sz w:val="20"/>
          <w:szCs w:val="20"/>
          <w:color w:val="auto"/>
        </w:rPr>
      </w:pPr>
    </w:p>
    <w:p>
      <w:pPr>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II---OTHER INFORMATION</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4" w:lineRule="exact"/>
        <w:rPr>
          <w:sz w:val="20"/>
          <w:szCs w:val="20"/>
          <w:color w:val="auto"/>
        </w:rPr>
      </w:pPr>
    </w:p>
    <w:p>
      <w:pPr>
        <w:jc w:val="both"/>
        <w:ind w:left="20" w:right="39" w:firstLine="216"/>
        <w:spacing w:after="0" w:line="255" w:lineRule="auto"/>
        <w:rPr>
          <w:sz w:val="20"/>
          <w:szCs w:val="20"/>
          <w:color w:val="auto"/>
        </w:rPr>
      </w:pPr>
      <w:r>
        <w:rPr>
          <w:rFonts w:ascii="Times New Roman" w:cs="Times New Roman" w:eastAsia="Times New Roman" w:hAnsi="Times New Roman"/>
          <w:sz w:val="12"/>
          <w:szCs w:val="12"/>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interference with our contractual relations and prohibit the disclosure in any way of our confidential, proprietary and/or trade secret information. We are also seeking monetary damages, including punitive damages and attorney’s fees. Avalara has withdrawn its motion to dismiss for lack of personal jurisdiction and has filed a motion for judgment on the pleadings. Vertex has opposed Avalara’s motion. As of June 30, 2024, the matter remains before the Court. We believe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26" w:lineRule="exact"/>
        <w:rPr>
          <w:sz w:val="20"/>
          <w:szCs w:val="20"/>
          <w:color w:val="auto"/>
        </w:rPr>
      </w:pPr>
    </w:p>
    <w:p>
      <w:pPr>
        <w:jc w:val="both"/>
        <w:ind w:left="20" w:right="39" w:firstLine="216"/>
        <w:spacing w:after="0" w:line="265" w:lineRule="auto"/>
        <w:rPr>
          <w:sz w:val="20"/>
          <w:szCs w:val="20"/>
          <w:color w:val="auto"/>
        </w:rPr>
      </w:pPr>
      <w:r>
        <w:rPr>
          <w:rFonts w:ascii="Times New Roman" w:cs="Times New Roman" w:eastAsia="Times New Roman" w:hAnsi="Times New Roman"/>
          <w:sz w:val="12"/>
          <w:szCs w:val="12"/>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ind w:left="20" w:right="39" w:firstLine="216"/>
        <w:spacing w:after="0" w:line="291" w:lineRule="auto"/>
        <w:rPr>
          <w:sz w:val="20"/>
          <w:szCs w:val="20"/>
          <w:color w:val="auto"/>
        </w:rPr>
      </w:pPr>
      <w:r>
        <w:rPr>
          <w:rFonts w:ascii="Times New Roman" w:cs="Times New Roman" w:eastAsia="Times New Roman" w:hAnsi="Times New Roman"/>
          <w:sz w:val="11"/>
          <w:szCs w:val="11"/>
          <w:color w:val="auto"/>
        </w:rPr>
        <w:t>This document incorporates by reference various risk factors discussed in the Company’s 2023 Annual Report and Quarterly Report on Form 10-Q for the quarter ended March 31, 2024, under the heading “Risk Factors”. There are no material changes to the risk factors discussed in these filings. 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10-Q. If any of the events contemplated should occur, our business, results of operations, financial condition and cash flows could suffer significantly.</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MINE SAFETY DISCLOSURES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4" w:lineRule="exact"/>
        <w:rPr>
          <w:sz w:val="20"/>
          <w:szCs w:val="20"/>
          <w:color w:val="auto"/>
        </w:rPr>
      </w:pPr>
    </w:p>
    <w:p>
      <w:pPr>
        <w:jc w:val="both"/>
        <w:ind w:left="20" w:right="39" w:firstLine="216"/>
        <w:spacing w:after="0" w:line="279" w:lineRule="auto"/>
        <w:rPr>
          <w:sz w:val="20"/>
          <w:szCs w:val="20"/>
          <w:color w:val="auto"/>
        </w:rPr>
      </w:pPr>
      <w:r>
        <w:rPr>
          <w:rFonts w:ascii="Times New Roman" w:cs="Times New Roman" w:eastAsia="Times New Roman" w:hAnsi="Times New Roman"/>
          <w:sz w:val="12"/>
          <w:szCs w:val="12"/>
          <w:color w:val="auto"/>
        </w:rPr>
        <w:t>During the three months ended June 30, 2024, no director or officer of the Company adopted or terminated a “Rule 10b5-1 trading arrangement” or “non-Rule 10b5-1 trading arrangement,” as each term is defined in Item 408(a) of Regulation S-K.</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8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w w:val="94"/>
              </w:rPr>
              <w:t>Exhibit Number</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800" w:type="dxa"/>
            <w:vAlign w:val="bottom"/>
            <w:gridSpan w:val="8"/>
          </w:tcPr>
          <w:p>
            <w:pPr>
              <w:ind w:left="270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80"/>
              </w:rPr>
              <w:t>F</w:t>
            </w:r>
          </w:p>
        </w:tc>
      </w:tr>
      <w:tr>
        <w:trPr>
          <w:trHeight w:val="97"/>
        </w:trPr>
        <w:tc>
          <w:tcPr>
            <w:tcW w:w="20" w:type="dxa"/>
            <w:vAlign w:val="bottom"/>
            <w:tcBorders>
              <w:bottom w:val="single" w:sz="8" w:color="0000EE"/>
            </w:tcBorders>
          </w:tcPr>
          <w:p>
            <w:pPr>
              <w:spacing w:after="0"/>
              <w:rPr>
                <w:sz w:val="8"/>
                <w:szCs w:val="8"/>
                <w:color w:val="auto"/>
              </w:rPr>
            </w:pPr>
          </w:p>
        </w:tc>
        <w:tc>
          <w:tcPr>
            <w:tcW w:w="120" w:type="dxa"/>
            <w:vAlign w:val="bottom"/>
            <w:tcBorders>
              <w:top w:val="single" w:sz="8" w:color="auto"/>
              <w:bottom w:val="single" w:sz="8" w:color="0000EE"/>
            </w:tcBorders>
          </w:tcPr>
          <w:p>
            <w:pPr>
              <w:spacing w:after="0" w:line="97" w:lineRule="exact"/>
              <w:rPr>
                <w:rFonts w:ascii="Times New Roman" w:cs="Times New Roman" w:eastAsia="Times New Roman" w:hAnsi="Times New Roman"/>
                <w:sz w:val="11"/>
                <w:szCs w:val="11"/>
                <w:color w:val="0000EE"/>
                <w:w w:val="72"/>
              </w:rPr>
            </w:pPr>
            <w:hyperlink r:id="rId87">
              <w:r>
                <w:rPr>
                  <w:rFonts w:ascii="Times New Roman" w:cs="Times New Roman" w:eastAsia="Times New Roman" w:hAnsi="Times New Roman"/>
                  <w:sz w:val="11"/>
                  <w:szCs w:val="11"/>
                  <w:color w:val="0000EE"/>
                  <w:w w:val="72"/>
                </w:rPr>
                <w:t>4.</w:t>
              </w:r>
              <w:r>
                <w:rPr>
                  <w:rFonts w:ascii="Times New Roman" w:cs="Times New Roman" w:eastAsia="Times New Roman" w:hAnsi="Times New Roman"/>
                  <w:sz w:val="11"/>
                  <w:szCs w:val="11"/>
                  <w:u w:val="single" w:color="auto"/>
                  <w:color w:val="0000EE"/>
                  <w:w w:val="72"/>
                </w:rPr>
                <w:t>1</w:t>
              </w:r>
            </w:hyperlink>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Borders>
              <w:bottom w:val="single" w:sz="8" w:color="0000EE"/>
            </w:tcBorders>
          </w:tcPr>
          <w:p>
            <w:pPr>
              <w:spacing w:after="0"/>
              <w:rPr>
                <w:sz w:val="8"/>
                <w:szCs w:val="8"/>
                <w:color w:val="auto"/>
              </w:rPr>
            </w:pPr>
          </w:p>
        </w:tc>
        <w:tc>
          <w:tcPr>
            <w:tcW w:w="4600" w:type="dxa"/>
            <w:vAlign w:val="bottom"/>
            <w:tcBorders>
              <w:top w:val="single" w:sz="8" w:color="auto"/>
              <w:bottom w:val="single" w:sz="8" w:color="0000EE"/>
            </w:tcBorders>
            <w:gridSpan w:val="2"/>
          </w:tcPr>
          <w:p>
            <w:pPr>
              <w:spacing w:after="0" w:line="97" w:lineRule="exact"/>
              <w:rPr>
                <w:rFonts w:ascii="Times New Roman" w:cs="Times New Roman" w:eastAsia="Times New Roman" w:hAnsi="Times New Roman"/>
                <w:sz w:val="11"/>
                <w:szCs w:val="11"/>
                <w:color w:val="0000EE"/>
                <w:w w:val="96"/>
              </w:rPr>
            </w:pPr>
            <w:hyperlink r:id="rId87">
              <w:r>
                <w:rPr>
                  <w:rFonts w:ascii="Times New Roman" w:cs="Times New Roman" w:eastAsia="Times New Roman" w:hAnsi="Times New Roman"/>
                  <w:sz w:val="11"/>
                  <w:szCs w:val="11"/>
                  <w:color w:val="0000EE"/>
                  <w:w w:val="96"/>
                </w:rPr>
                <w:t>Indenture, dated April 26, 2024, between Vertex, Inc. and U.S. Bank Trust Company, National Association</w:t>
              </w:r>
            </w:hyperlink>
          </w:p>
        </w:tc>
        <w:tc>
          <w:tcPr>
            <w:tcW w:w="4620" w:type="dxa"/>
            <w:vAlign w:val="bottom"/>
            <w:tcBorders>
              <w:top w:val="single" w:sz="8" w:color="auto"/>
            </w:tcBorders>
            <w:gridSpan w:val="6"/>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jc w:val="right"/>
              <w:spacing w:after="0" w:line="97" w:lineRule="exact"/>
              <w:rPr>
                <w:sz w:val="20"/>
                <w:szCs w:val="20"/>
                <w:color w:val="auto"/>
              </w:rPr>
            </w:pPr>
            <w:r>
              <w:rPr>
                <w:rFonts w:ascii="Times New Roman" w:cs="Times New Roman" w:eastAsia="Times New Roman" w:hAnsi="Times New Roman"/>
                <w:sz w:val="11"/>
                <w:szCs w:val="11"/>
                <w:color w:val="auto"/>
              </w:rPr>
              <w:t>8</w:t>
            </w:r>
          </w:p>
        </w:tc>
      </w:tr>
      <w:tr>
        <w:trPr>
          <w:trHeight w:val="115"/>
        </w:trPr>
        <w:tc>
          <w:tcPr>
            <w:tcW w:w="200" w:type="dxa"/>
            <w:vAlign w:val="bottom"/>
            <w:gridSpan w:val="3"/>
          </w:tcPr>
          <w:p>
            <w:pPr>
              <w:spacing w:after="0" w:line="115" w:lineRule="exact"/>
              <w:rPr>
                <w:rFonts w:ascii="Times New Roman" w:cs="Times New Roman" w:eastAsia="Times New Roman" w:hAnsi="Times New Roman"/>
                <w:sz w:val="11"/>
                <w:szCs w:val="11"/>
                <w:color w:val="0000EE"/>
                <w:w w:val="93"/>
              </w:rPr>
            </w:pPr>
            <w:hyperlink r:id="rId88">
              <w:r>
                <w:rPr>
                  <w:rFonts w:ascii="Times New Roman" w:cs="Times New Roman" w:eastAsia="Times New Roman" w:hAnsi="Times New Roman"/>
                  <w:sz w:val="11"/>
                  <w:szCs w:val="11"/>
                  <w:color w:val="0000EE"/>
                  <w:w w:val="93"/>
                </w:rPr>
                <w:t>10.</w:t>
              </w:r>
              <w:r>
                <w:rPr>
                  <w:rFonts w:ascii="Times New Roman" w:cs="Times New Roman" w:eastAsia="Times New Roman" w:hAnsi="Times New Roman"/>
                  <w:sz w:val="11"/>
                  <w:szCs w:val="11"/>
                  <w:u w:val="single" w:color="auto"/>
                  <w:color w:val="0000EE"/>
                  <w:w w:val="93"/>
                </w:rPr>
                <w:t>1</w:t>
              </w:r>
            </w:hyperlink>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320" w:type="dxa"/>
            <w:vAlign w:val="bottom"/>
            <w:gridSpan w:val="10"/>
          </w:tcPr>
          <w:p>
            <w:pPr>
              <w:spacing w:after="0" w:line="115" w:lineRule="exact"/>
              <w:rPr>
                <w:rFonts w:ascii="Times New Roman" w:cs="Times New Roman" w:eastAsia="Times New Roman" w:hAnsi="Times New Roman"/>
                <w:sz w:val="11"/>
                <w:szCs w:val="11"/>
                <w:color w:val="0000EE"/>
                <w:w w:val="98"/>
              </w:rPr>
            </w:pPr>
            <w:hyperlink r:id="rId88">
              <w:r>
                <w:rPr>
                  <w:rFonts w:ascii="Times New Roman" w:cs="Times New Roman" w:eastAsia="Times New Roman" w:hAnsi="Times New Roman"/>
                  <w:sz w:val="11"/>
                  <w:szCs w:val="11"/>
                  <w:color w:val="0000EE"/>
                  <w:w w:val="98"/>
                </w:rPr>
                <w:t>Fourth Amendment to Credit Agreement by and among Vertex, Inc., the guarantors party thereto, PNC Bank, National Association, as administrative agent, and the lenders party, thereto, dated as of April 19, 2024.</w:t>
              </w:r>
            </w:hyperlink>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w:t>
            </w:r>
          </w:p>
        </w:tc>
      </w:tr>
      <w:tr>
        <w:trPr>
          <w:trHeight w:val="115"/>
        </w:trPr>
        <w:tc>
          <w:tcPr>
            <w:tcW w:w="200" w:type="dxa"/>
            <w:vAlign w:val="bottom"/>
            <w:tcBorders>
              <w:top w:val="single" w:sz="8" w:color="0000EE"/>
            </w:tcBorders>
            <w:gridSpan w:val="3"/>
          </w:tcPr>
          <w:p>
            <w:pPr>
              <w:spacing w:after="0" w:line="115" w:lineRule="exact"/>
              <w:rPr>
                <w:rFonts w:ascii="Times New Roman" w:cs="Times New Roman" w:eastAsia="Times New Roman" w:hAnsi="Times New Roman"/>
                <w:sz w:val="11"/>
                <w:szCs w:val="11"/>
                <w:color w:val="0000EE"/>
                <w:w w:val="93"/>
              </w:rPr>
            </w:pPr>
            <w:hyperlink r:id="rId89">
              <w:r>
                <w:rPr>
                  <w:rFonts w:ascii="Times New Roman" w:cs="Times New Roman" w:eastAsia="Times New Roman" w:hAnsi="Times New Roman"/>
                  <w:sz w:val="11"/>
                  <w:szCs w:val="11"/>
                  <w:color w:val="0000EE"/>
                  <w:w w:val="93"/>
                </w:rPr>
                <w:t>10.</w:t>
              </w:r>
              <w:r>
                <w:rPr>
                  <w:rFonts w:ascii="Times New Roman" w:cs="Times New Roman" w:eastAsia="Times New Roman" w:hAnsi="Times New Roman"/>
                  <w:sz w:val="11"/>
                  <w:szCs w:val="11"/>
                  <w:u w:val="single" w:color="auto"/>
                  <w:color w:val="0000EE"/>
                  <w:w w:val="93"/>
                </w:rPr>
                <w:t>2</w:t>
              </w:r>
            </w:hyperlink>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20" w:type="dxa"/>
            <w:vAlign w:val="bottom"/>
            <w:tcBorders>
              <w:top w:val="single" w:sz="8" w:color="0000EE"/>
            </w:tcBorders>
            <w:gridSpan w:val="8"/>
          </w:tcPr>
          <w:p>
            <w:pPr>
              <w:spacing w:after="0" w:line="115" w:lineRule="exact"/>
              <w:rPr>
                <w:rFonts w:ascii="Times New Roman" w:cs="Times New Roman" w:eastAsia="Times New Roman" w:hAnsi="Times New Roman"/>
                <w:sz w:val="11"/>
                <w:szCs w:val="11"/>
                <w:color w:val="0000EE"/>
              </w:rPr>
            </w:pPr>
            <w:hyperlink r:id="rId89">
              <w:r>
                <w:rPr>
                  <w:rFonts w:ascii="Times New Roman" w:cs="Times New Roman" w:eastAsia="Times New Roman" w:hAnsi="Times New Roman"/>
                  <w:sz w:val="11"/>
                  <w:szCs w:val="11"/>
                  <w:color w:val="0000EE"/>
                </w:rPr>
                <w:t>Form of Capped Call Confirmation</w:t>
              </w:r>
            </w:hyperlink>
          </w:p>
        </w:tc>
        <w:tc>
          <w:tcPr>
            <w:tcW w:w="100" w:type="dxa"/>
            <w:vAlign w:val="bottom"/>
            <w:gridSpan w:val="2"/>
          </w:tcPr>
          <w:p>
            <w:pPr>
              <w:spacing w:after="0"/>
              <w:rPr>
                <w:sz w:val="10"/>
                <w:szCs w:val="10"/>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w:t>
            </w:r>
          </w:p>
        </w:tc>
      </w:tr>
      <w:tr>
        <w:trPr>
          <w:trHeight w:val="20"/>
        </w:trPr>
        <w:tc>
          <w:tcPr>
            <w:tcW w:w="20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20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93"/>
              </w:rPr>
              <w:t>31.</w:t>
            </w:r>
            <w:r>
              <w:rPr>
                <w:rFonts w:ascii="Times New Roman" w:cs="Times New Roman" w:eastAsia="Times New Roman" w:hAnsi="Times New Roman"/>
                <w:sz w:val="11"/>
                <w:szCs w:val="11"/>
                <w:u w:val="single" w:color="auto"/>
                <w:color w:val="0000EE"/>
                <w:w w:val="93"/>
              </w:rPr>
              <w:t>1</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320" w:type="dxa"/>
            <w:vAlign w:val="bottom"/>
            <w:gridSpan w:val="10"/>
          </w:tcPr>
          <w:p>
            <w:pPr>
              <w:spacing w:after="0" w:line="115" w:lineRule="exact"/>
              <w:rPr>
                <w:sz w:val="20"/>
                <w:szCs w:val="20"/>
                <w:color w:val="auto"/>
              </w:rPr>
            </w:pPr>
            <w:r>
              <w:rPr>
                <w:rFonts w:ascii="Times New Roman" w:cs="Times New Roman" w:eastAsia="Times New Roman" w:hAnsi="Times New Roman"/>
                <w:sz w:val="11"/>
                <w:szCs w:val="11"/>
                <w:color w:val="0000EE"/>
              </w:rPr>
              <w:t>Certification of Principal Executive Officer Pursuant to Rules 13a-14(a) and 15d-14(a) under the Securities Exchange Act of 1934, as Adopted Pursuant to Section 302 of the Sarbanes-Oxley Act of 2002</w:t>
            </w:r>
          </w:p>
        </w:tc>
        <w:tc>
          <w:tcPr>
            <w:tcW w:w="80" w:type="dxa"/>
            <w:vAlign w:val="bottom"/>
          </w:tcPr>
          <w:p>
            <w:pPr>
              <w:spacing w:after="0"/>
              <w:rPr>
                <w:sz w:val="10"/>
                <w:szCs w:val="10"/>
                <w:color w:val="auto"/>
              </w:rPr>
            </w:pPr>
          </w:p>
        </w:tc>
      </w:tr>
      <w:tr>
        <w:trPr>
          <w:trHeight w:val="115"/>
        </w:trPr>
        <w:tc>
          <w:tcPr>
            <w:tcW w:w="200" w:type="dxa"/>
            <w:vAlign w:val="bottom"/>
            <w:tcBorders>
              <w:top w:val="single" w:sz="8" w:color="0000EE"/>
              <w:bottom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93"/>
              </w:rPr>
              <w:t>31.</w:t>
            </w:r>
            <w:r>
              <w:rPr>
                <w:rFonts w:ascii="Times New Roman" w:cs="Times New Roman" w:eastAsia="Times New Roman" w:hAnsi="Times New Roman"/>
                <w:sz w:val="11"/>
                <w:szCs w:val="11"/>
                <w:u w:val="single" w:color="auto"/>
                <w:color w:val="0000EE"/>
                <w:w w:val="93"/>
              </w:rPr>
              <w:t>2</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740" w:type="dxa"/>
            <w:vAlign w:val="bottom"/>
            <w:tcBorders>
              <w:top w:val="single" w:sz="8" w:color="0000EE"/>
              <w:bottom w:val="single" w:sz="8" w:color="0000EE"/>
            </w:tcBorders>
            <w:gridSpan w:val="6"/>
          </w:tcPr>
          <w:p>
            <w:pPr>
              <w:spacing w:after="0" w:line="115" w:lineRule="exact"/>
              <w:rPr>
                <w:sz w:val="20"/>
                <w:szCs w:val="20"/>
                <w:color w:val="auto"/>
              </w:rPr>
            </w:pPr>
            <w:r>
              <w:rPr>
                <w:rFonts w:ascii="Times New Roman" w:cs="Times New Roman" w:eastAsia="Times New Roman" w:hAnsi="Times New Roman"/>
                <w:sz w:val="11"/>
                <w:szCs w:val="11"/>
                <w:color w:val="0000EE"/>
                <w:w w:val="98"/>
              </w:rPr>
              <w:t>Certification of Principal Financial Officer Pursuant to Rules 13a-14(a) and 15d-14(a) under the Securities Exchange Act of 1934, as Adopted Pursuant to Section 302 of the Sarbanes-Oxley Act of 2002</w:t>
            </w:r>
          </w:p>
        </w:tc>
        <w:tc>
          <w:tcPr>
            <w:tcW w:w="20" w:type="dxa"/>
            <w:vAlign w:val="bottom"/>
            <w:tcBorders>
              <w:top w:val="single" w:sz="8" w:color="0000EE"/>
            </w:tcBorders>
          </w:tcPr>
          <w:p>
            <w:pPr>
              <w:spacing w:after="0"/>
              <w:rPr>
                <w:sz w:val="10"/>
                <w:szCs w:val="10"/>
                <w:color w:val="auto"/>
              </w:rPr>
            </w:pPr>
          </w:p>
        </w:tc>
        <w:tc>
          <w:tcPr>
            <w:tcW w:w="56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200" w:type="dxa"/>
            <w:vAlign w:val="bottom"/>
            <w:tcBorders>
              <w:bottom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93"/>
              </w:rPr>
              <w:t>32.</w:t>
            </w:r>
            <w:r>
              <w:rPr>
                <w:rFonts w:ascii="Times New Roman" w:cs="Times New Roman" w:eastAsia="Times New Roman" w:hAnsi="Times New Roman"/>
                <w:sz w:val="11"/>
                <w:szCs w:val="11"/>
                <w:u w:val="single" w:color="auto"/>
                <w:color w:val="0000EE"/>
                <w:w w:val="93"/>
              </w:rPr>
              <w:t>1</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580" w:type="dxa"/>
            <w:vAlign w:val="bottom"/>
            <w:tcBorders>
              <w:bottom w:val="single" w:sz="8" w:color="0000EE"/>
            </w:tcBorders>
            <w:gridSpan w:val="5"/>
          </w:tcPr>
          <w:p>
            <w:pPr>
              <w:spacing w:after="0" w:line="115" w:lineRule="exact"/>
              <w:rPr>
                <w:sz w:val="20"/>
                <w:szCs w:val="20"/>
                <w:color w:val="auto"/>
              </w:rPr>
            </w:pPr>
            <w:r>
              <w:rPr>
                <w:rFonts w:ascii="Times New Roman" w:cs="Times New Roman" w:eastAsia="Times New Roman" w:hAnsi="Times New Roman"/>
                <w:sz w:val="11"/>
                <w:szCs w:val="11"/>
                <w:color w:val="0000EE"/>
                <w:w w:val="97"/>
              </w:rPr>
              <w:t>Certification of Principal Executive Officer Pursuant to 18 U.S.C. Section 1350, as Adopted Pursuant to Section 906 of the Sarbanes-Oxley Act of 2002</w:t>
            </w:r>
          </w:p>
        </w:tc>
        <w:tc>
          <w:tcPr>
            <w:tcW w:w="2740" w:type="dxa"/>
            <w:vAlign w:val="bottom"/>
            <w:gridSpan w:val="5"/>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20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93"/>
              </w:rPr>
              <w:t>32.</w:t>
            </w:r>
            <w:r>
              <w:rPr>
                <w:rFonts w:ascii="Times New Roman" w:cs="Times New Roman" w:eastAsia="Times New Roman" w:hAnsi="Times New Roman"/>
                <w:sz w:val="11"/>
                <w:szCs w:val="11"/>
                <w:u w:val="single" w:color="auto"/>
                <w:color w:val="0000EE"/>
                <w:w w:val="93"/>
              </w:rPr>
              <w:t>2</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320" w:type="dxa"/>
            <w:vAlign w:val="bottom"/>
            <w:gridSpan w:val="10"/>
          </w:tcPr>
          <w:p>
            <w:pPr>
              <w:spacing w:after="0" w:line="115" w:lineRule="exact"/>
              <w:rPr>
                <w:sz w:val="20"/>
                <w:szCs w:val="20"/>
                <w:color w:val="auto"/>
              </w:rPr>
            </w:pPr>
            <w:r>
              <w:rPr>
                <w:rFonts w:ascii="Times New Roman" w:cs="Times New Roman" w:eastAsia="Times New Roman" w:hAnsi="Times New Roman"/>
                <w:sz w:val="11"/>
                <w:szCs w:val="11"/>
                <w:color w:val="0000EE"/>
              </w:rPr>
              <w:t>Certification of Principal Financial Officer Pursuant to 18 U.S.C. Section 1350, as Adopted Pursuant to Section 906 of the Sarbanes-Oxley Act of 2002</w:t>
            </w:r>
          </w:p>
        </w:tc>
        <w:tc>
          <w:tcPr>
            <w:tcW w:w="80" w:type="dxa"/>
            <w:vAlign w:val="bottom"/>
          </w:tcPr>
          <w:p>
            <w:pPr>
              <w:spacing w:after="0"/>
              <w:rPr>
                <w:sz w:val="10"/>
                <w:szCs w:val="10"/>
                <w:color w:val="auto"/>
              </w:rPr>
            </w:pPr>
          </w:p>
        </w:tc>
      </w:tr>
      <w:tr>
        <w:trPr>
          <w:trHeight w:val="20"/>
        </w:trPr>
        <w:tc>
          <w:tcPr>
            <w:tcW w:w="20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40" w:type="dxa"/>
            <w:vAlign w:val="bottom"/>
            <w:gridSpan w:val="4"/>
            <w:shd w:val="clear" w:color="auto" w:fill="0000EE"/>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3"/>
        </w:trPr>
        <w:tc>
          <w:tcPr>
            <w:tcW w:w="6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101.INS</w:t>
            </w:r>
          </w:p>
        </w:tc>
        <w:tc>
          <w:tcPr>
            <w:tcW w:w="9440" w:type="dxa"/>
            <w:vAlign w:val="bottom"/>
            <w:gridSpan w:val="11"/>
          </w:tcPr>
          <w:p>
            <w:pPr>
              <w:ind w:left="120"/>
              <w:spacing w:after="0"/>
              <w:rPr>
                <w:sz w:val="20"/>
                <w:szCs w:val="20"/>
                <w:color w:val="auto"/>
              </w:rPr>
            </w:pPr>
            <w:r>
              <w:rPr>
                <w:rFonts w:ascii="Times New Roman" w:cs="Times New Roman" w:eastAsia="Times New Roman" w:hAnsi="Times New Roman"/>
                <w:sz w:val="11"/>
                <w:szCs w:val="11"/>
                <w:color w:val="auto"/>
              </w:rPr>
              <w:t>Inline XBRL Instance Document</w:t>
            </w:r>
          </w:p>
        </w:tc>
        <w:tc>
          <w:tcPr>
            <w:tcW w:w="80" w:type="dxa"/>
            <w:vAlign w:val="bottom"/>
          </w:tcPr>
          <w:p>
            <w:pPr>
              <w:spacing w:after="0"/>
              <w:rPr>
                <w:sz w:val="11"/>
                <w:szCs w:val="11"/>
                <w:color w:val="auto"/>
              </w:rPr>
            </w:pPr>
          </w:p>
        </w:tc>
      </w:tr>
      <w:tr>
        <w:trPr>
          <w:trHeight w:val="135"/>
        </w:trPr>
        <w:tc>
          <w:tcPr>
            <w:tcW w:w="6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101.SCH</w:t>
            </w:r>
          </w:p>
        </w:tc>
        <w:tc>
          <w:tcPr>
            <w:tcW w:w="9440" w:type="dxa"/>
            <w:vAlign w:val="bottom"/>
            <w:gridSpan w:val="11"/>
          </w:tcPr>
          <w:p>
            <w:pPr>
              <w:ind w:left="120"/>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80" w:type="dxa"/>
            <w:vAlign w:val="bottom"/>
          </w:tcPr>
          <w:p>
            <w:pPr>
              <w:spacing w:after="0"/>
              <w:rPr>
                <w:sz w:val="11"/>
                <w:szCs w:val="11"/>
                <w:color w:val="auto"/>
              </w:rPr>
            </w:pPr>
          </w:p>
        </w:tc>
      </w:tr>
      <w:tr>
        <w:trPr>
          <w:trHeight w:val="135"/>
        </w:trPr>
        <w:tc>
          <w:tcPr>
            <w:tcW w:w="6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101.CAL</w:t>
            </w:r>
          </w:p>
        </w:tc>
        <w:tc>
          <w:tcPr>
            <w:tcW w:w="9440" w:type="dxa"/>
            <w:vAlign w:val="bottom"/>
            <w:gridSpan w:val="11"/>
          </w:tcPr>
          <w:p>
            <w:pPr>
              <w:ind w:left="120"/>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tc>
        <w:tc>
          <w:tcPr>
            <w:tcW w:w="80" w:type="dxa"/>
            <w:vAlign w:val="bottom"/>
          </w:tcPr>
          <w:p>
            <w:pPr>
              <w:spacing w:after="0"/>
              <w:rPr>
                <w:sz w:val="11"/>
                <w:szCs w:val="11"/>
                <w:color w:val="auto"/>
              </w:rPr>
            </w:pPr>
          </w:p>
        </w:tc>
      </w:tr>
      <w:tr>
        <w:trPr>
          <w:trHeight w:val="135"/>
        </w:trPr>
        <w:tc>
          <w:tcPr>
            <w:tcW w:w="6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101.DEF</w:t>
            </w:r>
          </w:p>
        </w:tc>
        <w:tc>
          <w:tcPr>
            <w:tcW w:w="9440" w:type="dxa"/>
            <w:vAlign w:val="bottom"/>
            <w:gridSpan w:val="11"/>
          </w:tcPr>
          <w:p>
            <w:pPr>
              <w:ind w:left="120"/>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tc>
        <w:tc>
          <w:tcPr>
            <w:tcW w:w="80" w:type="dxa"/>
            <w:vAlign w:val="bottom"/>
          </w:tcPr>
          <w:p>
            <w:pPr>
              <w:spacing w:after="0"/>
              <w:rPr>
                <w:sz w:val="11"/>
                <w:szCs w:val="11"/>
                <w:color w:val="auto"/>
              </w:rPr>
            </w:pPr>
          </w:p>
        </w:tc>
      </w:tr>
      <w:tr>
        <w:trPr>
          <w:trHeight w:val="135"/>
        </w:trPr>
        <w:tc>
          <w:tcPr>
            <w:tcW w:w="6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101.LAB</w:t>
            </w:r>
          </w:p>
        </w:tc>
        <w:tc>
          <w:tcPr>
            <w:tcW w:w="9440" w:type="dxa"/>
            <w:vAlign w:val="bottom"/>
            <w:gridSpan w:val="11"/>
          </w:tcPr>
          <w:p>
            <w:pPr>
              <w:ind w:left="120"/>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tc>
        <w:tc>
          <w:tcPr>
            <w:tcW w:w="80" w:type="dxa"/>
            <w:vAlign w:val="bottom"/>
          </w:tcPr>
          <w:p>
            <w:pPr>
              <w:spacing w:after="0"/>
              <w:rPr>
                <w:sz w:val="11"/>
                <w:szCs w:val="11"/>
                <w:color w:val="auto"/>
              </w:rPr>
            </w:pPr>
          </w:p>
        </w:tc>
      </w:tr>
      <w:tr>
        <w:trPr>
          <w:trHeight w:val="140"/>
        </w:trPr>
        <w:tc>
          <w:tcPr>
            <w:tcW w:w="6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101.PRE</w:t>
            </w:r>
          </w:p>
        </w:tc>
        <w:tc>
          <w:tcPr>
            <w:tcW w:w="9440" w:type="dxa"/>
            <w:vAlign w:val="bottom"/>
            <w:gridSpan w:val="11"/>
          </w:tcPr>
          <w:p>
            <w:pPr>
              <w:ind w:left="120"/>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tc>
        <w:tc>
          <w:tcPr>
            <w:tcW w:w="80" w:type="dxa"/>
            <w:vAlign w:val="bottom"/>
          </w:tcPr>
          <w:p>
            <w:pPr>
              <w:spacing w:after="0"/>
              <w:rPr>
                <w:sz w:val="12"/>
                <w:szCs w:val="12"/>
                <w:color w:val="auto"/>
              </w:rPr>
            </w:pPr>
          </w:p>
        </w:tc>
      </w:tr>
    </w:tbl>
    <w:p>
      <w:pPr>
        <w:ind w:left="820" w:hanging="798"/>
        <w:spacing w:after="0"/>
        <w:tabs>
          <w:tab w:leader="none" w:pos="82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Cover Page Interactive Data File (formatted as inline XBRL and contained in Exhibit 101)</w:t>
      </w:r>
    </w:p>
    <w:p>
      <w:pPr>
        <w:spacing w:after="0" w:line="145" w:lineRule="exact"/>
        <w:rPr>
          <w:rFonts w:ascii="Times New Roman" w:cs="Times New Roman" w:eastAsia="Times New Roman" w:hAnsi="Times New Roman"/>
          <w:sz w:val="11"/>
          <w:szCs w:val="11"/>
          <w:color w:val="auto"/>
        </w:rPr>
      </w:pPr>
    </w:p>
    <w:p>
      <w:pPr>
        <w:ind w:left="44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10220"/>
          </w:cols>
          <w:pgMar w:left="1440" w:top="390" w:right="239"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6240" w:type="dxa"/>
            <w:vAlign w:val="bottom"/>
            <w:gridSpan w:val="2"/>
          </w:tcPr>
          <w:p>
            <w:pPr>
              <w:ind w:left="1760"/>
              <w:spacing w:after="0"/>
              <w:rPr>
                <w:sz w:val="20"/>
                <w:szCs w:val="20"/>
                <w:color w:val="auto"/>
              </w:rPr>
            </w:pPr>
            <w:r>
              <w:rPr>
                <w:rFonts w:ascii="Times New Roman" w:cs="Times New Roman" w:eastAsia="Times New Roman" w:hAnsi="Times New Roman"/>
                <w:sz w:val="12"/>
                <w:szCs w:val="12"/>
                <w:color w:val="auto"/>
              </w:rPr>
              <w:t>Vertex, Inc.</w:t>
            </w:r>
          </w:p>
        </w:tc>
      </w:tr>
      <w:tr>
        <w:trPr>
          <w:trHeight w:val="288"/>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Date: August 7, 2024</w:t>
            </w:r>
          </w:p>
        </w:tc>
        <w:tc>
          <w:tcPr>
            <w:tcW w:w="202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David DeStefano</w:t>
            </w:r>
          </w:p>
        </w:tc>
      </w:tr>
      <w:tr>
        <w:trPr>
          <w:trHeight w:val="120"/>
        </w:trPr>
        <w:tc>
          <w:tcPr>
            <w:tcW w:w="27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22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David DeStefano</w:t>
            </w:r>
          </w:p>
        </w:tc>
      </w:tr>
      <w:tr>
        <w:trPr>
          <w:trHeight w:val="157"/>
        </w:trPr>
        <w:tc>
          <w:tcPr>
            <w:tcW w:w="2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President, Chief Executive Officer and Chairperson (principal executive officer)</w:t>
            </w:r>
          </w:p>
        </w:tc>
      </w:tr>
      <w:tr>
        <w:trPr>
          <w:trHeight w:val="288"/>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Date: August 7, 2024</w:t>
            </w:r>
          </w:p>
        </w:tc>
        <w:tc>
          <w:tcPr>
            <w:tcW w:w="2020" w:type="dxa"/>
            <w:vAlign w:val="bottom"/>
          </w:tcPr>
          <w:p>
            <w:pPr>
              <w:ind w:left="1760"/>
              <w:spacing w:after="0"/>
              <w:rPr>
                <w:sz w:val="20"/>
                <w:szCs w:val="20"/>
                <w:color w:val="auto"/>
              </w:rPr>
            </w:pPr>
            <w:r>
              <w:rPr>
                <w:rFonts w:ascii="Times New Roman" w:cs="Times New Roman" w:eastAsia="Times New Roman" w:hAnsi="Times New Roman"/>
                <w:sz w:val="12"/>
                <w:szCs w:val="12"/>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John Schwab</w:t>
            </w:r>
          </w:p>
        </w:tc>
      </w:tr>
      <w:tr>
        <w:trPr>
          <w:trHeight w:val="120"/>
        </w:trPr>
        <w:tc>
          <w:tcPr>
            <w:tcW w:w="27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22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John Schwab</w:t>
            </w:r>
          </w:p>
        </w:tc>
      </w:tr>
      <w:tr>
        <w:trPr>
          <w:trHeight w:val="157"/>
        </w:trPr>
        <w:tc>
          <w:tcPr>
            <w:tcW w:w="27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Chief Financial Officer (principal financial officer)</w:t>
            </w:r>
          </w:p>
        </w:tc>
      </w:tr>
      <w:tr>
        <w:trPr>
          <w:trHeight w:val="297"/>
        </w:trPr>
        <w:tc>
          <w:tcPr>
            <w:tcW w:w="2720" w:type="dxa"/>
            <w:vAlign w:val="bottom"/>
          </w:tcPr>
          <w:p>
            <w:pPr>
              <w:spacing w:after="0"/>
              <w:rPr>
                <w:sz w:val="24"/>
                <w:szCs w:val="24"/>
                <w:color w:val="auto"/>
              </w:rPr>
            </w:pPr>
          </w:p>
        </w:tc>
        <w:tc>
          <w:tcPr>
            <w:tcW w:w="20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59</w:t>
            </w:r>
          </w:p>
        </w:tc>
        <w:tc>
          <w:tcPr>
            <w:tcW w:w="4220" w:type="dxa"/>
            <w:vAlign w:val="bottom"/>
          </w:tcPr>
          <w:p>
            <w:pPr>
              <w:spacing w:after="0"/>
              <w:rPr>
                <w:sz w:val="24"/>
                <w:szCs w:val="24"/>
                <w:color w:val="auto"/>
              </w:rPr>
            </w:pPr>
          </w:p>
        </w:tc>
      </w:tr>
      <w:tr>
        <w:trPr>
          <w:trHeight w:val="360"/>
        </w:trPr>
        <w:tc>
          <w:tcPr>
            <w:tcW w:w="27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David DeStefano, certify that:</w:t>
      </w:r>
    </w:p>
    <w:p>
      <w:pPr>
        <w:spacing w:after="0" w:line="150" w:lineRule="exact"/>
        <w:rPr>
          <w:sz w:val="20"/>
          <w:szCs w:val="20"/>
          <w:color w:val="auto"/>
        </w:rPr>
      </w:pPr>
    </w:p>
    <w:p>
      <w:pPr>
        <w:ind w:left="420" w:hanging="207"/>
        <w:spacing w:after="0"/>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Vertex, Inc.;</w:t>
      </w:r>
    </w:p>
    <w:p>
      <w:pPr>
        <w:spacing w:after="0" w:line="150" w:lineRule="exact"/>
        <w:rPr>
          <w:rFonts w:ascii="Times New Roman" w:cs="Times New Roman" w:eastAsia="Times New Roman" w:hAnsi="Times New Roman"/>
          <w:sz w:val="12"/>
          <w:szCs w:val="12"/>
          <w:color w:val="auto"/>
        </w:rPr>
      </w:pPr>
    </w:p>
    <w:p>
      <w:pPr>
        <w:ind w:left="420" w:right="20" w:hanging="207"/>
        <w:spacing w:after="0" w:line="279"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20" w:right="20" w:hanging="207"/>
        <w:spacing w:after="0" w:line="279"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20" w:right="20" w:hanging="207"/>
        <w:spacing w:after="0" w:line="279"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2"/>
          <w:szCs w:val="12"/>
          <w:color w:val="auto"/>
        </w:rPr>
      </w:pPr>
    </w:p>
    <w:p>
      <w:pPr>
        <w:ind w:left="860" w:right="20" w:hanging="215"/>
        <w:spacing w:after="0" w:line="279" w:lineRule="auto"/>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1" w:lineRule="exact"/>
        <w:rPr>
          <w:rFonts w:ascii="Times New Roman" w:cs="Times New Roman" w:eastAsia="Times New Roman" w:hAnsi="Times New Roman"/>
          <w:sz w:val="12"/>
          <w:szCs w:val="12"/>
          <w:color w:val="auto"/>
        </w:rPr>
      </w:pPr>
    </w:p>
    <w:p>
      <w:pPr>
        <w:ind w:left="860" w:right="20" w:hanging="215"/>
        <w:spacing w:after="0" w:line="279" w:lineRule="auto"/>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Times New Roman" w:cs="Times New Roman" w:eastAsia="Times New Roman" w:hAnsi="Times New Roman"/>
          <w:sz w:val="12"/>
          <w:szCs w:val="12"/>
          <w:color w:val="auto"/>
        </w:rPr>
      </w:pPr>
    </w:p>
    <w:p>
      <w:pPr>
        <w:ind w:left="860" w:right="20" w:hanging="215"/>
        <w:spacing w:after="0" w:line="279" w:lineRule="auto"/>
        <w:tabs>
          <w:tab w:leader="none" w:pos="881"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860" w:right="20" w:hanging="215"/>
        <w:spacing w:after="0" w:line="279" w:lineRule="auto"/>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420" w:right="20" w:hanging="207"/>
        <w:spacing w:after="0" w:line="279" w:lineRule="auto"/>
        <w:tabs>
          <w:tab w:leader="none" w:pos="4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860" w:right="20" w:hanging="215"/>
        <w:spacing w:after="0" w:line="279" w:lineRule="auto"/>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60" w:hanging="215"/>
        <w:spacing w:after="0"/>
        <w:tabs>
          <w:tab w:leader="none" w:pos="86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tabs>
          <w:tab w:leader="none" w:pos="4980" w:val="left"/>
          <w:tab w:leader="none" w:pos="5260" w:val="left"/>
        </w:tabs>
        <w:rPr>
          <w:sz w:val="20"/>
          <w:szCs w:val="20"/>
          <w:color w:val="auto"/>
        </w:rPr>
      </w:pPr>
      <w:r>
        <w:rPr>
          <w:rFonts w:ascii="Times New Roman" w:cs="Times New Roman" w:eastAsia="Times New Roman" w:hAnsi="Times New Roman"/>
          <w:sz w:val="12"/>
          <w:szCs w:val="12"/>
          <w:color w:val="auto"/>
        </w:rPr>
        <w:t>Date: August 7, 2024</w:t>
      </w:r>
      <w:r>
        <w:rPr>
          <w:sz w:val="20"/>
          <w:szCs w:val="20"/>
          <w:color w:val="auto"/>
        </w:rPr>
        <w:tab/>
      </w:r>
      <w:r>
        <w:rPr>
          <w:rFonts w:ascii="Times New Roman" w:cs="Times New Roman" w:eastAsia="Times New Roman" w:hAnsi="Times New Roman"/>
          <w:sz w:val="12"/>
          <w:szCs w:val="12"/>
          <w:color w:val="auto"/>
        </w:rPr>
        <w:t>By:</w:t>
        <w:tab/>
        <w:t>/s/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10795</wp:posOffset>
            </wp:positionV>
            <wp:extent cx="297180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971800" cy="5715"/>
                    </a:xfrm>
                    <a:prstGeom prst="rect">
                      <a:avLst/>
                    </a:prstGeom>
                    <a:noFill/>
                  </pic:spPr>
                </pic:pic>
              </a:graphicData>
            </a:graphic>
          </wp:anchor>
        </w:drawing>
      </w:r>
    </w:p>
    <w:p>
      <w:pPr>
        <w:spacing w:after="0" w:line="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color w:val="auto"/>
        </w:rPr>
        <w:t>David DeStefano</w:t>
      </w:r>
    </w:p>
    <w:p>
      <w:pPr>
        <w:spacing w:after="0" w:line="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John Schwab, certify that:</w:t>
      </w:r>
    </w:p>
    <w:p>
      <w:pPr>
        <w:spacing w:after="0" w:line="150" w:lineRule="exact"/>
        <w:rPr>
          <w:sz w:val="20"/>
          <w:szCs w:val="20"/>
          <w:color w:val="auto"/>
        </w:rPr>
      </w:pPr>
    </w:p>
    <w:p>
      <w:pPr>
        <w:ind w:left="420" w:hanging="207"/>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Vertex, Inc.;</w:t>
      </w:r>
    </w:p>
    <w:p>
      <w:pPr>
        <w:spacing w:after="0" w:line="159" w:lineRule="exact"/>
        <w:rPr>
          <w:rFonts w:ascii="Times New Roman" w:cs="Times New Roman" w:eastAsia="Times New Roman" w:hAnsi="Times New Roman"/>
          <w:sz w:val="12"/>
          <w:szCs w:val="12"/>
          <w:color w:val="auto"/>
        </w:rPr>
      </w:pPr>
    </w:p>
    <w:p>
      <w:pPr>
        <w:ind w:left="420" w:right="20" w:hanging="207"/>
        <w:spacing w:after="0" w:line="279" w:lineRule="auto"/>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2"/>
          <w:szCs w:val="12"/>
          <w:color w:val="auto"/>
        </w:rPr>
      </w:pPr>
    </w:p>
    <w:p>
      <w:pPr>
        <w:ind w:left="420" w:right="20" w:hanging="207"/>
        <w:spacing w:after="0" w:line="279" w:lineRule="auto"/>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Times New Roman" w:cs="Times New Roman" w:eastAsia="Times New Roman" w:hAnsi="Times New Roman"/>
          <w:sz w:val="12"/>
          <w:szCs w:val="12"/>
          <w:color w:val="auto"/>
        </w:rPr>
      </w:pPr>
    </w:p>
    <w:p>
      <w:pPr>
        <w:ind w:left="420" w:right="20" w:hanging="207"/>
        <w:spacing w:after="0" w:line="279" w:lineRule="auto"/>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Times New Roman" w:cs="Times New Roman" w:eastAsia="Times New Roman" w:hAnsi="Times New Roman"/>
          <w:sz w:val="12"/>
          <w:szCs w:val="12"/>
          <w:color w:val="auto"/>
        </w:rPr>
      </w:pPr>
    </w:p>
    <w:p>
      <w:pPr>
        <w:ind w:left="860" w:right="20" w:hanging="215"/>
        <w:spacing w:after="0" w:line="279" w:lineRule="auto"/>
        <w:tabs>
          <w:tab w:leader="none" w:pos="86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1" w:lineRule="exact"/>
        <w:rPr>
          <w:rFonts w:ascii="Times New Roman" w:cs="Times New Roman" w:eastAsia="Times New Roman" w:hAnsi="Times New Roman"/>
          <w:sz w:val="12"/>
          <w:szCs w:val="12"/>
          <w:color w:val="auto"/>
        </w:rPr>
      </w:pPr>
    </w:p>
    <w:p>
      <w:pPr>
        <w:ind w:left="860" w:right="20" w:hanging="215"/>
        <w:spacing w:after="0" w:line="279" w:lineRule="auto"/>
        <w:tabs>
          <w:tab w:leader="none" w:pos="86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0" w:lineRule="exact"/>
        <w:rPr>
          <w:rFonts w:ascii="Times New Roman" w:cs="Times New Roman" w:eastAsia="Times New Roman" w:hAnsi="Times New Roman"/>
          <w:sz w:val="12"/>
          <w:szCs w:val="12"/>
          <w:color w:val="auto"/>
        </w:rPr>
      </w:pPr>
    </w:p>
    <w:p>
      <w:pPr>
        <w:ind w:left="860" w:right="20" w:hanging="215"/>
        <w:spacing w:after="0" w:line="279" w:lineRule="auto"/>
        <w:tabs>
          <w:tab w:leader="none" w:pos="86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12"/>
          <w:szCs w:val="12"/>
          <w:color w:val="auto"/>
        </w:rPr>
      </w:pPr>
    </w:p>
    <w:p>
      <w:pPr>
        <w:ind w:left="860" w:right="20" w:hanging="215"/>
        <w:spacing w:after="0" w:line="279" w:lineRule="auto"/>
        <w:tabs>
          <w:tab w:leader="none" w:pos="86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rFonts w:ascii="Times New Roman" w:cs="Times New Roman" w:eastAsia="Times New Roman" w:hAnsi="Times New Roman"/>
          <w:sz w:val="12"/>
          <w:szCs w:val="12"/>
          <w:color w:val="auto"/>
        </w:rPr>
      </w:pPr>
    </w:p>
    <w:p>
      <w:pPr>
        <w:ind w:left="420" w:right="20" w:hanging="207"/>
        <w:spacing w:after="0" w:line="279" w:lineRule="auto"/>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Times New Roman" w:cs="Times New Roman" w:eastAsia="Times New Roman" w:hAnsi="Times New Roman"/>
          <w:sz w:val="12"/>
          <w:szCs w:val="12"/>
          <w:color w:val="auto"/>
        </w:rPr>
      </w:pPr>
    </w:p>
    <w:p>
      <w:pPr>
        <w:ind w:left="860" w:right="20" w:hanging="215"/>
        <w:spacing w:after="0" w:line="279" w:lineRule="auto"/>
        <w:tabs>
          <w:tab w:leader="none" w:pos="86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Times New Roman" w:cs="Times New Roman" w:eastAsia="Times New Roman" w:hAnsi="Times New Roman"/>
          <w:sz w:val="12"/>
          <w:szCs w:val="12"/>
          <w:color w:val="auto"/>
        </w:rPr>
      </w:pPr>
    </w:p>
    <w:p>
      <w:pPr>
        <w:ind w:left="860" w:hanging="215"/>
        <w:spacing w:after="0"/>
        <w:tabs>
          <w:tab w:leader="none" w:pos="86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tabs>
          <w:tab w:leader="none" w:pos="4980" w:val="left"/>
          <w:tab w:leader="none" w:pos="5280" w:val="left"/>
        </w:tabs>
        <w:rPr>
          <w:sz w:val="20"/>
          <w:szCs w:val="20"/>
          <w:color w:val="auto"/>
        </w:rPr>
      </w:pPr>
      <w:r>
        <w:rPr>
          <w:rFonts w:ascii="Times New Roman" w:cs="Times New Roman" w:eastAsia="Times New Roman" w:hAnsi="Times New Roman"/>
          <w:sz w:val="12"/>
          <w:szCs w:val="12"/>
          <w:color w:val="auto"/>
        </w:rPr>
        <w:t>Date: August 7, 2024</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10795</wp:posOffset>
            </wp:positionV>
            <wp:extent cx="297180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971800" cy="5715"/>
                    </a:xfrm>
                    <a:prstGeom prst="rect">
                      <a:avLst/>
                    </a:prstGeom>
                    <a:noFill/>
                  </pic:spPr>
                </pic:pic>
              </a:graphicData>
            </a:graphic>
          </wp:anchor>
        </w:drawing>
      </w:r>
    </w:p>
    <w:p>
      <w:pPr>
        <w:spacing w:after="0" w:line="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color w:val="auto"/>
        </w:rPr>
        <w:t>John Schwab</w:t>
      </w:r>
    </w:p>
    <w:p>
      <w:pPr>
        <w:spacing w:after="0" w:line="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In connection with the Quarterly Report on Form 10-Q of Vertex, Inc. (the “Company”) for the period ended June 30, 2024 as filed with the Securities and Exchange Commission on the date hereof (the “Report”), I certify, pursuant to 18 U.S.C. § 1350, as adopted pursuant to § 906 of the Sarbanes-Oxley Act of 2002, that:</w:t>
      </w:r>
    </w:p>
    <w:p>
      <w:pPr>
        <w:spacing w:after="0" w:line="129" w:lineRule="exact"/>
        <w:rPr>
          <w:sz w:val="20"/>
          <w:szCs w:val="20"/>
          <w:color w:val="auto"/>
        </w:rPr>
      </w:pPr>
    </w:p>
    <w:p>
      <w:pPr>
        <w:ind w:left="860" w:hanging="215"/>
        <w:spacing w:after="0"/>
        <w:tabs>
          <w:tab w:leader="none" w:pos="86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and</w:t>
      </w:r>
    </w:p>
    <w:p>
      <w:pPr>
        <w:spacing w:after="0" w:line="168" w:lineRule="exact"/>
        <w:rPr>
          <w:rFonts w:ascii="Times New Roman" w:cs="Times New Roman" w:eastAsia="Times New Roman" w:hAnsi="Times New Roman"/>
          <w:sz w:val="12"/>
          <w:szCs w:val="12"/>
          <w:color w:val="auto"/>
        </w:rPr>
      </w:pPr>
    </w:p>
    <w:p>
      <w:pPr>
        <w:ind w:left="860" w:hanging="215"/>
        <w:spacing w:after="0"/>
        <w:tabs>
          <w:tab w:leader="none" w:pos="86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4940" w:right="3700" w:hanging="4949"/>
        <w:spacing w:after="0" w:line="259" w:lineRule="auto"/>
        <w:tabs>
          <w:tab w:leader="none" w:pos="4920" w:val="left"/>
        </w:tabs>
        <w:rPr>
          <w:sz w:val="20"/>
          <w:szCs w:val="20"/>
          <w:color w:val="auto"/>
        </w:rPr>
      </w:pPr>
      <w:r>
        <w:rPr>
          <w:rFonts w:ascii="Times New Roman" w:cs="Times New Roman" w:eastAsia="Times New Roman" w:hAnsi="Times New Roman"/>
          <w:sz w:val="12"/>
          <w:szCs w:val="12"/>
          <w:color w:val="auto"/>
        </w:rPr>
        <w:t>Date: August 7, 2024</w:t>
      </w:r>
      <w:r>
        <w:rPr>
          <w:sz w:val="20"/>
          <w:szCs w:val="20"/>
          <w:color w:val="auto"/>
        </w:rPr>
        <w:tab/>
      </w:r>
      <w:r>
        <w:rPr>
          <w:rFonts w:ascii="Times New Roman" w:cs="Times New Roman" w:eastAsia="Times New Roman" w:hAnsi="Times New Roman"/>
          <w:sz w:val="12"/>
          <w:szCs w:val="12"/>
          <w:color w:val="auto"/>
        </w:rPr>
        <w:t>By: /s/ David DeStefano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3364865</wp:posOffset>
            </wp:positionH>
            <wp:positionV relativeFrom="paragraph">
              <wp:posOffset>-90170</wp:posOffset>
            </wp:positionV>
            <wp:extent cx="296608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966085" cy="5715"/>
                    </a:xfrm>
                    <a:prstGeom prst="rect">
                      <a:avLst/>
                    </a:prstGeom>
                    <a:noFill/>
                  </pic:spPr>
                </pic:pic>
              </a:graphicData>
            </a:graphic>
          </wp:anchor>
        </w:drawing>
      </w:r>
    </w:p>
    <w:p>
      <w:pPr>
        <w:ind w:left="494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5" w:right="9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2"/>
          <w:szCs w:val="12"/>
          <w:b w:val="1"/>
          <w:bCs w:val="1"/>
          <w:color w:val="auto"/>
        </w:rPr>
        <w:t>18 U.S.C. SECTION 1350, AS ADOPTED PURSUANT TO</w:t>
      </w:r>
    </w:p>
    <w:p>
      <w:pPr>
        <w:spacing w:after="0" w:line="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In connection with the Quarterly Report on Form 10-Q of Vertex, Inc. (the “Company”) for the period ended June 30, 2024 as filed with the Securities and Exchange Commission on the date hereof (the “Report”), I certify, pursuant to 18 U.S.C. § 1350, as adopted pursuant to § 906 of the Sarbanes-Oxley Act of 2002, that:</w:t>
      </w:r>
    </w:p>
    <w:p>
      <w:pPr>
        <w:spacing w:after="0" w:line="129" w:lineRule="exact"/>
        <w:rPr>
          <w:sz w:val="20"/>
          <w:szCs w:val="20"/>
          <w:color w:val="auto"/>
        </w:rPr>
      </w:pPr>
    </w:p>
    <w:p>
      <w:pPr>
        <w:ind w:left="860" w:hanging="215"/>
        <w:spacing w:after="0"/>
        <w:tabs>
          <w:tab w:leader="none" w:pos="86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as amended; and</w:t>
      </w:r>
    </w:p>
    <w:p>
      <w:pPr>
        <w:spacing w:after="0" w:line="168" w:lineRule="exact"/>
        <w:rPr>
          <w:rFonts w:ascii="Times New Roman" w:cs="Times New Roman" w:eastAsia="Times New Roman" w:hAnsi="Times New Roman"/>
          <w:sz w:val="12"/>
          <w:szCs w:val="12"/>
          <w:color w:val="auto"/>
        </w:rPr>
      </w:pPr>
    </w:p>
    <w:p>
      <w:pPr>
        <w:ind w:left="860" w:hanging="215"/>
        <w:spacing w:after="0"/>
        <w:tabs>
          <w:tab w:leader="none" w:pos="86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00" w:type="dxa"/>
            <w:vAlign w:val="bottom"/>
          </w:tcPr>
          <w:p>
            <w:pPr>
              <w:spacing w:after="0"/>
              <w:rPr>
                <w:sz w:val="20"/>
                <w:szCs w:val="20"/>
                <w:color w:val="auto"/>
              </w:rPr>
            </w:pPr>
            <w:r>
              <w:rPr>
                <w:rFonts w:ascii="Times New Roman" w:cs="Times New Roman" w:eastAsia="Times New Roman" w:hAnsi="Times New Roman"/>
                <w:sz w:val="12"/>
                <w:szCs w:val="12"/>
                <w:color w:val="auto"/>
              </w:rPr>
              <w:t>Date: August 7, 2024</w:t>
            </w:r>
          </w:p>
        </w:tc>
        <w:tc>
          <w:tcPr>
            <w:tcW w:w="696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By:  /s/ John Schwab</w:t>
            </w:r>
          </w:p>
        </w:tc>
      </w:tr>
      <w:tr>
        <w:trPr>
          <w:trHeight w:val="113"/>
        </w:trPr>
        <w:tc>
          <w:tcPr>
            <w:tcW w:w="3000" w:type="dxa"/>
            <w:vAlign w:val="bottom"/>
          </w:tcPr>
          <w:p>
            <w:pPr>
              <w:spacing w:after="0"/>
              <w:rPr>
                <w:sz w:val="9"/>
                <w:szCs w:val="9"/>
                <w:color w:val="auto"/>
              </w:rPr>
            </w:pPr>
          </w:p>
        </w:tc>
        <w:tc>
          <w:tcPr>
            <w:tcW w:w="2280" w:type="dxa"/>
            <w:vAlign w:val="bottom"/>
          </w:tcPr>
          <w:p>
            <w:pPr>
              <w:ind w:left="2000"/>
              <w:spacing w:after="0" w:line="113" w:lineRule="exact"/>
              <w:rPr>
                <w:sz w:val="20"/>
                <w:szCs w:val="20"/>
                <w:color w:val="auto"/>
              </w:rPr>
            </w:pPr>
            <w:r>
              <w:rPr>
                <w:rFonts w:ascii="Times New Roman" w:cs="Times New Roman" w:eastAsia="Times New Roman" w:hAnsi="Times New Roman"/>
                <w:sz w:val="12"/>
                <w:szCs w:val="12"/>
                <w:color w:val="auto"/>
              </w:rPr>
              <w:t>John</w:t>
            </w:r>
          </w:p>
        </w:tc>
        <w:tc>
          <w:tcPr>
            <w:tcW w:w="4680" w:type="dxa"/>
            <w:vAlign w:val="bottom"/>
            <w:tcBorders>
              <w:top w:val="single" w:sz="8" w:color="auto"/>
            </w:tcBorders>
          </w:tcPr>
          <w:p>
            <w:pPr>
              <w:spacing w:after="0" w:line="113" w:lineRule="exact"/>
              <w:rPr>
                <w:sz w:val="20"/>
                <w:szCs w:val="20"/>
                <w:color w:val="auto"/>
              </w:rPr>
            </w:pPr>
            <w:r>
              <w:rPr>
                <w:rFonts w:ascii="Times New Roman" w:cs="Times New Roman" w:eastAsia="Times New Roman" w:hAnsi="Times New Roman"/>
                <w:sz w:val="12"/>
                <w:szCs w:val="12"/>
                <w:color w:val="auto"/>
              </w:rPr>
              <w:t>Schwab</w:t>
            </w:r>
          </w:p>
        </w:tc>
      </w:tr>
      <w:tr>
        <w:trPr>
          <w:trHeight w:val="142"/>
        </w:trPr>
        <w:tc>
          <w:tcPr>
            <w:tcW w:w="3000" w:type="dxa"/>
            <w:vAlign w:val="bottom"/>
          </w:tcPr>
          <w:p>
            <w:pPr>
              <w:spacing w:after="0"/>
              <w:rPr>
                <w:sz w:val="12"/>
                <w:szCs w:val="12"/>
                <w:color w:val="auto"/>
              </w:rPr>
            </w:pPr>
          </w:p>
        </w:tc>
        <w:tc>
          <w:tcPr>
            <w:tcW w:w="696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7"/>
        </w:trPr>
        <w:tc>
          <w:tcPr>
            <w:tcW w:w="3000" w:type="dxa"/>
            <w:vAlign w:val="bottom"/>
          </w:tcPr>
          <w:p>
            <w:pPr>
              <w:spacing w:after="0"/>
              <w:rPr>
                <w:sz w:val="13"/>
                <w:szCs w:val="13"/>
                <w:color w:val="auto"/>
              </w:rPr>
            </w:pPr>
          </w:p>
        </w:tc>
        <w:tc>
          <w:tcPr>
            <w:tcW w:w="6960" w:type="dxa"/>
            <w:vAlign w:val="bottom"/>
            <w:gridSpan w:val="2"/>
          </w:tcPr>
          <w:p>
            <w:pPr>
              <w:ind w:left="2000"/>
              <w:spacing w:after="0"/>
              <w:rPr>
                <w:sz w:val="20"/>
                <w:szCs w:val="20"/>
                <w:color w:val="auto"/>
              </w:rPr>
            </w:pPr>
            <w:r>
              <w:rPr>
                <w:rFonts w:ascii="Times New Roman" w:cs="Times New Roman" w:eastAsia="Times New Roman" w:hAnsi="Times New Roman"/>
                <w:sz w:val="12"/>
                <w:szCs w:val="12"/>
                <w:i w:val="1"/>
                <w:iCs w:val="1"/>
                <w:color w:val="auto"/>
              </w:rPr>
              <w:t>(principal financial officer)</w:t>
            </w:r>
          </w:p>
        </w:tc>
      </w:tr>
      <w:tr>
        <w:trPr>
          <w:trHeight w:val="511"/>
        </w:trPr>
        <w:tc>
          <w:tcPr>
            <w:tcW w:w="30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80"/>
      </w:cols>
      <w:pgMar w:left="960" w:top="125"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8"/>
    </w:lvl>
  </w:abstractNum>
  <w:abstractNum w:abstractNumId="13">
    <w:nsid w:val="257130A3"/>
    <w:multiLevelType w:val="hybridMultilevel"/>
    <w:lvl w:ilvl="0">
      <w:lvlJc w:val="left"/>
      <w:lvlText w:val="%1."/>
      <w:numFmt w:val="decimal"/>
      <w:start w:val="9"/>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lvl w:ilvl="1">
      <w:lvlJc w:val="left"/>
      <w:lvlText w:val="(%2)"/>
      <w:numFmt w:val="decimal"/>
      <w:start w:val="1"/>
    </w:lvl>
  </w:abstractNum>
  <w:abstractNum w:abstractNumId="16">
    <w:nsid w:val="628C895D"/>
    <w:multiLevelType w:val="hybridMultilevel"/>
    <w:lvl w:ilvl="0">
      <w:lvlJc w:val="left"/>
      <w:lvlText w:val="%1."/>
      <w:numFmt w:val="decimal"/>
      <w:start w:val="10"/>
    </w:lvl>
    <w:lvl w:ilvl="1">
      <w:lvlJc w:val="left"/>
      <w:lvlText w:val="%2"/>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87" Type="http://schemas.openxmlformats.org/officeDocument/2006/relationships/hyperlink" Target="https://www.sec.gov/Archives/edgar/data/1806837/000155837024005939/verx-20240423xex4d1.htm" TargetMode="External"/><Relationship Id="rId88" Type="http://schemas.openxmlformats.org/officeDocument/2006/relationships/hyperlink" Target="https://www.sec.gov/Archives/edgar/data/1806837/000155837024005432/verx-20240419xex10d1.htm" TargetMode="External"/><Relationship Id="rId89" Type="http://schemas.openxmlformats.org/officeDocument/2006/relationships/hyperlink" Target="https://www.sec.gov/Archives/edgar/data/1806837/000155837024005939/verx-20240423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2024-08-07T16:12:25Z</dcterms:created>
  <dcterms:modified xsi:type="dcterms:W3CDTF">2024-08-07T16:12:25Z</dcterms:modified>
</cp:coreProperties>
</file>