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verx-20241231x10k.htm"/>
        <w:bookmarkStart w:id="1" w:name="ksverx2024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4ca50fc0_7ebd_481e_b013_9ce33568cab8"/>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sz w:val="32"/>
        </w:rPr>
      </w:pPr>
      <w:r>
        <w:rPr>
          <w:rFonts w:ascii="Times New Roman;Times;serif" w:hAnsi="Times New Roman;Times;serif"/>
          <w:b/>
          <w:sz w:val="32"/>
        </w:rPr>
        <w:t>FORM 10-K</w:t>
      </w:r>
    </w:p>
    <w:p>
      <w:pPr>
        <w:pStyle w:val="TextBody"/>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n3DrJuFW906cJPU8eexhmA_1_2"/>
      <w:bookmarkStart w:id="4" w:name="_012c1c45_834d_4d42_800b_198dd0a6c3f3"/>
      <w:bookmarkStart w:id="5" w:name="Tc_n3DrJuFW906cJPU8eexhmA_1_2"/>
      <w:bookmarkStart w:id="6" w:name="_012c1c45_834d_4d42_800b_198dd0a6c3f3"/>
      <w:bookmarkEnd w:id="5"/>
      <w:bookmarkEnd w:id="6"/>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TqrSM2JIDki3G3LM6i6UuQ_1_2"/>
      <w:bookmarkStart w:id="8" w:name="_6706cf49_1041_45ad_988e_7003e39c4a2f"/>
      <w:bookmarkStart w:id="9" w:name="Tc_TqrSM2JIDki3G3LM6i6UuQ_1_2"/>
      <w:bookmarkStart w:id="10" w:name="_6706cf49_1041_45ad_988e_7003e39c4a2f"/>
      <w:bookmarkEnd w:id="9"/>
      <w:bookmarkEnd w:id="10"/>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Commission File Number: 001-39413</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VERTEX,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 w:name="Tc_iiLX-jChK0OA-xwWP0L3CQ_5_4"/>
      <w:bookmarkStart w:id="12" w:name="Tc_ltmnT7Ccw0STgx--y7xuYA_5_0"/>
      <w:bookmarkStart w:id="13" w:name="Tc_5RiA2VygT0SZOp-F6B1yYg_4_4"/>
      <w:bookmarkStart w:id="14" w:name="Tc_a39o5pOP6kKNIoIfO4RszA_4_0"/>
      <w:bookmarkStart w:id="15" w:name="Tc_zkNzmiSAtkm0JEwuMBYfcw_2_4"/>
      <w:bookmarkStart w:id="16" w:name="Tc_XUqkfMeibUiHDXi-LHuuoQ_2_0"/>
      <w:bookmarkStart w:id="17" w:name="_588f3022_4591_4b8c_97dd_dff1ea481d53"/>
      <w:bookmarkStart w:id="18" w:name="Tc_iiLX-jChK0OA-xwWP0L3CQ_5_4"/>
      <w:bookmarkStart w:id="19" w:name="Tc_ltmnT7Ccw0STgx--y7xuYA_5_0"/>
      <w:bookmarkStart w:id="20" w:name="Tc_5RiA2VygT0SZOp-F6B1yYg_4_4"/>
      <w:bookmarkStart w:id="21" w:name="Tc_a39o5pOP6kKNIoIfO4RszA_4_0"/>
      <w:bookmarkStart w:id="22" w:name="Tc_zkNzmiSAtkm0JEwuMBYfcw_2_4"/>
      <w:bookmarkStart w:id="23" w:name="Tc_XUqkfMeibUiHDXi-LHuuoQ_2_0"/>
      <w:bookmarkStart w:id="24" w:name="_588f3022_4591_4b8c_97dd_dff1ea481d53"/>
      <w:bookmarkEnd w:id="18"/>
      <w:bookmarkEnd w:id="19"/>
      <w:bookmarkEnd w:id="20"/>
      <w:bookmarkEnd w:id="21"/>
      <w:bookmarkEnd w:id="22"/>
      <w:bookmarkEnd w:id="23"/>
      <w:bookmarkEnd w:id="24"/>
    </w:p>
    <w:tbl>
      <w:tblPr>
        <w:tblW w:w="4235" w:type="dxa"/>
        <w:jc w:val="left"/>
        <w:tblInd w:w="0" w:type="dxa"/>
        <w:tblLayout w:type="fixed"/>
        <w:tblCellMar>
          <w:top w:w="0" w:type="dxa"/>
          <w:left w:w="0" w:type="dxa"/>
          <w:bottom w:w="0" w:type="dxa"/>
          <w:right w:w="0" w:type="dxa"/>
        </w:tblCellMar>
      </w:tblPr>
      <w:tblGrid>
        <w:gridCol w:w="2341"/>
        <w:gridCol w:w="326"/>
        <w:gridCol w:w="146"/>
        <w:gridCol w:w="326"/>
        <w:gridCol w:w="1096"/>
      </w:tblGrid>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both"/>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23-2081753</w:t>
            </w:r>
          </w:p>
        </w:tc>
      </w:tr>
      <w:tr>
        <w:trPr/>
        <w:tc>
          <w:tcPr>
            <w:tcW w:w="23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incorporation or organization)</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r>
          </w:p>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Identification No.)</w:t>
            </w:r>
          </w:p>
        </w:tc>
      </w:tr>
      <w:tr>
        <w:trPr/>
        <w:tc>
          <w:tcPr>
            <w:tcW w:w="234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096" w:type="dxa"/>
            <w:tcBorders/>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2301 Renaissance Blvd</w:t>
            </w:r>
            <w:r>
              <w:rPr>
                <w:rFonts w:ascii="Times New Roman;Times;serif" w:hAnsi="Times New Roman;Times;serif"/>
                <w:sz w:val="16"/>
              </w:rPr>
              <w:br/>
            </w:r>
            <w:r>
              <w:rPr>
                <w:rFonts w:ascii="Times New Roman;Times;serif" w:hAnsi="Times New Roman;Times;serif"/>
                <w:b/>
                <w:sz w:val="16"/>
              </w:rPr>
              <w:t>King of Prussia, Pennsylvania</w:t>
            </w:r>
            <w:r>
              <w:rPr>
                <w:rFonts w:ascii="Times New Roman;Times;serif" w:hAnsi="Times New Roman;Times;serif"/>
                <w:sz w:val="20"/>
              </w:rPr>
              <w:t xml:space="preserve">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19406</w:t>
            </w:r>
            <w:r>
              <w:rPr>
                <w:rFonts w:ascii="Times New Roman;Times;serif" w:hAnsi="Times New Roman;Times;serif"/>
                <w:sz w:val="20"/>
              </w:rPr>
              <w:t> </w:t>
            </w:r>
          </w:p>
        </w:tc>
      </w:tr>
      <w:tr>
        <w:trPr/>
        <w:tc>
          <w:tcPr>
            <w:tcW w:w="23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(800) 355-3500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tWZXCxe9okC1FxRtAyFnUQ_1_4"/>
      <w:bookmarkStart w:id="26" w:name="Tc_sUq4IYhsB0-1hQujOwI-qA_1_2"/>
      <w:bookmarkStart w:id="27" w:name="Tc_-RfUiQxW7EWkO5-lHbYgYQ_1_0"/>
      <w:bookmarkStart w:id="28" w:name="_2de39deb_a515_459a_b1f1_fd289b9c31c6"/>
      <w:bookmarkStart w:id="29" w:name="Tc_tWZXCxe9okC1FxRtAyFnUQ_1_4"/>
      <w:bookmarkStart w:id="30" w:name="Tc_sUq4IYhsB0-1hQujOwI-qA_1_2"/>
      <w:bookmarkStart w:id="31" w:name="Tc_-RfUiQxW7EWkO5-lHbYgYQ_1_0"/>
      <w:bookmarkStart w:id="32" w:name="_2de39deb_a515_459a_b1f1_fd289b9c31c6"/>
      <w:bookmarkEnd w:id="29"/>
      <w:bookmarkEnd w:id="30"/>
      <w:bookmarkEnd w:id="31"/>
      <w:bookmarkEnd w:id="32"/>
    </w:p>
    <w:tbl>
      <w:tblPr>
        <w:tblW w:w="7930" w:type="dxa"/>
        <w:jc w:val="left"/>
        <w:tblInd w:w="0" w:type="dxa"/>
        <w:tblLayout w:type="fixed"/>
        <w:tblCellMar>
          <w:top w:w="0" w:type="dxa"/>
          <w:left w:w="0" w:type="dxa"/>
          <w:bottom w:w="0" w:type="dxa"/>
          <w:right w:w="0" w:type="dxa"/>
        </w:tblCellMar>
      </w:tblPr>
      <w:tblGrid>
        <w:gridCol w:w="3946"/>
        <w:gridCol w:w="326"/>
        <w:gridCol w:w="901"/>
        <w:gridCol w:w="326"/>
        <w:gridCol w:w="2431"/>
      </w:tblGrid>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326" w:type="dxa"/>
            <w:tcBorders/>
            <w:vAlign w:val="center"/>
          </w:tcPr>
          <w:p>
            <w:pPr>
              <w:pStyle w:val="TableContents"/>
              <w:bidi w:val="0"/>
              <w:spacing w:before="0" w:after="0"/>
              <w:ind w:left="0" w:right="0" w:hanging="0"/>
              <w:jc w:val="both"/>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w:t>
            </w:r>
          </w:p>
        </w:tc>
        <w:tc>
          <w:tcPr>
            <w:tcW w:w="326" w:type="dxa"/>
            <w:tcBorders/>
            <w:vAlign w:val="center"/>
          </w:tcPr>
          <w:p>
            <w:pPr>
              <w:pStyle w:val="TableContents"/>
              <w:bidi w:val="0"/>
              <w:spacing w:before="0" w:after="0"/>
              <w:ind w:left="0" w:right="0" w:hanging="0"/>
              <w:jc w:val="both"/>
              <w:rPr/>
            </w:pPr>
            <w:r>
              <w:rPr/>
              <w:t>    </w:t>
            </w:r>
          </w:p>
        </w:tc>
        <w:tc>
          <w:tcPr>
            <w:tcW w:w="24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39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 Par Value $0.001 Per Share</w:t>
            </w:r>
          </w:p>
        </w:tc>
        <w:tc>
          <w:tcPr>
            <w:tcW w:w="326" w:type="dxa"/>
            <w:tcBorders/>
            <w:vAlign w:val="center"/>
          </w:tcPr>
          <w:p>
            <w:pPr>
              <w:pStyle w:val="TableContents"/>
              <w:bidi w:val="0"/>
              <w:spacing w:before="0" w:after="240"/>
              <w:ind w:left="0" w:right="0" w:hanging="0"/>
              <w:jc w:val="both"/>
              <w:rPr/>
            </w:pPr>
            <w:r>
              <w:rPr/>
              <w:t>​</w:t>
            </w:r>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VERX</w:t>
            </w:r>
          </w:p>
        </w:tc>
        <w:tc>
          <w:tcPr>
            <w:tcW w:w="326" w:type="dxa"/>
            <w:tcBorders/>
            <w:vAlign w:val="center"/>
          </w:tcPr>
          <w:p>
            <w:pPr>
              <w:pStyle w:val="TableContents"/>
              <w:bidi w:val="0"/>
              <w:spacing w:before="0" w:after="240"/>
              <w:ind w:left="0" w:right="0" w:hanging="0"/>
              <w:jc w:val="both"/>
              <w:rPr/>
            </w:pPr>
            <w:r>
              <w:rPr/>
              <w:t>​</w:t>
            </w:r>
          </w:p>
        </w:tc>
        <w:tc>
          <w:tcPr>
            <w:tcW w:w="24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NASDAQ</w:t>
            </w:r>
          </w:p>
        </w:tc>
      </w:tr>
    </w:tbl>
    <w:p>
      <w:pPr>
        <w:pStyle w:val="TextBody"/>
        <w:bidi w:val="0"/>
        <w:spacing w:before="0" w:after="0"/>
        <w:ind w:left="0" w:right="0" w:hanging="0"/>
        <w:jc w:val="left"/>
        <w:rPr/>
      </w:pPr>
      <w:r>
        <w:rPr/>
        <w:t>​</w:t>
      </w:r>
    </w:p>
    <w:p>
      <w:pPr>
        <w:pStyle w:val="TextBody"/>
        <w:bidi w:val="0"/>
        <w:spacing w:before="0" w:after="80"/>
        <w:ind w:left="0" w:right="0" w:firstLine="54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80"/>
        <w:ind w:left="0" w:right="0" w:firstLine="523"/>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80"/>
        <w:ind w:left="0" w:right="0" w:firstLine="523"/>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3" w:name="Tc_dUrko_SkyUetAeLqoTcBhQ_3_3"/>
      <w:bookmarkStart w:id="34" w:name="Tc_ZX8gwPQE0Ua25cO_PSHW2g_2_3"/>
      <w:bookmarkStart w:id="35" w:name="Tc_MMKotN-cLE6-1UvcD9u75w_2_1"/>
      <w:bookmarkStart w:id="36" w:name="Tc_RXqEjKnEiEWku-GD4QCJhQ_2_0"/>
      <w:bookmarkStart w:id="37" w:name="Tc_qJ_H6chtxEe50W3ZP1UKEA_1_4"/>
      <w:bookmarkStart w:id="38" w:name="Tc_jaFBTwpFdEeJwg8SIa1m8Q_1_3"/>
      <w:bookmarkStart w:id="39" w:name="Tc_XUIXMXrJ8k27gOkWuSiEpg_1_1"/>
      <w:bookmarkStart w:id="40" w:name="_7a629acc_e15b_4ae7_90f9_3d0e349b3fdd"/>
      <w:bookmarkStart w:id="41" w:name="Tc_dUrko_SkyUetAeLqoTcBhQ_3_3"/>
      <w:bookmarkStart w:id="42" w:name="Tc_ZX8gwPQE0Ua25cO_PSHW2g_2_3"/>
      <w:bookmarkStart w:id="43" w:name="Tc_MMKotN-cLE6-1UvcD9u75w_2_1"/>
      <w:bookmarkStart w:id="44" w:name="Tc_RXqEjKnEiEWku-GD4QCJhQ_2_0"/>
      <w:bookmarkStart w:id="45" w:name="Tc_qJ_H6chtxEe50W3ZP1UKEA_1_4"/>
      <w:bookmarkStart w:id="46" w:name="Tc_jaFBTwpFdEeJwg8SIa1m8Q_1_3"/>
      <w:bookmarkStart w:id="47" w:name="Tc_XUIXMXrJ8k27gOkWuSiEpg_1_1"/>
      <w:bookmarkStart w:id="48" w:name="_7a629acc_e15b_4ae7_90f9_3d0e349b3fdd"/>
      <w:bookmarkEnd w:id="41"/>
      <w:bookmarkEnd w:id="42"/>
      <w:bookmarkEnd w:id="43"/>
      <w:bookmarkEnd w:id="44"/>
      <w:bookmarkEnd w:id="45"/>
      <w:bookmarkEnd w:id="46"/>
      <w:bookmarkEnd w:id="47"/>
      <w:bookmarkEnd w:id="48"/>
    </w:p>
    <w:tbl>
      <w:tblPr>
        <w:tblW w:w="4815" w:type="dxa"/>
        <w:jc w:val="left"/>
        <w:tblInd w:w="0" w:type="dxa"/>
        <w:tblLayout w:type="fixed"/>
        <w:tblCellMar>
          <w:top w:w="0" w:type="dxa"/>
          <w:left w:w="0" w:type="dxa"/>
          <w:bottom w:w="0" w:type="dxa"/>
          <w:right w:w="0" w:type="dxa"/>
        </w:tblCellMar>
      </w:tblPr>
      <w:tblGrid>
        <w:gridCol w:w="1666"/>
        <w:gridCol w:w="376"/>
        <w:gridCol w:w="326"/>
        <w:gridCol w:w="2026"/>
        <w:gridCol w:w="42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6"/>
              </w:rPr>
            </w:pPr>
            <w:r>
              <w:rPr>
                <w:rFonts w:ascii="Times New Roman;Times;serif" w:hAnsi="Times New Roman;Times;serif"/>
                <w:sz w:val="16"/>
              </w:rPr>
              <w:t>Large accelerated filer</w:t>
            </w:r>
          </w:p>
        </w:tc>
        <w:tc>
          <w:tcPr>
            <w:tcW w:w="3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    </w:t>
            </w:r>
          </w:p>
        </w:tc>
        <w:tc>
          <w:tcPr>
            <w:tcW w:w="202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Accelerated filer</w:t>
            </w:r>
          </w:p>
        </w:tc>
        <w:tc>
          <w:tcPr>
            <w:tcW w:w="42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Non-accelerated filer</w:t>
            </w:r>
          </w:p>
        </w:tc>
        <w:tc>
          <w:tcPr>
            <w:tcW w:w="3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2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Small reporting company</w:t>
            </w:r>
          </w:p>
        </w:tc>
        <w:tc>
          <w:tcPr>
            <w:tcW w:w="42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40"/>
              <w:ind w:left="0" w:right="0" w:hanging="0"/>
              <w:jc w:val="both"/>
              <w:rPr/>
            </w:pPr>
            <w:r>
              <w:rPr/>
              <w:t>​</w:t>
            </w:r>
          </w:p>
        </w:tc>
        <w:tc>
          <w:tcPr>
            <w:tcW w:w="376" w:type="dxa"/>
            <w:tcBorders/>
            <w:vAlign w:val="center"/>
          </w:tcPr>
          <w:p>
            <w:pPr>
              <w:pStyle w:val="TableContents"/>
              <w:bidi w:val="0"/>
              <w:spacing w:before="0" w:after="24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2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Emerging growth company</w:t>
            </w:r>
          </w:p>
        </w:tc>
        <w:tc>
          <w:tcPr>
            <w:tcW w:w="421" w:type="dxa"/>
            <w:tcBorders/>
            <w:vAlign w:val="center"/>
          </w:tcPr>
          <w:p>
            <w:pPr>
              <w:pStyle w:val="TableContents"/>
              <w:bidi w:val="0"/>
              <w:spacing w:before="0" w:after="0"/>
              <w:ind w:left="0" w:right="0" w:hanging="0"/>
              <w:jc w:val="both"/>
              <w:rPr/>
            </w:pPr>
            <w:r>
              <w:rPr/>
              <w:t>☐ </w:t>
            </w:r>
          </w:p>
        </w:tc>
      </w:tr>
    </w:tbl>
    <w:p>
      <w:pPr>
        <w:pStyle w:val="TextBody"/>
        <w:bidi w:val="0"/>
        <w:spacing w:before="0" w:after="0"/>
        <w:ind w:left="0" w:right="0" w:hanging="0"/>
        <w:jc w:val="left"/>
        <w:rPr/>
      </w:pPr>
      <w:r>
        <w:rPr/>
        <w:t>​</w:t>
      </w:r>
    </w:p>
    <w:p>
      <w:pPr>
        <w:pStyle w:val="TextBody"/>
        <w:bidi w:val="0"/>
        <w:spacing w:before="0" w:after="80"/>
        <w:ind w:left="0" w:right="0" w:firstLine="518"/>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r>
        <w:rPr>
          <w:rFonts w:ascii="Times New Roman;Times;serif" w:hAnsi="Times New Roman;Times;serif"/>
          <w:sz w:val="20"/>
        </w:rPr>
        <w:t xml:space="preserve"> ☒ </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 </w:t>
      </w:r>
    </w:p>
    <w:p>
      <w:pPr>
        <w:pStyle w:val="TextBody"/>
        <w:bidi w:val="0"/>
        <w:spacing w:before="0" w:after="80"/>
        <w:ind w:left="0" w:right="0" w:firstLine="523"/>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16"/>
        </w:rPr>
      </w:pPr>
      <w:r>
        <w:rPr>
          <w:rFonts w:ascii="Times New Roman;Times;serif" w:hAnsi="Times New Roman;Times;serif"/>
          <w:sz w:val="16"/>
        </w:rPr>
        <w:t xml:space="preserve">The aggregate market value of the voting and non-voting common equity held by non-affiliates of Vertex, Inc. as of June 30, 2024, totaled approximately $2,080,796,194. Such value excludes common stock held by executive officers, directors and 10% or greater stockholders as of June 30, 2024. The identification of 10% or greater stockholders as of June 30, 2024, is based on Schedule 13G and amended Schedule 13G reports publicly filed before June 30, 2024. This calculation does not reflect a determination that such parties are affiliates for any other purposes. </w:t>
      </w:r>
    </w:p>
    <w:p>
      <w:pPr>
        <w:pStyle w:val="TextBody"/>
        <w:bidi w:val="0"/>
        <w:spacing w:before="0" w:after="80"/>
        <w:ind w:left="0" w:right="0" w:firstLine="518"/>
        <w:jc w:val="both"/>
        <w:rPr>
          <w:rFonts w:ascii="Times New Roman;Times;serif" w:hAnsi="Times New Roman;Times;serif"/>
          <w:sz w:val="16"/>
        </w:rPr>
      </w:pPr>
      <w:r>
        <w:rPr>
          <w:rFonts w:ascii="Times New Roman;Times;serif" w:hAnsi="Times New Roman;Times;serif"/>
          <w:sz w:val="16"/>
        </w:rPr>
        <w:t>As of February 21, 2025, the registrant had 71,702,437</w:t>
      </w:r>
      <w:r>
        <w:rPr>
          <w:rFonts w:ascii="Times New Roman;Times;serif" w:hAnsi="Times New Roman;Times;serif"/>
          <w:color w:val="FF0000"/>
          <w:sz w:val="16"/>
        </w:rPr>
        <w:t xml:space="preserve"> </w:t>
      </w:r>
      <w:r>
        <w:rPr>
          <w:rFonts w:ascii="Times New Roman;Times;serif" w:hAnsi="Times New Roman;Times;serif"/>
          <w:sz w:val="16"/>
        </w:rPr>
        <w:t xml:space="preserve">shares of Class A common stock, $0.001 par value per share, and 86,480,641 shares of Class B common stock, $0.001 par value per share, outstanding. </w:t>
      </w:r>
    </w:p>
    <w:p>
      <w:pPr>
        <w:pStyle w:val="TextBody"/>
        <w:bidi w:val="0"/>
        <w:spacing w:before="0" w:after="80"/>
        <w:ind w:left="0" w:right="0" w:firstLine="518"/>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Portions of the Registrant’s Definitive Proxy Statement relating to the 2025 Annual Meeting of Shareholders, are incorporated by reference into Part III of this report. The Definitive Proxy Statement will be filed with the Securities and Exchange Commission within 120 days after the end of the fiscal year ended December 31, 2024.</w:t>
      </w:r>
    </w:p>
    <w:p>
      <w:pPr>
        <w:pStyle w:val="TextBody"/>
        <w:bidi w:val="0"/>
        <w:spacing w:before="0" w:after="240"/>
        <w:ind w:left="0" w:right="0" w:firstLine="518"/>
        <w:jc w:val="both"/>
        <w:rPr/>
      </w:pPr>
      <w:r>
        <w:rPr/>
        <w:t>​</w:t>
      </w:r>
    </w:p>
    <w:p>
      <w:pPr>
        <w:pStyle w:val="TextBody"/>
        <w:pBdr>
          <w:top w:val="single" w:sz="2" w:space="1" w:color="000000"/>
          <w:bottom w:val="single" w:sz="24" w:space="1" w:color="000000"/>
        </w:pBdr>
        <w:bidi w:val="0"/>
        <w:spacing w:before="0" w:after="240"/>
        <w:ind w:left="0" w:right="0" w:firstLine="523"/>
        <w:jc w:val="both"/>
        <w:rPr/>
      </w:pPr>
      <w:r>
        <w:rPr/>
        <w:t>​</w:t>
      </w:r>
    </w:p>
    <w:p>
      <w:pPr>
        <w:pStyle w:val="TextBody"/>
        <w:bidi w:val="0"/>
        <w:spacing w:before="0" w:after="240"/>
        <w:ind w:left="0" w:right="0" w:firstLine="523"/>
        <w:jc w:val="both"/>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TOC"/>
      <w:bookmarkStart w:id="50" w:name="_d9326701_5b8c_4cc9_a2e1_198ffc719860"/>
      <w:bookmarkEnd w:id="49"/>
      <w:bookmarkEnd w:id="50"/>
      <w:r>
        <w:rPr>
          <w:rFonts w:ascii="Times New Roman;Times;serif" w:hAnsi="Times New Roman;Times;serif"/>
          <w:b/>
          <w:sz w:val="20"/>
        </w:rPr>
        <w:t xml:space="preserve">TABLE OF CONTENTS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52"/>
        <w:gridCol w:w="8609"/>
        <w:gridCol w:w="326"/>
        <w:gridCol w:w="418"/>
      </w:tblGrid>
      <w:tr>
        <w:trPr/>
        <w:tc>
          <w:tcPr>
            <w:tcW w:w="852"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860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65430" cy="175260"/>
                      <wp:effectExtent l="0" t="0" r="0" b="0"/>
                      <wp:wrapNone/>
                      <wp:docPr id="1" name="Frame1"/>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hyperlink w:anchor="SPECIALNOTEREGARDINGFORWARDLOOKING">
              <w:r>
                <w:rPr>
                  <w:rStyle w:val="InternetLink"/>
                  <w:rFonts w:ascii="Times New Roman;Times;serif" w:hAnsi="Times New Roman;Times;serif"/>
                  <w:b w:val="false"/>
                  <w:i w:val="false"/>
                  <w:caps w:val="false"/>
                  <w:smallCaps w:val="false"/>
                  <w:sz w:val="20"/>
                </w:rPr>
                <w:t>Special Note</w:t>
              </w:r>
            </w:hyperlink>
            <w:hyperlink w:anchor="SPECIALNOTEREGARDINGFORWARDLOOKING">
              <w:r>
                <w:rPr>
                  <w:rStyle w:val="InternetLink"/>
                  <w:rFonts w:ascii="Times New Roman;Times;serif" w:hAnsi="Times New Roman;Times;serif"/>
                  <w:caps w:val="false"/>
                  <w:smallCaps w:val="false"/>
                  <w:sz w:val="20"/>
                </w:rPr>
                <w:t xml:space="preserve"> </w:t>
              </w:r>
            </w:hyperlink>
            <w:hyperlink w:anchor="SPECIALNOTEREGARDINGFORWARDLOOKING">
              <w:r>
                <w:rPr>
                  <w:rStyle w:val="InternetLink"/>
                  <w:rFonts w:ascii="Times New Roman;Times;serif" w:hAnsi="Times New Roman;Times;serif"/>
                  <w:b w:val="false"/>
                  <w:i w:val="false"/>
                  <w:caps w:val="false"/>
                  <w:smallCaps w:val="false"/>
                  <w:sz w:val="20"/>
                </w:rPr>
                <w:t>Regarding Forward-Looking Statements</w:t>
              </w:r>
            </w:hyperlink>
          </w:p>
        </w:tc>
        <w:tc>
          <w:tcPr>
            <w:tcW w:w="326"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center"/>
              <w:rPr/>
            </w:pPr>
            <w:hyperlink w:anchor="PARTI">
              <w:r>
                <w:rPr>
                  <w:rStyle w:val="InternetLink"/>
                  <w:rFonts w:ascii="Times New Roman;Times;serif" w:hAnsi="Times New Roman;Times;serif"/>
                  <w:b/>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pBdr/>
              <w:bidi w:val="0"/>
              <w:spacing w:before="0" w:after="0"/>
              <w:ind w:left="0" w:right="0" w:hanging="0"/>
              <w:jc w:val="left"/>
              <w:rPr/>
            </w:pPr>
            <w:hyperlink w:anchor="Item1Business">
              <w:r>
                <w:rPr>
                  <w:rStyle w:val="InternetLink"/>
                  <w:rFonts w:ascii="Times New Roman;Times;serif" w:hAnsi="Times New Roman;Times;serif"/>
                  <w:b w:val="false"/>
                  <w:i w:val="false"/>
                  <w:caps w:val="false"/>
                  <w:smallCaps w:val="false"/>
                  <w:sz w:val="20"/>
                </w:rPr>
                <w:t>Item 1.</w:t>
              </w:r>
            </w:hyperlink>
          </w:p>
        </w:tc>
        <w:tc>
          <w:tcPr>
            <w:tcW w:w="8609" w:type="dxa"/>
            <w:tcBorders/>
            <w:vAlign w:val="center"/>
          </w:tcPr>
          <w:p>
            <w:pPr>
              <w:pStyle w:val="TableContents"/>
              <w:bidi w:val="0"/>
              <w:spacing w:before="0" w:after="0"/>
              <w:ind w:left="0" w:right="0" w:hanging="0"/>
              <w:jc w:val="left"/>
              <w:rPr/>
            </w:pPr>
            <w:hyperlink w:anchor="Item1Business">
              <w:r>
                <w:rPr>
                  <w:rStyle w:val="InternetLink"/>
                  <w:rFonts w:ascii="Times New Roman;Times;serif" w:hAnsi="Times New Roman;Times;serif"/>
                  <w:b w:val="false"/>
                  <w:i w:val="false"/>
                  <w:caps w:val="false"/>
                  <w:smallCaps w:val="false"/>
                  <w:sz w:val="20"/>
                </w:rPr>
                <w:t>Business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52" w:type="dxa"/>
            <w:tcBorders/>
            <w:vAlign w:val="center"/>
          </w:tcPr>
          <w:p>
            <w:pPr>
              <w:pStyle w:val="TableContents"/>
              <w:pBdr/>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8609"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52" w:type="dxa"/>
            <w:tcBorders/>
            <w:vAlign w:val="center"/>
          </w:tcPr>
          <w:p>
            <w:pPr>
              <w:pStyle w:val="TableContents"/>
              <w:pBdr/>
              <w:bidi w:val="0"/>
              <w:spacing w:before="0" w:after="0"/>
              <w:ind w:left="0" w:right="0" w:hanging="0"/>
              <w:jc w:val="left"/>
              <w:rPr/>
            </w:pPr>
            <w:hyperlink w:anchor="Item1BUnresolvedStaffComments_657055">
              <w:r>
                <w:rPr>
                  <w:rStyle w:val="InternetLink"/>
                  <w:rFonts w:ascii="Times New Roman;Times;serif" w:hAnsi="Times New Roman;Times;serif"/>
                  <w:b w:val="false"/>
                  <w:i w:val="false"/>
                  <w:caps w:val="false"/>
                  <w:smallCaps w:val="false"/>
                  <w:sz w:val="20"/>
                </w:rPr>
                <w:t>Item 1B.</w:t>
              </w:r>
            </w:hyperlink>
          </w:p>
        </w:tc>
        <w:tc>
          <w:tcPr>
            <w:tcW w:w="8609" w:type="dxa"/>
            <w:tcBorders/>
            <w:vAlign w:val="center"/>
          </w:tcPr>
          <w:p>
            <w:pPr>
              <w:pStyle w:val="TableContents"/>
              <w:bidi w:val="0"/>
              <w:spacing w:before="0" w:after="0"/>
              <w:ind w:left="0" w:right="0" w:hanging="0"/>
              <w:jc w:val="left"/>
              <w:rPr/>
            </w:pPr>
            <w:hyperlink w:anchor="Item1BUnresolvedStaffComments_657055">
              <w:r>
                <w:rPr>
                  <w:rStyle w:val="InternetLink"/>
                  <w:rFonts w:ascii="Times New Roman;Times;serif" w:hAnsi="Times New Roman;Times;serif"/>
                  <w:b w:val="false"/>
                  <w:i w:val="false"/>
                  <w:caps w:val="false"/>
                  <w:smallCaps w:val="false"/>
                  <w:sz w:val="20"/>
                </w:rPr>
                <w:t>Unresolved Staff Comments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52" w:type="dxa"/>
            <w:tcBorders/>
            <w:vAlign w:val="center"/>
          </w:tcPr>
          <w:p>
            <w:pPr>
              <w:pStyle w:val="TableContents"/>
              <w:pBdr/>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 xml:space="preserve">Item 1C. </w:t>
              </w:r>
            </w:hyperlink>
          </w:p>
        </w:tc>
        <w:tc>
          <w:tcPr>
            <w:tcW w:w="8609" w:type="dxa"/>
            <w:tcBorders/>
            <w:vAlign w:val="center"/>
          </w:tcPr>
          <w:p>
            <w:pPr>
              <w:pStyle w:val="TableContents"/>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Cybersecurity Disclosures</w:t>
              </w:r>
            </w:hyperlink>
          </w:p>
        </w:tc>
        <w:tc>
          <w:tcPr>
            <w:tcW w:w="326" w:type="dxa"/>
            <w:tcBorders/>
            <w:vAlign w:val="center"/>
          </w:tcPr>
          <w:p>
            <w:pPr>
              <w:pStyle w:val="TableContents"/>
              <w:bidi w:val="0"/>
              <w:spacing w:before="0" w:after="0"/>
              <w:ind w:left="0" w:right="0" w:hanging="0"/>
              <w:jc w:val="center"/>
              <w:rPr>
                <w:shd w:fill="FF00FF" w:val="clear"/>
              </w:rPr>
            </w:pPr>
            <w:r>
              <w:rPr>
                <w:shd w:fill="FF00FF" w:val="clea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52" w:type="dxa"/>
            <w:tcBorders/>
            <w:vAlign w:val="center"/>
          </w:tcPr>
          <w:p>
            <w:pPr>
              <w:pStyle w:val="TableContents"/>
              <w:pBdr/>
              <w:bidi w:val="0"/>
              <w:spacing w:before="0" w:after="0"/>
              <w:ind w:left="0" w:right="0" w:hanging="0"/>
              <w:jc w:val="left"/>
              <w:rPr/>
            </w:pPr>
            <w:hyperlink w:anchor="Item2Properties_861243">
              <w:r>
                <w:rPr>
                  <w:rStyle w:val="InternetLink"/>
                  <w:rFonts w:ascii="Times New Roman;Times;serif" w:hAnsi="Times New Roman;Times;serif"/>
                  <w:b w:val="false"/>
                  <w:i w:val="false"/>
                  <w:caps w:val="false"/>
                  <w:smallCaps w:val="false"/>
                  <w:sz w:val="20"/>
                </w:rPr>
                <w:t>Item 2.</w:t>
              </w:r>
            </w:hyperlink>
          </w:p>
        </w:tc>
        <w:tc>
          <w:tcPr>
            <w:tcW w:w="8609" w:type="dxa"/>
            <w:tcBorders/>
            <w:vAlign w:val="center"/>
          </w:tcPr>
          <w:p>
            <w:pPr>
              <w:pStyle w:val="TableContents"/>
              <w:bidi w:val="0"/>
              <w:spacing w:before="0" w:after="0"/>
              <w:ind w:left="0" w:right="0" w:hanging="0"/>
              <w:jc w:val="left"/>
              <w:rPr/>
            </w:pPr>
            <w:hyperlink w:anchor="Item2Properties_861243">
              <w:r>
                <w:rPr>
                  <w:rStyle w:val="InternetLink"/>
                  <w:rFonts w:ascii="Times New Roman;Times;serif" w:hAnsi="Times New Roman;Times;serif"/>
                  <w:b w:val="false"/>
                  <w:i w:val="false"/>
                  <w:caps w:val="false"/>
                  <w:smallCaps w:val="false"/>
                  <w:sz w:val="20"/>
                </w:rPr>
                <w:t>Properties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52" w:type="dxa"/>
            <w:tcBorders/>
            <w:vAlign w:val="center"/>
          </w:tcPr>
          <w:p>
            <w:pPr>
              <w:pStyle w:val="TableContents"/>
              <w:pBdr/>
              <w:bidi w:val="0"/>
              <w:spacing w:before="0" w:after="0"/>
              <w:ind w:left="0" w:right="0" w:hanging="0"/>
              <w:jc w:val="left"/>
              <w:rPr/>
            </w:pPr>
            <w:hyperlink w:anchor="Item3LegalProceedings_766775">
              <w:r>
                <w:rPr>
                  <w:rStyle w:val="InternetLink"/>
                  <w:rFonts w:ascii="Times New Roman;Times;serif" w:hAnsi="Times New Roman;Times;serif"/>
                  <w:b w:val="false"/>
                  <w:i w:val="false"/>
                  <w:caps w:val="false"/>
                  <w:smallCaps w:val="false"/>
                  <w:sz w:val="20"/>
                </w:rPr>
                <w:t>Item 3.</w:t>
              </w:r>
            </w:hyperlink>
          </w:p>
        </w:tc>
        <w:tc>
          <w:tcPr>
            <w:tcW w:w="8609" w:type="dxa"/>
            <w:tcBorders/>
            <w:vAlign w:val="center"/>
          </w:tcPr>
          <w:p>
            <w:pPr>
              <w:pStyle w:val="TableContents"/>
              <w:bidi w:val="0"/>
              <w:spacing w:before="0" w:after="0"/>
              <w:ind w:left="0" w:right="0" w:hanging="0"/>
              <w:jc w:val="left"/>
              <w:rPr/>
            </w:pPr>
            <w:hyperlink w:anchor="Item3LegalProceedings_766775">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52" w:type="dxa"/>
            <w:tcBorders/>
            <w:vAlign w:val="center"/>
          </w:tcPr>
          <w:p>
            <w:pPr>
              <w:pStyle w:val="TableContents"/>
              <w:pBdr/>
              <w:bidi w:val="0"/>
              <w:spacing w:before="0" w:after="0"/>
              <w:ind w:left="0" w:right="0" w:hanging="0"/>
              <w:jc w:val="left"/>
              <w:rPr/>
            </w:pPr>
            <w:hyperlink w:anchor="Item4MineSafetyDisclosures_557047">
              <w:r>
                <w:rPr>
                  <w:rStyle w:val="InternetLink"/>
                  <w:rFonts w:ascii="Times New Roman;Times;serif" w:hAnsi="Times New Roman;Times;serif"/>
                  <w:b w:val="false"/>
                  <w:i w:val="false"/>
                  <w:caps w:val="false"/>
                  <w:smallCaps w:val="false"/>
                  <w:sz w:val="20"/>
                </w:rPr>
                <w:t>Item 4.</w:t>
              </w:r>
            </w:hyperlink>
          </w:p>
        </w:tc>
        <w:tc>
          <w:tcPr>
            <w:tcW w:w="8609" w:type="dxa"/>
            <w:tcBorders/>
            <w:vAlign w:val="center"/>
          </w:tcPr>
          <w:p>
            <w:pPr>
              <w:pStyle w:val="TableContents"/>
              <w:bidi w:val="0"/>
              <w:spacing w:before="0" w:after="0"/>
              <w:ind w:left="0" w:right="0" w:hanging="0"/>
              <w:jc w:val="left"/>
              <w:rPr/>
            </w:pPr>
            <w:hyperlink w:anchor="Item4MineSafetyDisclosures_557047">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center"/>
              <w:rPr/>
            </w:pPr>
            <w:hyperlink w:anchor="PARTII_148144">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pBdr/>
              <w:bidi w:val="0"/>
              <w:spacing w:before="0" w:after="0"/>
              <w:ind w:left="0" w:right="0" w:hanging="0"/>
              <w:jc w:val="left"/>
              <w:rPr/>
            </w:pPr>
            <w:hyperlink w:anchor="Item5MarketforRegistrantsCommonEquity_86">
              <w:r>
                <w:rPr>
                  <w:rStyle w:val="InternetLink"/>
                  <w:rFonts w:ascii="Times New Roman;Times;serif" w:hAnsi="Times New Roman;Times;serif"/>
                  <w:b w:val="false"/>
                  <w:i w:val="false"/>
                  <w:caps w:val="false"/>
                  <w:smallCaps w:val="false"/>
                  <w:sz w:val="20"/>
                </w:rPr>
                <w:t>Item 5.</w:t>
              </w:r>
            </w:hyperlink>
          </w:p>
        </w:tc>
        <w:tc>
          <w:tcPr>
            <w:tcW w:w="8609" w:type="dxa"/>
            <w:tcBorders/>
            <w:vAlign w:val="center"/>
          </w:tcPr>
          <w:p>
            <w:pPr>
              <w:pStyle w:val="TableContents"/>
              <w:bidi w:val="0"/>
              <w:spacing w:before="0" w:after="0"/>
              <w:ind w:left="0" w:right="0" w:hanging="0"/>
              <w:jc w:val="left"/>
              <w:rPr/>
            </w:pPr>
            <w:hyperlink w:anchor="Item5MarketforRegistrantsCommonEquity_86">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52" w:type="dxa"/>
            <w:tcBorders/>
            <w:vAlign w:val="center"/>
          </w:tcPr>
          <w:p>
            <w:pPr>
              <w:pStyle w:val="TableContents"/>
              <w:pBdr/>
              <w:bidi w:val="0"/>
              <w:spacing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Item 6.</w:t>
              </w:r>
            </w:hyperlink>
          </w:p>
        </w:tc>
        <w:tc>
          <w:tcPr>
            <w:tcW w:w="8609" w:type="dxa"/>
            <w:tcBorders/>
            <w:vAlign w:val="center"/>
          </w:tcPr>
          <w:p>
            <w:pPr>
              <w:pStyle w:val="TableContents"/>
              <w:bidi w:val="0"/>
              <w:spacing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Reserved</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52" w:type="dxa"/>
            <w:tcBorders/>
            <w:vAlign w:val="center"/>
          </w:tcPr>
          <w:p>
            <w:pPr>
              <w:pStyle w:val="TableContents"/>
              <w:pBdr/>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609"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52" w:type="dxa"/>
            <w:tcBorders/>
            <w:vAlign w:val="center"/>
          </w:tcPr>
          <w:p>
            <w:pPr>
              <w:pStyle w:val="TableContents"/>
              <w:pBdr/>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609"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52" w:type="dxa"/>
            <w:tcBorders/>
            <w:vAlign w:val="center"/>
          </w:tcPr>
          <w:p>
            <w:pPr>
              <w:pStyle w:val="TableContents"/>
              <w:pBdr/>
              <w:bidi w:val="0"/>
              <w:spacing w:before="0" w:after="0"/>
              <w:ind w:left="0" w:right="0" w:hanging="0"/>
              <w:jc w:val="left"/>
              <w:rPr/>
            </w:pPr>
            <w:hyperlink w:anchor="Item8FinancialStatementsandSupplem">
              <w:r>
                <w:rPr>
                  <w:rStyle w:val="InternetLink"/>
                  <w:rFonts w:ascii="Times New Roman;Times;serif" w:hAnsi="Times New Roman;Times;serif"/>
                  <w:b w:val="false"/>
                  <w:i w:val="false"/>
                  <w:caps w:val="false"/>
                  <w:smallCaps w:val="false"/>
                  <w:sz w:val="20"/>
                </w:rPr>
                <w:t>Item 8.</w:t>
              </w:r>
            </w:hyperlink>
          </w:p>
        </w:tc>
        <w:tc>
          <w:tcPr>
            <w:tcW w:w="8609" w:type="dxa"/>
            <w:tcBorders/>
            <w:vAlign w:val="center"/>
          </w:tcPr>
          <w:p>
            <w:pPr>
              <w:pStyle w:val="TableContents"/>
              <w:bidi w:val="0"/>
              <w:spacing w:before="0" w:after="0"/>
              <w:ind w:left="0" w:right="0" w:hanging="0"/>
              <w:jc w:val="left"/>
              <w:rPr/>
            </w:pPr>
            <w:hyperlink w:anchor="Item8FinancialStatementsandSupplem">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52"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609"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52" w:type="dxa"/>
            <w:tcBorders/>
            <w:vAlign w:val="center"/>
          </w:tcPr>
          <w:p>
            <w:pPr>
              <w:pStyle w:val="TableContents"/>
              <w:pBdr/>
              <w:bidi w:val="0"/>
              <w:spacing w:before="0" w:after="0"/>
              <w:ind w:left="0" w:right="0" w:hanging="0"/>
              <w:jc w:val="left"/>
              <w:rPr/>
            </w:pPr>
            <w:hyperlink w:anchor="Item9AControlsandProcedures_98715">
              <w:r>
                <w:rPr>
                  <w:rStyle w:val="InternetLink"/>
                  <w:rFonts w:ascii="Times New Roman;Times;serif" w:hAnsi="Times New Roman;Times;serif"/>
                  <w:b w:val="false"/>
                  <w:i w:val="false"/>
                  <w:caps w:val="false"/>
                  <w:smallCaps w:val="false"/>
                  <w:sz w:val="20"/>
                </w:rPr>
                <w:t>Item 9A.</w:t>
              </w:r>
            </w:hyperlink>
          </w:p>
        </w:tc>
        <w:tc>
          <w:tcPr>
            <w:tcW w:w="8609" w:type="dxa"/>
            <w:tcBorders/>
            <w:vAlign w:val="center"/>
          </w:tcPr>
          <w:p>
            <w:pPr>
              <w:pStyle w:val="TableContents"/>
              <w:bidi w:val="0"/>
              <w:spacing w:before="0" w:after="0"/>
              <w:ind w:left="0" w:right="0" w:hanging="0"/>
              <w:jc w:val="left"/>
              <w:rPr/>
            </w:pPr>
            <w:hyperlink w:anchor="Item9AControlsandProcedures_98715">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52" w:type="dxa"/>
            <w:tcBorders/>
            <w:vAlign w:val="center"/>
          </w:tcPr>
          <w:p>
            <w:pPr>
              <w:pStyle w:val="TableContents"/>
              <w:pBdr/>
              <w:bidi w:val="0"/>
              <w:spacing w:before="0" w:after="0"/>
              <w:ind w:left="0" w:right="0" w:hanging="0"/>
              <w:jc w:val="left"/>
              <w:rPr/>
            </w:pPr>
            <w:hyperlink w:anchor="Item9BOtherInformation_505215">
              <w:r>
                <w:rPr>
                  <w:rStyle w:val="InternetLink"/>
                  <w:rFonts w:ascii="Times New Roman;Times;serif" w:hAnsi="Times New Roman;Times;serif"/>
                  <w:b w:val="false"/>
                  <w:i w:val="false"/>
                  <w:caps w:val="false"/>
                  <w:smallCaps w:val="false"/>
                  <w:sz w:val="20"/>
                </w:rPr>
                <w:t>Item 9B.</w:t>
              </w:r>
            </w:hyperlink>
          </w:p>
        </w:tc>
        <w:tc>
          <w:tcPr>
            <w:tcW w:w="8609" w:type="dxa"/>
            <w:tcBorders/>
            <w:vAlign w:val="center"/>
          </w:tcPr>
          <w:p>
            <w:pPr>
              <w:pStyle w:val="TableContents"/>
              <w:bidi w:val="0"/>
              <w:spacing w:before="0" w:after="0"/>
              <w:ind w:left="0" w:right="0" w:hanging="0"/>
              <w:jc w:val="left"/>
              <w:rPr/>
            </w:pPr>
            <w:hyperlink w:anchor="Item9BOtherInformation_505215">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52" w:type="dxa"/>
            <w:tcBorders/>
            <w:vAlign w:val="center"/>
          </w:tcPr>
          <w:p>
            <w:pPr>
              <w:pStyle w:val="TableContents"/>
              <w:pBdr/>
              <w:bidi w:val="0"/>
              <w:spacing w:before="0" w:after="0"/>
              <w:ind w:left="0" w:right="0" w:hanging="0"/>
              <w:jc w:val="left"/>
              <w:rPr/>
            </w:pPr>
            <w:hyperlink w:anchor="Item_9C">
              <w:r>
                <w:rPr>
                  <w:rStyle w:val="InternetLink"/>
                  <w:rFonts w:ascii="Times New Roman;Times;serif" w:hAnsi="Times New Roman;Times;serif"/>
                  <w:b w:val="false"/>
                  <w:i w:val="false"/>
                  <w:caps w:val="false"/>
                  <w:smallCaps w:val="false"/>
                  <w:sz w:val="20"/>
                </w:rPr>
                <w:t>Item 9C.</w:t>
              </w:r>
            </w:hyperlink>
          </w:p>
        </w:tc>
        <w:tc>
          <w:tcPr>
            <w:tcW w:w="8609" w:type="dxa"/>
            <w:tcBorders/>
            <w:vAlign w:val="center"/>
          </w:tcPr>
          <w:p>
            <w:pPr>
              <w:pStyle w:val="TableContents"/>
              <w:bidi w:val="0"/>
              <w:spacing w:before="0" w:after="0"/>
              <w:ind w:left="0" w:right="0" w:hanging="0"/>
              <w:jc w:val="left"/>
              <w:rPr/>
            </w:pPr>
            <w:hyperlink w:anchor="Item_9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center"/>
              <w:rPr/>
            </w:pPr>
            <w:hyperlink w:anchor="PARTIII_312290">
              <w:r>
                <w:rPr>
                  <w:rStyle w:val="InternetLink"/>
                  <w:rFonts w:ascii="Times New Roman;Times;serif" w:hAnsi="Times New Roman;Times;serif"/>
                  <w:b/>
                  <w:i w:val="false"/>
                  <w:caps w:val="false"/>
                  <w:smallCaps w:val="false"/>
                  <w:sz w:val="20"/>
                </w:rPr>
                <w:t>PART III</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pBdr/>
              <w:bidi w:val="0"/>
              <w:spacing w:before="0" w:after="0"/>
              <w:ind w:left="0" w:right="0" w:hanging="0"/>
              <w:jc w:val="left"/>
              <w:rPr/>
            </w:pPr>
            <w:hyperlink w:anchor="Item10DirectorsOfficersandCorporateGover">
              <w:r>
                <w:rPr>
                  <w:rStyle w:val="InternetLink"/>
                  <w:rFonts w:ascii="Times New Roman;Times;serif" w:hAnsi="Times New Roman;Times;serif"/>
                  <w:b w:val="false"/>
                  <w:i w:val="false"/>
                  <w:caps w:val="false"/>
                  <w:smallCaps w:val="false"/>
                  <w:sz w:val="20"/>
                </w:rPr>
                <w:t>Item 10.</w:t>
              </w:r>
            </w:hyperlink>
          </w:p>
        </w:tc>
        <w:tc>
          <w:tcPr>
            <w:tcW w:w="8609" w:type="dxa"/>
            <w:tcBorders/>
            <w:vAlign w:val="center"/>
          </w:tcPr>
          <w:p>
            <w:pPr>
              <w:pStyle w:val="TableContents"/>
              <w:bidi w:val="0"/>
              <w:spacing w:before="0" w:after="0"/>
              <w:ind w:left="0" w:right="0" w:hanging="0"/>
              <w:jc w:val="left"/>
              <w:rPr/>
            </w:pPr>
            <w:hyperlink w:anchor="Item10DirectorsOfficersandCorporateGover">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52" w:type="dxa"/>
            <w:tcBorders/>
            <w:vAlign w:val="center"/>
          </w:tcPr>
          <w:p>
            <w:pPr>
              <w:pStyle w:val="TableContents"/>
              <w:pBdr/>
              <w:bidi w:val="0"/>
              <w:spacing w:before="0" w:after="0"/>
              <w:ind w:left="0" w:right="0" w:hanging="0"/>
              <w:jc w:val="left"/>
              <w:rPr/>
            </w:pPr>
            <w:hyperlink w:anchor="Item11ExecutiveCompensation_864953">
              <w:r>
                <w:rPr>
                  <w:rStyle w:val="InternetLink"/>
                  <w:rFonts w:ascii="Times New Roman;Times;serif" w:hAnsi="Times New Roman;Times;serif"/>
                  <w:b w:val="false"/>
                  <w:i w:val="false"/>
                  <w:caps w:val="false"/>
                  <w:smallCaps w:val="false"/>
                  <w:sz w:val="20"/>
                </w:rPr>
                <w:t>Item 11.</w:t>
              </w:r>
            </w:hyperlink>
          </w:p>
        </w:tc>
        <w:tc>
          <w:tcPr>
            <w:tcW w:w="8609" w:type="dxa"/>
            <w:tcBorders/>
            <w:vAlign w:val="center"/>
          </w:tcPr>
          <w:p>
            <w:pPr>
              <w:pStyle w:val="TableContents"/>
              <w:bidi w:val="0"/>
              <w:spacing w:before="0" w:after="0"/>
              <w:ind w:left="0" w:right="0" w:hanging="0"/>
              <w:jc w:val="left"/>
              <w:rPr/>
            </w:pPr>
            <w:hyperlink w:anchor="Item11ExecutiveCompensation_864953">
              <w:r>
                <w:rPr>
                  <w:rStyle w:val="InternetLink"/>
                  <w:rFonts w:ascii="Times New Roman;Times;serif" w:hAnsi="Times New Roman;Times;serif"/>
                  <w:b w:val="false"/>
                  <w:i w:val="false"/>
                  <w:caps w:val="false"/>
                  <w:smallCaps w:val="false"/>
                  <w:sz w:val="20"/>
                </w:rPr>
                <w:t>Executive Compensation</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52"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609"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52" w:type="dxa"/>
            <w:tcBorders/>
            <w:vAlign w:val="center"/>
          </w:tcPr>
          <w:p>
            <w:pPr>
              <w:pStyle w:val="TableContents"/>
              <w:pBdr/>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609"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52" w:type="dxa"/>
            <w:tcBorders/>
            <w:vAlign w:val="center"/>
          </w:tcPr>
          <w:p>
            <w:pPr>
              <w:pStyle w:val="TableContents"/>
              <w:pBdr/>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609"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52" w:type="dxa"/>
            <w:tcBorders/>
            <w:vAlign w:val="center"/>
          </w:tcPr>
          <w:p>
            <w:pPr>
              <w:pStyle w:val="TableContents"/>
              <w:pBdr/>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center"/>
              <w:rPr/>
            </w:pPr>
            <w:hyperlink w:anchor="PARTIV_510056">
              <w:r>
                <w:rPr>
                  <w:rStyle w:val="InternetLink"/>
                  <w:rFonts w:ascii="Times New Roman;Times;serif" w:hAnsi="Times New Roman;Times;serif"/>
                  <w:b/>
                  <w:i w:val="false"/>
                  <w:caps w:val="false"/>
                  <w:smallCaps w:val="false"/>
                  <w:sz w:val="20"/>
                </w:rPr>
                <w:t>PART IV</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pPr>
            <w:r>
              <w:rPr/>
              <w:t>​</w:t>
            </w:r>
          </w:p>
        </w:tc>
      </w:tr>
      <w:tr>
        <w:trPr/>
        <w:tc>
          <w:tcPr>
            <w:tcW w:w="852"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609"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52" w:type="dxa"/>
            <w:tcBorders/>
            <w:vAlign w:val="center"/>
          </w:tcPr>
          <w:p>
            <w:pPr>
              <w:pStyle w:val="TableContents"/>
              <w:bidi w:val="0"/>
              <w:spacing w:before="0" w:after="0"/>
              <w:ind w:left="0" w:right="0" w:hanging="0"/>
              <w:jc w:val="left"/>
              <w:rPr/>
            </w:pPr>
            <w:hyperlink w:anchor="ITEM16_FORM_10K_SUMMARY">
              <w:r>
                <w:rPr>
                  <w:rStyle w:val="InternetLink"/>
                  <w:rFonts w:ascii="Times New Roman;Times;serif" w:hAnsi="Times New Roman;Times;serif"/>
                  <w:b w:val="false"/>
                  <w:i w:val="false"/>
                  <w:caps w:val="false"/>
                  <w:smallCaps w:val="false"/>
                  <w:sz w:val="20"/>
                </w:rPr>
                <w:t>Item 16.</w:t>
              </w:r>
            </w:hyperlink>
          </w:p>
        </w:tc>
        <w:tc>
          <w:tcPr>
            <w:tcW w:w="8609" w:type="dxa"/>
            <w:tcBorders/>
            <w:vAlign w:val="center"/>
          </w:tcPr>
          <w:p>
            <w:pPr>
              <w:pStyle w:val="TableContents"/>
              <w:bidi w:val="0"/>
              <w:spacing w:before="0" w:after="0"/>
              <w:ind w:left="0" w:right="0" w:hanging="0"/>
              <w:jc w:val="left"/>
              <w:rPr/>
            </w:pPr>
            <w:hyperlink w:anchor="ITEM16_FORM_10K_SUMMARY">
              <w:r>
                <w:rPr>
                  <w:rStyle w:val="InternetLink"/>
                  <w:rFonts w:ascii="Times New Roman;Times;serif" w:hAnsi="Times New Roman;Times;serif"/>
                  <w:b w:val="false"/>
                  <w:i w:val="false"/>
                  <w:caps w:val="false"/>
                  <w:smallCaps w:val="false"/>
                  <w:sz w:val="20"/>
                </w:rPr>
                <w:t>Form 10-K Summary</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52" w:type="dxa"/>
            <w:tcBorders/>
            <w:vAlign w:val="center"/>
          </w:tcPr>
          <w:p>
            <w:pPr>
              <w:pStyle w:val="TableContents"/>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hyperlink w:anchor="Exhibit_Index">
              <w:r>
                <w:rPr>
                  <w:rStyle w:val="InternetLink"/>
                  <w:rFonts w:ascii="Times New Roman;Times;serif" w:hAnsi="Times New Roman;Times;serif"/>
                  <w:b w:val="false"/>
                  <w:i w:val="false"/>
                  <w:caps w:val="false"/>
                  <w:smallCaps w:val="false"/>
                  <w:sz w:val="20"/>
                </w:rPr>
                <w:t>Index to Exhibits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52" w:type="dxa"/>
            <w:tcBorders/>
            <w:vAlign w:val="center"/>
          </w:tcPr>
          <w:p>
            <w:pPr>
              <w:pStyle w:val="TableContents"/>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hyperlink w:anchor="SIGNATURES_284339">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52" w:type="dxa"/>
            <w:tcBorders/>
            <w:vAlign w:val="center"/>
          </w:tcPr>
          <w:p>
            <w:pPr>
              <w:pStyle w:val="TableContents"/>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hyperlink w:anchor="INDEXTOCONSOLIDATEDFINANCIALSTATEMENTS_7">
              <w:r>
                <w:rPr>
                  <w:rStyle w:val="InternetLink"/>
                  <w:rFonts w:ascii="Times New Roman;Times;serif" w:hAnsi="Times New Roman;Times;serif"/>
                  <w:b w:val="false"/>
                  <w:i w:val="false"/>
                  <w:caps w:val="false"/>
                  <w:smallCaps w:val="false"/>
                  <w:sz w:val="20"/>
                </w:rPr>
                <w:t>Index to Consolidated Financial Statements</w:t>
              </w:r>
            </w:hyperlink>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r>
        <w:trPr/>
        <w:tc>
          <w:tcPr>
            <w:tcW w:w="852"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86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8"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51" w:name="SPECIALNOTEREGARDINGFORWARDLOOKING"/>
      <w:bookmarkStart w:id="52" w:name="_5aeebb21_6dba_4acf_ad77_1fab28a52c88"/>
      <w:bookmarkEnd w:id="51"/>
      <w:bookmarkEnd w:id="52"/>
      <w:r>
        <w:rPr>
          <w:rFonts w:ascii="Times New Roman;Times;serif" w:hAnsi="Times New Roman;Times;serif"/>
          <w:b/>
          <w:sz w:val="20"/>
        </w:rPr>
        <w:t>SPECIAL NOTE REGARDING FORWARD-LOOKING STATEMENTS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This Annual Report on Form 10-K contains forward-looking statements. We intend such forward looking statements to be covered by the safe harbor provision for forward looking statements contained in Section 27A of the Securities Act of 1933, as amended, (the “Securities Act”), and Section 21E of the Securities Exchange Act of 1934, as amended, (the “Exchange Act”). All statements made in this Annual Report on Form 10-K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Annual Report on Form 10-K,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firstLine="523"/>
        <w:jc w:val="both"/>
        <w:rPr/>
      </w:pPr>
      <w:r>
        <w:rPr/>
        <w:t>​</w:t>
      </w:r>
    </w:p>
    <w:p>
      <w:pPr>
        <w:pStyle w:val="TextBody"/>
        <w:bidi w:val="0"/>
        <w:spacing w:before="0" w:after="240"/>
        <w:ind w:left="0" w:right="0" w:firstLine="523"/>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PARTI"/>
      <w:bookmarkStart w:id="54" w:name="_72609bb5_1d7e_4a31_a761_eb049ba06802"/>
      <w:bookmarkEnd w:id="53"/>
      <w:bookmarkEnd w:id="54"/>
      <w:r>
        <w:rPr>
          <w:rFonts w:ascii="Times New Roman;Times;serif" w:hAnsi="Times New Roman;Times;serif"/>
          <w:b/>
          <w:sz w:val="20"/>
        </w:rPr>
        <w:t>PART I</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Throughout this Annual Report on Form 10-K, Vertex, Inc. and its subsidiaries together are called “Vertex,” “the Company,” “we,” “us,” or “our,” unless otherwise noted. References in this Annual Report on Form 10-K to a particular “year,” or “fiscal,” mean our fiscal year, which ends on December 31. </w:t>
      </w:r>
    </w:p>
    <w:p>
      <w:pPr>
        <w:pStyle w:val="TextBody"/>
        <w:bidi w:val="0"/>
        <w:spacing w:before="0" w:after="240"/>
        <w:ind w:left="0" w:right="0" w:hanging="0"/>
        <w:jc w:val="left"/>
        <w:rPr>
          <w:rFonts w:ascii="Times New Roman;Times;serif" w:hAnsi="Times New Roman;Times;serif"/>
          <w:b/>
          <w:sz w:val="20"/>
        </w:rPr>
      </w:pPr>
      <w:bookmarkStart w:id="55" w:name="Item1Business"/>
      <w:bookmarkEnd w:id="55"/>
      <w:r>
        <w:rPr>
          <w:rFonts w:ascii="Times New Roman;Times;serif" w:hAnsi="Times New Roman;Times;serif"/>
          <w:b/>
          <w:i w:val="false"/>
          <w:caps w:val="false"/>
          <w:smallCaps w:val="false"/>
          <w:sz w:val="20"/>
        </w:rPr>
        <w:t>Item 1.</w:t>
      </w:r>
      <w:r>
        <w:rPr>
          <w:rFonts w:ascii="Times New Roman;Times;serif" w:hAnsi="Times New Roman;Times;serif"/>
          <w:b/>
          <w:sz w:val="20"/>
        </w:rPr>
        <w:t xml:space="preserve">Business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provider of enterprise tax technology solutions. Our software, content, and services help customers stay in compliance with indirect taxes that occur in taxing jurisdictions all over the world.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Collectively, indirect taxes refer to taxes that are collected and remitted to the government by an entity other than the one being taxed. As an example, sales tax is paid by a person or entity that is purchasing a product or service, but it is collected and remitted by the company or entity selling that product or service. This contrasts with direct taxes, such as income tax, which are paid directly by the entity being taxed.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Indirect taxes, such as sales tax, use tax, and value-added tax (“VAT”) are complex. In the United States (“U.S.”) alone, Vertex tax content addresses indirect taxes for over 20,000 unique taxing jurisdictions. Compounding the complexity, rules, regulations, and indirect tax rates are constantly changing. For a company doing business in multiple jurisdictions, compliance with these taxes is a significant challenge and one they encounter in literally every sale or purchase transaction they execute on a daily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helps companies with complex tax operations to automate their indirect tax processes.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 and enabling greater confidence in meeting indirect tax obligations by helping to mitigate the risk of non-compliance.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rapid changes taking place in today's global business, technology, and regulatory environments are having a compounding effect on the complexity of indirect tax management. As companies expand their business models by entering new geographies, enhancing their distribution channels, adding eCommerce capabilities, or transforming their digital footprint, they increase their exposure to indirect tax obligations. Additionally, as they expand their core offerings to incorporate new digital products and services, they are increasingly impacted by new tax regulations being pursued by jurisdictions. This complexity demands intelligent solutions that enable businesses to satisfy tax obligations and support growth opportunities.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pioneered tax technology for over 40 years. Today, we have over 4,900 direct customers, including the majority of the Fortune 500, and provide our customers with tax support in over 195 countries and territories. Our software enables tax determination, compliance and reporting, tax data management and document management, and analytics and insights with powerful pre-built integrations to core business applications used by most companies, particularly those applications that have a significant impact on global commerce transactions. Our software is fueled by over 900 million data-driven effective tax rules and supports indirect tax compliance in more than 20,000 jurisdictions worldwide. Our solutions can be deployed in the cloud, on-premise environments, or at the network edge, all with implementation services available to enable optimal customer outcomes and satisfy unique business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Vertex solutions can automate the end-to-end indirect tax processes for all companies with complex tax operations and audit risk. Our software includes tax determination, compliance and reporting, tax data management and document management tools, analytics and insights, as well as pre-built integrations to major business applications. Customers can utilize these solutions individually or as part of a broader suite and can choose the delivery model that best aligns to their enterprise technology environments.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Tax Determination.  </w:t>
            </w:r>
            <w:r>
              <w:rPr>
                <w:rFonts w:ascii="Times New Roman;Times;serif" w:hAnsi="Times New Roman;Times;serif"/>
                <w:b w:val="false"/>
                <w:i w:val="false"/>
                <w:caps w:val="false"/>
                <w:smallCaps w:val="false"/>
                <w:sz w:val="20"/>
              </w:rPr>
              <w:t xml:space="preserve">Our tax determination solutions enable real-time calculation of indirect taxes and applicable fees for sale and purchase transactions. This solution includes a powerful indirect tax calculation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 that applies rules-based logic from our proprietary content database to determine taxability, identify precise taxing jurisdictions, and consistently apply the appropriate amount of tax to each transaction in real-time. Our solution supports determination for sales tax, consumer and seller use tax, VAT, communications tax, leasing tax, payroll tax, and lodging and occupancy tax.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Compliance and Reporting.  </w:t>
            </w:r>
            <w:r>
              <w:rPr>
                <w:rFonts w:ascii="Times New Roman;Times;serif" w:hAnsi="Times New Roman;Times;serif"/>
                <w:b w:val="false"/>
                <w:i w:val="false"/>
                <w:caps w:val="false"/>
                <w:smallCaps w:val="false"/>
                <w:sz w:val="20"/>
              </w:rPr>
              <w:t xml:space="preserve">Our compliance and reporting solutions enable the automation of signature-ready returns and remittance of indirect tax to appropriate jurisdictions. Companies use these solutions to leverage tax data files imported from Vertex or third-party applications to establish visible audit trails of tax determinations and user-made adjustments. Our solutions also include workflow management tools, such as calendar and document management, and role-based security and event logging, which supports our customers’ internal control over financial reporting and compliance with the Sarbanes-Oxley Act. We support e-filing and print formats for returns, schedules, worksheets, tax reports and payment requests, and provide archiving and retrieval of all filings.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Tax Data Management.  </w:t>
            </w:r>
            <w:r>
              <w:rPr>
                <w:rFonts w:ascii="Times New Roman;Times;serif" w:hAnsi="Times New Roman;Times;serif"/>
                <w:b w:val="false"/>
                <w:i w:val="false"/>
                <w:caps w:val="false"/>
                <w:smallCaps w:val="false"/>
                <w:sz w:val="20"/>
              </w:rPr>
              <w:t>Our tax data management tools enable enterprises to unify transaction data from multiple business applications and sources. These solutions enable tax teams to view detailed transaction-level tax data, identify anomalies or errors, and establish necessary rules to address gaps in data and audit logs for any adjustments or corrections that have been made.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Document Management.  </w:t>
            </w:r>
            <w:r>
              <w:rPr>
                <w:rFonts w:ascii="Times New Roman;Times;serif" w:hAnsi="Times New Roman;Times;serif"/>
                <w:b w:val="false"/>
                <w:i w:val="false"/>
                <w:caps w:val="false"/>
                <w:smallCaps w:val="false"/>
                <w:sz w:val="20"/>
              </w:rPr>
              <w:t>Our document management solutions automate the validation and storage of, and tax audit support for, sales tax exemptions and reseller certificates, enabling enterprises to manage large quantities of documents, such as tax exemption certificates.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Analytics and Insights</w:t>
            </w:r>
            <w:r>
              <w:rPr>
                <w:rFonts w:ascii="Times New Roman;Times;serif" w:hAnsi="Times New Roman;Times;serif"/>
                <w:b w:val="false"/>
                <w:i w:val="false"/>
                <w:caps w:val="false"/>
                <w:smallCaps w:val="false"/>
                <w:sz w:val="20"/>
              </w:rPr>
              <w:t>.  Our analytics and insights tools improve data quality and provide data intelligence to optimize the end-to-end tax process and improve business outcomes.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Pre-Built Integrations</w:t>
            </w:r>
            <w:r>
              <w:rPr>
                <w:rFonts w:ascii="Times New Roman;Times;serif" w:hAnsi="Times New Roman;Times;serif"/>
                <w:b w:val="false"/>
                <w:i w:val="false"/>
                <w:caps w:val="false"/>
                <w:smallCaps w:val="false"/>
                <w:sz w:val="20"/>
              </w:rPr>
              <w:t>.  Our solutions are supported by a suite of powerful, pre-built integrations that enable real-time coordination between our solutions and major business applications, such as Adobe/Magento, Coupa, Microsoft Dynamics, NetSuite, Oracle, Salesforce, SAP, SAP Ariba, Shopify, Workday, and Zuora, among many others. Much more than traditional application programming interfaces, our integrations include mapping data fields, business logic and configurations to improve the processing of transactions to and from our solutions. The majority of our integrations are designed, tested, and supported by us. We also allow for partner-developed integrations as part of a rigorous certification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Industry-Specific Solutions.  </w:t>
            </w:r>
            <w:r>
              <w:rPr>
                <w:rFonts w:ascii="Times New Roman;Times;serif" w:hAnsi="Times New Roman;Times;serif"/>
                <w:b w:val="false"/>
                <w:i w:val="false"/>
                <w:caps w:val="false"/>
                <w:smallCaps w:val="false"/>
                <w:sz w:val="20"/>
              </w:rPr>
              <w:t>We offer a range of solutions that support certain industries that have specific indirect tax needs, such as retail, communications, and leasing. For example, our retail solution supports omnichannel transactions spanning store kiosks, eCommerce websites, catalog sales, and mobile device transactions. Our communications solution supports the determination of taxes, surcharges, and fees affecting U.S. providers of communication services, including wireless, voice-over-IP, satellite, internet, and video and audio streaming services. We have pre-built integrations specific to the leading providers of business applications used by these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Technology Specific Solutions – Chain Flow Accelerator, SAP-specific tools</w:t>
            </w:r>
            <w:r>
              <w:rPr>
                <w:rFonts w:ascii="Times New Roman;Times;serif" w:hAnsi="Times New Roman;Times;serif"/>
                <w:b w:val="false"/>
                <w:i w:val="false"/>
                <w:caps w:val="false"/>
                <w:smallCaps w:val="false"/>
                <w:sz w:val="20"/>
              </w:rPr>
              <w:t>.  We offer a number of technology solutions that offer tools and enhancements to certain ecosystems, like SAP or Oracle, which are deeply integrated into their technology stack. For example, our Chain Flow Accelerator tool allows configuration of tax specific flows within the SAP stack. In addition, we offer an SAP specific tool set that provides customers the ability to maintain, analyze, and validate tax data in procure-to-pay as well as sales and billing systems that enhance its usefulness for indirect taxes as well as other business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Implementation Services.  </w:t>
            </w:r>
            <w:r>
              <w:rPr>
                <w:rFonts w:ascii="Times New Roman;Times;serif" w:hAnsi="Times New Roman;Times;serif"/>
                <w:b w:val="false"/>
                <w:i w:val="false"/>
                <w:caps w:val="false"/>
                <w:smallCaps w:val="false"/>
                <w:sz w:val="20"/>
              </w:rPr>
              <w:t xml:space="preserve">Due to the ubiquitous nature of our software in our customers' technology environments, we also offer implementation services to enable our customers to realize the full benefit of our solution at initial deployment. These software implementation services include configuration, data migration and implementation, and premium support and training.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Customers can also license indirect tax returns outsourcing as a managed service for compliance in the U.S. and Canada. These managed services include indirect tax return preparation, filing and tax payment, and notice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E-invoicing.  </w:t>
            </w:r>
            <w:r>
              <w:rPr>
                <w:rFonts w:ascii="Times New Roman;Times;serif" w:hAnsi="Times New Roman;Times;serif"/>
                <w:b w:val="false"/>
                <w:i w:val="false"/>
                <w:caps w:val="false"/>
                <w:smallCaps w:val="false"/>
                <w:sz w:val="20"/>
              </w:rPr>
              <w:t>We offer a global solution for the end-to-end e-invoicing process. Our solution enables organizations to optimize their real-time VAT reporting and e-invoicing processes for multiple countries to enhance continuous transaction controls and support direct reporting requirements. Our solution provides a single integrated platform to streamline the creation, submission, clearance, and e-archiving of e-invoices in compliance with jurisdictional mandates.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Tax Content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our software and solutions are underpinned by our proprietary content database, which currently supports over 900 million effective tax rules. Our content quality and accuracy are key components of our software subscriptions revenue and customer value and are supported by over 40 years of tax knowledge and experience. Our content quality and accuracy are critical to the longevity of our customer relationships. On a monthly basis, our content team combines legislative research, analysis, technical logic, and automation to embed updated rules into our software. Unlike many enterprise software solutions where maintenance and support are focused solely on periodic technology upgrades, our monthly updates are a critical element of allowing our customers to ensure that they are utilizing the latest tax changes to accurately calculate their indirect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Technology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software and solutions are built upon a robust set of technology capabilities designed for the flexibility, configurability, speed, and scale to handle complex tax scenarios and processing volumes, and interoperability across core business applications.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Real-Time Engine.</w:t>
            </w:r>
            <w:r>
              <w:rPr>
                <w:caps w:val="false"/>
                <w:smallCaps w:val="false"/>
              </w:rPr>
              <w:t xml:space="preserve">  </w:t>
            </w:r>
            <w:r>
              <w:rPr>
                <w:rFonts w:ascii="Times New Roman;Times;serif" w:hAnsi="Times New Roman;Times;serif"/>
                <w:b w:val="false"/>
                <w:i w:val="false"/>
                <w:caps w:val="false"/>
                <w:smallCaps w:val="false"/>
                <w:sz w:val="20"/>
              </w:rPr>
              <w:t>Our real-time engine determines the appropriate tax rules to apply to a line item in a transaction through a sequence of real-time processes that combine tax algorithms and tax content with transaction line-item level detail. Combining tax content stored as structured data with sequencing and decision tree logic results in one or more individual tax rules that are applied to each line item in a transaction. This is built within memory and cached for performance. The in-memory processes of the core calculation engine are tuned to accommodate high-volume and complex transactions at speed and scale.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Configuration.</w:t>
            </w:r>
            <w:r>
              <w:rPr>
                <w:caps w:val="false"/>
                <w:smallCaps w:val="false"/>
              </w:rPr>
              <w:t xml:space="preserve">  </w:t>
            </w:r>
            <w:r>
              <w:rPr>
                <w:rFonts w:ascii="Times New Roman;Times;serif" w:hAnsi="Times New Roman;Times;serif"/>
                <w:b w:val="false"/>
                <w:i w:val="false"/>
                <w:caps w:val="false"/>
                <w:smallCaps w:val="false"/>
                <w:sz w:val="20"/>
              </w:rPr>
              <w:t>Our solutions are built to be highly configurable. Through our graphical user interfaces, users can configure and map their taxability to ensure the correct tax rules are executed. Our flexibility in configuration also extends to users who can create their own taxability rules, as appropriate. These user-defined taxability rules act as an override, providing flexibility to ensure that non-standard tax scenarios and processes can be addressed. Additionally, users can augment transactions entering and exiting the engine by building their own logic through our drag-and-drop experience. This logic is saved to then execute within the engine.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Tax Geography</w:t>
            </w:r>
            <w:r>
              <w:rPr>
                <w:rFonts w:ascii="Times New Roman;Times;serif" w:hAnsi="Times New Roman;Times;serif"/>
                <w:b w:val="false"/>
                <w:i w:val="false"/>
                <w:caps w:val="false"/>
                <w:smallCaps w:val="false"/>
                <w:sz w:val="20"/>
              </w:rPr>
              <w:t>.  Accuracy in determining the appropriate taxation of a transaction depends on many factors, including detailed location information for where a transaction is occurring. We designed and created a proprietary solution for tax jurisdiction identification that leverages industry geographic information system tools and geospatial data. With our proprietary technology we are able to create and map multiple tax jurisdictions for a particular location and assign a unique identifier to each location so that it can be used by the engine to allow for higher accuracy. This technology is highly relevant to emerging economic shifts, such as the sharing economy, where the physical nexus of transactions is unclear, such as ride-sharing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Security.  </w:t>
            </w:r>
            <w:r>
              <w:rPr>
                <w:rFonts w:ascii="Times New Roman;Times;serif" w:hAnsi="Times New Roman;Times;serif"/>
                <w:b w:val="false"/>
                <w:i w:val="false"/>
                <w:caps w:val="false"/>
                <w:smallCaps w:val="false"/>
                <w:sz w:val="20"/>
              </w:rPr>
              <w:t>Our application security framework allows our customers to define how users can interact with sensitive enterprise data and how they are authorized to use certain aspects of our software. Users are mapped to a set of predefined roles, and we provide our customers with the ability to create user-defined roles. User-defined role-based access can be defined on a screen-by-screen level and further refined with read and/or write privileges.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Cloud Solutions</w:t>
            </w:r>
            <w:r>
              <w:rPr>
                <w:rFonts w:ascii="Times New Roman;Times;serif" w:hAnsi="Times New Roman;Times;serif"/>
                <w:b w:val="false"/>
                <w:i w:val="false"/>
                <w:caps w:val="false"/>
                <w:smallCaps w:val="false"/>
                <w:sz w:val="20"/>
              </w:rPr>
              <w:t>.  We provide cloud services from six geographically separate data centers located on two continents: North America and Europe. The data centers are paired for failover of operations to an alternate, geographically separate production facility in case any single data center becomes unavailable. All data centers are operated by leading vendors providing physical security, internet access, environmental controls, and data retention services.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Today, we serve a large, diverse, and growing global customer base. Our market leadership in key industries can be demonstrated by our relationships with many of the largest and most well-known companies in retail trade, wholesale trade, and manufacturing. Our customers include the majority of the Fortune 500, as well as a majority of the top 10 companies by revenue in industries such as retail, technology, and manufacturing, in addition to leading digital marketplaces. We have significant expansion opportunities with these customers driven by our growing product portfolio and geographic coverage.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distinct and growing subset of our customer base includes digital marketplaces and various professional service providers, including accounting firms and outsourcing firms. Our robust technology and deep tax content differentiate us in our ability to serve the indirect tax needs of 7 of the top 10 digital marketplace providers in North America by revenue. These customers support tens of thousands of merchants who rely on their platform for their eCommerce transaction processing. We also support service providers such as outsourcing and accounting firms who use our technology to calculate tax and file tax returns for their end-customers. While we include these marketplaces and service providers in our customer counts, the tens of thousands of their end-user customers are not included in our customer counts.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we had 4,915 direct customers and our Annual Recurring Revenue (“ARR”) per customer was $122,706.</w:t>
      </w:r>
      <w:r>
        <w:rPr>
          <w:rFonts w:ascii="Times New Roman;Times;serif" w:hAnsi="Times New Roman;Times;serif"/>
          <w:color w:val="FF0000"/>
          <w:sz w:val="20"/>
        </w:rPr>
        <w:t xml:space="preserve"> </w:t>
      </w:r>
      <w:r>
        <w:rPr>
          <w:rFonts w:ascii="Times New Roman;Times;serif" w:hAnsi="Times New Roman;Times;serif"/>
          <w:sz w:val="20"/>
        </w:rPr>
        <w:t>While most of our revenue is currently generated by customers domiciled in the U.S., many of our customers are multinational organizations with global business operations. We also provide tax software solutions outside the U.S., primarily in Canada and Europe. For both the years ended December 31, 2024 and 2023, approximately 8% of our revenue was generated outside of the U.S.  Additionally, no single customer represented more than 10% of our total revenue for the years ended December 31, 2024 or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Our Growth Strategies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today’s global commerce environment provides durable growth opportunities for our business. Our growth strategies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Retention and expansion of revenues from existing customers.  </w:t>
            </w:r>
            <w:r>
              <w:rPr>
                <w:rFonts w:ascii="Times New Roman;Times;serif" w:hAnsi="Times New Roman;Times;serif"/>
                <w:b w:val="false"/>
                <w:i w:val="false"/>
                <w:caps w:val="false"/>
                <w:smallCaps w:val="false"/>
                <w:sz w:val="20"/>
              </w:rPr>
              <w:t>The breadth of our solutions allows us to continually meet our customer needs, even as their needs expand in scope. For example, customers initially investing in sales tax determination may need support for other tax types, jurisdictions, and capabilities to manage their indirect tax lifecycle over time. As our customers evolve through acquisitions, expand their products and services, enter new geographies, and enhance their distribution channels, we believe their need for our software, services, and content will also grow. We plan to continue to invest in new innovations and enhance our solutions to support the ongoing retention and expansion of revenue from our existing customers. Our flexible, tiered revenue-based pricing model also results in our customers growing their spend with us as they grow and continue to use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Acquire new customers.  </w:t>
            </w:r>
            <w:r>
              <w:rPr>
                <w:rFonts w:ascii="Times New Roman;Times;serif" w:hAnsi="Times New Roman;Times;serif"/>
                <w:b w:val="false"/>
                <w:i w:val="false"/>
                <w:caps w:val="false"/>
                <w:smallCaps w:val="false"/>
                <w:sz w:val="20"/>
              </w:rPr>
              <w:t>We believe the market for our software and solutions is large and underpenetrated, both in the U.S. and globally. As enterprise and mid-market companies continue to expand their business operations and their tax complexity grows, we expect demand for our solutions to increase among new customers and partners. We also expect these companies to adopt our solutions much earlier in their corporate lifecycle. This adoption is driven by advances in cloud computing and digital commerce, which enable more companies to accelerate new product delivery and scale their business through online marketplaces and emerging commerce platforms. These increases in business complexity necessitate advanced tax solutions for a broader number of companies. We plan to continue to invest in our direct sales, indirect sales, and partnership marketing teams, and our solution development to capture this demand increase and acquire new customers.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Broaden and deepen our partner ecosystem.  </w:t>
            </w:r>
            <w:r>
              <w:rPr>
                <w:caps w:val="false"/>
                <w:smallCaps w:val="false"/>
              </w:rPr>
              <w:t xml:space="preserve"> </w:t>
            </w:r>
            <w:r>
              <w:rPr>
                <w:rFonts w:ascii="Times New Roman;Times;serif" w:hAnsi="Times New Roman;Times;serif"/>
                <w:b w:val="false"/>
                <w:i w:val="false"/>
                <w:caps w:val="false"/>
                <w:smallCaps w:val="false"/>
                <w:sz w:val="20"/>
              </w:rPr>
              <w:t xml:space="preserve">We integrate with key technology partners that span enterprise resource planning (“ERP”), customer relationship management (“CRM”), procurement, billing, point of sale (“POS”), and eCommerce platforms. Our partners enhance our go-to-market capacity and extend our brand leadership and reach. We leverage our partnerships to maximize the benefits of our solutions for our customers and to identify new growth opportunities. We believe expanding our strategic alliances with emerging participants who are fueling global commerce, such as payment and digital commerce platforms, will create new value for our customers and new sources of revenue.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Extend global footprint</w:t>
            </w:r>
            <w:r>
              <w:rPr>
                <w:rFonts w:ascii="Times New Roman;Times;serif" w:hAnsi="Times New Roman;Times;serif"/>
                <w:b w:val="false"/>
                <w:i w:val="false"/>
                <w:caps w:val="false"/>
                <w:smallCaps w:val="false"/>
                <w:sz w:val="20"/>
              </w:rPr>
              <w:t>.  We have a significant opportunity to further expand internationally, in terms of our regional operations, content depth, and go-to-market coverage. We expect to continue to invest in our software and solutions outside of the U.S., most notably in Latin America and Europe. These jurisdictions are among the most complex and the largest international markets for our customers. We have also made significant investments in our own operations in these regions. In Europe and Brazil, for example, we have tailored our go-to-market strategy, enhanced our country-specific content database, and furthered our investment in our global compliance reporting solution. Another example in Europe includes leveraging our recent acquisition of ecosio GmbH (“ecosio”) and our e-invoicing solution to enable companies to stay compliant with current and emerging local VAT regulations, as well as positioning us to expand into new markets as individual country mandates continue to develop. By extending our global footprint, we believe we will also expand account penetration of existing customers with operations around the globe.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Sustained investment in new product innovation.   </w:t>
            </w:r>
            <w:r>
              <w:rPr>
                <w:rFonts w:ascii="Times New Roman;Times;serif" w:hAnsi="Times New Roman;Times;serif"/>
                <w:b w:val="false"/>
                <w:i w:val="false"/>
                <w:caps w:val="false"/>
                <w:smallCaps w:val="false"/>
                <w:sz w:val="20"/>
              </w:rPr>
              <w:t>With the pace of change in commerce and compliance, we believe it is important to continue innovating and extending the functionality and breadth of our software and solutions. Our approach to innovation is driven by our relationships with our customers and partners, with whom we create new solutions, align product roadmaps, and embed our software within their applications and platforms. We have also created and invest in an innovation lab where we design, test, and incubate next generation tax solutions and adjacent market opportunities. Over time, we expect such investment will bring additional value to existing customers and help us acquire new customers. Recently, we entered into an asset purchase agreement to acquire tax-specific artificial intelligence (“AI”) capabilities to more effectively manage the complexity of tax mapping. We will also be launching a product that leverages generative AI to deliver accurate and timely product and tax category mapping.</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software and solutions primarily through our direct and indirect sales organization, with a focus on enterprise and midmarket businesses that have complex tax operations. Our direct sales team is comprised of inside sales and field sales, supported by our technical pre-sales and services teams. Teams are organized by territory and company size. We also have customer success teams focused on onboarding, usage, retention, renewals, and cross-selling additional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direct sales force leverages our partnerships with technology providers such as Oracle, SAP, Microsoft, and Salesforce, and a growing network of system integrators to influence and drive growth opportunities. These partnerships can include certified integrations that drive ease of implementation and rapid time-to-value for our joint customers. We leverage our relationships with professional services firms such as Deloitte, PwC, Ernst and Young, and KPMG to drive tax software adoption in partnership with their tax advisory and tax technology practices.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utilize indirect sales to efficiently grow and scale our revenues. Our indirect sales team focuses on building relationships with leading system integrators who implement eCommerce and other platforms, and resellers who offer our software, services, and training to their customer networks. These partnerships allow us to extend our demand generation and market reach efforts. We also extend our reach efficiently through marketplaces and service providers who use our technology to calculate tax and/or file tax returns for their end-customers.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marketing investments are focused on establishing and expanding our brand recognition, creating sales leads and growing our customer relationships. We generate sales leads through online and offline marketing channels, including search engine marketing, outbound lead generation, technology events and conferences, and digital marketing programs. Word-of-mouth referrals from our customers, technology partners and consulting firms further scale our market reach. We engage and grow our customer revenues through hosted events, customer advisory boards and user groups, and digital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seminars. We extend brand awareness through advertising, press coverage and social media, as well as through sponsorships of industry associations such as Tax Executive Institute, Council on State Taxation, and CPA.com.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 scale and quality of our ecosystem is unparalleled in the industry, and we are committed to growing it even further. Our partner ecosystem consists of multiple types of partners that provide us access to their customers and clients.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continued success is enabled by our seamless integration into customers’ business applications, gathering high-quality new customer leads, and collaborating with professional service providers to help our customers solve their specific tax needs. In addition to driving technological innovation and growing our range of solution offerings, expanding our partner ecosystem has been an essential part of our growth.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Accounting &amp; Consulting Partners.</w:t>
            </w:r>
            <w:r>
              <w:rPr>
                <w:caps w:val="false"/>
                <w:smallCaps w:val="false"/>
              </w:rPr>
              <w:t xml:space="preserve">  </w:t>
            </w:r>
            <w:r>
              <w:rPr>
                <w:rFonts w:ascii="Times New Roman;Times;serif" w:hAnsi="Times New Roman;Times;serif"/>
                <w:b w:val="false"/>
                <w:i w:val="false"/>
                <w:caps w:val="false"/>
                <w:smallCaps w:val="false"/>
                <w:sz w:val="20"/>
              </w:rPr>
              <w:t>We collaborate with over 50 tax, accounting, and consulting firms, which not only complement our global, local, and industry-specific regulatory expertise but also point us towards specific commercial opportunities. Our wide range of offerings and sophisticated technology align with these firms’ areas of specialization, enabling organizations to strengthen end-to-end delivery capabilities for a diverse array of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Technology Partners</w:t>
            </w:r>
            <w:r>
              <w:rPr>
                <w:rFonts w:ascii="Times New Roman;Times;serif" w:hAnsi="Times New Roman;Times;serif"/>
                <w:b w:val="false"/>
                <w:i w:val="false"/>
                <w:caps w:val="false"/>
                <w:smallCaps w:val="false"/>
                <w:sz w:val="20"/>
              </w:rPr>
              <w:t>.  Our pre-built integrations with key partners including Adobe/Magento, Coupa, Microsoft Dynamics, NetSuite, Oracle, Salesforce, SAP, SAP Ariba, Shopify, Workday, and Zuora, among many others, are key differentiators that enable our customers to seamlessly connect our solutions into their business applications and processes. Our trusted brand reputation has allowed us to be the leading SAP and Oracle tax technology provider, with a relationship spanning many years with these vendors. Our technology software and solutions and highly scalable transaction volume throughput has earned the trust of world-class online marketplaces. These deep partnerships allow us to expand the frontier of tax technology innovation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Channel and Resellers.</w:t>
            </w:r>
            <w:r>
              <w:rPr>
                <w:caps w:val="false"/>
                <w:smallCaps w:val="false"/>
              </w:rPr>
              <w:t xml:space="preserve">  </w:t>
            </w:r>
            <w:r>
              <w:rPr>
                <w:rFonts w:ascii="Times New Roman;Times;serif" w:hAnsi="Times New Roman;Times;serif"/>
                <w:b w:val="false"/>
                <w:i w:val="false"/>
                <w:caps w:val="false"/>
                <w:smallCaps w:val="false"/>
                <w:sz w:val="20"/>
              </w:rPr>
              <w:t>We continue to expand our indirect go-to-market reach to capitalize on the significant mid-market growth opportunities. These partners include value-added resellers, service providers and original equipment manufacturer relationships with technology firms, system integrators, tax consultants and industry groups such as Avanade, Acumatica, and CPA.com. These investments enable certification, training, and enablement to deliver rapid time-to-value and scale.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research and development team consists of our architecture, software engineering, user experience, infrastructure development operations automation, and technical production support teams. This organization is responsible for the design, development, testing, and delivery of new technologies, features, and integrations of our tax software and solutions, as well as the continued improvement of our existing solutions. It is also responsible for operating and scaling our software and solutions and infrastructure that run in the cloud. We continue to invest in our research and development capabilities with significant focus on emerging technologies such as edge computing, artificial intelligence/machine learning, data fabric/mesh platforms, blockchain, application programming interface/microservices, and containerization to extend our solutions further into the cloud and partner ecosystems to continuously deliver more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industry is highly competitive and fragmented. Businesses employ a mix of approaches to address their indirect tax obligations,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in-house practices and spreadsheets that result in custom transaction-specific research, manual determination, static tax tables, or rate calculator services, as well as manual filing and remittance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businesses utilizing native ERP capabilities with rudimentary tax determination capabilities, which are typically not designed for complex tax support and lack tax rates, rules and complex calculation functionality, and require the user to manually track, input, maintain, and update all tax law changes that occur;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outsourced transaction tax compliance services offered by accounting and specialized consulting firms; and </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tax-specific solutions from other vendors.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customers consider the following factors when selecting indirect tax technologies: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minimize compliance risk exposure associated with inaccurate and/or inconsistent determination and remittance of taxes;</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deliver real time tax determinations;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deployment and use;</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integration with the customer’s business applications, across multiple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address multiple transaction tax compliance functions, from initial taxability and tax rate determination through compliance and remittance of funds;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total cost of ownership; and</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continuously updated tax content applicable to the customer’s business.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Depending on the importance and complexity associated with these factors for each customer we maintain varying competitive advantages. We monitor these factors and adjust our functionalities, service offerings, pricing structures and overall solution delivery approach to continually strengthen our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success has resulted in part from our proprietary methodologies, software, reusable knowledge capital, and other intellectual property rights. We rely on a combination of copyright, trademark, and trade secret law, as well as contractual restrictions such as confidentiality and non-compete provisions to protect our intellectual property rights, including our brand, technology, and confidential information. We have policies related to security, privacy, confidentiality, ownership, and the use and protection of our intellectual property. We also enter into confidentiality and invention assignment/proprietary rights agreements with our consultants, employees, and other third parties as appropriate that protect and control access to our intellectual property, and we enforce these agreements where necessary. We recognize the value of our intellectual property in the marketplace and vigorously identify, create, and protect it. We believe the innovation of our employees and our continued enhancement of the features and functionality of our solutions is the keystone of our success.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Human Capital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culture is the foundation of everything we do, guided by a common purpose to build trusted relationships at work, in business and in our communities. We strive to be a values-driven employer of choice who attracts, retains, and inspires talented professionals to achieve their full potential. Vertex received recognition in 2024 as a “Best Place to Work” from </w:t>
      </w:r>
      <w:r>
        <w:rPr>
          <w:rFonts w:ascii="Times New Roman;Times;serif" w:hAnsi="Times New Roman;Times;serif"/>
          <w:i/>
          <w:sz w:val="20"/>
        </w:rPr>
        <w:t>Built In</w:t>
      </w:r>
      <w:r>
        <w:rPr>
          <w:rFonts w:ascii="Times New Roman;Times;serif" w:hAnsi="Times New Roman;Times;serif"/>
          <w:sz w:val="20"/>
        </w:rPr>
        <w:t>, reflecting the value we place on our people and environment. We create and nurture an engaging work environment that embodies our core values of collaboration, performance, integrity, innovation, and fun, and we actively support our employees' participation in Business Resource Groups (“BRGs”), community service, and philanthropy.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we had over 1,900 full-time employees. Of these employees, 76% were based in the U.S., 14% based in Europe and 10% in other countries. We believe we have a strong relationship with our employees, and we have not experienced any work stoppages.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Available Information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file annual, quarterly, and current reports and other information with the Securities and Exchange Commission (“SEC”). The SEC maintains a website (www.sec.gov) that contains reports, proxy and information statements,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information regarding registrants that file electronically with the SEC, including us. You may also access, free of charge, our reports filed with the SEC (for example, our Annual Reports on Form 10-K, our Quarterly Reports on Form 10-Q, and our Current Reports on Form 8-K and any amendments to those forms) through the “Investors” portion of our website (https://www.vertexinc.com/). Reports filed with or furnished to the SEC will be available as soon as reasonably practicable after they are filed with or furnished to the SEC. Our website is included in this Annual Report on Form 10-K as an inactive textual reference only. The information found on our website is not part of this or any other report filed with or furnished to the SEC.</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6" w:name="Item1ARiskFactors"/>
      <w:bookmarkStart w:id="57" w:name="_58f8bd2b_22b8_4586_a7f3_74d22e03f05b"/>
      <w:bookmarkEnd w:id="56"/>
      <w:bookmarkEnd w:id="57"/>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to this Annual Report on Form 10-K and our other public filings with the SEC. Other events that we do not currently anticipate or that we currently deem immaterial may also affect our business, prospects, financial condition and results of operations. See “Special Note Regarding Forward-Looking Statements” elsewhere in this Annual Report on Form 10-K.</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large portion of our revenue depends on maintaining and growing our revenue from existing customers and adding new customers, and if we fail to add new customers, retain our customers, or expand their usage of our solutions, our business, results of operations, financial condition, and cash flows would be harmed.</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currently derive a substantial portion of our revenue from subscriptions to our indirect tax software. We have added, and will continue to add, additional solutions to expand our offerings, but, at least in the near term, we expect to continue to derive the majority of our revenue from our indirect tax software. As such, the ability of our indirect tax software to meet our customers' requirements is critical to our success. Demand for our solutions is affected by a number of factors, many of which are beyond our control, such as continued market acceptance and continued employment of our solutions by existing and new customers, the timing of the development and release of upgraded or new solutions, the introduction or upgrading of products and services by our competitors, technological change, and growth or contraction in our addressable market. If our indirect tax software does not continue to meet customer requirements, our business, results of operations, financial condition, and growth prospects will suffer.</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 xml:space="preserve">Our customers have no obligation to renew their subscriptions for our solutions after the expiration of their subscription periods and our customers may not renew subscriptions for a similar mix of solutions. Our retention rates would decline as a result of a number of factors, including customer dissatisfaction, decreased customer spending levels, decreased customer transaction volumes, increased competition, changes in tax laws or rules, pricing changes, or legislative changes affecting tax compliance providers. If our customers do not renew their subscriptions, or our customers reduce the solutions purchased under their subscriptions, our revenue would decline and our business may be harmed. </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Our future success also depends in part on our ability to sell additional solutions to existing customers and on our customers’ expanded use of our solutions. If our efforts to sell our additional solutions to our customers are not successful or if our customers do not expand their use of our solutions, it would decrease our revenue growth and harm our business, results of operations, financial condition,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and success depend in part on our strategic relationships with third parties, including our partner ecosystem, and our business would be harmed if we fail to maintain or expand these relationships.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depend in part on and anticipate that we will continue to depend in part on, various third-party relationships to sustain and grow our business. Our relationships with third-party publishers of software business applications, including accounting, ERP, eCommerce, POS, recurring billing, and CRM systems, help drive our business because the integration of our solutions with their applications allows us to reach their sizeable customer bases. Our customers' user experience is dependent on our ability to connect easily to such third-party software applications. We may fail to retain and expand these integrations or relationships for many reasons, including due to failures by third parties to maintain, support, or secure their technology platforms in general and our integrations in particular, or errors, bugs or defects in such third-party technology, or changes in our technology platform. Any such failure could harm our relationship with our customers, our reputation and brand, and our business and results of operations.</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In addition, integrating third-party technology can be complex, costly, and time-consuming. Third parties may be unwilling to build integrations, and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resulting in customer dissatisfaction and harm to our business. If we are unable to respond to these changes or failures in a cost-effective manner, our solutions may become less marketable, less competitive or obsolete, and our results of operations may be negatively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adapt to technological change by successfully introducing new and enhanced solutions and services, our business, results of operations, financial condition, and cash flows would be adversely affected.</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The market for our solutions is characterized by rapid technological change, frequent new product and service introductions and enhancements, changing customer demands, and evolving industry standards. The introduction of software embodying new technologies can quickly make existing software obsolete and unmarketable. Software solutions are inherently complex, and it can take a long time and require significant research and development expenditures to develop and test new or enhanced solutions. The success of any enhancements or improvements to our software solutions or any new solutions and services depends on several factors, including timely completion, competitive pricing, adequate quality testing, integration with existing technologies, and our platform and overall market acceptance. We cannot be sure that we will succeed in developing, marketing, and delivering on a timely and cost-effective basis enhancements or improvements to our software or any new solutions and services that respond to technological change or new customer requirements, nor can we be sure that any enhancements or improvements to our software or any new solutions and services will be free of errors and defects or that they will achieve market acceptance. Moreover, even if we introduce new solutions, we would experience a decline in revenue of our existing solutions that is not offset by revenue from the new solutions. Customers may delay making purchases of new solutions to permit them to make a more thorough evaluation of these solutions or until industry and marketplace reviews become widely available. In addition, we may lose existing customers who choose a competitor's solutions rather than migrate to our new solutions. This could result in a temporary or permanent revenue shortfall and adversely affect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failures in information technology or infrastructure could lead to disruptions of our software, loss of customer data or untimely remittance of taxes, any of which could adversely affect our reputation and financial condition.</w:t>
      </w:r>
    </w:p>
    <w:p>
      <w:pPr>
        <w:pStyle w:val="TextBody"/>
        <w:bidi w:val="0"/>
        <w:spacing w:before="0" w:after="240"/>
        <w:ind w:left="0" w:right="0" w:firstLine="351"/>
        <w:jc w:val="both"/>
        <w:rPr>
          <w:rFonts w:ascii="Times New Roman;Times;serif" w:hAnsi="Times New Roman;Times;serif"/>
          <w:sz w:val="18"/>
        </w:rPr>
      </w:pPr>
      <w:r>
        <w:rPr>
          <w:rFonts w:ascii="Times New Roman;Times;serif" w:hAnsi="Times New Roman;Times;serif"/>
          <w:sz w:val="20"/>
        </w:rPr>
        <w:t>Our software depends on uninterrupted, high-speed access to the internet in order to provide real-time tax determinations and processing of indirect tax data. Failures in our or our customers' and partners' information technology and infrastructure, or service outages at third-party internet providers, could lead to disruptions to our software. Such failures may be caused by numerous factors, including mechanical failure, power outage, human error, physical or electronic security breaches, war, terrorism, fire, earthquake, hurricane, flood and other natural disasters, sabotage, and vandalism. Disruptions to our software could cause customers to lose sensitive or confidential information and could also lead to our or our customers' inability to timely remit taxes to the appropriate authorities. Any of these outcomes could lead customers to switch to our competitors or avoid using our solutions, which would negatively impact our revenue and harm our opportunities for growth</w:t>
      </w:r>
      <w:r>
        <w:rPr>
          <w:rFonts w:ascii="Times New Roman;Times;serif" w:hAnsi="Times New Roman;Times;serif"/>
          <w:sz w:val="18"/>
        </w:rPr>
        <w:t>.</w:t>
      </w:r>
    </w:p>
    <w:p>
      <w:pPr>
        <w:pStyle w:val="TextBody"/>
        <w:bidi w:val="0"/>
        <w:spacing w:before="0" w:after="0"/>
        <w:ind w:left="0" w:right="0" w:hanging="0"/>
        <w:jc w:val="left"/>
        <w:rPr>
          <w:rFonts w:ascii="Calibri;Helvetica;sans-serif" w:hAnsi="Calibri;Helvetica;sans-serif"/>
          <w:sz w:val="20"/>
        </w:rPr>
      </w:pPr>
      <w:r>
        <w:rPr>
          <w:rFonts w:ascii="Times New Roman;Times;serif" w:hAnsi="Times New Roman;Times;serif"/>
          <w:b/>
          <w:i/>
          <w:sz w:val="20"/>
        </w:rPr>
        <w:t>We may face challenges in using and properly managing use of Artificial Intelligence (“AI”) in our business, which could result in reputational or competitive harm, and legal liability, and could adversely and materially affect the results of our business, operations, financial condition, and cash flows</w:t>
      </w:r>
      <w:r>
        <w:rPr>
          <w:rFonts w:ascii="Calibri;Helvetica;sans-serif" w:hAnsi="Calibri;Helvetica;sans-serif"/>
          <w:b/>
          <w:i/>
          <w:sz w:val="22"/>
        </w:rPr>
        <w:t xml:space="preserve">. </w:t>
      </w:r>
    </w:p>
    <w:p>
      <w:pPr>
        <w:pStyle w:val="TextBody"/>
        <w:bidi w:val="0"/>
        <w:spacing w:before="0" w:after="0"/>
        <w:ind w:left="0" w:right="0" w:hanging="0"/>
        <w:jc w:val="left"/>
        <w:rPr/>
      </w:pPr>
      <w:r>
        <w:rPr/>
        <w:t> </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 xml:space="preserve">We will be launching a product leveraging generative AI and may incorporate other AI solutions into our platform, offerings, and/or services, and these solutions may grow over time and become significant in our operations. If the content, analyses, or recommendations that our product leveraging generative AI assist in producing are or are alleged to be deficient, inaccurate, or biased, our business, operations, or financial condition may be adversely and materially affected. The use of AI applications have resulted in cybersecurity incidents that implicate the personal data of end users of such applications. Any such cybersecurity incidents related to our use of AI applications could adversely affect our reputation and operations. The legal and regulatory environment governing AI is evolving and creates uncertainty and new laws may cause us to modify our AI strategy or implementation of technology leveraging AI functionality.  AI also presents emerging ethical issues and if our use of AI becomes controversial, we may experience brand or reputational harm, competitive harm, or legal liability.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Incorrect or improper implementation, integration, or use of our solutions could result in customer dissatisfaction and negatively affect our business, results of operations, financial condition, and cash flows.</w:t>
      </w:r>
    </w:p>
    <w:p>
      <w:pPr>
        <w:pStyle w:val="TextBody"/>
        <w:bidi w:val="0"/>
        <w:spacing w:before="0" w:after="0"/>
        <w:ind w:left="0" w:right="0" w:firstLine="351"/>
        <w:jc w:val="both"/>
        <w:rPr>
          <w:rFonts w:ascii="Times New Roman;Times;serif" w:hAnsi="Times New Roman;Times;serif"/>
          <w:sz w:val="20"/>
        </w:rPr>
      </w:pPr>
      <w:bookmarkStart w:id="58" w:name="page31"/>
      <w:bookmarkEnd w:id="58"/>
      <w:r>
        <w:rPr>
          <w:rFonts w:ascii="Times New Roman;Times;serif" w:hAnsi="Times New Roman;Times;serif"/>
          <w:sz w:val="20"/>
        </w:rPr>
        <w:t xml:space="preserve">Our customers may need training or education in the proper use of, and the variety of benefits that can be derived from, our solutions to maximize their potential benefits. If our solutions are not implemented or used correctly or as intended, inadequate performance may result. Because our customers rely on our solutions to manage a wide range of tax compliance operations, the incorrect or improper implementation or use of our solutions, or our failure to provide adequate support to our customers, may result in negative publicity or legal claims against us, which could harm our business, results of operations, financial condition, and cash flows. Also, as we continue to expand our customer base, any failure by us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properly provide training and support will likely result in lost opportunities for additional subscriptions for our solutions. In addition, the upfront costs of our solutions can limit our sales to businesses using manual processes.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attract and retain qualified technical and tax-content personnel, our business could be harmed.</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Our technology is complex and our success depends in large part on our ability to attract and retain highly qualified personnel, particularly tax-content specialists, software developers, technical support, and research and development personnel. Competition for skilled personnel is intense and we may not be successful in attracting, motivating, and retaining needed personnel. We have recently experienced efforts by a significant competitor to solicit our employees, and other competitors may take similar actions in the future. We also may be unable to attract or integrate into our operations qualified personnel on the schedule we desire. Any inability to attract, integrate, motivate, and retain the necessary personnel could harm our business. Dealing with the loss of the services of our executive officers or key personnel and the process to replace any of our executive officers or key personnel may involve significant time and expense, take longer than anticipated, and significantly delay or prevent the achievement of our business objectives, which would harm our financial condition, results of operations, and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competitive pressures from other tax software and services providers, as well as the challenge of convincing businesses using native ERP functions to switch to our software.</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face significant competitive challenges from other tax-specific software vendors and from outsourced transaction tax compliance services offered by accounting and specialized consulting firms. There are a number of competing tax-specific software vendors, and technologies, some of which have substantially greater revenue, personnel, and other resources than we do. Corporate competitors, as well as the state and local tax services offered by accounting firms, have historically targeted our customer base of large enterprise companies. In addition, our competitors who currently focus their tax compliance services on small- to medium-sized businesses may be better positioned to increase their market share with small- to medium-sized businesses and may choose to enter our markets, whether competing based on price, service or otherwise. We also face a growing number of competing private transaction tax compliance businesses focused primarily on eCommerce. Increased competition may impact our ability to add new customers and to retain and expand revenues from existing customers. It is also possible that large enterprises with substantial resources that operate in adjacent compliance, finance or eCommerce verticals may decide to pursue transaction tax compliance automation and become immediate, significant competitors. Our failure to successfully and effectively compete with current or future competitors could lead to lost business and negatively affect our revenue.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recent success may not be indicative of our future results of operations.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cannot predict with certainty our customers’ future usage or retention given the diversity of our customer base across industries, geographies, customer size, and other factors. Accordingly, we may be unable to accurately forecast our revenues notwithstanding our substantial investments in sales and marketing, tax content infrastructure, and research and development in anticipation of continued growth in our business. If we do not realize returns on these investments in our growth, our results of operations could differ materially from our prior results, which could cause our stock price to decline.</w:t>
      </w:r>
    </w:p>
    <w:p>
      <w:pPr>
        <w:pStyle w:val="TextBody"/>
        <w:bidi w:val="0"/>
        <w:spacing w:before="0" w:after="240"/>
        <w:ind w:left="0" w:right="0" w:hanging="0"/>
        <w:jc w:val="both"/>
        <w:rPr>
          <w:rFonts w:ascii="Times New Roman;Times;serif" w:hAnsi="Times New Roman;Times;serif"/>
          <w:b/>
          <w:i/>
          <w:sz w:val="20"/>
        </w:rPr>
      </w:pPr>
      <w:bookmarkStart w:id="59" w:name="page32"/>
      <w:bookmarkEnd w:id="59"/>
      <w:r>
        <w:rPr>
          <w:rFonts w:ascii="Times New Roman;Times;serif" w:hAnsi="Times New Roman;Times;serif"/>
          <w:b/>
          <w:i/>
          <w:sz w:val="20"/>
        </w:rPr>
        <w:t>Changes to customers’ and partners’ software systems may impact our ability to offer a specific software deployment method to existing customers, which could cause a termination of customer contracts utilizing that deployment method, or otherwise affect our results of operations, financial condition, and cash flows.</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Our solutions are integrated with the software systems and complex workflows of our customers and partners. In the event that such software systems are modified or updated in a way that is incompatible with our software, we may be unable to continue to support the operations of our customers and partners. If our customers are unable to implement our solutions successfully or in a timely manner, or if our partners are unable to integrate with our solutions through our integrations, customer perceptions of our solutions may be impaired, our reputation and brand may suffer, and customers may choose not to renew or expand the use of our solutions. In addition, if we fail to anticipate technological changes that our customers and partners may look to adopt, our solutions may be perceived as being less effective or obsolete. Any of these changes could have a material adverse effect on our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need to continue making significant investments in software development and equipment to improve our business.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To improve the scalability, security, and efficiency of our solutions, and to support the expansion of our software into other tax types, we will need to continue making significant capital expenditures and also invest in additional software and infrastructure development. If we experience increasing demand in subscriptions, we may not be able to augment our infrastructure quickly enough to accommodate such increasing demand. In the event of decreases in subscription sales, certain of our fixed costs, such as for capital expenditures, may make it difficult for us to quickly adjust our expenses downward. Additionally, we are continually updating our software and content, which increases expenses for us. We may also need to review or revise our software architecture as we grow, which may require significant resources and investments. As a result, although we may have significant research and development expenditures, which may be incurred and certain of which may be capitalized, there is no guarantee our solutions will be accepted by the market. This could result in increased costs or an impairment of capitalized development costs with no resulting future revenue benefit.</w:t>
      </w:r>
    </w:p>
    <w:p>
      <w:pPr>
        <w:pStyle w:val="TextBody"/>
        <w:bidi w:val="0"/>
        <w:spacing w:before="0" w:after="240"/>
        <w:ind w:left="0" w:right="0" w:hanging="0"/>
        <w:jc w:val="both"/>
        <w:rPr>
          <w:rFonts w:ascii="Times New Roman;Times;serif" w:hAnsi="Times New Roman;Times;serif"/>
          <w:b/>
          <w:i/>
          <w:sz w:val="20"/>
        </w:rPr>
      </w:pPr>
      <w:bookmarkStart w:id="60" w:name="page33"/>
      <w:bookmarkEnd w:id="60"/>
      <w:r>
        <w:rPr>
          <w:rFonts w:ascii="Times New Roman;Times;serif" w:hAnsi="Times New Roman;Times;serif"/>
          <w:b/>
          <w:i/>
          <w:sz w:val="20"/>
        </w:rPr>
        <w:t>If we fail to effectively manage our growth, our business, results of operations, financial condition, and cash flows will be harmed.</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have experienced, and may continue to experience, growth in our headcount and operations, both domestically and internationally, which has placed, and may continue to place, significant demands on our management and our administrative, operational, and financial reporting resources. We have also experienced significant growth in the number of customers, number of transactions, and the amount of tax content that our platform and solutions support. Our growth will require us to hire additional employees and make significant expenditures, particularly in sales and marketing but also in our technology, professional services, finance and administration teams, as well as in our facilities and infrastructure. Our ability to effectively manage our growth will also require the allocation of valuable management and employee resources and improvements to our operational and financial controls and our reporting procedures and systems. In addition, as we seek to continue to expand internationally, we will likely encounter unexpected challenges and expenses due to unfamiliarity with local requirements, practices and markets. Our expenses may increase more than we plan, and we may fail to hire qualified personnel, expand our customer base, enhance our existing software, expand our tax content, develop new solutions, integrate any acquisitions, satisfy the requirements of our existing customers, respond to competitive challenges or otherwise execute our strategies. If we are unable to effectively manage our growth, our business, results of operations, financial condition and cash flows would likely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acquisitions of, and investments in, other businesses, software, tax content or technologies may not yield expected benefits, and our inability to successfully integrate acquisitions may negatively impact our business, results of operations, financial condition and cash flows.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may in the future seek to grow our operations by pursuing acquisitions of businesses, software and technologies. We may not realize the anticipated benefits, or any benefits, from future acquisitions. In addition, if we finance acquisitions by incurring debt or by issuing equity or convertible or debt securities, our existing stockholders may be diluted or we could face constraints related to covenants in the agreements governing the indebtedness, which could affect the market value of our capital stock. To the extent that the acquisition consideration is paid in the form of an earnout on future financial results, the success of such acquisition will not be fully realized by us for a period of time as it is shared with the sellers. Further, if we fail to properly evaluate and execute acquisitions or investments, our business and prospects may be seriously harmed, and the value of your investment may decline. For us to realize the benefits of future acquisitions, we must successfully integrate the acquired businesses, software or technologies with ours. This may take time and divert management's attention from our day-to-day operations, which could negatively impact our business, results of operations, financial condition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quarterly and annual results of operations will fluctuate in future periods.</w:t>
      </w:r>
    </w:p>
    <w:p>
      <w:pPr>
        <w:pStyle w:val="TextBody"/>
        <w:bidi w:val="0"/>
        <w:spacing w:before="0" w:after="240"/>
        <w:ind w:left="0" w:right="0" w:firstLine="348"/>
        <w:jc w:val="both"/>
        <w:rPr>
          <w:rFonts w:ascii="Times New Roman;Times;serif" w:hAnsi="Times New Roman;Times;serif"/>
          <w:sz w:val="20"/>
        </w:rPr>
      </w:pPr>
      <w:bookmarkStart w:id="61" w:name="page34"/>
      <w:bookmarkEnd w:id="61"/>
      <w:r>
        <w:rPr>
          <w:rFonts w:ascii="Times New Roman;Times;serif" w:hAnsi="Times New Roman;Times;serif"/>
          <w:sz w:val="20"/>
        </w:rPr>
        <w:t>We will experience quarterly or annual fluctuations in our results of operations due to a number of factors, many of which are outside of our control. This makes our future results difficult to predict and could cause our results of operations to fall below expectations or our predictions. Factors that might cause quarterly or annual fluctuations in our results of operations include, but are not limited to:</w:t>
      </w:r>
    </w:p>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and grow revenue from existing customers;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expand, train and achieve an acceptable level of production from our sales and marketing teams;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find and nurture successful sales opportunities;</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introduction of new solutions or updates to existing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maintain our relationships with our ecosystem of third-party partners, including integration partners and referral partners;</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customers' businesses;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large subscriptions and customer renewal rates;</w:t>
            </w:r>
          </w:p>
        </w:tc>
      </w:tr>
    </w:tbl>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government regulations;</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policies or those of our competitors;</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our expenses related to the expansion of our business, operations and infrastructure;</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impairment of our intangible assets, capitalized software, long-lived assets and goodwill;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seasonality in connection with new customer agreements, as well as renewal and upgrade agreements, each of which have historically occurred at a higher rate in the fourth quarter of each year;</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costs related to acquisitions of content, technologies or businesses and their integration; and</w:t>
            </w:r>
          </w:p>
        </w:tc>
      </w:tr>
    </w:tbl>
    <w:tbl>
      <w:tblPr>
        <w:tblW w:w="2931" w:type="dxa"/>
        <w:jc w:val="left"/>
        <w:tblInd w:w="0" w:type="dxa"/>
        <w:tblLayout w:type="fixed"/>
        <w:tblCellMar>
          <w:top w:w="28" w:type="dxa"/>
          <w:left w:w="28" w:type="dxa"/>
          <w:bottom w:w="28" w:type="dxa"/>
          <w:right w:w="28"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w:t>
            </w:r>
          </w:p>
        </w:tc>
      </w:tr>
    </w:tbl>
    <w:p>
      <w:pPr>
        <w:pStyle w:val="TextBody"/>
        <w:bidi w:val="0"/>
        <w:spacing w:before="0" w:after="240"/>
        <w:ind w:left="0" w:right="0" w:firstLine="341"/>
        <w:jc w:val="both"/>
        <w:rPr>
          <w:rFonts w:ascii="Times New Roman;Times;serif" w:hAnsi="Times New Roman;Times;serif"/>
          <w:sz w:val="20"/>
        </w:rPr>
      </w:pPr>
      <w:r>
        <w:rPr>
          <w:rFonts w:ascii="Times New Roman;Times;serif" w:hAnsi="Times New Roman;Times;serif"/>
          <w:sz w:val="20"/>
        </w:rPr>
        <w:t>Any one of the factors above, or the cumulative effect of some or all of the factors referred to above, may result in significant fluctuations in our quarterly and annual results of operations. This variability and unpredictability could result in our failure to meet or exceed our internal operating plan. In addition, a percentage of our operating expenses is fixed in nature and is based on forecasted financial performance. In the event of revenue shortfalls, we may not be able to mitigate the negative impact on our results of operations quickly enough to avoid short-term impacts.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generally recognize revenue from subscription fees paid by customers ratably over the subscription term.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is generally recognized over the applicable subscription terms.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globally involves challenges that may adversely affect our ability to grow.</w:t>
      </w:r>
    </w:p>
    <w:p>
      <w:pPr>
        <w:pStyle w:val="TextBody"/>
        <w:bidi w:val="0"/>
        <w:spacing w:lineRule="auto" w:line="300" w:before="0" w:after="240"/>
        <w:ind w:left="0" w:right="0" w:firstLine="348"/>
        <w:jc w:val="both"/>
        <w:rPr>
          <w:rFonts w:ascii="Times New Roman;Times;serif" w:hAnsi="Times New Roman;Times;serif"/>
          <w:sz w:val="20"/>
        </w:rPr>
      </w:pPr>
      <w:bookmarkStart w:id="62" w:name="page35"/>
      <w:bookmarkEnd w:id="62"/>
      <w:r>
        <w:rPr>
          <w:rFonts w:ascii="Times New Roman;Times;serif" w:hAnsi="Times New Roman;Times;serif"/>
          <w:sz w:val="20"/>
        </w:rPr>
        <w:t>We plan to continue expanding our business operations globally and to enter new markets where we have limited or no experience in marketing, selling and deploying our solutions. If we fail to deploy or manage our operations in international markets successfully, our business may suffer. In the future, as our international operations increase, or more of our expenses are denominated in currencies other than the U.S. dollar, our results of operations may become more sensitive to fluctuations in the exchange rates of the currencies in which we do business. In addition, we are subject to a variety of risks inherent in doing business internationally, including:</w:t>
      </w:r>
    </w:p>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social and economic instability;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legal and regulatory environment in foreign jurisdictions, including with respect to privacy, localization and content laws as well as unexpected changes in laws, regulatory requirements and enforcement due to the wide discretion given to some local lawmakers and regulators regarding the enactment, interpretation and implementation of local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brand and reputation due to compliance with local laws, including potential censorship and requirements to provide user information to local authorities;</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levels of credit risk and payment fraud;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 tax laws and regulations of multiple tax jurisdictions;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difficulties of integrating any foreign acquisitions;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a variety of foreign laws, including certain employment laws requiring national collective bargaining agreements that set minimum salaries, benefits, working conditions and termination requirements;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for intellectual property rights in some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global operations and the increased travel, infrastructure and compliance costs associated with multiple international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that might add difficulties in repatriating cash earned outside our core markets and otherwise prevent us from freely moving cash;</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and export restrictions and changes in trade regulation;</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statutory equity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 U.S. Foreign Corrupt Practices Act (the “FCPA”), the U.K. Bribery Act and similar laws in other jurisdictions;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export controls and economic sanctions administered by the relevant local authorities, including in the U.S. and European Union, in our international business.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unable to expand internationally and manage the complexity of our global operations successfully, our business could be seriously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hold significant amounts of money that we remit to taxing authorities on behalf of our customers, and this may expose us to liability from errors, delays, fraud or system failures, which may not be covered by insurance.</w:t>
      </w:r>
    </w:p>
    <w:p>
      <w:pPr>
        <w:pStyle w:val="TextBody"/>
        <w:bidi w:val="0"/>
        <w:spacing w:before="0" w:after="0"/>
        <w:ind w:left="0" w:right="0" w:firstLine="346"/>
        <w:jc w:val="both"/>
        <w:rPr>
          <w:rFonts w:ascii="Times New Roman;Times;serif" w:hAnsi="Times New Roman;Times;serif"/>
          <w:sz w:val="20"/>
        </w:rPr>
      </w:pPr>
      <w:bookmarkStart w:id="63" w:name="page36"/>
      <w:bookmarkEnd w:id="63"/>
      <w:r>
        <w:rPr>
          <w:rFonts w:ascii="Times New Roman;Times;serif" w:hAnsi="Times New Roman;Times;serif"/>
          <w:sz w:val="20"/>
        </w:rPr>
        <w:t>We handle significant amounts of our customers' money so that we can remit those amounts to various taxing jurisdictions on their behalf. If we make mistakes in the determination or remittance of tax payments to the appropriate jurisdictions, our reputation and results of operations could suffer. Moreover, if our banks' or our own internal compliance procedures regarding cash management fail, are hacked or sabotaged, there is a communication error of taxing jurisdiction remittance instructions between the banks’ and our systems, or if our banks or we are the subject of fraudulent behavior by personnel or third parties, we could face significant financial losses. Our efforts to remit tax payments to applicable taxing jurisdictions after receiving the corresponding funds from our customers may fail, which would expose us to the financial risk of collecting from our customers after we have remitted funds on their behalf.</w:t>
      </w:r>
    </w:p>
    <w:p>
      <w:pPr>
        <w:pStyle w:val="TextBody"/>
        <w:bidi w:val="0"/>
        <w:spacing w:before="0" w:after="0"/>
        <w:ind w:left="0" w:right="0" w:hanging="0"/>
        <w:jc w:val="both"/>
        <w:rPr/>
      </w:pPr>
      <w:r>
        <w:rPr/>
        <w:t>​</w:t>
      </w:r>
    </w:p>
    <w:p>
      <w:pPr>
        <w:pStyle w:val="TextBody"/>
        <w:bidi w:val="0"/>
        <w:spacing w:before="0" w:after="240"/>
        <w:ind w:left="0" w:right="0" w:firstLine="346"/>
        <w:jc w:val="both"/>
        <w:rPr>
          <w:rFonts w:ascii="Times New Roman;Times;serif" w:hAnsi="Times New Roman;Times;serif"/>
          <w:sz w:val="20"/>
        </w:rPr>
      </w:pPr>
      <w:r>
        <w:rPr>
          <w:rFonts w:ascii="Times New Roman;Times;serif" w:hAnsi="Times New Roman;Times;serif"/>
          <w:sz w:val="20"/>
        </w:rPr>
        <w:t>Additionally, we are subject to risk from concentration of cash and cash equivalent accounts, including cash from our customers that is to be remitted to taxing jurisdictions, with financial institutions where deposits routinely exceed federal insurance limits. If the financial institutions in which we deposit our customers' cash were to experience insolvency or other financial difficulty, our access to cash deposits could be limited, any deposit insurance may not be adequate, we could lose our cash deposits entirely and we could be exposed to liability to our customers. Any of these events would negatively impact our liquidity, results of operations and our reputation.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successfully adapt to organizational changes and effectively implement strategic initiatives, our reputation and results of operations could be impacted.</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have a dynamic organization and routinely implement changes to our priorities and workforce in order to keep up with the constantly evolving market in which we operate. We expect these types of changes to continue for the foreseeable future. Our success is dependent on identifying, developing and retaining key employees to provide uninterrupted leadership and direction for our business. This includes developing organizational capabilities in key growth markets where the depth of skilled employees is limited and competition for these resources is intense. Further, business and organizational changes may result in more reliance on third parties for various services, and that reliance may increase reputational, operational and compliance risks.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Errors in our customers' transaction tax determinations and reporting functions, or delays in the remittance of their tax payments, could harm our reputation, results of operations and growth prospects.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The tax determinations functions that our customers have to perform are complicated from a data management standpoint, time-sensitive and dependent on the accuracy of the database of tax content underlying our solutions. Some of our processes are not fully automated, such as our process for monitoring updates to tax rates and rules, and even to the extent our processes are automated, our solutions are not proven to be without any possibility of errors. If errors are made in our customers' tax determinations and reporting functions, or delays occur in the remittance of their tax payments, our customers may be assessed interest and penalties. Although our agreements generally have disclaimers of warranties and limit our liability, a court could determine that such disclaimers and limitations are unenforceable as a matter of law and hold us liable for these errors. Additionally, erroneous tax determinations could result in overpayments to taxing authorities that are difficult to reclaim from the applicable taxing authorities or underpayments that could result in penalties. Any history of erroneous tax determinations for our customers could also harm our reputation, could result in negative publicity, loss of or delay in market acceptance of our solutions, loss of customer renewals and loss of competitive position. In addition, our insurance coverage may not cover all amounts claimed against us if such errors or failures occur. The financial and reputational costs associated with any erroneous tax determinations may be substantial and could harm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tax laws and regulations, or their interpretation or enforcement, may cause us to invest substantial amounts to modify our software, cause us to change our business model or draw new competitors to the market.</w:t>
      </w:r>
    </w:p>
    <w:p>
      <w:pPr>
        <w:pStyle w:val="TextBody"/>
        <w:bidi w:val="0"/>
        <w:spacing w:before="0" w:after="240"/>
        <w:ind w:left="0" w:right="0" w:firstLine="351"/>
        <w:jc w:val="both"/>
        <w:rPr>
          <w:rFonts w:ascii="Times New Roman;Times;serif" w:hAnsi="Times New Roman;Times;serif"/>
          <w:sz w:val="20"/>
        </w:rPr>
      </w:pPr>
      <w:bookmarkStart w:id="64" w:name="page37"/>
      <w:bookmarkEnd w:id="64"/>
      <w:r>
        <w:rPr>
          <w:rFonts w:ascii="Times New Roman;Times;serif" w:hAnsi="Times New Roman;Times;serif"/>
          <w:sz w:val="20"/>
        </w:rPr>
        <w:t>Changes in tax laws or regulations or interpretations of existing taxation requirements in the U.S. or in other countries may require us to change the manner in which we conduct some aspects of our business and could harm our ability to attract and retain customers. For example, a material portion of our revenue is generated by performing what can be complex transaction tax determinations and the corresponding preparation of tax returns and remittance of taxes. Changes in tax laws or regulations that reduce complexity or decrease the frequency of tax filings could negatively impact our revenue. In addition, there is considerable uncertainty as to if, when and how tax laws and regulations might change. As a result, we may need to invest substantial funds to modify our solutions to adapt to new tax laws or regulations. If our software solutions are not flexible enough to adapt to changes in tax laws and regulations, our financial condition and results of operations may suffer.</w:t>
      </w:r>
    </w:p>
    <w:p>
      <w:pPr>
        <w:pStyle w:val="TextBody"/>
        <w:bidi w:val="0"/>
        <w:spacing w:before="0" w:after="240"/>
        <w:ind w:left="0" w:right="0" w:firstLine="341"/>
        <w:jc w:val="both"/>
        <w:rPr>
          <w:rFonts w:ascii="Times New Roman;Times;serif" w:hAnsi="Times New Roman;Times;serif"/>
          <w:sz w:val="20"/>
        </w:rPr>
      </w:pPr>
      <w:r>
        <w:rPr>
          <w:rFonts w:ascii="Times New Roman;Times;serif" w:hAnsi="Times New Roman;Times;serif"/>
          <w:sz w:val="20"/>
        </w:rPr>
        <w:t xml:space="preserve">A number of states have considered or adopted laws that attempt to require out-of-state retailers to collect sales taxes on their behalf or to provide the jurisdiction with information enabling it to more easily collect use tax. On June 21, 2018, the U.S. Supreme Court issued its opinion in </w:t>
      </w:r>
      <w:r>
        <w:rPr>
          <w:rFonts w:ascii="Times New Roman;Times;serif" w:hAnsi="Times New Roman;Times;serif"/>
          <w:i/>
          <w:sz w:val="20"/>
        </w:rPr>
        <w:t>South Dakota v.</w:t>
      </w:r>
      <w:r>
        <w:rPr>
          <w:rFonts w:ascii="Times New Roman;Times;serif" w:hAnsi="Times New Roman;Times;serif"/>
          <w:sz w:val="20"/>
        </w:rPr>
        <w:t xml:space="preserve"> </w:t>
      </w:r>
      <w:r>
        <w:rPr>
          <w:rFonts w:ascii="Times New Roman;Times;serif" w:hAnsi="Times New Roman;Times;serif"/>
          <w:i/>
          <w:sz w:val="20"/>
        </w:rPr>
        <w:t>Wayfair, Inc.</w:t>
      </w:r>
      <w:r>
        <w:rPr>
          <w:rFonts w:ascii="Times New Roman;Times;serif" w:hAnsi="Times New Roman;Times;serif"/>
          <w:sz w:val="20"/>
        </w:rPr>
        <w:t>, upholding South Dakota's economic nexus law, which requires certain out-of-state retailers to collect and remit sales taxes on sales into South Dakota. Following the Supreme Court's decision, certain states with pre-existing economic nexus provisions announced that they would begin enforcing these provisions on out-of-state retailers and additional states have proceeded with similar efforts. There also has been consideration of federal legislation related to taxation of interstate sales, which, if enacted into law, would place guidelines or restrictions on states' authority to require online and other out of state merchants to collect and remit indirect tax on products and services that they may sell. Similar issues exist outside of the U.S., where the application of value-added taxes or other indirect taxes on online retailers is uncertain and evolving. The effect of changes in tax laws and regulations is uncertain and dependent on a number of factors. Depending on the content of any indirect tax legislation, the role of third-party compliance vendors may change, we may need to invest substantial amounts to modify our solutions or our business model, we could see a decrease in demand, we could see new competitors enter the market, or we could be negatively impacted by such legislation in a way not yet known.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exposed to cybersecurity and data privacy risks that, if realized, could expose us to legal liability, damage our reputation and harm our business.</w:t>
      </w:r>
    </w:p>
    <w:p>
      <w:pPr>
        <w:pStyle w:val="TextBody"/>
        <w:bidi w:val="0"/>
        <w:spacing w:before="0" w:after="0"/>
        <w:ind w:left="0" w:right="0" w:firstLine="348"/>
        <w:jc w:val="both"/>
        <w:rPr>
          <w:rFonts w:ascii="Times New Roman;Times;serif" w:hAnsi="Times New Roman;Times;serif"/>
          <w:sz w:val="20"/>
        </w:rPr>
      </w:pPr>
      <w:r>
        <w:rPr>
          <w:rFonts w:ascii="Times New Roman;Times;serif" w:hAnsi="Times New Roman;Times;serif"/>
          <w:sz w:val="20"/>
        </w:rPr>
        <w:t xml:space="preserve">We face risks of cyber-attacks, computer hacks, theft, viruses, malicious software, phishing, employee error, denial-of-service attacks and other security breaches that could jeopardize the performance of our software and expose us to financial and reputational harm. Any of these occurrences could create liability for us, put our reputation in jeopardy and harm our business. Such harm could be in the form of theft of our or our customers' confidential information, the inability of our customers to access our systems or the improper re-routing of customer funds through fraudulent transactions or other frauds perpetrated to obtain inappropriate payments. In some cases, we rely on the safeguards put in place by third parties to protect against security threats. These third parties, including vendors that provide products and services for our operations, could also be a source of security risk to us in the event of a failure or a security incident affecting their own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5" w:name="page38"/>
      <w:bookmarkEnd w:id="65"/>
      <w:r>
        <w:rPr>
          <w:rFonts w:ascii="Times New Roman;Times;serif" w:hAnsi="Times New Roman;Times;serif"/>
          <w:sz w:val="20"/>
        </w:rPr>
        <w:t>security systems and infrastructure. Our network of ecosystem partners could also be a source of vulnerability to the extent their applications interface with ours, whether unintentionally or through a malicious backdoor. We do not review the software code included in third-party integrations in all instances. Because the techniques used to obtain unauthorized access or to sabotage systems change frequently and generally are not recognized until launched against a target, we or these third parties may be unable to anticipate these techniques or to implement adequate preventative measures. We have internal controls designed to prevent cyber-related frauds related to authorizing the transfer of funds, but such internal controls may not be adequate. With the increasing frequency of cyber-related frauds to obtain inappropriate payments and other threats related to cyber-attacks, we may find it necessary to expend resources to remediate cyber-related incidents or to enhance and strengthen our cybersecurity. Our remediation efforts may not be successful and could result in interruptions, delays or cessation of service.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reputation and business.</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 xml:space="preserve">Our customers provide us with information that our solutions store, some of which may be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such information. The security systems and infrastructure we maintain may not be successful in protecting against all security breaches and cyber-attacks, social-engineering attacks, computer break-ins, theft and other improper activity. Threats to our information technology security can take various forms, including viruses, worms and other malicious software programs that attempt to attack our solutions or platform or to gain access to the data of our customers or their customers. Like other companies, we have on occasion and will continue to experience threats to our data and systems. Any significant data breach could result in the loss of business, litigation and regulatory investigations, loss of customers and fines and penalties that could damage our reputation and brand and adversely affect the growth of our business.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increase in remote working arrangements by our employees, vendors, and other third parties also increases the risk of a data security compromise and the possible attack surfaces. Although we conduct training as part of our information security, cybersecurity, and data privacy efforts, that training cannot be completely effective in preventing those attacks from being successful. There can be no assurance that our cybersecurity risk management program and processes, including our policies, controls, or procedures, will be fully implemented, complied with or effective in protecting our systems and information.</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become involved in material legal proceedings and audits, the outcomes which could adversely affect our business, results of operations, financial condition and cash flows.</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From time to time, we are involved in claims, suits, investigations, audits and proceedings arising in the ordinary course of our business, and we may in the future become involved in legal proceedings and audits that could have a material adverse effect on our business, results of operations, financial condition and cash flows. Claims, suits, investigations, audits and proceedings are inherently difficult to predict and their results are subject to significant uncertainties, many of which are outside of our control. Regardless of the outcome, such legal proceedings could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Further, it may take time to develop factors on which reasonable judgments and estimates can be based. If we fail to establish appropriate reserves, our business could be negatively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Undetected errors, bugs or defects in our software could harm our reputation or decrease market acceptance of our software, which would harm our business and results of operations.</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Our software may contain undetected errors, bugs or defects. We have experienced these errors, bugs or defects in the past in connection with new software and software upgrades and we expect that errors, bugs or defects may be found from time to time in the future in new or enhanced software after their commercial release. Our software is often used in connection with large-scale computing environments with different operating systems, system management software, equipment and networking configurations, which may cause or reveal errors or failures in our software or in the computing environments in which they are deployed. Despite testing by us, errors, bugs or defects may not be found in our software until they are used by our customers. In the past, we have discovered errors, bugs and defects in our software after they have been deployed to customers.</w:t>
      </w:r>
    </w:p>
    <w:p>
      <w:pPr>
        <w:pStyle w:val="TextBody"/>
        <w:bidi w:val="0"/>
        <w:spacing w:before="0" w:after="240"/>
        <w:ind w:left="0" w:right="0" w:firstLine="341"/>
        <w:jc w:val="both"/>
        <w:rPr>
          <w:rFonts w:ascii="Times New Roman;Times;serif" w:hAnsi="Times New Roman;Times;serif"/>
          <w:sz w:val="20"/>
        </w:rPr>
      </w:pPr>
      <w:bookmarkStart w:id="66" w:name="page39"/>
      <w:bookmarkEnd w:id="66"/>
      <w:r>
        <w:rPr>
          <w:rFonts w:ascii="Times New Roman;Times;serif" w:hAnsi="Times New Roman;Times;serif"/>
          <w:sz w:val="20"/>
        </w:rPr>
        <w:t>Any errors, bugs, defects, disruptions in service or other performance problems with our software may damage our customers' businesses and could hurt our reputation, brand and business. We may also be required, or may choose, for customer relations or other reasons, to expend additional resources to correct actual or perceived errors, bugs or defects in our software. If errors, bugs or defects are detected or perceived to exist in our software, we may experience negative publicity, loss of competitive position or diversion of the attention of our key personnel, our customers may delay or withhold payment to us or elect not to renew their subscriptions, or other significant customer relations problems may arise. We may also be subject to liability claims for damages related to errors, bugs or defects in our software. A material liability claim or other occurrence that harms our reputation or decreases market acceptance of our software may harm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software utilizes open-source software, and any defects or security vulnerabilities in the open-source software could negatively affect our business.</w:t>
      </w:r>
    </w:p>
    <w:p>
      <w:pPr>
        <w:pStyle w:val="TextBody"/>
        <w:bidi w:val="0"/>
        <w:spacing w:before="0" w:after="240"/>
        <w:ind w:left="0" w:right="0" w:firstLine="346"/>
        <w:jc w:val="both"/>
        <w:rPr>
          <w:rFonts w:ascii="Times New Roman;Times;serif" w:hAnsi="Times New Roman;Times;serif"/>
          <w:sz w:val="20"/>
        </w:rPr>
      </w:pPr>
      <w:r>
        <w:rPr>
          <w:rFonts w:ascii="Times New Roman;Times;serif" w:hAnsi="Times New Roman;Times;serif"/>
          <w:sz w:val="20"/>
        </w:rPr>
        <w:t>Certain of our software employs open-source software and we expect to use open-source software in the future. To the extent that our software depends upon the successful operation of open-source software, any undetected errors or defects in this open-source software could prevent the deployment or impair the functionality of our software, delay the introduction of new solutions, result in a failure of our software, and injure our reputation. For example, undetected errors or defects in open-source software could render it vulnerable to breaches or security attacks, and, in conjunction, make our systems more vulnerable to data breaches.</w:t>
      </w:r>
    </w:p>
    <w:p>
      <w:pPr>
        <w:pStyle w:val="TextBody"/>
        <w:bidi w:val="0"/>
        <w:spacing w:before="0" w:after="240"/>
        <w:ind w:left="0" w:right="0" w:firstLine="346"/>
        <w:jc w:val="both"/>
        <w:rPr>
          <w:rFonts w:ascii="Times New Roman;Times;serif" w:hAnsi="Times New Roman;Times;serif"/>
          <w:sz w:val="20"/>
        </w:rPr>
      </w:pPr>
      <w:r>
        <w:rPr>
          <w:rFonts w:ascii="Times New Roman;Times;serif" w:hAnsi="Times New Roman;Times;serif"/>
          <w:sz w:val="20"/>
        </w:rPr>
        <w:t>In addition, the terms of various open-source licenses have not been interpreted by U.S. courts, and there is a risk that such licenses could be construed in a manner that imposes unanticipated conditions or restrictions on our ability to market certain of our software solutions. Some open-source licenses might require us to make our source code available for no cost, to make publicly available source code for modifications or derivative works that we create based upon, incorporating or using the open-source software, and/or to license such modifications or derivative works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third-party data centers, systems and technologies to operate our business, and interruptions or performance problems with these third-party providers may adversely affect our business and results of operations.</w:t>
      </w:r>
    </w:p>
    <w:p>
      <w:pPr>
        <w:pStyle w:val="TextBody"/>
        <w:bidi w:val="0"/>
        <w:spacing w:before="0" w:after="0"/>
        <w:ind w:left="0" w:right="0" w:firstLine="348"/>
        <w:jc w:val="both"/>
        <w:rPr>
          <w:rFonts w:ascii="Times New Roman;Times;serif" w:hAnsi="Times New Roman;Times;serif"/>
          <w:sz w:val="20"/>
        </w:rPr>
      </w:pPr>
      <w:r>
        <w:rPr>
          <w:rFonts w:ascii="Times New Roman;Times;serif" w:hAnsi="Times New Roman;Times;serif"/>
          <w:sz w:val="20"/>
        </w:rPr>
        <w:t xml:space="preserve">We rely on data centers and other technologies and services provided by third parties in order to operate our business. If any of these services becomes unavailable or otherwise is unable to serve our requirements, there could be interruptions to our software and provision of services to our customers. Our business depends on our ability to protect the growing amount of information stored in data centers and related systems, offices and hosting facilities against damage from earthquakes, floods, fires, other extreme weather conditions, power loss, telecommunications failures, hardware failures, viruses, terrorist attacks, acts of war, unauthorized electronic or physical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disruptions to our operations or damage to our important facilities. Our data center providers have no obligations to renew their agreements with us on commercially reasonable terms, or at all, and it is possible that we will not be able to switch our operations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another provider in a timely and cost-effective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pStyle w:val="TextBody"/>
        <w:bidi w:val="0"/>
        <w:spacing w:before="0" w:after="240"/>
        <w:ind w:left="0" w:right="0" w:firstLine="348"/>
        <w:jc w:val="both"/>
        <w:rPr>
          <w:rFonts w:ascii="Times New Roman;Times;serif" w:hAnsi="Times New Roman;Times;serif"/>
          <w:sz w:val="20"/>
        </w:rPr>
      </w:pPr>
      <w:bookmarkStart w:id="67" w:name="page40"/>
      <w:bookmarkEnd w:id="67"/>
      <w:r>
        <w:rPr>
          <w:rFonts w:ascii="Times New Roman;Times;serif" w:hAnsi="Times New Roman;Times;serif"/>
          <w:sz w:val="20"/>
        </w:rPr>
        <w:t>We also rely on computer hardware purchased or leased from, software licensed from, content licensed from and services provided by a variety of third parties, which include database, operating system, virtualization software, tax requirement content and geolocation content and services. Any errors, bugs or defects in such third-party hardware, software, content or services could result in errors or a failure of our solutions, which could harm our business. In the future, we might need to license other hardware, software, content or services to enhance our solutions and meet evolving customer requirements. Any inability to license or otherwise obtain such hardware or software could result in a reduction in functionality, or errors or failures of our products, until equivalent technology is either developed by us or, if available, is identified, obtained through purchase or license, and integrated into our solutions, any of which may reduce demand for our solutions and increase our expenses. In addition, third-party licenses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harm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dependent upon the proper functioning of our business processes and information systems, and modification or interruption of such systems may disrupt our business, processes and internal controls.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upon internal processes and information systems to support key business functions, including our assessment of internal controls over financial reporting as required by Section 404 of the Sarbanes-Oxley Act. The efficient operation of these processes and systems is critical, and these processes and systems need to be scalable to support our growth. Our ERP system integrates multiple business areas and other systems across the organization. Any issues, problems, and errors in the operation of the ERP system or the other connected systems may impact our continued ability to successfully operate our business or to timely and accurately report our financial results. In addition, failure of the controls governing the operation of our ERP system could harm our results of operations or cause us to fail to meet our reporting obligations.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effectively protect, maintain and enhance our brand, our business may suffer.</w:t>
      </w:r>
    </w:p>
    <w:p>
      <w:pPr>
        <w:pStyle w:val="TextBody"/>
        <w:bidi w:val="0"/>
        <w:spacing w:before="0" w:after="240"/>
        <w:ind w:left="0" w:right="0" w:firstLine="341"/>
        <w:jc w:val="both"/>
        <w:rPr>
          <w:rFonts w:ascii="Times New Roman;Times;serif" w:hAnsi="Times New Roman;Times;serif"/>
          <w:sz w:val="20"/>
        </w:rPr>
      </w:pPr>
      <w:r>
        <w:rPr>
          <w:rFonts w:ascii="Times New Roman;Times;serif" w:hAnsi="Times New Roman;Times;serif"/>
          <w:sz w:val="20"/>
        </w:rPr>
        <w:t>As a leader in our industry for over 40 years, our brand is one of our most valuable assets, and any failure to protect our brand could cause our business to suffer. In addition, the promotion of our brand requires us to make substantial expenditures, and we anticipate that the expenditures will increase as our market becomes more competitive and as we expand into new regions. The demand for and cost of online and traditional advertising have been increasing and may continue to increase. Our brand promotion efforts will require investment not just in our indirect tax solutions, but also in our full suite of software and services.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new customers, all of which would adversely affect our business, results of operations, financial condition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pStyle w:val="TextBody"/>
        <w:bidi w:val="0"/>
        <w:spacing w:before="0" w:after="0"/>
        <w:ind w:left="0" w:right="0" w:firstLine="348"/>
        <w:jc w:val="both"/>
        <w:rPr>
          <w:rFonts w:ascii="Times New Roman;Times;serif" w:hAnsi="Times New Roman;Times;serif"/>
          <w:sz w:val="20"/>
        </w:rPr>
      </w:pPr>
      <w:r>
        <w:rPr>
          <w:rFonts w:ascii="Times New Roman;Times;serif" w:hAnsi="Times New Roman;Times;serif"/>
          <w:sz w:val="20"/>
        </w:rPr>
        <w:t xml:space="preserve">We perform a number of critical business functions for our customers, including remittance of the taxes our customers owe to taxing authorities. Our electronic payment of customers' taxes may be subject to federal or state laws or regulations relating to money transmission. The Federal Bank Secrecy Act requires that financial institutions, of which money transmitters are a subset, register with the U.S. Department of Treasury's Financial Crimes Enforcement Network and maintain policies and procedures reasonably designed to monitor, identify, report and, where possible, avoid money laundering and criminal or terrorist financing by customers. Most U.S. states also have laws that apply to money transmitters, and impose various licensure, examination and bonding requirements on them. We believe these federal and state laws and regulations were not intended to cover the business activity of remitting transaction taxes that taxpayers owe to the various states and localities. However, if federal or state regulators were to apply these laws and regulations to this business activity, whether through expansion of enforcement activities, new interpretations of the scope of certain of these laws or regulations or of available exemptions, or if our activities are held by a court to be covered by such laws or regulations, we could be required to expend time, money and other resources to deal with enforcement actions and any penalties that might be asserted, to institute and maintain a compliance program specific to money transmission laws,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8" w:name="page41"/>
      <w:bookmarkEnd w:id="68"/>
      <w:r>
        <w:rPr>
          <w:rFonts w:ascii="Times New Roman;Times;serif" w:hAnsi="Times New Roman;Times;serif"/>
          <w:sz w:val="20"/>
        </w:rPr>
        <w:t>possibly to change aspects of how we conduct our business to achieve compliance or minimize regulation. Application of these laws to our business could also make it more difficult or costly for us to maintain our banking relationships. Financial institutions may also be unwilling to provide banking services to us due to concerns about the large dollar volume moving in and out of our accounts on behalf of our customers in the ordinary course of our business. As we continue to expand the solutions we offer and the jurisdictions in which we offer them, we could become subject to other licensing, examination or regulatory requirements relating to financial services.</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Determining the taxes owed by our customers involves providing solutions tailored to the types and prices of products our customers sell, as well as information regarding addresses that products are shipped from and delivered to. Numerous federal, state and local laws and regulations govern the collection, dissemination, use and safeguarding of personal information and other data, the scope of which is changing, subject to differing interpretations, and which may be costly to comply with, inconsistent between jurisdictions or conflicting with other rules. We may be subject to these laws in certain circumstances. Most states have also adopted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A failure on our part to safeguard consumer data adequately or to destroy data securely may subject us, depending on the personal information in question, to costs associated with notice and remediation, as well as to potential regulatory investigations or enforcement actions, and possibly to civil liability, under federal or state data security or unfair practices or consumer protection laws. If federal or state regulators were to expand their enforcement activities or change their interpretation of the applicability of these laws, or if new laws regarding privacy and protection of consumer data were to be adopted, the burdens and costs of complying with them could increase significantly, negatively affecting our results of operations and possibly the manner in which we conduct our business. For example, the European Union's General Data Protection Regulation requires certain operational changes for companies that receive or process personal data of residents of the EU and includes significant penalties for noncompliance. In addition, other governmental authorities around the world are considering implementing similar types of legislative and regulatory proposals concerning data protection. We may incur significant costs to comply with these mandatory privacy and security standards.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economic conditions worsen, it may negatively affect our business and financial performance.</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Our financial performance depends, in part, on the state of the economy, both in the U.S. and globally. Declining levels of economic activity may lead to declines in spending and customer revenue, which may result in decreased revenue for us. Concern about the strength of the economy, or the economic uncertainty created by the changing legal, regulatory, or taxation landscape in the United States, may slow the rate at which businesses of all sizes are willing to hire an outside vendor to perform the determination and remittance of their transaction taxes and filing of related returns. If our customers and potential customers experience financial hardship as a result of a weak or uncertain economy, industry consolidation or other factors, the overall demand for our solutions could decrease. If economic conditions worsen, our business, results of operations, financial condition and cash flows could be harmed. There is no guarantee that we will be able to offset inflationary pressure through price increases, and a sustained increase in inflation could have an adverse impact on our operating expenses our business, results of operations, financial condition and cash flows. The extent of these effects on our business and financial results will depend largely on future developments, which are highly uncertain and cannot be predicted.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Natural disasters, epidemic or pandemic outbreaks, terrorist acts and political events could disrupt business and result in lower sales and otherwise have a material adverse effect on our business, financial performance and results of operations.</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The occurrence of one or more major natural disasters, unusual weather conditions, epidemic or pandemic outbreaks, terrorist attacks or disruptive political events, each of which is out of our control, may result in reduced consumer and supplier spending and transactions, which in turn could cause our revenues to decline and our business to suffer. Natural disasters including tornados, hurricanes, floods and earthquakes may damage the facilities of our customers or those of their suppliers or retailers or their other operations, which could lead to reduced revenue for our customers and thus could result in declines in our revenue that is aligned with customer transaction volume. In addition, a global epidemic or pandemic outbreak may have a material adverse effect on global economic conditions, consumer spending and the stability of global financial markets. Similarly, terrorist attacks or disruptive political events, such as the imposition of retaliatory tariffs or governmental trade or price manipulation, could cause our customers, or their customers, to defer spending plans or otherwise reduce their economic activity. If any of the foregoing risks were to be realized, it could have a material adverse effect on our business, financial performance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anti-corruption, anti-bribery and similar laws and noncompliance with such laws can subject us to criminal penalties or significant fines and harm our business and reputation.</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We are subject to requirements under the U.S. Treasury Department's Office of Foreign Assets Control, anti-corruption, anti-bribery and similar laws, such as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operations,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financial condition and cash flows.</w:t>
      </w:r>
    </w:p>
    <w:p>
      <w:pPr>
        <w:pStyle w:val="TextBody"/>
        <w:bidi w:val="0"/>
        <w:spacing w:before="0" w:after="240"/>
        <w:ind w:left="0" w:right="0" w:firstLine="351"/>
        <w:jc w:val="both"/>
        <w:rPr>
          <w:rFonts w:ascii="Times New Roman;Times;serif" w:hAnsi="Times New Roman;Times;serif"/>
          <w:sz w:val="20"/>
        </w:rPr>
      </w:pPr>
      <w:bookmarkStart w:id="69" w:name="page43"/>
      <w:bookmarkEnd w:id="69"/>
      <w:r>
        <w:rPr>
          <w:rFonts w:ascii="Times New Roman;Times;serif" w:hAnsi="Times New Roman;Times;serif"/>
          <w:sz w:val="20"/>
        </w:rPr>
        <w:t>In addition, in the future we may use third parties to sell access to our software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results of operations and financial condition.</w:t>
      </w:r>
    </w:p>
    <w:p>
      <w:pPr>
        <w:pStyle w:val="TextBody"/>
        <w:bidi w:val="0"/>
        <w:spacing w:before="0" w:after="240"/>
        <w:ind w:left="0" w:right="0" w:firstLine="341"/>
        <w:jc w:val="both"/>
        <w:rPr>
          <w:rFonts w:ascii="Times New Roman;Times;serif" w:hAnsi="Times New Roman;Times;serif"/>
          <w:sz w:val="20"/>
        </w:rPr>
      </w:pPr>
      <w:r>
        <w:rPr>
          <w:rFonts w:ascii="Times New Roman;Times;serif" w:hAnsi="Times New Roman;Times;serif"/>
          <w:sz w:val="20"/>
        </w:rPr>
        <w:t>Any violation of economic and trade sanction laws, export and import laws, the FCPA or other applicable anti-corruption laws or anti-money laundering laws could also result in whistleblower complaints, adverse media coverage, investigations and severe criminal or civil sanctions, any of which could have a materially adverse effect on our reputation, business,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protect our intellectual property is limited, and we may be subject to claims of infringement by third parties.</w:t>
      </w:r>
    </w:p>
    <w:p>
      <w:pPr>
        <w:pStyle w:val="TextBody"/>
        <w:bidi w:val="0"/>
        <w:spacing w:before="0" w:after="240"/>
        <w:ind w:left="0" w:right="0" w:firstLine="351"/>
        <w:jc w:val="both"/>
        <w:rPr>
          <w:rFonts w:ascii="Times New Roman;Times;serif" w:hAnsi="Times New Roman;Times;serif"/>
          <w:sz w:val="20"/>
        </w:rPr>
      </w:pPr>
      <w:r>
        <w:rPr>
          <w:rFonts w:ascii="Times New Roman;Times;serif" w:hAnsi="Times New Roman;Times;serif"/>
          <w:sz w:val="20"/>
        </w:rPr>
        <w:t>Our success depends, in part, upon our proprietary technology, processes, trade secrets, and other proprietary information and our ability to protect this information from unauthorized disclosure and use. We primarily rely upon a combination of copyright, trademark and trade secret laws, as well as confidentiality procedures, contractual provisions and other similar measures to protect our proprietary or confidential information and intellectual property. Our trademarks and service marks include VERTEX™ and O Series™, which is our flagship indirect tax solution. Despite our efforts to protect our proprietary rights and intellectual property, unauthorized parties may attempt to copy aspects of our solutions or to obtain and use information that we regard as proprietary, and third parties may attempt to independently develop similar technology, policing unauthorized use of our technology and intellectual property rights may be difficult and may not be effective.</w:t>
      </w:r>
    </w:p>
    <w:p>
      <w:pPr>
        <w:pStyle w:val="TextBody"/>
        <w:bidi w:val="0"/>
        <w:spacing w:before="0" w:after="0"/>
        <w:ind w:left="0" w:right="0" w:firstLine="351"/>
        <w:jc w:val="both"/>
        <w:rPr>
          <w:rFonts w:ascii="Times New Roman;Times;serif" w:hAnsi="Times New Roman;Times;serif"/>
          <w:sz w:val="20"/>
        </w:rPr>
      </w:pPr>
      <w:r>
        <w:rPr>
          <w:rFonts w:ascii="Times New Roman;Times;serif" w:hAnsi="Times New Roman;Times;serif"/>
          <w:sz w:val="20"/>
        </w:rPr>
        <w:t xml:space="preserve">In addition, third parties may claim infringement by us with respect to current or future solutions or other intellectual property rights. The software and technology industries are characterized by the existence of a large number of patents, trademarks and copyrights and by frequent litigation based on allegations of infringement or other violations of intellectual property rights. The outcome of any claims or litigation, regardless of the merits, is inherently uncertain. Any claims and lawsuits to enforce our intellectual property rights or to defend ourselves against claims of infringement of third-party intellectual property rights, and the disposition of such claims and lawsuits, whether through settlement or licensing discussions, or litigation, could be time-consuming and expensive to resolve, divert management attention from executing our strategies, result in efforts to enjoin our activities, lead to attempts on the part of other parties to pursue similar claims, and, in the case of intellectual property claims, require us to change our technology, change our business practices, pay monetary damages, or enter into short- or long-term royalty or licensing agreements. Any adverse determination 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intellectual property claims or other litigation could prevent us from offering our solutions to others, could be material to our financial condition or cash flows, or both, or could otherwise harm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obtain additional capital on commercially reasonable terms may be limited.</w:t>
      </w:r>
    </w:p>
    <w:p>
      <w:pPr>
        <w:pStyle w:val="TextBody"/>
        <w:bidi w:val="0"/>
        <w:spacing w:before="0" w:after="240"/>
        <w:ind w:left="0" w:right="0" w:firstLine="348"/>
        <w:jc w:val="both"/>
        <w:rPr>
          <w:rFonts w:ascii="Times New Roman;Times;serif" w:hAnsi="Times New Roman;Times;serif"/>
          <w:sz w:val="20"/>
        </w:rPr>
      </w:pPr>
      <w:bookmarkStart w:id="70" w:name="page44"/>
      <w:bookmarkEnd w:id="70"/>
      <w:r>
        <w:rPr>
          <w:rFonts w:ascii="Times New Roman;Times;serif" w:hAnsi="Times New Roman;Times;serif"/>
          <w:sz w:val="20"/>
        </w:rPr>
        <w:t>We intend to continue to make investments to support our business growth and may require additional funds, beyond those generated by our initial public offering or available under our existing credit facility, to respond to business challenges, including to better support and serve our customers, develop new software or enhance our existing solutions, expand our tax content,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disclosure controls and internal control over financial reporting, or fail to remediate any material weaknesses in our internal controls over financial reporting, our ability to produce timely and accurate financial statements or comply with applicable regulations could be impaired.</w:t>
      </w:r>
    </w:p>
    <w:p>
      <w:pPr>
        <w:pStyle w:val="TextBody"/>
        <w:bidi w:val="0"/>
        <w:spacing w:before="0" w:after="240"/>
        <w:ind w:left="0" w:right="0" w:firstLine="346"/>
        <w:jc w:val="both"/>
        <w:rPr>
          <w:rFonts w:ascii="Times New Roman;Times;serif" w:hAnsi="Times New Roman;Times;serif"/>
          <w:sz w:val="20"/>
        </w:rPr>
      </w:pPr>
      <w:r>
        <w:rPr>
          <w:rFonts w:ascii="Times New Roman;Times;serif" w:hAnsi="Times New Roman;Times;serif"/>
          <w:sz w:val="20"/>
        </w:rPr>
        <w:t>Ensuring that we have adequate internal financial and accounting controls and procedures in place to produce accurate financial statements on a timely basis is a costly and time-consuming effort that needs to be re-evaluated frequently. 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before="0" w:after="0"/>
        <w:ind w:left="0" w:right="0" w:firstLine="351"/>
        <w:jc w:val="both"/>
        <w:rPr>
          <w:rFonts w:ascii="Times New Roman;Times;serif" w:hAnsi="Times New Roman;Times;serif"/>
          <w:sz w:val="20"/>
        </w:rPr>
      </w:pPr>
      <w:r>
        <w:rPr>
          <w:rFonts w:ascii="Times New Roman;Times;serif" w:hAnsi="Times New Roman;Times;serif"/>
          <w:sz w:val="20"/>
        </w:rPr>
        <w:t>If we identify any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pStyle w:val="TextBody"/>
        <w:bidi w:val="0"/>
        <w:spacing w:lineRule="auto" w:line="300" w:before="0" w:after="0"/>
        <w:ind w:left="0" w:right="380" w:hanging="0"/>
        <w:jc w:val="both"/>
        <w:rPr/>
      </w:pPr>
      <w:r>
        <w:rPr/>
        <w:t>​</w:t>
      </w:r>
    </w:p>
    <w:p>
      <w:pPr>
        <w:pStyle w:val="TextBody"/>
        <w:bidi w:val="0"/>
        <w:spacing w:before="0" w:after="240"/>
        <w:ind w:left="0" w:right="0" w:hanging="0"/>
        <w:jc w:val="both"/>
        <w:rPr>
          <w:rFonts w:ascii="Times New Roman;Times;serif" w:hAnsi="Times New Roman;Times;serif"/>
          <w:b/>
          <w:i/>
          <w:sz w:val="20"/>
        </w:rPr>
      </w:pPr>
      <w:bookmarkStart w:id="71" w:name="page48"/>
      <w:bookmarkStart w:id="72" w:name="page47"/>
      <w:bookmarkStart w:id="73" w:name="page46"/>
      <w:bookmarkStart w:id="74" w:name="page45"/>
      <w:bookmarkEnd w:id="71"/>
      <w:bookmarkEnd w:id="72"/>
      <w:bookmarkEnd w:id="73"/>
      <w:bookmarkEnd w:id="74"/>
      <w:r>
        <w:rPr>
          <w:rFonts w:ascii="Times New Roman;Times;serif" w:hAnsi="Times New Roman;Times;serif"/>
          <w:b/>
          <w:i/>
          <w:sz w:val="20"/>
        </w:rPr>
        <w:t>The price of our Class A common stock may fluctuate significantly, and you could lose all or part of your investment.</w:t>
      </w:r>
    </w:p>
    <w:p>
      <w:pPr>
        <w:pStyle w:val="TextBody"/>
        <w:bidi w:val="0"/>
        <w:spacing w:before="0" w:after="240"/>
        <w:ind w:left="0" w:right="0" w:firstLine="348"/>
        <w:jc w:val="both"/>
        <w:rPr>
          <w:rFonts w:ascii="Times New Roman;Times;serif" w:hAnsi="Times New Roman;Times;serif"/>
          <w:sz w:val="20"/>
        </w:rPr>
      </w:pPr>
      <w:r>
        <w:rPr>
          <w:rFonts w:ascii="Times New Roman;Times;serif" w:hAnsi="Times New Roman;Times;serif"/>
          <w:sz w:val="20"/>
        </w:rPr>
        <w:t>The market price of our Class A common stock is likely to be volatile and could be subject to wide fluctuations in response to many risk factors listed in this section, and others beyond our control, including:</w:t>
      </w:r>
    </w:p>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results of operations and financial condition;</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variance in our financial performance from expectations of securities analysts;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software subscription revenue;</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projected operating and financial results;</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or regulations;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business developments, acquisitions or new offerings;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any litigation;</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 of our Class A common stock or other securities in the future;</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 or key personnel;</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Class A common stock;</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anticipated future size and growth rate of our market; and</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regulatory and market conditions.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stock markets have historically experienced price and volume fluctuations that at times have been extreme and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If the market price of our Class A common stock falls below your investment price, you may lose some or all of your investment.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 </w:t>
      </w:r>
    </w:p>
    <w:p>
      <w:pPr>
        <w:pStyle w:val="TextBody"/>
        <w:bidi w:val="0"/>
        <w:spacing w:before="0" w:after="240"/>
        <w:ind w:left="0" w:right="0" w:hanging="0"/>
        <w:jc w:val="both"/>
        <w:rPr>
          <w:rFonts w:ascii="Times New Roman;Times;serif" w:hAnsi="Times New Roman;Times;serif"/>
          <w:b/>
          <w:i/>
          <w:sz w:val="20"/>
        </w:rPr>
      </w:pPr>
      <w:bookmarkStart w:id="75" w:name="page51"/>
      <w:bookmarkStart w:id="76" w:name="page50"/>
      <w:bookmarkStart w:id="77" w:name="page49"/>
      <w:bookmarkEnd w:id="75"/>
      <w:bookmarkEnd w:id="76"/>
      <w:bookmarkEnd w:id="77"/>
      <w:r>
        <w:rPr>
          <w:rFonts w:ascii="Times New Roman;Times;serif" w:hAnsi="Times New Roman;Times;serif"/>
          <w:b/>
          <w:i/>
          <w:sz w:val="20"/>
        </w:rPr>
        <w:t>We are a “controlled company” within the meaning of the NASDAQ Rules and, as a result, expect to qualify for, and intend to rely on, exemptions from certain corporate governance requirements. You will not have the same protections afforded to stockholders of companies that are subject to such requirements.</w:t>
      </w:r>
    </w:p>
    <w:p>
      <w:pPr>
        <w:pStyle w:val="TextBody"/>
        <w:bidi w:val="0"/>
        <w:spacing w:before="0" w:after="240"/>
        <w:ind w:left="0" w:right="0" w:firstLine="341"/>
        <w:jc w:val="both"/>
        <w:rPr>
          <w:rFonts w:ascii="Times New Roman;Times;serif" w:hAnsi="Times New Roman;Times;serif"/>
          <w:sz w:val="20"/>
        </w:rPr>
      </w:pPr>
      <w:r>
        <w:rPr>
          <w:rFonts w:ascii="Times New Roman;Times;serif" w:hAnsi="Times New Roman;Times;serif"/>
          <w:sz w:val="20"/>
        </w:rPr>
        <w:t>Our current principal stockholders beneficially own a majority of the combined voting power of all classes of our outstanding voting stock; thus, we are a controlled company within the meaning of the NASDAQ Rules, which state a company with more than 50% of the voting power held by another person or group of persons acting together is a controlled company and may elect not to comply with certain corporate governance requirements, including the requirements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board of directors consist of independent directors as defined under the rules of the NASDAQ Global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be composed entirely of independent directors with a written charter addressing the committee's purpose and responsibilities;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composed entirely of independent directors with a written charter addressing the committee's purpose and responsibilities.</w:t>
            </w:r>
          </w:p>
        </w:tc>
      </w:tr>
    </w:tbl>
    <w:p>
      <w:pPr>
        <w:pStyle w:val="TextBody"/>
        <w:bidi w:val="0"/>
        <w:spacing w:before="0" w:after="240"/>
        <w:ind w:left="0" w:right="0" w:firstLine="341"/>
        <w:jc w:val="both"/>
        <w:rPr>
          <w:rFonts w:ascii="Times New Roman;Times;serif" w:hAnsi="Times New Roman;Times;serif"/>
          <w:sz w:val="20"/>
        </w:rPr>
      </w:pPr>
      <w:r>
        <w:rPr>
          <w:rFonts w:ascii="Times New Roman;Times;serif" w:hAnsi="Times New Roman;Times;serif"/>
          <w:sz w:val="20"/>
        </w:rPr>
        <w:t>These requirements will not apply to us as long as we remain a controlled company. We have in the past and may in the future rely on the exemptions afforded to a “controlled company” from the corporate governance requirements described above. Accordingly, you may not have the same protections afforded to stockholders of companies that are subject to all of the corporate governance requirements of the NASDAQ Global Market.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Our indebtedness and liabilities could limit the cash flow available for our operations, expose us to risks that could adversely affect our business, financial condition and results of operations and impair our ability to satisfy our obligations under our indebtedness.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April 2024, we incurred $345.0 million aggregate principal amount of indebtedness as a result of the issuance of the Company’s 0.750% Convertible Senior Notes due 2029 (the “Notes”). As of December 31, 2024, we had approximately $923.4 million of indebtedness, excluding indebtedness of our subsidiaries and intercompany liabilities. We may also incur additional indebtedness to meet future financing needs. Our indebtedness could have significant negative consequences for our security holders and our business, results of operations and financial condition by, among other things: </w:t>
      </w:r>
    </w:p>
    <w:p>
      <w:pPr>
        <w:pStyle w:val="TextBody"/>
        <w:bidi w:val="0"/>
        <w:spacing w:before="0" w:after="240"/>
        <w:ind w:left="0" w:right="0" w:firstLine="360"/>
        <w:jc w:val="both"/>
        <w:rPr/>
      </w:pPr>
      <w:r>
        <w:rPr/>
        <w:t>​</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increasing our vulnerability to adverse economic and industry conditions; </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limiting our ability to obtain additional financing;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requiring the dedication of a substantial portion of our cash flow from operations to service our indebtedness, which will reduce the amount of cash available for other purposes; </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limiting our flexibility to plan for, or react to, changes in our business;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diluting the interests of our existing stockholders as a result of issuing shares of our Class A common stock upon conversion of the Notes;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placing us at a possible competitive disadvantage with competitors that are less leveraged than us or have better access to capital. </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business may not generate sufficient funds, and we may otherwise be unable to maintain sufficient cash reserves, to pay amounts due under our indebtedness, including the Notes, and our cash needs may increase in the future. In addition, the Credit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Despite current indebtedness levels, we may incur substantially more debt or take other actions which would further intensify the risks associated with our indebtedness.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and our subsidiaries may be able to incur substantial additional debt in the future, subject to the restrictions contained in our debt instruments, some of which may be secured debt. We will not be restricted under the terms of the indenture governing the Notes (the “Indenture”) from incurring additional debt, securing existing or future debt, recapitalizing our debt or taking a number of other actions that are not limited by the terms of the Indenture that could have the effect of diminishing our ability to make payments on our indebtedness when due. Each of our Line of Credit and Term Loan restricts our ability to incur additional indebtedness, including secured indebtedness, but if the respective facility matures or is repaid, we may not be subject to such restrictions under the terms of any subsequent indebtedness.</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We may be unable to raise the funds necessary to repurchase the Notes for cash following a “fundamental change,” or to pay any cash amounts due upon conversion, and applicable law, regulatory authorities and our other indebtedness may limit our ability to repurchase the Notes or pay cash upon their conversion</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Noteholders may, subject to a limited exception, require us to repurchase their Notes following a “fundamental change” (as described in the Indenture governing the Notes) at a cash repurchase price generally equal to the principal amount of the Notes to be repurchased, plus accrued and unpaid interest, if any, to, but excluding, the fundamental change repurchase date. In addition, upon conversion, we will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Provisions in the Indenture could delay or prevent an otherwise beneficial takeover of us.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Certain provisions in the Notes and the Indenture could make a third party’s attempt to acquire us more difficult or expensive. For example, if a takeover constitutes a “fundamental change” (as described in the Indenture governing the Notes), then noteholders will have the right to require us (or in limited circumstances, such third party) to repurchase their Notes for cash. In addition, if a takeover constitutes a “make-whole fundamental change” (as described in the Indenture governing the Notes), then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noteholders or holders of our Class A common stock may view as favorable. </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The accounting method for the Notes could adversely affect our reported financial condition and results</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August 2020, the Financial Accounting Standards Board (“FASB”) published Accounting Standards Update (“ASU”) 2020-06, which simplifies certain of the accounting standards that apply to convertible notes. In accordance with ASU 2020-06, the Notes are reflected as a liability on our balance sheets, with the initial carrying amount equal to the principal amount of the Notes, net of issuance costs. The issuance costs are treated as a debt discount for accounting purposes, and are amortized into interest expense over the term of the Notes. As a result of this amortization, the interest expense that we recognize for the Notes for accounting purposes is greater than the cash interest payments we pay on the Notes, which results in lower reported income or higher reported loss.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the shares underlying the Notes are reflected in our diluted earnings per share using the “if converted” method, in accordance with ASU 2020-06. Under that method, if the conversion value of the Notes exceeds their principal amount for a reporting period, then we calculate our diluted earnings per share assuming that all of the Notes were converted at the beginning of the reporting period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Notes are not reflected in our diluted earnings per share. The application of the if-converted method may reduce our reported diluted earnings per share, and accounting standards may change in the future in a manner that may adversely affect our diluted earnings per share.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holders of the Notes convert their Notes and could materially reduce our reported working capital.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The Capped Call Transactions may affect the value of our Class A common stock.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pricing of the Notes, we entered into Capped Call Transactions (as defined in Note 10, “Debt” to our consolidated financial statements beginning on page F-1 of this Annual Report on Form 10-K) with certain Option Counterparties (also defined in Note 10, “Debt”). The Capped Call Transactions are expected generally to reduce the potential dilution upon any conversion of the Notes and/or offset any cash payments we are required to make in excess of the principal amount of converted Notes, as the case may be, with such reduction and/or offset subject to a cap.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Notes (and are likely to do so during any observation period related to a conversion of Notes). This activity could also cause or avoid an increase or a decrease in the market price of our Class A common stock.</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if any such Capped Call Transactions are terminated for any reason, the Option Counterparties or their respective affiliates may unwind their hedge positions with respect to our Class A common stock, which could adversely affect the value of our Class A common stock.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Furthermore, the Option Counterparties are financial institutions, and we will be subject to the risk that any or all of them might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We can provide no assurances as to the financial stability or viability of the Option Counterparties.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 w:name="Item1BUnresolvedStaffComments_657055"/>
      <w:bookmarkStart w:id="79" w:name="_048f3a56_cfee_42c1_ac83_90217a4087e5"/>
      <w:bookmarkEnd w:id="78"/>
      <w:bookmarkEnd w:id="79"/>
      <w:r>
        <w:rPr>
          <w:rFonts w:ascii="Times New Roman;Times;serif" w:hAnsi="Times New Roman;Times;serif"/>
          <w:b/>
          <w:sz w:val="20"/>
        </w:rPr>
        <w:t>Item 1B.   Unresolved Staff Comments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0" w:name="Item1C"/>
      <w:bookmarkStart w:id="81" w:name="_21e0a2db_2e94_4609_aa87_b1732c581c51"/>
      <w:bookmarkEnd w:id="80"/>
      <w:bookmarkEnd w:id="81"/>
      <w:r>
        <w:rPr>
          <w:rFonts w:ascii="Times New Roman;Times;serif" w:hAnsi="Times New Roman;Times;serif"/>
          <w:b/>
          <w:sz w:val="20"/>
        </w:rPr>
        <w:t xml:space="preserve">Item 1C.   Cybersecurity Disclosures </w:t>
      </w:r>
    </w:p>
    <w:p>
      <w:pPr>
        <w:pStyle w:val="TextBody"/>
        <w:bidi w:val="0"/>
        <w:spacing w:before="0" w:after="0"/>
        <w:ind w:left="0" w:right="0" w:hanging="0"/>
        <w:jc w:val="left"/>
        <w:rPr>
          <w:rFonts w:ascii="Times New Roman;Times;serif" w:hAnsi="Times New Roman;Times;serif"/>
          <w:b/>
          <w:sz w:val="20"/>
        </w:rPr>
      </w:pPr>
      <w:bookmarkStart w:id="82" w:name="_Hlk143111593"/>
      <w:bookmarkEnd w:id="82"/>
      <w:r>
        <w:rPr>
          <w:rFonts w:ascii="Times New Roman;Times;serif" w:hAnsi="Times New Roman;Times;serif"/>
          <w:b/>
          <w:sz w:val="20"/>
        </w:rPr>
        <w:t xml:space="preserve">Cybersecurity Risk Management and Strategy </w:t>
      </w:r>
    </w:p>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cybersecurity risk management initiative is a cornerstone of our information security program, which includes a cross-functional management team with representatives from Legal, Enterprise Risk Management, Information Security, Information Technology, and Engineering.  The cybersecurity risk management work is directed by the Enterprise Risk Management Team in collaboration with the Information Security Team and is intended to protect the confidentiality, integrity, and availability of our critical systems and information. Our information security program includes a cybersecurity incident response plan and playbook.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designed and assessed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cybersecurity risk management initiative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cybersecurity risk management initiative includes:</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designed to help identify material cybersecurity risks to our critical systems, information, products, services, and our broader enterprise IT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risk management team responsible for managing our cybersecurity risk assessment processes and acts as a check and balance on our information security team which is responsible for maintaining, monitoring, and updating our security controls as well as managing our response to cybersecurity incidents;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where appropriate, to assess, test or otherwise assist with aspects of our security controls;</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awareness training of our employees, incident response personnel, and senior management;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incident response plan and playbook that includes procedures for responding to cybersecurity incidents; and</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third-party risk management process for service providers, suppliers, and vendors.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1A.“Risk Factors – We are exposed to cybersecurity and data privacy risks that, if realized, could expose us to legal liability, damage our reputation, and harm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Cybersecurity Governance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Board of Directors (the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Committee receives quarterly reports from management on our cybersecurity risks. In addition, management updates the Committee, as necessary, regarding any cybersecurity incidents. </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Committee reports to the full Board regarding its activities, including those related to cybersecurity. The full Board also receives briefings from management on our cybersecurity risk management program. Board members receive presentations on cybersecurity topics from our General Counsel, internal security staff, or external experts as part of the Board’s continuing education on topics that impact public companies.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Calibri;Helvetica;sans-serif" w:hAnsi="Calibri;Helvetica;sans-serif"/>
          <w:sz w:val="22"/>
        </w:rPr>
      </w:pPr>
      <w:r>
        <w:rPr>
          <w:rFonts w:ascii="Times New Roman;Times;serif" w:hAnsi="Times New Roman;Times;serif"/>
          <w:sz w:val="20"/>
        </w:rPr>
        <w:t>Our Chief Operating Officer and General Counsel</w:t>
      </w:r>
      <w:r>
        <w:rPr>
          <w:rFonts w:ascii="Calibri;Helvetica;sans-serif" w:hAnsi="Calibri;Helvetica;sans-serif"/>
          <w:sz w:val="22"/>
        </w:rPr>
        <w:t xml:space="preserve"> </w:t>
      </w:r>
      <w:r>
        <w:rPr>
          <w:rFonts w:ascii="Times New Roman;Times;serif" w:hAnsi="Times New Roman;Times;serif"/>
          <w:sz w:val="20"/>
        </w:rPr>
        <w:t>manage the cybersecurity risk management program. The Vertex Executive Leadership Team has oversight over their management and the program. Our Chief Operating Officer is responsible for managing and mitigating our material risks from cybersecurity threats. His team of information security professionals manage our internal cybersecurity personnel and our retained external cybersecurity consultants.</w:t>
      </w:r>
      <w:r>
        <w:rPr>
          <w:rFonts w:ascii="Calibri;Helvetica;sans-serif" w:hAnsi="Calibri;Helvetica;sans-serif"/>
          <w:sz w:val="22"/>
        </w:rPr>
        <w:t xml:space="preserve"> </w:t>
      </w:r>
      <w:r>
        <w:rPr>
          <w:rFonts w:ascii="Times New Roman;Times;serif" w:hAnsi="Times New Roman;Times;serif"/>
          <w:sz w:val="20"/>
        </w:rPr>
        <w:t>Our Chief Operating Officer has over twenty-five years of leadership experience in global business operations, including information security and compliance. Our General Counsel has overall management responsibility of cybersecurity risks.</w:t>
      </w:r>
      <w:r>
        <w:rPr>
          <w:rFonts w:ascii="Calibri;Helvetica;sans-serif" w:hAnsi="Calibri;Helvetica;sans-serif"/>
          <w:sz w:val="22"/>
        </w:rPr>
        <w:t xml:space="preserve"> </w:t>
      </w:r>
      <w:r>
        <w:rPr>
          <w:rFonts w:ascii="Times New Roman;Times;serif" w:hAnsi="Times New Roman;Times;serif"/>
          <w:sz w:val="20"/>
        </w:rPr>
        <w:t>His team of attorneys and certified risk professional assess cybersecurity risks, assist the information security team with mitigating identified risks, and aligns the management of cybersecurity risks with the management of enterprise risks. Our General Counsel’s experience includes over twenty years in positions of leadership in global organizations supervising compliance and risk professionals.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 w:name="Item2Properties_861243"/>
      <w:bookmarkStart w:id="84" w:name="_f24c6d82_02b7_47fc_805e_287c510f3aae"/>
      <w:bookmarkEnd w:id="83"/>
      <w:bookmarkEnd w:id="84"/>
      <w:r>
        <w:rPr>
          <w:rFonts w:ascii="Times New Roman;Times;serif" w:hAnsi="Times New Roman;Times;serif"/>
          <w:b/>
          <w:sz w:val="20"/>
        </w:rPr>
        <w:t>Item 2.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corporate headquarters, which includes our operations and development teams, is located in King of Prussia, Pennsylvania, and consists of approximately 189,500 square feet of space under a lease that expires on September 30, 2028.</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also lease offices in Naperville, Illinois; Frankfurt, Germany; Sao Paulo, Brazil; Chennai, India; Killorglin, Ireland; Cork, Ireland; and Vienna, Austria.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our facilities are adequate for our current and presently foreseeable needs.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5" w:name="Item3LegalProceedings_766775"/>
      <w:bookmarkStart w:id="86" w:name="_a30a009a_4b69_47ba_b848_35c053e41840"/>
      <w:bookmarkEnd w:id="85"/>
      <w:bookmarkEnd w:id="86"/>
      <w:r>
        <w:rPr>
          <w:rFonts w:ascii="Times New Roman;Times;serif" w:hAnsi="Times New Roman;Times;serif"/>
          <w:b/>
          <w:sz w:val="20"/>
        </w:rPr>
        <w:t>Item 3.     Legal Proceedings</w:t>
      </w:r>
      <w:r>
        <w:rPr>
          <w:rFonts w:ascii="Times New Roman;Times;serif" w:hAnsi="Times New Roman;Times;serif"/>
          <w:b/>
          <w:color w:val="FF0000"/>
          <w:sz w:val="20"/>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As of December 31, 2024, the matter remains before the Court and is proceeding through the discovery process.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7" w:name="Item4MineSafetyDisclosures_557047"/>
      <w:bookmarkStart w:id="88" w:name="_47e50d0c_e4b0_4ad7_abc7_6d62cf97fac1"/>
      <w:bookmarkEnd w:id="87"/>
      <w:bookmarkEnd w:id="88"/>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9" w:name="PARTII_148144"/>
      <w:bookmarkStart w:id="90" w:name="_a14295c4_5807_43cc_bf0f_7657cf37df38"/>
      <w:bookmarkEnd w:id="89"/>
      <w:bookmarkEnd w:id="90"/>
      <w:r>
        <w:rPr>
          <w:rFonts w:ascii="Times New Roman;Times;serif" w:hAnsi="Times New Roman;Times;serif"/>
          <w:b/>
          <w:sz w:val="20"/>
        </w:rPr>
        <w:t>PART II</w:t>
      </w:r>
    </w:p>
    <w:p>
      <w:pPr>
        <w:pStyle w:val="TextBody"/>
        <w:pBdr/>
        <w:bidi w:val="0"/>
        <w:spacing w:before="0" w:after="240"/>
        <w:ind w:left="0" w:right="0" w:hanging="864"/>
        <w:jc w:val="both"/>
        <w:rPr>
          <w:rFonts w:ascii="Times New Roman;Times;serif" w:hAnsi="Times New Roman;Times;serif"/>
          <w:b/>
          <w:sz w:val="20"/>
        </w:rPr>
      </w:pPr>
      <w:bookmarkStart w:id="91" w:name="Item5MarketforRegistrantsCommonEquity_86"/>
      <w:bookmarkEnd w:id="91"/>
      <w:r>
        <w:rPr>
          <w:rFonts w:ascii="Times New Roman;Times;serif" w:hAnsi="Times New Roman;Times;serif"/>
          <w:b/>
          <w:sz w:val="20"/>
        </w:rPr>
        <w:t xml:space="preserve">Item 5.     Market for Registrant’s Common Equity, Related Stockholder Matters and Issuer Purchases of Equity Securities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Information for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Class A common stock has been listed on the NASDAQ Global Market exchange, under the symbol “VERX” since July 28, 2020. Prior to that date, there was no public trading market for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Class B common stock is not listed on any stock exchange nor traded on any public market.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we had 6 holders of record of our Class A common stock. Because many of our shares of Class A common stock are held by brokers and other institutions on behalf of shareholders, we are unable to estimate the total number of shareholders represented by these record 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there were 22 stockholders of record of our Class B common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results of operations, capital requirements, general business conditions, and other factors that our board of directors may deem relevant.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Stock Performance Graph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The graph below</w:t>
      </w:r>
      <w:r>
        <w:rPr>
          <w:rFonts w:ascii="Times New Roman;Times;serif" w:hAnsi="Times New Roman;Times;serif"/>
          <w:b/>
          <w:sz w:val="15"/>
        </w:rPr>
        <w:t>(1)</w:t>
      </w:r>
      <w:r>
        <w:rPr>
          <w:rFonts w:ascii="Times New Roman;Times;serif" w:hAnsi="Times New Roman;Times;serif"/>
          <w:sz w:val="20"/>
        </w:rPr>
        <w:t xml:space="preserve"> compares the cumulative total return on our Class A common stock with that of the S&amp;P 500 Index</w:t>
      </w:r>
      <w:r>
        <w:rPr>
          <w:rFonts w:ascii="Times New Roman;Times;serif" w:hAnsi="Times New Roman;Times;serif"/>
          <w:b/>
          <w:sz w:val="15"/>
        </w:rPr>
        <w:t>(2)</w:t>
      </w:r>
      <w:r>
        <w:rPr>
          <w:rFonts w:ascii="Times New Roman;Times;serif" w:hAnsi="Times New Roman;Times;serif"/>
          <w:sz w:val="20"/>
        </w:rPr>
        <w:t xml:space="preserve"> and the NASDAQ U.S. Benchmark Software TR Index</w:t>
      </w:r>
      <w:r>
        <w:rPr>
          <w:rFonts w:ascii="Times New Roman;Times;serif" w:hAnsi="Times New Roman;Times;serif"/>
          <w:b/>
          <w:sz w:val="15"/>
        </w:rPr>
        <w:t>(3)</w:t>
      </w:r>
      <w:r>
        <w:rPr>
          <w:rFonts w:ascii="Times New Roman;Times;serif" w:hAnsi="Times New Roman;Times;serif"/>
          <w:sz w:val="20"/>
        </w:rPr>
        <w:t>. The period shown commences on July 28, 2020, and ends on December 31, 2024, the end of our most recent fiscal year. The graph assumes an investment of $100 in each of the aforementioned on the close of market on July 28, 2020. The stock price performance graph is not necessarily indicative of future price performance.</w:t>
      </w:r>
      <w:r>
        <w:rPr>
          <w:rFonts w:ascii="Times New Roman;Times;serif" w:hAnsi="Times New Roman;Times;serif"/>
          <w:color w:val="FF0000"/>
          <w:sz w:val="20"/>
        </w:rPr>
        <w:t xml:space="preserve"> </w:t>
      </w:r>
    </w:p>
    <w:p>
      <w:pPr>
        <w:pStyle w:val="TextBody"/>
        <w:bidi w:val="0"/>
        <w:spacing w:before="0" w:after="240"/>
        <w:ind w:left="0" w:right="0" w:firstLine="360"/>
        <w:jc w:val="center"/>
        <w:rPr/>
      </w:pPr>
      <w:r>
        <w:rPr/>
        <w:drawing>
          <wp:inline distT="0" distB="0" distL="0" distR="0">
            <wp:extent cx="5550535" cy="287909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5550535" cy="2879090"/>
                    </a:xfrm>
                    <a:prstGeom prst="rect">
                      <a:avLst/>
                    </a:prstGeom>
                  </pic:spPr>
                </pic:pic>
              </a:graphicData>
            </a:graphic>
          </wp:inline>
        </w:drawing>
      </w:r>
    </w:p>
    <w:p>
      <w:pPr>
        <w:pStyle w:val="TextBody"/>
        <w:bidi w:val="0"/>
        <w:spacing w:lineRule="auto" w:line="240" w:before="0" w:after="0"/>
        <w:ind w:left="1080" w:right="976" w:hanging="0"/>
        <w:jc w:val="both"/>
        <w:rPr>
          <w:rFonts w:ascii="Times New Roman;Times;serif" w:hAnsi="Times New Roman;Times;serif"/>
          <w:sz w:val="16"/>
        </w:rPr>
      </w:pPr>
      <w:r>
        <w:rPr>
          <w:rFonts w:ascii="Arial;Helvetica;sans-serif" w:hAnsi="Arial;Helvetica;sans-serif"/>
          <w:b/>
          <w:sz w:val="12"/>
        </w:rPr>
        <w:t>1</w:t>
      </w:r>
      <w:r>
        <w:rPr>
          <w:rFonts w:ascii="Times New Roman;Times;serif" w:hAnsi="Times New Roman;Times;serif"/>
          <w:sz w:val="16"/>
        </w:rPr>
        <w:t xml:space="preserve"> </w:t>
      </w:r>
      <w:r>
        <w:rPr>
          <w:rFonts w:ascii="Arial;Helvetica;sans-serif" w:hAnsi="Arial;Helvetica;sans-serif"/>
          <w:sz w:val="16"/>
        </w:rPr>
        <w:t>Prepared by Zacks Investment Research, Inc. Used with permission. All rights reserved. Copyright 1980-2025.</w:t>
      </w:r>
    </w:p>
    <w:p>
      <w:pPr>
        <w:pStyle w:val="TextBody"/>
        <w:bidi w:val="0"/>
        <w:spacing w:lineRule="auto" w:line="240" w:before="0" w:after="0"/>
        <w:ind w:left="1080" w:right="976" w:hanging="0"/>
        <w:jc w:val="both"/>
        <w:rPr>
          <w:rFonts w:ascii="Times New Roman;Times;serif" w:hAnsi="Times New Roman;Times;serif"/>
          <w:sz w:val="16"/>
        </w:rPr>
      </w:pPr>
      <w:r>
        <w:rPr>
          <w:rFonts w:ascii="Arial;Helvetica;sans-serif" w:hAnsi="Arial;Helvetica;sans-serif"/>
          <w:b/>
          <w:sz w:val="12"/>
        </w:rPr>
        <w:t>2</w:t>
      </w:r>
      <w:r>
        <w:rPr>
          <w:rFonts w:ascii="Times New Roman;Times;serif" w:hAnsi="Times New Roman;Times;serif"/>
          <w:sz w:val="16"/>
        </w:rPr>
        <w:t xml:space="preserve"> </w:t>
      </w:r>
      <w:r>
        <w:rPr>
          <w:rFonts w:ascii="Arial;Helvetica;sans-serif" w:hAnsi="Arial;Helvetica;sans-serif"/>
          <w:sz w:val="16"/>
        </w:rPr>
        <w:t>S&amp;P 500 Index Data: Copyright Standard and Poor’s, Inc. Used with permission. All rights reserved.</w:t>
      </w:r>
    </w:p>
    <w:p>
      <w:pPr>
        <w:pStyle w:val="TextBody"/>
        <w:bidi w:val="0"/>
        <w:spacing w:lineRule="auto" w:line="240" w:before="0" w:after="0"/>
        <w:ind w:left="1080" w:right="976" w:hanging="0"/>
        <w:jc w:val="both"/>
        <w:rPr>
          <w:rFonts w:ascii="Times New Roman;Times;serif" w:hAnsi="Times New Roman;Times;serif"/>
          <w:sz w:val="16"/>
        </w:rPr>
      </w:pPr>
      <w:r>
        <w:rPr>
          <w:rFonts w:ascii="Arial;Helvetica;sans-serif" w:hAnsi="Arial;Helvetica;sans-serif"/>
          <w:b/>
          <w:sz w:val="12"/>
        </w:rPr>
        <w:t>3</w:t>
      </w:r>
      <w:r>
        <w:rPr>
          <w:rFonts w:ascii="Times New Roman;Times;serif" w:hAnsi="Times New Roman;Times;serif"/>
          <w:sz w:val="16"/>
        </w:rPr>
        <w:t xml:space="preserve"> </w:t>
      </w:r>
      <w:r>
        <w:rPr>
          <w:rFonts w:ascii="Arial;Helvetica;sans-serif" w:hAnsi="Arial;Helvetica;sans-serif"/>
          <w:sz w:val="16"/>
        </w:rPr>
        <w:t>NASDAQ Index Data: Copyright NASDAQ OMX, Inc. Used with permission. All rights reserved.</w:t>
      </w:r>
    </w:p>
    <w:p>
      <w:pPr>
        <w:pStyle w:val="TextBody"/>
        <w:bidi w:val="0"/>
        <w:spacing w:before="0" w:after="0"/>
        <w:ind w:left="0" w:right="976" w:hanging="0"/>
        <w:jc w:val="left"/>
        <w:rPr/>
      </w:pPr>
      <w:r>
        <w:rPr/>
        <w:t>​</w:t>
      </w:r>
    </w:p>
    <w:p>
      <w:pPr>
        <w:pStyle w:val="TextBody"/>
        <w:bidi w:val="0"/>
        <w:spacing w:before="0" w:after="0"/>
        <w:ind w:left="1080" w:right="976" w:hanging="0"/>
        <w:jc w:val="left"/>
        <w:rPr/>
      </w:pPr>
      <w:r>
        <w:rPr/>
        <w:t>​</w:t>
      </w:r>
    </w:p>
    <w:tbl>
      <w:tblPr>
        <w:tblW w:w="10779" w:type="dxa"/>
        <w:jc w:val="left"/>
        <w:tblInd w:w="0" w:type="dxa"/>
        <w:tblLayout w:type="fixed"/>
        <w:tblCellMar>
          <w:top w:w="0" w:type="dxa"/>
          <w:left w:w="0" w:type="dxa"/>
          <w:bottom w:w="0" w:type="dxa"/>
          <w:right w:w="0" w:type="dxa"/>
        </w:tblCellMar>
      </w:tblPr>
      <w:tblGrid>
        <w:gridCol w:w="916"/>
        <w:gridCol w:w="206"/>
        <w:gridCol w:w="203"/>
        <w:gridCol w:w="623"/>
        <w:gridCol w:w="206"/>
        <w:gridCol w:w="196"/>
        <w:gridCol w:w="601"/>
        <w:gridCol w:w="206"/>
        <w:gridCol w:w="196"/>
        <w:gridCol w:w="601"/>
        <w:gridCol w:w="206"/>
        <w:gridCol w:w="196"/>
        <w:gridCol w:w="601"/>
        <w:gridCol w:w="206"/>
        <w:gridCol w:w="196"/>
        <w:gridCol w:w="601"/>
        <w:gridCol w:w="206"/>
        <w:gridCol w:w="196"/>
        <w:gridCol w:w="601"/>
        <w:gridCol w:w="109"/>
        <w:gridCol w:w="196"/>
        <w:gridCol w:w="601"/>
        <w:gridCol w:w="109"/>
        <w:gridCol w:w="196"/>
        <w:gridCol w:w="601"/>
        <w:gridCol w:w="109"/>
        <w:gridCol w:w="196"/>
        <w:gridCol w:w="601"/>
        <w:gridCol w:w="206"/>
        <w:gridCol w:w="196"/>
        <w:gridCol w:w="696"/>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81660" cy="175260"/>
                      <wp:effectExtent l="0" t="0" r="0" b="0"/>
                      <wp:wrapNone/>
                      <wp:docPr id="3" name="Frame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0810" cy="175260"/>
                      <wp:effectExtent l="0" t="0" r="0" b="0"/>
                      <wp:wrapNone/>
                      <wp:docPr id="4" name="Frame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8905" cy="175260"/>
                      <wp:effectExtent l="0" t="0" r="0" b="0"/>
                      <wp:wrapNone/>
                      <wp:docPr id="5" name="Frame4"/>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95605" cy="175260"/>
                      <wp:effectExtent l="0" t="0" r="0" b="0"/>
                      <wp:wrapNone/>
                      <wp:docPr id="6" name="Frame5"/>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0810" cy="175260"/>
                      <wp:effectExtent l="0" t="0" r="0" b="0"/>
                      <wp:wrapNone/>
                      <wp:docPr id="7" name="Frame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81635" cy="175260"/>
                      <wp:effectExtent l="0" t="0" r="0" b="0"/>
                      <wp:wrapNone/>
                      <wp:docPr id="9" name="Frame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0810" cy="175260"/>
                      <wp:effectExtent l="0" t="0" r="0" b="0"/>
                      <wp:wrapNone/>
                      <wp:docPr id="10" name="Frame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81635" cy="175260"/>
                      <wp:effectExtent l="0" t="0" r="0" b="0"/>
                      <wp:wrapNone/>
                      <wp:docPr id="12" name="Frame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0810" cy="175260"/>
                      <wp:effectExtent l="0" t="0" r="0" b="0"/>
                      <wp:wrapNone/>
                      <wp:docPr id="13" name="Frame1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81635" cy="175260"/>
                      <wp:effectExtent l="0" t="0" r="0" b="0"/>
                      <wp:wrapNone/>
                      <wp:docPr id="15" name="Frame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0810" cy="175260"/>
                      <wp:effectExtent l="0" t="0" r="0" b="0"/>
                      <wp:wrapNone/>
                      <wp:docPr id="16" name="Frame1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81635" cy="175260"/>
                      <wp:effectExtent l="0" t="0" r="0" b="0"/>
                      <wp:wrapNone/>
                      <wp:docPr id="18" name="Frame1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0810" cy="175260"/>
                      <wp:effectExtent l="0" t="0" r="0" b="0"/>
                      <wp:wrapNone/>
                      <wp:docPr id="19" name="Frame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1635" cy="175260"/>
                      <wp:effectExtent l="0" t="0" r="0" b="0"/>
                      <wp:wrapNone/>
                      <wp:docPr id="21" name="Frame2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81635" cy="175260"/>
                      <wp:effectExtent l="0" t="0" r="0" b="0"/>
                      <wp:wrapNone/>
                      <wp:docPr id="24" name="Frame2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81635" cy="175260"/>
                      <wp:effectExtent l="0" t="0" r="0" b="0"/>
                      <wp:wrapNone/>
                      <wp:docPr id="27" name="Frame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81635" cy="175260"/>
                      <wp:effectExtent l="0" t="0" r="0" b="0"/>
                      <wp:wrapNone/>
                      <wp:docPr id="30" name="Frame2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810" cy="175260"/>
                      <wp:effectExtent l="0" t="0" r="0" b="0"/>
                      <wp:wrapNone/>
                      <wp:docPr id="31" name="Frame3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41960" cy="175260"/>
                      <wp:effectExtent l="0" t="0" r="0" b="0"/>
                      <wp:wrapNone/>
                      <wp:docPr id="33" name="Frame32"/>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 Date</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6"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Company / Index</w:t>
            </w:r>
          </w:p>
        </w:tc>
        <w:tc>
          <w:tcPr>
            <w:tcW w:w="206" w:type="dxa"/>
            <w:tcBorders/>
            <w:vAlign w:val="center"/>
          </w:tcPr>
          <w:p>
            <w:pPr>
              <w:pStyle w:val="TableContents"/>
              <w:bidi w:val="0"/>
              <w:spacing w:before="0" w:after="0"/>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7/28/20</w:t>
            </w:r>
          </w:p>
        </w:tc>
        <w:tc>
          <w:tcPr>
            <w:tcW w:w="20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12/31/20</w:t>
            </w:r>
          </w:p>
        </w:tc>
        <w:tc>
          <w:tcPr>
            <w:tcW w:w="20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6/30/21</w:t>
            </w:r>
          </w:p>
        </w:tc>
        <w:tc>
          <w:tcPr>
            <w:tcW w:w="20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12/31/21</w:t>
            </w:r>
          </w:p>
        </w:tc>
        <w:tc>
          <w:tcPr>
            <w:tcW w:w="20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6/30/22</w:t>
            </w:r>
          </w:p>
        </w:tc>
        <w:tc>
          <w:tcPr>
            <w:tcW w:w="20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12/31/22</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6/30/23</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12/31/23</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6/30/24</w:t>
            </w:r>
          </w:p>
        </w:tc>
        <w:tc>
          <w:tcPr>
            <w:tcW w:w="206" w:type="dxa"/>
            <w:tcBorders/>
            <w:vAlign w:val="center"/>
          </w:tcPr>
          <w:p>
            <w:pPr>
              <w:pStyle w:val="TableContents"/>
              <w:bidi w:val="0"/>
              <w:spacing w:before="0" w:after="0"/>
              <w:ind w:left="0" w:right="0" w:hanging="0"/>
              <w:jc w:val="center"/>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12/31/24</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Vertex, Inc.</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145.62</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91.67</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66.31</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81.46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150.57</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222.82</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S&amp;P 500</w:t>
            </w:r>
          </w:p>
        </w:tc>
        <w:tc>
          <w:tcPr>
            <w:tcW w:w="20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116.12</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133.83</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149.46</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119.63</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122.39</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143.07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154.56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178.20</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193.23</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NASDAQ U.S. Benchmark Software TR</w:t>
            </w:r>
          </w:p>
        </w:tc>
        <w:tc>
          <w:tcPr>
            <w:tcW w:w="20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114.08</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132.90</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149.28</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106.79</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140.52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180.49</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187.69</w:t>
            </w:r>
          </w:p>
        </w:tc>
      </w:tr>
    </w:tbl>
    <w:p>
      <w:pPr>
        <w:pStyle w:val="TextBody"/>
        <w:bidi w:val="0"/>
        <w:spacing w:before="0" w:after="0"/>
        <w:ind w:left="0" w:right="976" w:hanging="0"/>
        <w:jc w:val="left"/>
        <w:rPr/>
      </w:pPr>
      <w:r>
        <w:rPr/>
        <w:t>​</w:t>
      </w:r>
    </w:p>
    <w:p>
      <w:pPr>
        <w:pStyle w:val="TextBody"/>
        <w:bidi w:val="0"/>
        <w:spacing w:before="0" w:after="0"/>
        <w:ind w:left="0" w:right="976" w:hanging="0"/>
        <w:jc w:val="left"/>
        <w:rPr/>
      </w:pPr>
      <w:r>
        <w:rPr/>
        <w:t>​</w:t>
      </w:r>
    </w:p>
    <w:p>
      <w:pPr>
        <w:pStyle w:val="TextBody"/>
        <w:bidi w:val="0"/>
        <w:spacing w:before="0" w:after="0"/>
        <w:ind w:left="0" w:right="976"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color w:val="FF0000"/>
          <w:sz w:val="20"/>
        </w:rPr>
        <w:t xml:space="preserve"> </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 w:name="_2a788d0c_6fec_4c69_b95b_1a09083e4320"/>
      <w:bookmarkEnd w:id="92"/>
      <w:r>
        <w:rPr>
          <w:rFonts w:ascii="Times New Roman;Times;serif" w:hAnsi="Times New Roman;Times;serif"/>
          <w:b/>
          <w:sz w:val="20"/>
        </w:rPr>
        <w:t>Item 6. [Reserved]</w:t>
      </w:r>
    </w:p>
    <w:p>
      <w:pPr>
        <w:pStyle w:val="TextBody"/>
        <w:bidi w:val="0"/>
        <w:spacing w:before="0" w:after="0"/>
        <w:ind w:left="0" w:right="0" w:hanging="0"/>
        <w:jc w:val="left"/>
        <w:rPr/>
      </w:pPr>
      <w:bookmarkStart w:id="93" w:name="Item6Reserved"/>
      <w:bookmarkEnd w:id="9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4" w:name="Item7ManagementsDiscussionandAnalysisofF"/>
      <w:bookmarkStart w:id="95" w:name="_4d804f50_8d0c_4a11_b44c_33b30a09f6a6"/>
      <w:bookmarkEnd w:id="94"/>
      <w:bookmarkEnd w:id="95"/>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consolidated financial statements and the notes thereto included elsewhere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Annual Report on Form 10-K, particularly in the sections titled “Risk Factors” and “Special Note Regarding Forward-Looking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section of this Annual Report on Form 10-K generally discusses 2024 and 2023 items and year-to-year comparisons between 2024 and 2023. Discussions of 2022 items and year-to-year comparisons between 2023 and 2022 are not included in this Annual Report on Form 10-K, and can be found in “Management’s Discussion and Analysis of Financial Condition and Results of Operations” in Part II, Item 7 of the Company’s Annual Report on Form 10-K for the year ended December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(including e-invoicing), and payroll. Headquartered in North America, and with offices in South America and Europe, Vertex employs over 1,900 professionals and serves companies across the globe.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and cloud-based subscriptions are typically sold through one- to three-year contracts. We bill the majority of our customers annually in advance of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 cloud deployment models. Cloud-based subscription sales to new customers have grown at a significantly faster rate than on-premise software subscription sales, which is a trend that we expect to continue over time. We generated 49% and 45% of software subscription revenues from cloud-based subscriptions in 2024 and 2023, respectively. While our on-premise software subscription revenues comprised 51% and 55% of our software subscription revenues for 2024 and 2023, respectively, they continue to decrease as a percentage of total software subscriptions revenues as cloud-based subscriptions grow.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Shopify, Workday, and Zuora. We also collaborate with numerous accounting firms who have built implementation practices around our software to serve their customer base.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revenues of $666.8 million and $572.4 million in 2024 and 2023, respectively. We had net losses of $(52.7) million and $(13.1) million in 2024 and 2023, respectively. These amounts are presented in accordance with generally accepted accounting principles in the U.S.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income or loss before interest (including adjustments to the settlement value of deferred purchase commitment liabilities), income tax expense or benefit,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was $151.9 million and $100.8 million in 2024 and 2023, respectively. Adjusted EBITDA is a non-GAAP financial measure. Refer to “Key Business Metrics” and “Use and Reconciliation of Non-GAAP Financial Measures” for further discussion of key business metrics and non-GAAP financial measures and their comparison to GAAP financial measures.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Factors Affecting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growth of our business and our future success depends on many factors, including our ability to retain and expand our revenues from existing customers, acquire new customers, broaden and deepen our partner ecosystem, continually innovate our software, invest in growth and scale our business, and manage customer migrations to cloud solutions. While these areas represent significant opportunities for us, we also face significant risks and challenges that we must successfully address in order to sustain the growth of our business and improve our operating results. We anticipate that we will continue to expand our operations and headcount. The expected addition of new personnel and the investments that we anticipate will be necessary to manage our anticipated growth may make it more difficult for us to achieve or maintain profitability. Many of these investments will occur in advance of experiencing any direct benefit and will make it difficult to determine if we are allocating our resources efficiently.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Retention and expansion of revenues from existing customers. </w:t>
      </w:r>
      <w:r>
        <w:rPr>
          <w:rFonts w:ascii="Times New Roman;Times;serif" w:hAnsi="Times New Roman;Times;serif"/>
          <w:sz w:val="20"/>
        </w:rPr>
        <w:t xml:space="preserve">Given the breadth of our customer base and their own internal growth, the majority of our revenues and revenue growth comes from existing customers. This revenue growth is comprised of the acquisition of new licenses for additional products, increases in subscription fees due to expanded usage of currently licensed software and price increases. We plan to continue to invest in new innovations and offerings and in our sales and marketing teams in order to support the ongoing strong retention and expansion of revenues with our existing customers. We continually invest in and focus on elevating and delivering exceptional experiences for our customers, while aiming to build strong, long-term relationships with them. We monitor our net revenue retention rate (“NRR”) in order to understand our ability to retain and grow revenues from our customers. Our NRR was 109% and 113% in 2024 and 2023, respectively. We believe our gross revenue retention rate (“GRR”) provides insight into and demonstrates to investors our ability to retain revenues from our existing customers. Our GRR was 95% in both 2024 and 2023. Refer to “Management’s Discussion and Analysis of Financial Condition and Results of Operations– Key Business Metrics– Net Revenue Retention Rate and Gross Revenue Retention Rate” and for further discussion.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Acquire new customers. </w:t>
      </w:r>
      <w:r>
        <w:rPr>
          <w:rFonts w:ascii="Times New Roman;Times;serif" w:hAnsi="Times New Roman;Times;serif"/>
          <w:sz w:val="20"/>
        </w:rPr>
        <w:t>Our solutions address the complexity of aligning commerce and compliance, and we believe the market for our software and solutions is large and underpenetrated, both in the U.S. and globally. As enterprise and mid-market companies continue to expand their business operations—both through their product and service offerings and their global footprint—we expect demand for our tax and e-invoicing solutions to increase due to the fact that legacy solutions such as spreadsheets, manual processes, native ERP functionality, or home-built solutions are error prone, inefficient, and cannot scale. We plan to continue to invest in our sales and marketing teams and our solution development in order to address this increased demand from new customers. This increased investment will result in increases in expenses in advance of revenues attributable to these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Broaden and deepen our partner ecosystem. </w:t>
      </w:r>
      <w:r>
        <w:rPr>
          <w:rFonts w:ascii="Times New Roman;Times;serif" w:hAnsi="Times New Roman;Times;serif"/>
          <w:sz w:val="20"/>
        </w:rPr>
        <w:t>We have an extensive network of partners that spans ERP, CRM, procurement, billing, POS, and eCommerce platforms. Our partners enhance the coverage and adoption of our solutions and promote our thought leadership. We leverage our partnerships to maximize the benefits of our solutions for our customers and to identify new customer opportunities. By forming additional strategic alliances with participants in the global digital transformation, such as payments and eCommerce platforms, we can continue to expand our exposure to all transactions, business-to-consumer, business-to-business, and business-to-government.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Continued innovation of our software. </w:t>
      </w:r>
      <w:r>
        <w:rPr>
          <w:rFonts w:ascii="Times New Roman;Times;serif" w:hAnsi="Times New Roman;Times;serif"/>
          <w:sz w:val="20"/>
        </w:rPr>
        <w:t xml:space="preserve">With the pace of change in commerce and compliance, we believe it is important to continue innovating and extending the functionality and breadth of our software. We plan to continue investing to further enhance our content and the speed and usability of our software. Historically such innovation has been accomplished through internal development efforts. However, we may pursue acquisitions, development arrangements with partners or similar activities to accelerate these investments. We believe continuing to enhance our existing software and expanding our tax content and increasing jurisdictional coverage with our e-invoicing solutions will increase our ability to generate revenues by broadening the appeal of our software to new customers as well as increasing our engagement with existing customers. Refer to Note 3, </w:t>
      </w:r>
      <w:r>
        <w:rPr>
          <w:rFonts w:ascii="Times New Roman;Times;serif" w:hAnsi="Times New Roman;Times;serif"/>
          <w:sz w:val="20"/>
          <w:shd w:fill="FFFFFF" w:val="clear"/>
        </w:rPr>
        <w:t>“</w:t>
      </w:r>
      <w:r>
        <w:rPr>
          <w:rFonts w:ascii="Times New Roman;Times;serif" w:hAnsi="Times New Roman;Times;serif"/>
          <w:sz w:val="20"/>
        </w:rPr>
        <w:t>Acquisitions” to our consolidated financial statements beginning on page F-1 of this Annual Report on Form 10-K for a discussion of our  acquisitions.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Investing in growth and scaling our business. </w:t>
      </w:r>
      <w:r>
        <w:rPr>
          <w:rFonts w:ascii="Times New Roman;Times;serif" w:hAnsi="Times New Roman;Times;serif"/>
          <w:sz w:val="20"/>
        </w:rPr>
        <w:t>We believe that our market opportunity is large, and we will continue to invest significantly in scaling across organizational functions in order to support the anticipated growth in our operations both domestically and internationally. Any investments we make in our research and development and our sales and marketing organization will occur in advance of experiencing the benefits from such investments; therefore, it may be difficult for us to determine if we are efficiently allocating resources in those areas. The company may pursue acquisitions or partner arrangements to accelerate its growth initiatives. Refer to Note 3, “Acquisitions” to our consolidated financial statements beginning on page F-1 of this Annual Report on Form 10-K for a discussion of our acquisitions.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Customer migration to cloud solutions. </w:t>
      </w:r>
      <w:r>
        <w:rPr>
          <w:rFonts w:ascii="Times New Roman;Times;serif" w:hAnsi="Times New Roman;Times;serif"/>
          <w:sz w:val="20"/>
        </w:rPr>
        <w:t xml:space="preserve">Over time, we expect a continued shift to our cloud solutions by our existing and newly acquired customers. When existing customers migrate from our on-premise to our cloud-based solutions, this generally has a favorable impact on our long-term ARR due to price structures and opportunities to promote additional license sales. Over recent years, cloud sales to new customers have grown at a faster rate than sales of on-premise solutions, which is a trend that we expect to continue over time. We generated 49% and 45% of software subscription revenues from cloud-based subscriptions in 2024 and 2023, respectively. We host our cloud-based subscriptions. To the extent that revenues from our cloud-based solutions continue to increase as a percentage of total revenues, our gross margin may decrease as we scale our multi-cloud offerings to support future growth.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Recent Developments</w:t>
      </w:r>
      <w:r>
        <w:rPr>
          <w:rFonts w:ascii="Times New Roman;Times;serif" w:hAnsi="Times New Roman;Times;serif"/>
          <w:sz w:val="20"/>
        </w:rPr>
        <w:t xml:space="preserve"> </w:t>
      </w:r>
    </w:p>
    <w:p>
      <w:pPr>
        <w:pStyle w:val="TextBody"/>
        <w:bidi w:val="0"/>
        <w:spacing w:before="0" w:after="200"/>
        <w:ind w:left="0" w:right="0" w:firstLine="720"/>
        <w:jc w:val="both"/>
        <w:rPr>
          <w:rFonts w:ascii="Times New Roman;Times;serif" w:hAnsi="Times New Roman;Times;serif"/>
          <w:b/>
          <w:sz w:val="20"/>
        </w:rPr>
      </w:pPr>
      <w:r>
        <w:rPr>
          <w:rFonts w:ascii="Times New Roman;Times;serif" w:hAnsi="Times New Roman;Times;serif"/>
          <w:b/>
          <w:sz w:val="20"/>
        </w:rPr>
        <w:t xml:space="preserve">Issuance of Convertible Senior Notes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April 26, 2024, we closed our offering of $345.0 million aggregate principal amount of 0.750% Convertible Senior Notes due 2029 (the “Notes”) to qualified institutional buyers in accordance with Rule 144A under the Securities Act of 1933, as amended. The Notes were issued pursuant to, and are governed by, an indenture (the “Indenture”) between the Company and U.S. Bank Trust Company, National Association, as trustee. The Notes included an additional $45.0 million aggregate principal amount of Notes, issued pursuant to the full exercise by the initial purchasers of the Notes of their option to purchase additional Notes.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net proceeds from the offering of the Notes were $333.7 million after deducting the initial purchasers’ discount and commissions, and other transaction and offering expenses. We used $42.4 million of the net proceeds from this offering to fund the cost of the Capped Call Transactions (as defined in Note 10, “Debt” to our consolidated financial statements beginning on page F-1 of this Annual Report on Form 10-K) and intend to use the remainder for working capital or other general corporate expenses, which may include capital expenditures, potential acquisitions, and strategic transactions.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further information on the Notes, refer to Note 10, “Debt” to our consolidated financial statements beginning on page F-1 of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Artificial Intelligence Tax Categorization</w:t>
      </w:r>
      <w:r>
        <w:rPr>
          <w:rFonts w:ascii="Times New Roman;Times;serif" w:hAnsi="Times New Roman;Times;serif"/>
          <w:sz w:val="20"/>
        </w:rPr>
        <w:t xml:space="preserve"> </w:t>
      </w:r>
      <w:r>
        <w:rPr>
          <w:rFonts w:ascii="Times New Roman;Times;serif" w:hAnsi="Times New Roman;Times;serif"/>
          <w:b/>
          <w:sz w:val="20"/>
        </w:rPr>
        <w:t>Acquisition</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31, 2024, we paid approximately $6.1 million to enter into an asset purchase agreement to acquire tax-specific artificial intelligence (“AI”) capabilities, designed to more effectively manage the complexity of tax mapping. The acquisition will accelerate our AI innovation strategy to help global companies manage tax complexity with greater speed and scale. The purchase agreement includes the potential for earn-out payments and referral fees over a five-year period. For further information, refer to Note 3, “Acquisitions” to our consolidated financial statements beginning on page F-1 of this Annual Report on Form 10-K.</w:t>
      </w:r>
    </w:p>
    <w:p>
      <w:pPr>
        <w:pStyle w:val="TextBody"/>
        <w:bidi w:val="0"/>
        <w:spacing w:before="0" w:after="200"/>
        <w:ind w:left="0" w:right="0" w:firstLine="720"/>
        <w:jc w:val="both"/>
        <w:rPr>
          <w:rFonts w:ascii="Times New Roman;Times;serif" w:hAnsi="Times New Roman;Times;serif"/>
          <w:b/>
          <w:sz w:val="20"/>
        </w:rPr>
      </w:pPr>
      <w:r>
        <w:rPr>
          <w:rFonts w:ascii="Times New Roman;Times;serif" w:hAnsi="Times New Roman;Times;serif"/>
          <w:b/>
          <w:sz w:val="20"/>
        </w:rPr>
        <w:t xml:space="preserve">Systax Acquisition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second quarter of 2024, we paid $9.6 million to acquire the remaining 20% equity interest of Systax Sistemas Fiscais LTDA (“Systax”), a provider of Brazilian transaction tax content and software. On June 5, 2024, Systax became a wholly owned subsidiary of the Company. For further information, refer to Note 5, “Financial Instruments and Fair Value Measurements” to our consolidated financial statements beginning on page F-1 of this Annual Report on Form 10-K.</w:t>
      </w:r>
    </w:p>
    <w:p>
      <w:pPr>
        <w:pStyle w:val="TextBody"/>
        <w:bidi w:val="0"/>
        <w:spacing w:before="0" w:after="200"/>
        <w:ind w:left="0" w:right="0" w:firstLine="720"/>
        <w:jc w:val="both"/>
        <w:rPr>
          <w:rFonts w:ascii="Times New Roman;Times;serif" w:hAnsi="Times New Roman;Times;serif"/>
          <w:b/>
          <w:sz w:val="20"/>
        </w:rPr>
      </w:pPr>
      <w:r>
        <w:rPr>
          <w:rFonts w:ascii="Times New Roman;Times;serif" w:hAnsi="Times New Roman;Times;serif"/>
          <w:b/>
          <w:sz w:val="20"/>
        </w:rPr>
        <w:t>ecosio GmbH Acquisition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August 30, 2024, we purchased 100% of the share interests in ecosio GmbH (“ecosio”), a limited liability company incorporated under the laws of Austria and a provider of electronic data interchange (“EDI”) and e-invoicing services. The acquisition was completed with the goal of integrating ecosio’s cloud-based, scalable global network with our indirect tax solutions to enable customers to facilitate the creation, exchange, and clearance of jurisdictionally compliant e-invoices and seamlessly reconcile these invoices with their periodic filing requirements.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purchase consideration for the ecosio acquisition was $169.0 million, net of $0.8 cash acquired and included contingent consideration liabilities included in the consideration are in the form of cash (the “Cash Earn-outs”), with an aggregate of up to $94.4 million, and stock, with an aggregate value of up to $35.0 million (the “Stock Earn-outs”, together with the Cash Earn-outs, the “Earn-outs”), assuming maximum payouts. For further information, refer to Note 3, “Acquisitions” to our consolidated financial statements beginning on page F-1 of this Annual Report on Form 10-K.</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revenues from software subscriptions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in our managed service offerings and related increases in our service revenue. We expect growth in our business will result in an increase in the cost of services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consist primarily of personnel and related expenses in support of sales and marketing efforts. These costs include salaries, benefits, bonuses, and stock-based compensation. In addition, selling and marketing expenses include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general and administrative expenses to increase in absolute dollars as we continue to expand our operations, hire additional personnel, and integrate current and future acquisitions.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Change in Fair Value of Acquisition Contingent Earn-Outs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acquisition contingent earn-outs consists of fair value adjustments to our Cash Earn-outs and Stock Earn-outs related to our 2024 acquisition of ecosio. The Earn-outs will be revalued and adjusted quarterly until the end of the Earn-out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consists primarily of transactions costs associated with merger and acquisition activities, periodic remeasurement of contingent consideration associated with completed acquisitions, realized gains and losses on foreign currency fluctuations, and other operating gains and losses. These amounts will fluctuate as a result of ongoing merger and acquisition activities and for changes in foreign currency rates.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(income), net reflects the net amount of interest expense and interest income over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consists primarily of interest incurred related to the Notes, Term Loan, Credit Agreement,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 future payment obligation for the Systax acquisition, which was fully settled on June 5,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Income Tax Expense (Benefit)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and its subsidiaries are generally taxed at the corporate level, and the income tax provision or benefit is based on the income or loss sourced to the U.S. federal and state jurisdictions as well as foreign jurisdictions at the tax rates applicable in those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You should read the following discussion and analysis of our financial condition and results of operations in conjunction with the consolidated financial statements and the notes thereto beginning on page F-1 of this Annual Report on Form 10-K. The period-to-period comparison of financial results is not necessarily indicative of financial results to be achieved in future periods. The following table sets forth our consolidated statements of comprehensive loss for the periods indicated. </w:t>
      </w:r>
    </w:p>
    <w:tbl>
      <w:tblPr>
        <w:tblW w:w="9685" w:type="dxa"/>
        <w:jc w:val="left"/>
        <w:tblInd w:w="0" w:type="dxa"/>
        <w:tblLayout w:type="fixed"/>
        <w:tblCellMar>
          <w:top w:w="0" w:type="dxa"/>
          <w:left w:w="0" w:type="dxa"/>
          <w:bottom w:w="0" w:type="dxa"/>
          <w:right w:w="0" w:type="dxa"/>
        </w:tblCellMar>
      </w:tblPr>
      <w:tblGrid>
        <w:gridCol w:w="4036"/>
        <w:gridCol w:w="109"/>
        <w:gridCol w:w="211"/>
        <w:gridCol w:w="796"/>
        <w:gridCol w:w="326"/>
        <w:gridCol w:w="211"/>
        <w:gridCol w:w="796"/>
        <w:gridCol w:w="326"/>
        <w:gridCol w:w="491"/>
        <w:gridCol w:w="796"/>
        <w:gridCol w:w="491"/>
        <w:gridCol w:w="690"/>
        <w:gridCol w:w="40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562860" cy="175260"/>
                      <wp:effectExtent l="0" t="0" r="0" b="0"/>
                      <wp:wrapNone/>
                      <wp:docPr id="34" name="Frame33"/>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5460" cy="175260"/>
                      <wp:effectExtent l="0" t="0" r="0" b="0"/>
                      <wp:wrapNone/>
                      <wp:docPr id="37" name="Frame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5460" cy="175260"/>
                      <wp:effectExtent l="0" t="0" r="0" b="0"/>
                      <wp:wrapNone/>
                      <wp:docPr id="40"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11785" cy="175260"/>
                      <wp:effectExtent l="0" t="0" r="0" b="0"/>
                      <wp:wrapNone/>
                      <wp:docPr id="42" name="Frame41"/>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5460" cy="175260"/>
                      <wp:effectExtent l="0" t="0" r="0" b="0"/>
                      <wp:wrapNone/>
                      <wp:docPr id="43"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11785" cy="175260"/>
                      <wp:effectExtent l="0" t="0" r="0" b="0"/>
                      <wp:wrapNone/>
                      <wp:docPr id="44" name="Frame43"/>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150" cy="175260"/>
                      <wp:effectExtent l="0" t="0" r="0" b="0"/>
                      <wp:wrapNone/>
                      <wp:docPr id="45" name="Frame4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57810" cy="175260"/>
                      <wp:effectExtent l="0" t="0" r="0" b="0"/>
                      <wp:wrapNone/>
                      <wp:docPr id="46" name="Frame4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9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9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0"/>
              <w:ind w:left="0" w:right="0" w:hanging="0"/>
              <w:jc w:val="righ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24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Year-Over-Year Change </w:t>
            </w:r>
          </w:p>
        </w:tc>
        <w:tc>
          <w:tcPr>
            <w:tcW w:w="406"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Revenues: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567,124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480,830</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86,294</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91,557</w:t>
            </w:r>
          </w:p>
        </w:tc>
        <w:tc>
          <w:tcPr>
            <w:tcW w:w="326"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8,095</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572,387</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94,389</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Software subscriptions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162,920</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12,660</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Services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60,888</w:t>
            </w:r>
          </w:p>
        </w:tc>
        <w:tc>
          <w:tcPr>
            <w:tcW w:w="326"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223,808</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16,843</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348,579</w:t>
            </w:r>
          </w:p>
        </w:tc>
        <w:tc>
          <w:tcPr>
            <w:tcW w:w="326"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77,546</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Research and development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58,212</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8,454</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Selling and marketing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140,237</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30,337</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145,936</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15,202</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5,751</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0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366,089</w:t>
            </w:r>
          </w:p>
        </w:tc>
        <w:tc>
          <w:tcPr>
            <w:tcW w:w="326"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62,264</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(17,510)</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15,282</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(8,301)</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(21,674)</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23,583</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63,219</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(13,093)</w:t>
            </w:r>
          </w:p>
        </w:tc>
        <w:tc>
          <w:tcPr>
            <w:tcW w:w="326"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(39,636)</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(5,978)</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30,128</w:t>
            </w:r>
          </w:p>
        </w:tc>
        <w:tc>
          <w:tcPr>
            <w:tcW w:w="49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investments,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9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(6,010)</w:t>
            </w:r>
          </w:p>
        </w:tc>
        <w:tc>
          <w:tcPr>
            <w:tcW w:w="326"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c>
          <w:tcPr>
            <w:tcW w:w="49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(7,083)</w:t>
            </w:r>
          </w:p>
        </w:tc>
        <w:tc>
          <w:tcPr>
            <w:tcW w:w="326" w:type="dxa"/>
            <w:tcBorders/>
            <w:shd w:fill="CCEEFF" w:val="clear"/>
            <w:vAlign w:val="center"/>
          </w:tcPr>
          <w:p>
            <w:pPr>
              <w:pStyle w:val="TableContents"/>
              <w:bidi w:val="0"/>
              <w:spacing w:before="0" w:after="0"/>
              <w:ind w:left="0" w:right="0" w:hanging="0"/>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(69,783)</w:t>
            </w:r>
          </w:p>
        </w:tc>
        <w:tc>
          <w:tcPr>
            <w:tcW w:w="49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03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Not meaningful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5"/>
        </w:rPr>
        <w:t>(1)</w:t>
      </w:r>
      <w:r>
        <w:rPr>
          <w:rFonts w:ascii="Times New Roman;Times;serif" w:hAnsi="Times New Roman;Times;serif"/>
          <w:sz w:val="18"/>
        </w:rPr>
        <w:t xml:space="preserve"> Includes stock-based compensation expenses as follows in the table below. </w:t>
      </w:r>
    </w:p>
    <w:p>
      <w:pPr>
        <w:pStyle w:val="TextBody"/>
        <w:bidi w:val="0"/>
        <w:spacing w:before="0" w:after="0"/>
        <w:ind w:left="0" w:right="0" w:hanging="0"/>
        <w:jc w:val="both"/>
        <w:rPr/>
      </w:pPr>
      <w:r>
        <w:rPr/>
        <w:t>​</w:t>
      </w:r>
    </w:p>
    <w:tbl>
      <w:tblPr>
        <w:tblW w:w="6712" w:type="dxa"/>
        <w:jc w:val="left"/>
        <w:tblInd w:w="0" w:type="dxa"/>
        <w:tblLayout w:type="fixed"/>
        <w:tblCellMar>
          <w:top w:w="0" w:type="dxa"/>
          <w:left w:w="0" w:type="dxa"/>
          <w:bottom w:w="0" w:type="dxa"/>
          <w:right w:w="0" w:type="dxa"/>
        </w:tblCellMar>
      </w:tblPr>
      <w:tblGrid>
        <w:gridCol w:w="3451"/>
        <w:gridCol w:w="326"/>
        <w:gridCol w:w="257"/>
        <w:gridCol w:w="826"/>
        <w:gridCol w:w="398"/>
        <w:gridCol w:w="257"/>
        <w:gridCol w:w="826"/>
        <w:gridCol w:w="37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1385" cy="175260"/>
                      <wp:effectExtent l="0" t="0" r="0" b="0"/>
                      <wp:wrapNone/>
                      <wp:docPr id="47" name="Frame4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3195" cy="175260"/>
                      <wp:effectExtent l="0" t="0" r="0" b="0"/>
                      <wp:wrapNone/>
                      <wp:docPr id="49" name="Frame4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24510" cy="175260"/>
                      <wp:effectExtent l="0" t="0" r="0" b="0"/>
                      <wp:wrapNone/>
                      <wp:docPr id="50" name="Frame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52730" cy="175260"/>
                      <wp:effectExtent l="0" t="0" r="0" b="0"/>
                      <wp:wrapNone/>
                      <wp:docPr id="51" name="Frame50"/>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3195" cy="175260"/>
                      <wp:effectExtent l="0" t="0" r="0" b="0"/>
                      <wp:wrapNone/>
                      <wp:docPr id="52" name="Frame5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24510" cy="175260"/>
                      <wp:effectExtent l="0" t="0" r="0" b="0"/>
                      <wp:wrapNone/>
                      <wp:docPr id="53" name="Frame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5585" cy="175260"/>
                      <wp:effectExtent l="0" t="0" r="0" b="0"/>
                      <wp:wrapNone/>
                      <wp:docPr id="54" name="Frame5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98"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before="0" w:after="0"/>
              <w:ind w:left="0" w:right="0" w:hanging="0"/>
              <w:jc w:val="left"/>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98"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398"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9,548</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13,204</w:t>
            </w:r>
          </w:p>
        </w:tc>
        <w:tc>
          <w:tcPr>
            <w:tcW w:w="398"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8,380</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17,556</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47,425</w:t>
            </w:r>
          </w:p>
        </w:tc>
        <w:tc>
          <w:tcPr>
            <w:tcW w:w="398"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33,919</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tbl>
      <w:tblPr>
        <w:tblW w:w="7962" w:type="dxa"/>
        <w:jc w:val="left"/>
        <w:tblInd w:w="0" w:type="dxa"/>
        <w:tblLayout w:type="fixed"/>
        <w:tblCellMar>
          <w:top w:w="0" w:type="dxa"/>
          <w:left w:w="0" w:type="dxa"/>
          <w:bottom w:w="0" w:type="dxa"/>
          <w:right w:w="0" w:type="dxa"/>
        </w:tblCellMar>
      </w:tblPr>
      <w:tblGrid>
        <w:gridCol w:w="4666"/>
        <w:gridCol w:w="326"/>
        <w:gridCol w:w="924"/>
        <w:gridCol w:w="569"/>
        <w:gridCol w:w="171"/>
        <w:gridCol w:w="900"/>
        <w:gridCol w:w="40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962910" cy="175260"/>
                      <wp:effectExtent l="0" t="0" r="0" b="0"/>
                      <wp:wrapNone/>
                      <wp:docPr id="55" name="Frame54"/>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86740" cy="175260"/>
                      <wp:effectExtent l="0" t="0" r="0" b="0"/>
                      <wp:wrapNone/>
                      <wp:docPr id="57" name="Frame56"/>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61315" cy="175260"/>
                      <wp:effectExtent l="0" t="0" r="0" b="0"/>
                      <wp:wrapNone/>
                      <wp:docPr id="58" name="Frame57"/>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08585" cy="175260"/>
                      <wp:effectExtent l="0" t="0" r="0" b="0"/>
                      <wp:wrapNone/>
                      <wp:docPr id="59" name="Frame58"/>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71500" cy="175260"/>
                      <wp:effectExtent l="0" t="0" r="0" b="0"/>
                      <wp:wrapNone/>
                      <wp:docPr id="60" name="Frame5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7810" cy="175260"/>
                      <wp:effectExtent l="0" t="0" r="0" b="0"/>
                      <wp:wrapNone/>
                      <wp:docPr id="61" name="Frame6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406" w:type="dxa"/>
            <w:tcBorders/>
            <w:vAlign w:val="center"/>
          </w:tcPr>
          <w:p>
            <w:pPr>
              <w:pStyle w:val="TableContents"/>
              <w:bidi w:val="0"/>
              <w:spacing w:before="0" w:after="1"/>
              <w:ind w:left="0" w:right="0" w:hanging="0"/>
              <w:jc w:val="center"/>
              <w:rPr/>
            </w:pPr>
            <w:r>
              <w:rPr/>
              <w:t>​</w:t>
            </w:r>
          </w:p>
        </w:tc>
      </w:tr>
      <w:tr>
        <w:trPr/>
        <w:tc>
          <w:tcPr>
            <w:tcW w:w="4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69" w:type="dxa"/>
            <w:tcBorders/>
            <w:vAlign w:val="center"/>
          </w:tcPr>
          <w:p>
            <w:pPr>
              <w:pStyle w:val="TableContents"/>
              <w:bidi w:val="0"/>
              <w:spacing w:before="0" w:after="1"/>
              <w:ind w:left="0" w:right="0" w:hanging="0"/>
              <w:jc w:val="left"/>
              <w:rPr/>
            </w:pPr>
            <w:r>
              <w:rPr/>
              <w:t>​</w:t>
            </w:r>
          </w:p>
        </w:tc>
        <w:tc>
          <w:tcPr>
            <w:tcW w:w="171" w:type="dxa"/>
            <w:tcBorders/>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1"/>
              <w:ind w:left="0" w:right="0" w:hanging="0"/>
              <w:jc w:val="center"/>
              <w:rPr/>
            </w:pPr>
            <w:r>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  </w:t>
            </w:r>
          </w:p>
        </w:tc>
        <w:tc>
          <w:tcPr>
            <w:tcW w:w="569" w:type="dxa"/>
            <w:tcBorders/>
            <w:shd w:fill="CCEEFF" w:val="clear"/>
            <w:vAlign w:val="center"/>
          </w:tcPr>
          <w:p>
            <w:pPr>
              <w:pStyle w:val="TableContents"/>
              <w:bidi w:val="0"/>
              <w:spacing w:before="0" w:after="1"/>
              <w:ind w:left="0" w:right="0" w:hanging="0"/>
              <w:jc w:val="left"/>
              <w:rPr/>
            </w:pPr>
            <w:r>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  </w:t>
            </w:r>
          </w:p>
        </w:tc>
        <w:tc>
          <w:tcPr>
            <w:tcW w:w="569" w:type="dxa"/>
            <w:tcBorders/>
            <w:shd w:fill="CCEEFF" w:val="clear"/>
            <w:vAlign w:val="center"/>
          </w:tcPr>
          <w:p>
            <w:pPr>
              <w:pStyle w:val="TableContents"/>
              <w:bidi w:val="0"/>
              <w:spacing w:before="0" w:after="1"/>
              <w:ind w:left="0" w:right="0" w:hanging="0"/>
              <w:jc w:val="left"/>
              <w:rPr/>
            </w:pPr>
            <w:r>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  </w:t>
            </w:r>
          </w:p>
        </w:tc>
        <w:tc>
          <w:tcPr>
            <w:tcW w:w="569" w:type="dxa"/>
            <w:tcBorders/>
            <w:vAlign w:val="center"/>
          </w:tcPr>
          <w:p>
            <w:pPr>
              <w:pStyle w:val="TableContents"/>
              <w:bidi w:val="0"/>
              <w:spacing w:before="0" w:after="1"/>
              <w:ind w:left="0" w:right="0" w:hanging="0"/>
              <w:jc w:val="left"/>
              <w:rPr/>
            </w:pPr>
            <w:r>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2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 (income), net</w:t>
            </w:r>
          </w:p>
        </w:tc>
        <w:tc>
          <w:tcPr>
            <w:tcW w:w="326" w:type="dxa"/>
            <w:tcBorders/>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569" w:type="dxa"/>
            <w:tcBorders/>
            <w:shd w:fill="CCEEFF" w:val="clear"/>
            <w:vAlign w:val="center"/>
          </w:tcPr>
          <w:p>
            <w:pPr>
              <w:pStyle w:val="TableContents"/>
              <w:bidi w:val="0"/>
              <w:spacing w:before="0" w:after="1"/>
              <w:ind w:left="0" w:right="0" w:hanging="0"/>
              <w:jc w:val="left"/>
              <w:rPr/>
            </w:pPr>
            <w:r>
              <w:rPr/>
              <w:t>​</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tax</w:t>
            </w:r>
          </w:p>
        </w:tc>
        <w:tc>
          <w:tcPr>
            <w:tcW w:w="32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investments,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26" w:type="dxa"/>
            <w:tcBorders/>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5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CCEEFF" w:val="clear"/>
            <w:vAlign w:val="center"/>
          </w:tcPr>
          <w:p>
            <w:pPr>
              <w:pStyle w:val="TableContents"/>
              <w:bidi w:val="0"/>
              <w:spacing w:before="0" w:after="1"/>
              <w:ind w:left="0" w:right="0" w:hanging="0"/>
              <w:jc w:val="left"/>
              <w:rPr/>
            </w:pPr>
            <w:r>
              <w:rPr/>
              <w:t> </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71" w:type="dxa"/>
            <w:tcBorders/>
            <w:shd w:fill="CCEEFF" w:val="clear"/>
            <w:vAlign w:val="center"/>
          </w:tcPr>
          <w:p>
            <w:pPr>
              <w:pStyle w:val="TableContents"/>
              <w:bidi w:val="0"/>
              <w:spacing w:before="0" w:after="1"/>
              <w:ind w:left="0" w:right="0" w:hanging="0"/>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Year Ended December 31, 2024 Compared to Year Ended December 31, 2023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Revenues </w:t>
      </w:r>
    </w:p>
    <w:tbl>
      <w:tblPr>
        <w:tblW w:w="6443" w:type="dxa"/>
        <w:jc w:val="left"/>
        <w:tblInd w:w="0" w:type="dxa"/>
        <w:tblLayout w:type="fixed"/>
        <w:tblCellMar>
          <w:top w:w="0" w:type="dxa"/>
          <w:left w:w="0" w:type="dxa"/>
          <w:bottom w:w="0" w:type="dxa"/>
          <w:right w:w="0" w:type="dxa"/>
        </w:tblCellMar>
      </w:tblPr>
      <w:tblGrid>
        <w:gridCol w:w="1951"/>
        <w:gridCol w:w="109"/>
        <w:gridCol w:w="211"/>
        <w:gridCol w:w="781"/>
        <w:gridCol w:w="326"/>
        <w:gridCol w:w="211"/>
        <w:gridCol w:w="781"/>
        <w:gridCol w:w="109"/>
        <w:gridCol w:w="233"/>
        <w:gridCol w:w="747"/>
        <w:gridCol w:w="120"/>
        <w:gridCol w:w="515"/>
        <w:gridCol w:w="349"/>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38885" cy="175260"/>
                      <wp:effectExtent l="0" t="0" r="0" b="0"/>
                      <wp:wrapNone/>
                      <wp:docPr id="62" name="Frame6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7955" cy="175260"/>
                      <wp:effectExtent l="0" t="0" r="0" b="0"/>
                      <wp:wrapNone/>
                      <wp:docPr id="70" name="Frame6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74345" cy="175260"/>
                      <wp:effectExtent l="0" t="0" r="0" b="0"/>
                      <wp:wrapNone/>
                      <wp:docPr id="71" name="Frame70"/>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6200" cy="175260"/>
                      <wp:effectExtent l="0" t="0" r="0" b="0"/>
                      <wp:wrapNone/>
                      <wp:docPr id="72" name="Frame7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27025" cy="175260"/>
                      <wp:effectExtent l="0" t="0" r="0" b="0"/>
                      <wp:wrapNone/>
                      <wp:docPr id="73" name="Frame72"/>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1615" cy="175260"/>
                      <wp:effectExtent l="0" t="0" r="0" b="0"/>
                      <wp:wrapNone/>
                      <wp:docPr id="74" name="Frame7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1"/>
              <w:ind w:left="0" w:right="0" w:hanging="0"/>
              <w:jc w:val="center"/>
              <w:rPr/>
            </w:pPr>
            <w:r>
              <w:rPr/>
              <w:t>​</w:t>
            </w:r>
          </w:p>
        </w:tc>
        <w:tc>
          <w:tcPr>
            <w:tcW w:w="233"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center"/>
              <w:rPr/>
            </w:pPr>
            <w:r>
              <w:rPr/>
              <w:t>​</w:t>
            </w:r>
          </w:p>
        </w:tc>
        <w:tc>
          <w:tcPr>
            <w:tcW w:w="120" w:type="dxa"/>
            <w:tcBorders/>
            <w:vAlign w:val="center"/>
          </w:tcPr>
          <w:p>
            <w:pPr>
              <w:pStyle w:val="TableContents"/>
              <w:bidi w:val="0"/>
              <w:spacing w:before="0" w:after="1"/>
              <w:ind w:left="0" w:right="0" w:hanging="0"/>
              <w:jc w:val="center"/>
              <w:rPr/>
            </w:pPr>
            <w:r>
              <w:rPr/>
              <w:t>​</w:t>
            </w:r>
          </w:p>
        </w:tc>
        <w:tc>
          <w:tcPr>
            <w:tcW w:w="515" w:type="dxa"/>
            <w:tcBorders/>
            <w:vAlign w:val="center"/>
          </w:tcPr>
          <w:p>
            <w:pPr>
              <w:pStyle w:val="TableContents"/>
              <w:bidi w:val="0"/>
              <w:spacing w:before="0" w:after="1"/>
              <w:ind w:left="0" w:right="0" w:hanging="0"/>
              <w:jc w:val="center"/>
              <w:rPr/>
            </w:pPr>
            <w:r>
              <w:rPr/>
              <w:t>​</w:t>
            </w:r>
          </w:p>
        </w:tc>
        <w:tc>
          <w:tcPr>
            <w:tcW w:w="349"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233"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center"/>
              <w:rPr/>
            </w:pPr>
            <w:r>
              <w:rPr/>
              <w:t>​</w:t>
            </w:r>
          </w:p>
        </w:tc>
        <w:tc>
          <w:tcPr>
            <w:tcW w:w="120" w:type="dxa"/>
            <w:tcBorders/>
            <w:vAlign w:val="center"/>
          </w:tcPr>
          <w:p>
            <w:pPr>
              <w:pStyle w:val="TableContents"/>
              <w:bidi w:val="0"/>
              <w:spacing w:before="0" w:after="1"/>
              <w:ind w:left="0" w:right="0" w:hanging="0"/>
              <w:jc w:val="center"/>
              <w:rPr/>
            </w:pPr>
            <w:r>
              <w:rPr/>
              <w:t>​</w:t>
            </w:r>
          </w:p>
        </w:tc>
        <w:tc>
          <w:tcPr>
            <w:tcW w:w="515" w:type="dxa"/>
            <w:tcBorders/>
            <w:vAlign w:val="center"/>
          </w:tcPr>
          <w:p>
            <w:pPr>
              <w:pStyle w:val="TableContents"/>
              <w:bidi w:val="0"/>
              <w:spacing w:before="0" w:after="1"/>
              <w:ind w:left="0" w:right="0" w:hanging="0"/>
              <w:jc w:val="center"/>
              <w:rPr/>
            </w:pPr>
            <w:r>
              <w:rPr/>
              <w:t>​</w:t>
            </w:r>
          </w:p>
        </w:tc>
        <w:tc>
          <w:tcPr>
            <w:tcW w:w="349"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9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  </w:t>
            </w:r>
          </w:p>
        </w:tc>
        <w:tc>
          <w:tcPr>
            <w:tcW w:w="120" w:type="dxa"/>
            <w:tcBorders/>
            <w:vAlign w:val="center"/>
          </w:tcPr>
          <w:p>
            <w:pPr>
              <w:pStyle w:val="TableContents"/>
              <w:bidi w:val="0"/>
              <w:spacing w:before="0" w:after="1"/>
              <w:ind w:left="0" w:right="0" w:hanging="0"/>
              <w:jc w:val="right"/>
              <w:rPr/>
            </w:pPr>
            <w:r>
              <w:rPr/>
              <w:t>​</w:t>
            </w:r>
          </w:p>
        </w:tc>
        <w:tc>
          <w:tcPr>
            <w:tcW w:w="515"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right"/>
              <w:rPr/>
            </w:pPr>
            <w:r>
              <w:rPr/>
              <w:t>​</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567,124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480,830</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86,294</w:t>
            </w:r>
          </w:p>
        </w:tc>
        <w:tc>
          <w:tcPr>
            <w:tcW w:w="120" w:type="dxa"/>
            <w:tcBorders/>
            <w:shd w:fill="CCEEFF" w:val="clear"/>
            <w:vAlign w:val="center"/>
          </w:tcPr>
          <w:p>
            <w:pPr>
              <w:pStyle w:val="TableContents"/>
              <w:bidi w:val="0"/>
              <w:spacing w:before="0" w:after="1"/>
              <w:ind w:left="0" w:right="0" w:hanging="0"/>
              <w:jc w:val="right"/>
              <w:rPr/>
            </w:pPr>
            <w:r>
              <w:rPr/>
              <w:t>​</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91,557</w:t>
            </w:r>
          </w:p>
        </w:tc>
        <w:tc>
          <w:tcPr>
            <w:tcW w:w="109" w:type="dxa"/>
            <w:tcBorders/>
            <w:vAlign w:val="center"/>
          </w:tcPr>
          <w:p>
            <w:pPr>
              <w:pStyle w:val="TableContents"/>
              <w:bidi w:val="0"/>
              <w:spacing w:before="0" w:after="1"/>
              <w:ind w:left="0" w:right="0" w:hanging="0"/>
              <w:jc w:val="righ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8,095</w:t>
            </w:r>
          </w:p>
        </w:tc>
        <w:tc>
          <w:tcPr>
            <w:tcW w:w="120" w:type="dxa"/>
            <w:tcBorders/>
            <w:vAlign w:val="center"/>
          </w:tcPr>
          <w:p>
            <w:pPr>
              <w:pStyle w:val="TableContents"/>
              <w:bidi w:val="0"/>
              <w:spacing w:before="0" w:after="1"/>
              <w:ind w:left="0" w:right="0" w:hanging="0"/>
              <w:jc w:val="right"/>
              <w:rPr/>
            </w:pPr>
            <w:r>
              <w:rPr/>
              <w:t>​</w:t>
            </w:r>
          </w:p>
        </w:tc>
        <w:tc>
          <w:tcPr>
            <w:tcW w:w="5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666,776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572,387</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94,389</w:t>
            </w:r>
          </w:p>
        </w:tc>
        <w:tc>
          <w:tcPr>
            <w:tcW w:w="120" w:type="dxa"/>
            <w:tcBorders/>
            <w:shd w:fill="CCEEFF" w:val="clear"/>
            <w:vAlign w:val="center"/>
          </w:tcPr>
          <w:p>
            <w:pPr>
              <w:pStyle w:val="TableContents"/>
              <w:bidi w:val="0"/>
              <w:spacing w:before="0" w:after="1"/>
              <w:ind w:left="0" w:right="0" w:hanging="0"/>
              <w:jc w:val="right"/>
              <w:rPr/>
            </w:pPr>
            <w:r>
              <w:rPr/>
              <w:t>​</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Revenues increased $94.4 million, or 16.5%, to $666.8 million in 2024 compared to $572.4 million in 2023. The increase in software subscriptions revenues of $86.3 million, or 17.9%, was primarily driven by an increase of $80.5 million from cross selling new products to existing customers, increases from expanded use of our products and services, and price increases. Software subscriptions revenues derived from new customers averaged 6.3% and 6.2% of total software subscriptions revenues in 2024 and 2023,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$8.1 million increase in services revenues was primarily driven by an increase of $2.7 million in software subscription-related services associated with the growth in subscription revenues, which includes new customers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implementing our solutions and upgrading existing customers to newer versions of our solutions. In addition, our managed services offering experienced a $5.4 million increase in recurring services revenues over the prior year due to returns processing volume increases related to regulatory changes as customers expanded their tax filings into more jurisdictions.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Cost of Software Subscriptions Revenues </w:t>
      </w:r>
    </w:p>
    <w:tbl>
      <w:tblPr>
        <w:tblW w:w="7918" w:type="dxa"/>
        <w:jc w:val="left"/>
        <w:tblInd w:w="0" w:type="dxa"/>
        <w:tblLayout w:type="fixed"/>
        <w:tblCellMar>
          <w:top w:w="0" w:type="dxa"/>
          <w:left w:w="0" w:type="dxa"/>
          <w:bottom w:w="0" w:type="dxa"/>
          <w:right w:w="0" w:type="dxa"/>
        </w:tblCellMar>
      </w:tblPr>
      <w:tblGrid>
        <w:gridCol w:w="3316"/>
        <w:gridCol w:w="211"/>
        <w:gridCol w:w="781"/>
        <w:gridCol w:w="326"/>
        <w:gridCol w:w="211"/>
        <w:gridCol w:w="781"/>
        <w:gridCol w:w="326"/>
        <w:gridCol w:w="242"/>
        <w:gridCol w:w="777"/>
        <w:gridCol w:w="167"/>
        <w:gridCol w:w="415"/>
        <w:gridCol w:w="365"/>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05660" cy="175260"/>
                      <wp:effectExtent l="0" t="0" r="0" b="0"/>
                      <wp:wrapNone/>
                      <wp:docPr id="75" name="Frame7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5935" cy="175260"/>
                      <wp:effectExtent l="0" t="0" r="0" b="0"/>
                      <wp:wrapNone/>
                      <wp:docPr id="77"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53670" cy="175260"/>
                      <wp:effectExtent l="0" t="0" r="0" b="0"/>
                      <wp:wrapNone/>
                      <wp:docPr id="82" name="Frame8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3395" cy="175260"/>
                      <wp:effectExtent l="0" t="0" r="0" b="0"/>
                      <wp:wrapNone/>
                      <wp:docPr id="83" name="Frame82"/>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06045" cy="175260"/>
                      <wp:effectExtent l="0" t="0" r="0" b="0"/>
                      <wp:wrapNone/>
                      <wp:docPr id="84" name="Frame83"/>
                      <a:graphic xmlns:a="http://schemas.openxmlformats.org/drawingml/2006/main">
                        <a:graphicData uri="http://schemas.microsoft.com/office/word/2010/wordprocessingShape">
                          <wps:wsp>
                            <wps:cNvSpPr txBox="1"/>
                            <wps:spPr>
                              <a:xfrm>
                                <a:off x="0" y="0"/>
                                <a:ext cx="106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63525" cy="175260"/>
                      <wp:effectExtent l="0" t="0" r="0" b="0"/>
                      <wp:wrapNone/>
                      <wp:docPr id="85" name="Frame8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31775" cy="175260"/>
                      <wp:effectExtent l="0" t="0" r="0" b="0"/>
                      <wp:wrapNone/>
                      <wp:docPr id="86" name="Frame8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center"/>
              <w:rPr/>
            </w:pPr>
            <w:r>
              <w:rPr/>
              <w:t>​</w:t>
            </w:r>
          </w:p>
        </w:tc>
        <w:tc>
          <w:tcPr>
            <w:tcW w:w="167"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9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162,920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12,660</w:t>
            </w:r>
          </w:p>
        </w:tc>
        <w:tc>
          <w:tcPr>
            <w:tcW w:w="16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$12.7 million, or 7.8%, to $175.6 million in 2024 compared to $162.9 million in 2023. This increase was primarily driven by a $5.9 million increase in costs of personnel supporting period-over-period growth of sales and customers, and ongoing hosting and infrastructure investments to support expansion of customer transaction volumes for our cloud-based subscription customers. In addition, we experienced an increase in depreciation and amortization of capitalized software and acquired intangible assets of $5.3 million associated with our ongoing investments in internal-use software for cloud-based subscription solutions, software developed for sale for new products and enhancements to existing products, and costs associated with the amortization of acquired intangible assets. Lastly, stock-based compensation increased by $1.5 million for the twelve months ended December 31, 2024, over the same period in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Cost of Services Revenues </w:t>
      </w:r>
    </w:p>
    <w:tbl>
      <w:tblPr>
        <w:tblW w:w="6327" w:type="dxa"/>
        <w:jc w:val="left"/>
        <w:tblInd w:w="0" w:type="dxa"/>
        <w:tblLayout w:type="fixed"/>
        <w:tblCellMar>
          <w:top w:w="0" w:type="dxa"/>
          <w:left w:w="0" w:type="dxa"/>
          <w:bottom w:w="0" w:type="dxa"/>
          <w:right w:w="0" w:type="dxa"/>
        </w:tblCellMar>
      </w:tblPr>
      <w:tblGrid>
        <w:gridCol w:w="2161"/>
        <w:gridCol w:w="211"/>
        <w:gridCol w:w="676"/>
        <w:gridCol w:w="109"/>
        <w:gridCol w:w="211"/>
        <w:gridCol w:w="676"/>
        <w:gridCol w:w="109"/>
        <w:gridCol w:w="363"/>
        <w:gridCol w:w="571"/>
        <w:gridCol w:w="363"/>
        <w:gridCol w:w="363"/>
        <w:gridCol w:w="51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72235" cy="175260"/>
                      <wp:effectExtent l="0" t="0" r="0" b="0"/>
                      <wp:wrapNone/>
                      <wp:docPr id="87" name="Frame8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9260" cy="175260"/>
                      <wp:effectExtent l="0" t="0" r="0" b="0"/>
                      <wp:wrapNone/>
                      <wp:docPr id="89" name="Frame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2"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30505" cy="175260"/>
                      <wp:effectExtent l="0" t="0" r="0" b="0"/>
                      <wp:wrapNone/>
                      <wp:docPr id="94" name="Frame9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5" name="Frame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0505" cy="175260"/>
                      <wp:effectExtent l="0" t="0" r="0" b="0"/>
                      <wp:wrapNone/>
                      <wp:docPr id="96" name="Frame9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0505" cy="175260"/>
                      <wp:effectExtent l="0" t="0" r="0" b="0"/>
                      <wp:wrapNone/>
                      <wp:docPr id="97" name="Frame96"/>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26390" cy="175260"/>
                      <wp:effectExtent l="0" t="0" r="0" b="0"/>
                      <wp:wrapNone/>
                      <wp:docPr id="98" name="Frame9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0"/>
              <w:ind w:left="0" w:right="0" w:hanging="0"/>
              <w:jc w:val="center"/>
              <w:rPr/>
            </w:pPr>
            <w:r>
              <w:rPr/>
              <w:t>​</w:t>
            </w:r>
          </w:p>
        </w:tc>
        <w:tc>
          <w:tcPr>
            <w:tcW w:w="36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36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center"/>
              <w:rPr/>
            </w:pPr>
            <w:r>
              <w:rPr/>
              <w:t>​</w:t>
            </w:r>
          </w:p>
        </w:tc>
        <w:tc>
          <w:tcPr>
            <w:tcW w:w="363"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1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60,888</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w:t>
            </w:r>
          </w:p>
        </w:tc>
        <w:tc>
          <w:tcPr>
            <w:tcW w:w="363"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$4.2 million, or 6.9%, to $65.1 million in 2024 compared to $60.9 million in 2023. This increase was primarily driven by a $3.3 million increase in costs of service delivery personnel to support revenue growth in software-subscription related services and our managed services offering. In addition, this amount includes an increase in stock-based compensation of $0.9 million for the twelve months ended December 31, 2024, over the same period in 2023.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w:t>
      </w:r>
    </w:p>
    <w:tbl>
      <w:tblPr>
        <w:tblW w:w="6269" w:type="dxa"/>
        <w:jc w:val="left"/>
        <w:tblInd w:w="0" w:type="dxa"/>
        <w:tblLayout w:type="fixed"/>
        <w:tblCellMar>
          <w:top w:w="0" w:type="dxa"/>
          <w:left w:w="0" w:type="dxa"/>
          <w:bottom w:w="0" w:type="dxa"/>
          <w:right w:w="0" w:type="dxa"/>
        </w:tblCellMar>
      </w:tblPr>
      <w:tblGrid>
        <w:gridCol w:w="2311"/>
        <w:gridCol w:w="211"/>
        <w:gridCol w:w="676"/>
        <w:gridCol w:w="109"/>
        <w:gridCol w:w="211"/>
        <w:gridCol w:w="676"/>
        <w:gridCol w:w="109"/>
        <w:gridCol w:w="242"/>
        <w:gridCol w:w="656"/>
        <w:gridCol w:w="167"/>
        <w:gridCol w:w="535"/>
        <w:gridCol w:w="36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67485" cy="175260"/>
                      <wp:effectExtent l="0" t="0" r="0" b="0"/>
                      <wp:wrapNone/>
                      <wp:docPr id="99" name="Frame9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101"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53670" cy="175260"/>
                      <wp:effectExtent l="0" t="0" r="0" b="0"/>
                      <wp:wrapNone/>
                      <wp:docPr id="106" name="Frame10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16560" cy="175260"/>
                      <wp:effectExtent l="0" t="0" r="0" b="0"/>
                      <wp:wrapNone/>
                      <wp:docPr id="107" name="Frame106"/>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6045" cy="175260"/>
                      <wp:effectExtent l="0" t="0" r="0" b="0"/>
                      <wp:wrapNone/>
                      <wp:docPr id="108" name="Frame107"/>
                      <a:graphic xmlns:a="http://schemas.openxmlformats.org/drawingml/2006/main">
                        <a:graphicData uri="http://schemas.microsoft.com/office/word/2010/wordprocessingShape">
                          <wps:wsp>
                            <wps:cNvSpPr txBox="1"/>
                            <wps:spPr>
                              <a:xfrm>
                                <a:off x="0" y="0"/>
                                <a:ext cx="106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39725" cy="175260"/>
                      <wp:effectExtent l="0" t="0" r="0" b="0"/>
                      <wp:wrapNone/>
                      <wp:docPr id="109" name="Frame108"/>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32410" cy="175260"/>
                      <wp:effectExtent l="0" t="0" r="0" b="0"/>
                      <wp:wrapNone/>
                      <wp:docPr id="110" name="Frame109"/>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18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167"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167" w:type="dxa"/>
            <w:tcBorders/>
            <w:vAlign w:val="center"/>
          </w:tcPr>
          <w:p>
            <w:pPr>
              <w:pStyle w:val="TableContents"/>
              <w:bidi w:val="0"/>
              <w:spacing w:before="0" w:after="1"/>
              <w:ind w:left="0" w:right="0" w:hanging="0"/>
              <w:jc w:val="center"/>
              <w:rPr/>
            </w:pPr>
            <w:r>
              <w:rPr/>
              <w:t>​</w:t>
            </w:r>
          </w:p>
        </w:tc>
        <w:tc>
          <w:tcPr>
            <w:tcW w:w="535"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9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58,212</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8,454</w:t>
            </w:r>
          </w:p>
        </w:tc>
        <w:tc>
          <w:tcPr>
            <w:tcW w:w="167" w:type="dxa"/>
            <w:tcBorders/>
            <w:shd w:fill="CCEEFF" w:val="clear"/>
            <w:vAlign w:val="center"/>
          </w:tcPr>
          <w:p>
            <w:pPr>
              <w:pStyle w:val="TableContents"/>
              <w:bidi w:val="0"/>
              <w:spacing w:before="0" w:after="1"/>
              <w:ind w:left="0" w:right="0" w:hanging="0"/>
              <w:jc w:val="left"/>
              <w:rPr/>
            </w:pPr>
            <w:r>
              <w:rPr/>
              <w:t> </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$8.5 million, or 14.5%, to $66.7 million in 2024 compared to $58.2 million in 2023. This increase was primarily due to a $4.9 million increase in personnel costs related to development work associated with new solutions to address end-to-end data analysis and compliance needs of our customers, and continued expansion of connectors and application program interfaces (“APIs”) to customer enterprise resource planning (“ERP”)  and other software platforms. In addition, this amount includes an increase in stock-based compensation of $3.6 million for the twelve months ended December 31, 2024, over the same period in 2023. Research and development expenses exclude those costs that have been capitalized for solutions that have met our capitalization policy.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Selling and Marketing</w:t>
      </w:r>
    </w:p>
    <w:tbl>
      <w:tblPr>
        <w:tblW w:w="6087" w:type="dxa"/>
        <w:jc w:val="left"/>
        <w:tblInd w:w="0" w:type="dxa"/>
        <w:tblLayout w:type="fixed"/>
        <w:tblCellMar>
          <w:top w:w="0" w:type="dxa"/>
          <w:left w:w="0" w:type="dxa"/>
          <w:bottom w:w="0" w:type="dxa"/>
          <w:right w:w="0" w:type="dxa"/>
        </w:tblCellMar>
      </w:tblPr>
      <w:tblGrid>
        <w:gridCol w:w="1921"/>
        <w:gridCol w:w="211"/>
        <w:gridCol w:w="781"/>
        <w:gridCol w:w="109"/>
        <w:gridCol w:w="211"/>
        <w:gridCol w:w="781"/>
        <w:gridCol w:w="109"/>
        <w:gridCol w:w="228"/>
        <w:gridCol w:w="732"/>
        <w:gridCol w:w="158"/>
        <w:gridCol w:w="504"/>
        <w:gridCol w:w="342"/>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19835" cy="175260"/>
                      <wp:effectExtent l="0" t="0" r="0" b="0"/>
                      <wp:wrapNone/>
                      <wp:docPr id="111" name="Frame110"/>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4780" cy="175260"/>
                      <wp:effectExtent l="0" t="0" r="0" b="0"/>
                      <wp:wrapNone/>
                      <wp:docPr id="118" name="Frame11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64820" cy="175260"/>
                      <wp:effectExtent l="0" t="0" r="0" b="0"/>
                      <wp:wrapNone/>
                      <wp:docPr id="119" name="Frame118"/>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0330" cy="175260"/>
                      <wp:effectExtent l="0" t="0" r="0" b="0"/>
                      <wp:wrapNone/>
                      <wp:docPr id="120" name="Frame119"/>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20040" cy="175260"/>
                      <wp:effectExtent l="0" t="0" r="0" b="0"/>
                      <wp:wrapNone/>
                      <wp:docPr id="121" name="Frame120"/>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7170" cy="175260"/>
                      <wp:effectExtent l="0" t="0" r="0" b="0"/>
                      <wp:wrapNone/>
                      <wp:docPr id="122" name="Frame121"/>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20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0"/>
              <w:ind w:left="0" w:right="0" w:hanging="0"/>
              <w:jc w:val="center"/>
              <w:rPr/>
            </w:pPr>
            <w:r>
              <w:rPr/>
              <w:t>​</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20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center"/>
              <w:rPr/>
            </w:pPr>
            <w:r>
              <w:rPr/>
              <w:t>​</w:t>
            </w:r>
          </w:p>
        </w:tc>
        <w:tc>
          <w:tcPr>
            <w:tcW w:w="504"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9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140,237</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30,337</w:t>
            </w:r>
          </w:p>
        </w:tc>
        <w:tc>
          <w:tcPr>
            <w:tcW w:w="158" w:type="dxa"/>
            <w:tcBorders/>
            <w:shd w:fill="CCEEFF" w:val="clear"/>
            <w:vAlign w:val="center"/>
          </w:tcPr>
          <w:p>
            <w:pPr>
              <w:pStyle w:val="TableContents"/>
              <w:bidi w:val="0"/>
              <w:spacing w:before="0" w:after="0"/>
              <w:ind w:left="0" w:right="0" w:hanging="0"/>
              <w:jc w:val="left"/>
              <w:rPr/>
            </w:pPr>
            <w:r>
              <w:rPr/>
              <w:t> </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increased $30.3 million, or 21.6%, to $170.6 million in 2024 compared to $140.2 million in 2023, primarily driven by a $15.6 million increase in payroll and related expenses associated with the growth in period-over-period subscription sales and services revenues and expansion of our partner and channel management programs. In addition, this included an increase of $10.0 million in advertising and promotional spending related to expanded brand awareness efforts. Lastly, there was an increase in stock-based compensation of $4.8 million.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w:t>
      </w:r>
    </w:p>
    <w:tbl>
      <w:tblPr>
        <w:tblW w:w="6479" w:type="dxa"/>
        <w:jc w:val="left"/>
        <w:tblInd w:w="0" w:type="dxa"/>
        <w:tblLayout w:type="fixed"/>
        <w:tblCellMar>
          <w:top w:w="0" w:type="dxa"/>
          <w:left w:w="0" w:type="dxa"/>
          <w:bottom w:w="0" w:type="dxa"/>
          <w:right w:w="0" w:type="dxa"/>
        </w:tblCellMar>
      </w:tblPr>
      <w:tblGrid>
        <w:gridCol w:w="2311"/>
        <w:gridCol w:w="211"/>
        <w:gridCol w:w="781"/>
        <w:gridCol w:w="109"/>
        <w:gridCol w:w="211"/>
        <w:gridCol w:w="781"/>
        <w:gridCol w:w="109"/>
        <w:gridCol w:w="258"/>
        <w:gridCol w:w="699"/>
        <w:gridCol w:w="178"/>
        <w:gridCol w:w="442"/>
        <w:gridCol w:w="389"/>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67485" cy="175260"/>
                      <wp:effectExtent l="0" t="0" r="0" b="0"/>
                      <wp:wrapNone/>
                      <wp:docPr id="123" name="Frame12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95935" cy="175260"/>
                      <wp:effectExtent l="0" t="0" r="0" b="0"/>
                      <wp:wrapNone/>
                      <wp:docPr id="125" name="Frame1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5935" cy="175260"/>
                      <wp:effectExtent l="0" t="0" r="0" b="0"/>
                      <wp:wrapNone/>
                      <wp:docPr id="128" name="Frame1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3830" cy="175260"/>
                      <wp:effectExtent l="0" t="0" r="0" b="0"/>
                      <wp:wrapNone/>
                      <wp:docPr id="130" name="Frame12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43865" cy="175260"/>
                      <wp:effectExtent l="0" t="0" r="0" b="0"/>
                      <wp:wrapNone/>
                      <wp:docPr id="131" name="Frame13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3030" cy="175260"/>
                      <wp:effectExtent l="0" t="0" r="0" b="0"/>
                      <wp:wrapNone/>
                      <wp:docPr id="132" name="Frame131"/>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80670" cy="175260"/>
                      <wp:effectExtent l="0" t="0" r="0" b="0"/>
                      <wp:wrapNone/>
                      <wp:docPr id="133" name="Frame13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47015" cy="175260"/>
                      <wp:effectExtent l="0" t="0" r="0" b="0"/>
                      <wp:wrapNone/>
                      <wp:docPr id="134" name="Frame133"/>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209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78"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20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78"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left"/>
              <w:rPr/>
            </w:pPr>
            <w:r>
              <w:rPr/>
              <w:t>​</w:t>
            </w:r>
          </w:p>
        </w:tc>
        <w:tc>
          <w:tcPr>
            <w:tcW w:w="389"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9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152,835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145,936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6,899</w:t>
            </w:r>
          </w:p>
        </w:tc>
        <w:tc>
          <w:tcPr>
            <w:tcW w:w="178"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$6.9 million, or 4.7%, to $152.8 million in 2024 compared to $145.9 million in 2023, primarily driven by an increase of $2.8 million associated with planned strategic investments in information technology infrastructure, business process re-engineering, and other initiatives to drive future operating leverage. This increase also reflects investments in employees, systems, and other resources in support of our growth. Additionally, there was an increase of $1.4 million for the amortization of capitalized cloud computing implementation costs related to our ERP modernization initiative which was completed in 2023. Lastly, there was an increase in stock-based compensation of $2.7 million for the year ended December 31, 2024, over the same period in 2023.</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Depreciation and Amortization</w:t>
      </w:r>
    </w:p>
    <w:tbl>
      <w:tblPr>
        <w:tblW w:w="6554" w:type="dxa"/>
        <w:jc w:val="left"/>
        <w:tblInd w:w="0" w:type="dxa"/>
        <w:tblLayout w:type="fixed"/>
        <w:tblCellMar>
          <w:top w:w="0" w:type="dxa"/>
          <w:left w:w="0" w:type="dxa"/>
          <w:bottom w:w="0" w:type="dxa"/>
          <w:right w:w="0" w:type="dxa"/>
        </w:tblCellMar>
      </w:tblPr>
      <w:tblGrid>
        <w:gridCol w:w="2596"/>
        <w:gridCol w:w="211"/>
        <w:gridCol w:w="676"/>
        <w:gridCol w:w="109"/>
        <w:gridCol w:w="211"/>
        <w:gridCol w:w="676"/>
        <w:gridCol w:w="109"/>
        <w:gridCol w:w="242"/>
        <w:gridCol w:w="656"/>
        <w:gridCol w:w="167"/>
        <w:gridCol w:w="535"/>
        <w:gridCol w:w="36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48460" cy="175260"/>
                      <wp:effectExtent l="0" t="0" r="0" b="0"/>
                      <wp:wrapNone/>
                      <wp:docPr id="135" name="Frame13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37"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29260" cy="175260"/>
                      <wp:effectExtent l="0" t="0" r="0" b="0"/>
                      <wp:wrapNone/>
                      <wp:docPr id="140" name="Frame1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53670" cy="175260"/>
                      <wp:effectExtent l="0" t="0" r="0" b="0"/>
                      <wp:wrapNone/>
                      <wp:docPr id="142" name="Frame14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16560" cy="175260"/>
                      <wp:effectExtent l="0" t="0" r="0" b="0"/>
                      <wp:wrapNone/>
                      <wp:docPr id="143" name="Frame142"/>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6045" cy="175260"/>
                      <wp:effectExtent l="0" t="0" r="0" b="0"/>
                      <wp:wrapNone/>
                      <wp:docPr id="144" name="Frame143"/>
                      <a:graphic xmlns:a="http://schemas.openxmlformats.org/drawingml/2006/main">
                        <a:graphicData uri="http://schemas.microsoft.com/office/word/2010/wordprocessingShape">
                          <wps:wsp>
                            <wps:cNvSpPr txBox="1"/>
                            <wps:spPr>
                              <a:xfrm>
                                <a:off x="0" y="0"/>
                                <a:ext cx="106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39725" cy="175260"/>
                      <wp:effectExtent l="0" t="0" r="0" b="0"/>
                      <wp:wrapNone/>
                      <wp:docPr id="145" name="Frame144"/>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2410" cy="175260"/>
                      <wp:effectExtent l="0" t="0" r="0" b="0"/>
                      <wp:wrapNone/>
                      <wp:docPr id="146" name="Frame145"/>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8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167"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167" w:type="dxa"/>
            <w:tcBorders/>
            <w:vAlign w:val="center"/>
          </w:tcPr>
          <w:p>
            <w:pPr>
              <w:pStyle w:val="TableContents"/>
              <w:bidi w:val="0"/>
              <w:spacing w:before="0" w:after="1"/>
              <w:ind w:left="0" w:right="0" w:hanging="0"/>
              <w:jc w:val="center"/>
              <w:rPr/>
            </w:pPr>
            <w:r>
              <w:rPr/>
              <w:t>​</w:t>
            </w:r>
          </w:p>
        </w:tc>
        <w:tc>
          <w:tcPr>
            <w:tcW w:w="535"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9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15,202</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5,751</w:t>
            </w:r>
          </w:p>
        </w:tc>
        <w:tc>
          <w:tcPr>
            <w:tcW w:w="167" w:type="dxa"/>
            <w:tcBorders/>
            <w:shd w:fill="CCEEFF" w:val="clear"/>
            <w:vAlign w:val="center"/>
          </w:tcPr>
          <w:p>
            <w:pPr>
              <w:pStyle w:val="TableContents"/>
              <w:bidi w:val="0"/>
              <w:spacing w:before="0" w:after="1"/>
              <w:ind w:left="0" w:right="0" w:hanging="0"/>
              <w:jc w:val="left"/>
              <w:rPr/>
            </w:pPr>
            <w:r>
              <w:rPr/>
              <w:t> </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$5.8 million, or 37.8%, to $21.0 million in 2024 compared to $15.2 million in 2023. The increase was primarily due to the impact of infrastructure and technology purchases and other capitalized infrastructure costs to support our growth.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Change in Fair Value of Acquisition Contingent Earn-outs</w:t>
      </w:r>
      <w:r>
        <w:rPr>
          <w:rFonts w:ascii="Times New Roman;Times;serif" w:hAnsi="Times New Roman;Times;serif"/>
          <w:color w:val="FF0000"/>
          <w:sz w:val="20"/>
        </w:rPr>
        <w:t xml:space="preserve"> </w:t>
      </w:r>
    </w:p>
    <w:tbl>
      <w:tblPr>
        <w:tblW w:w="8400" w:type="dxa"/>
        <w:jc w:val="left"/>
        <w:tblInd w:w="0" w:type="dxa"/>
        <w:tblLayout w:type="fixed"/>
        <w:tblCellMar>
          <w:top w:w="0" w:type="dxa"/>
          <w:left w:w="0" w:type="dxa"/>
          <w:bottom w:w="0" w:type="dxa"/>
          <w:right w:w="0" w:type="dxa"/>
        </w:tblCellMar>
      </w:tblPr>
      <w:tblGrid>
        <w:gridCol w:w="4666"/>
        <w:gridCol w:w="109"/>
        <w:gridCol w:w="211"/>
        <w:gridCol w:w="676"/>
        <w:gridCol w:w="109"/>
        <w:gridCol w:w="211"/>
        <w:gridCol w:w="346"/>
        <w:gridCol w:w="109"/>
        <w:gridCol w:w="257"/>
        <w:gridCol w:w="826"/>
        <w:gridCol w:w="178"/>
        <w:gridCol w:w="514"/>
        <w:gridCol w:w="188"/>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962910" cy="175260"/>
                      <wp:effectExtent l="0" t="0" r="0" b="0"/>
                      <wp:wrapNone/>
                      <wp:docPr id="147" name="Frame146"/>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29260" cy="175260"/>
                      <wp:effectExtent l="0" t="0" r="0" b="0"/>
                      <wp:wrapNone/>
                      <wp:docPr id="150"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63195" cy="175260"/>
                      <wp:effectExtent l="0" t="0" r="0" b="0"/>
                      <wp:wrapNone/>
                      <wp:docPr id="155" name="Frame15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24510" cy="175260"/>
                      <wp:effectExtent l="0" t="0" r="0" b="0"/>
                      <wp:wrapNone/>
                      <wp:docPr id="156" name="Frame1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13030" cy="175260"/>
                      <wp:effectExtent l="0" t="0" r="0" b="0"/>
                      <wp:wrapNone/>
                      <wp:docPr id="157" name="Frame156"/>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26390" cy="175260"/>
                      <wp:effectExtent l="0" t="0" r="0" b="0"/>
                      <wp:wrapNone/>
                      <wp:docPr id="158" name="Frame15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19380" cy="175260"/>
                      <wp:effectExtent l="0" t="0" r="0" b="0"/>
                      <wp:wrapNone/>
                      <wp:docPr id="159" name="Frame158"/>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5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1"/>
              <w:ind w:left="0" w:right="0" w:hanging="0"/>
              <w:jc w:val="center"/>
              <w:rPr/>
            </w:pPr>
            <w:r>
              <w:rPr/>
              <w:t>​</w:t>
            </w:r>
          </w:p>
        </w:tc>
        <w:tc>
          <w:tcPr>
            <w:tcW w:w="257"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78"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257"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78" w:type="dxa"/>
            <w:tcBorders/>
            <w:vAlign w:val="center"/>
          </w:tcPr>
          <w:p>
            <w:pPr>
              <w:pStyle w:val="TableContents"/>
              <w:bidi w:val="0"/>
              <w:spacing w:before="0" w:after="1"/>
              <w:ind w:left="0" w:right="0" w:hanging="0"/>
              <w:jc w:val="center"/>
              <w:rPr/>
            </w:pPr>
            <w:r>
              <w:rPr/>
              <w:t>​</w:t>
            </w:r>
          </w:p>
        </w:tc>
        <w:tc>
          <w:tcPr>
            <w:tcW w:w="514"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9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w:t>
            </w:r>
          </w:p>
        </w:tc>
        <w:tc>
          <w:tcPr>
            <w:tcW w:w="178" w:type="dxa"/>
            <w:tcBorders/>
            <w:shd w:fill="CCEEFF" w:val="clear"/>
            <w:vAlign w:val="center"/>
          </w:tcPr>
          <w:p>
            <w:pPr>
              <w:pStyle w:val="TableContents"/>
              <w:bidi w:val="0"/>
              <w:spacing w:before="0" w:after="1"/>
              <w:ind w:left="0" w:right="0" w:hanging="0"/>
              <w:jc w:val="left"/>
              <w:rPr/>
            </w:pPr>
            <w:r>
              <w:rPr/>
              <w:t> </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188" w:type="dxa"/>
            <w:tcBorders/>
            <w:shd w:fill="CCEEFF" w:val="clear"/>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NM: Not meaningful.</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78"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right"/>
              <w:rPr/>
            </w:pPr>
            <w:r>
              <w:rPr/>
              <w:t>​</w:t>
            </w:r>
          </w:p>
        </w:tc>
        <w:tc>
          <w:tcPr>
            <w:tcW w:w="188" w:type="dxa"/>
            <w:tcBorders/>
            <w:vAlign w:val="center"/>
          </w:tcPr>
          <w:p>
            <w:pPr>
              <w:pStyle w:val="TableContents"/>
              <w:bidi w:val="0"/>
              <w:spacing w:before="0" w:after="1"/>
              <w:ind w:left="0" w:right="0" w:hanging="0"/>
              <w:jc w:val="left"/>
              <w:rPr/>
            </w:pPr>
            <w:r>
              <w:rPr/>
              <w:t>​</w:t>
            </w:r>
          </w:p>
        </w:tc>
      </w:tr>
      <w:tr>
        <w:trPr/>
        <w:tc>
          <w:tcPr>
            <w:tcW w:w="46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78"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left"/>
              <w:rPr/>
            </w:pPr>
            <w:r>
              <w:rPr/>
              <w:t>​</w:t>
            </w:r>
          </w:p>
        </w:tc>
        <w:tc>
          <w:tcPr>
            <w:tcW w:w="188"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 in fair value of acquisition contingent earn-outs increased $17.5 million from the prior year due entirely to adjustments to the fair values of our ecosio acquisition contingent Cash Earn-outs and Stock Earn-outs of $3,365 and $14,135, respectively, recorded for the year ended December 31, 2024. For further information, refer to Note 3, “Acquisitions” to our consolidated financial statements beginning on page F-1 of this Annual Report on Form 10-K.</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Operating Expense, Net</w:t>
      </w:r>
    </w:p>
    <w:tbl>
      <w:tblPr>
        <w:tblW w:w="7018" w:type="dxa"/>
        <w:jc w:val="left"/>
        <w:tblInd w:w="0" w:type="dxa"/>
        <w:tblLayout w:type="fixed"/>
        <w:tblCellMar>
          <w:top w:w="0" w:type="dxa"/>
          <w:left w:w="0" w:type="dxa"/>
          <w:bottom w:w="0" w:type="dxa"/>
          <w:right w:w="0" w:type="dxa"/>
        </w:tblCellMar>
      </w:tblPr>
      <w:tblGrid>
        <w:gridCol w:w="3211"/>
        <w:gridCol w:w="211"/>
        <w:gridCol w:w="541"/>
        <w:gridCol w:w="109"/>
        <w:gridCol w:w="211"/>
        <w:gridCol w:w="571"/>
        <w:gridCol w:w="109"/>
        <w:gridCol w:w="211"/>
        <w:gridCol w:w="691"/>
        <w:gridCol w:w="146"/>
        <w:gridCol w:w="691"/>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38985" cy="175260"/>
                      <wp:effectExtent l="0" t="0" r="0" b="0"/>
                      <wp:wrapNone/>
                      <wp:docPr id="160" name="Frame15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43535" cy="175260"/>
                      <wp:effectExtent l="0" t="0" r="0" b="0"/>
                      <wp:wrapNone/>
                      <wp:docPr id="162" name="Frame16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62585" cy="175260"/>
                      <wp:effectExtent l="0" t="0" r="0" b="0"/>
                      <wp:wrapNone/>
                      <wp:docPr id="165" name="Frame1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38785" cy="175260"/>
                      <wp:effectExtent l="0" t="0" r="0" b="0"/>
                      <wp:wrapNone/>
                      <wp:docPr id="168" name="Frame1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2710" cy="175260"/>
                      <wp:effectExtent l="0" t="0" r="0" b="0"/>
                      <wp:wrapNone/>
                      <wp:docPr id="169" name="Frame1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85" cy="175260"/>
                      <wp:effectExtent l="0" t="0" r="0" b="0"/>
                      <wp:wrapNone/>
                      <wp:docPr id="170" name="Frame1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0660" cy="175260"/>
                      <wp:effectExtent l="0" t="0" r="0" b="0"/>
                      <wp:wrapNone/>
                      <wp:docPr id="171" name="Frame1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6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16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(income), net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(6,677)</w:t>
            </w:r>
          </w:p>
        </w:tc>
        <w:tc>
          <w:tcPr>
            <w:tcW w:w="1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Other operating expense, net decreased $6.7 million, to $0.2 million of income in 2024 compared to $6.5 million of expense in 2023. Other operating expense (income), net for the year ended December 31, 2024 was primarily comprised of a $2.5 million decrease in the contingent consideration liability associated with our 2021 acquisition of Tellutax, LLC (“Tellutax”), which was partially offset by $1.2 million of transaction costs associated with our recent acquisitions,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$1.1 million in foreign currency losses.  Other operating expense (income), net for the year ended December 31, 2023 was primarily comprised of $4.9 million related to costs associated with a public tender offer, which occurred in December  2023, and was later withdrawn in January 2024, as well as a $1.5 million increase in the contingent consideration liability associated with our acquisition of Tellutax, and $0.1 million in foreign currency losses. </w:t>
      </w:r>
    </w:p>
    <w:p>
      <w:pPr>
        <w:pStyle w:val="TextBody"/>
        <w:bidi w:val="0"/>
        <w:spacing w:before="0" w:after="0"/>
        <w:ind w:left="0" w:right="0" w:firstLine="36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Expense (Income), Net</w:t>
      </w:r>
    </w:p>
    <w:tbl>
      <w:tblPr>
        <w:tblW w:w="6602" w:type="dxa"/>
        <w:jc w:val="left"/>
        <w:tblInd w:w="0" w:type="dxa"/>
        <w:tblLayout w:type="fixed"/>
        <w:tblCellMar>
          <w:top w:w="0" w:type="dxa"/>
          <w:left w:w="0" w:type="dxa"/>
          <w:bottom w:w="0" w:type="dxa"/>
          <w:right w:w="0" w:type="dxa"/>
        </w:tblCellMar>
      </w:tblPr>
      <w:tblGrid>
        <w:gridCol w:w="2536"/>
        <w:gridCol w:w="109"/>
        <w:gridCol w:w="211"/>
        <w:gridCol w:w="691"/>
        <w:gridCol w:w="109"/>
        <w:gridCol w:w="211"/>
        <w:gridCol w:w="571"/>
        <w:gridCol w:w="109"/>
        <w:gridCol w:w="211"/>
        <w:gridCol w:w="691"/>
        <w:gridCol w:w="146"/>
        <w:gridCol w:w="691"/>
        <w:gridCol w:w="31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10360" cy="175260"/>
                      <wp:effectExtent l="0" t="0" r="0" b="0"/>
                      <wp:wrapNone/>
                      <wp:docPr id="172" name="Frame17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75" name="Frame1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62585" cy="175260"/>
                      <wp:effectExtent l="0" t="0" r="0" b="0"/>
                      <wp:wrapNone/>
                      <wp:docPr id="178" name="Frame1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8785" cy="175260"/>
                      <wp:effectExtent l="0" t="0" r="0" b="0"/>
                      <wp:wrapNone/>
                      <wp:docPr id="181" name="Frame1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2710" cy="175260"/>
                      <wp:effectExtent l="0" t="0" r="0" b="0"/>
                      <wp:wrapNone/>
                      <wp:docPr id="182" name="Frame1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38785" cy="175260"/>
                      <wp:effectExtent l="0" t="0" r="0" b="0"/>
                      <wp:wrapNone/>
                      <wp:docPr id="183" name="Frame1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0660" cy="175260"/>
                      <wp:effectExtent l="0" t="0" r="0" b="0"/>
                      <wp:wrapNone/>
                      <wp:docPr id="184" name="Frame1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7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(8,301)</w:t>
            </w:r>
          </w:p>
        </w:tc>
        <w:tc>
          <w:tcPr>
            <w:tcW w:w="1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net decreased $8.3 million, or 199.4%, to $4.1 million of income in 2024 compared to $4.2 million of expense in 2023. This change was primarily due to several factors: (i) an increase in interest and dividend income of $7.4 million, mainly attributed to higher investment balances in 2024 compared to 2023; (ii) a $2.0 million decrease in interest costs related to the paydown of our Term Loan in 2024; and (iii) a $1.9 million decrease in interest expense, comprised of $4.2 million from the roll-off of the deferred purchase commitment liability associated with our acquisition of Systax, which was partially offset by an increase of $2.3 million in interest related to our Notes. Increases in interest income in 2024 were partially offset by (i) a $1.0 million decrease in the valuation of our foreign currency forward contracts due to market fluctuations and (ii) a $2.0 increase in interest expense related to deferred financing costs associated with the issuance of our Notes.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Tax Expense (Benefit)</w:t>
      </w:r>
    </w:p>
    <w:tbl>
      <w:tblPr>
        <w:tblW w:w="6508" w:type="dxa"/>
        <w:jc w:val="left"/>
        <w:tblInd w:w="0" w:type="dxa"/>
        <w:tblLayout w:type="fixed"/>
        <w:tblCellMar>
          <w:top w:w="0" w:type="dxa"/>
          <w:left w:w="0" w:type="dxa"/>
          <w:bottom w:w="0" w:type="dxa"/>
          <w:right w:w="0" w:type="dxa"/>
        </w:tblCellMar>
      </w:tblPr>
      <w:tblGrid>
        <w:gridCol w:w="2461"/>
        <w:gridCol w:w="211"/>
        <w:gridCol w:w="676"/>
        <w:gridCol w:w="109"/>
        <w:gridCol w:w="211"/>
        <w:gridCol w:w="691"/>
        <w:gridCol w:w="109"/>
        <w:gridCol w:w="211"/>
        <w:gridCol w:w="676"/>
        <w:gridCol w:w="146"/>
        <w:gridCol w:w="691"/>
        <w:gridCol w:w="31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62735" cy="175260"/>
                      <wp:effectExtent l="0" t="0" r="0" b="0"/>
                      <wp:wrapNone/>
                      <wp:docPr id="185" name="Frame18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87"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90" name="Frame1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9260" cy="175260"/>
                      <wp:effectExtent l="0" t="0" r="0" b="0"/>
                      <wp:wrapNone/>
                      <wp:docPr id="193" name="Frame1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2710" cy="175260"/>
                      <wp:effectExtent l="0" t="0" r="0" b="0"/>
                      <wp:wrapNone/>
                      <wp:docPr id="194" name="Frame1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8785" cy="175260"/>
                      <wp:effectExtent l="0" t="0" r="0" b="0"/>
                      <wp:wrapNone/>
                      <wp:docPr id="195"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0660" cy="175260"/>
                      <wp:effectExtent l="0" t="0" r="0" b="0"/>
                      <wp:wrapNone/>
                      <wp:docPr id="196" name="Frame19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18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18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0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63,219</w:t>
            </w:r>
          </w:p>
        </w:tc>
        <w:tc>
          <w:tcPr>
            <w:tcW w:w="1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Income tax expense was $54.6 million in 2024 as compared to an income tax benefit of $8.6 million in 2023. This change was primarily driven by changes in valuation allowances on net deferred tax assets established for U.S. and certain foreign jurisdictions, nondeductible purchase commitment and contingent consideration liabilities, and pre-tax income, partially offset by the favorable impact of tax benefits on exercises and vesting of stock awards, net of limitations on deductions of certain employees’ compensation under Internal Revenue Code (“IRC”) Section 162(m).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2024, we established a valuation allowance against our U.S. deferred tax assets as it was determined to be more likely than not that these assets will not be realized. This determination was made based on weighing all negative evidence, specifically cumulative losses recognized in our U.S. entity over the past three years. These cumulative losses were mainly due to significant windfall tax benefits realized from the exercises of stock options during the fourth quarter of 2024, driven by an increase in our Class A common stock price during that period. Despite positive evidence of projected future business profitability in our U.S. entity, management determined that this did not outweigh the negative evidence to allow us to conclude it was more likely than not the deferred tax assets would be realized and therefore we recorded a full valuation allowance against these U.S. deferred tax assets as of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Seasonality and Quarterly Trends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historically signed a higher percentage of software subscription agreements with new and existing customers in the fourth quarter of each year. This can be attributed to buying patterns typical in the software industry. Since most of our customer agreement terms are annual, agreements initially entered into in the fourth quarter will generally come up for renewal at that same time in subsequent years. As a result, customer agreement cancellations, or customer usage tier true-ups, may have a higher concentration during the end of the year. This seasonality is reflected in our revenues, though the impact to overall annual or quarterly revenues is typically minimal since we recognize subscription revenue ratably over the term of the customer contract. Additionally, this seasonality is reflected in commission expenses to our sales personnel and our partners.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quarterly revenues have generally increased over the last two years primarily due to new sales to existing customers and sales to new customers. However, the pace of our revenue growth has not been consistent. Many of our customers are enterprise and large corporations and their purchase patterns can be sensitive to timing of budget decisions.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Depending on such timing, these decisions can create volatility in the amount of business transacted by our sales team and the amount of revenues recorded in each quarter. As such, certain periods may be less comparable due to the timing of our customers purchase patterns. </w:t>
      </w:r>
    </w:p>
    <w:p>
      <w:pPr>
        <w:pStyle w:val="TextBody"/>
        <w:bidi w:val="0"/>
        <w:spacing w:before="0" w:after="240"/>
        <w:ind w:left="0" w:right="0" w:firstLine="360"/>
        <w:jc w:val="both"/>
        <w:rPr>
          <w:rFonts w:ascii="Times New Roman;Times;serif" w:hAnsi="Times New Roman;Times;serif"/>
          <w:sz w:val="20"/>
        </w:rPr>
      </w:pPr>
      <w:bookmarkStart w:id="96" w:name="_Hlk160099434"/>
      <w:bookmarkEnd w:id="96"/>
      <w:r>
        <w:rPr>
          <w:rFonts w:ascii="Times New Roman;Times;serif" w:hAnsi="Times New Roman;Times;serif"/>
          <w:sz w:val="20"/>
        </w:rPr>
        <w:t>Quarterly fluctuations in our costs and expenses overall primarily reflect changes in our headcount, infrastructure, and sales and marketing investments, and other costs related to certain technology development projects and the development and scaling of our cloud solutions. In particular, research and development expenses have fluctuated based on the timing of personnel additions, capitalized costs and related spending on product development. Increases in our selling and marketing expenses primarily reflect our current and past investments related to the expansion of our brand awareness and product innovation. We have also invested in acquisitions and product innovation to expand our product portfolio. We anticipate our operating expenses will increase in future periods as we invest to support the ongoing expansion of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 patterns should not be considered a reliable indicator of our future performance.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we are forecasting continued revenue growth given our market position, strong pipeline and the secular tailwinds we are seeing in the industry. In order to capitalize on the significant growth opportunities in front of us, we plan to make further investments in ecosio to accelerate coverage across countries that have either launched or are launching e-invoicing initiatives in the coming years. Additionally, we expect to make additional research and development investments in the upcoming year for the commercialization of our AI-based Smart Categorization product, other AI-related internal tools and new product initiatives, and other emerging technologies. We believe these strategic investments will enhance our offerings and allow us to capitalize on sustainable growth opportunities.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we had unrestricted cash and cash equivalents of $296.1 million, </w:t>
      </w:r>
      <w:r>
        <w:rPr>
          <w:rFonts w:ascii="Times New Roman;Times;serif" w:hAnsi="Times New Roman;Times;serif"/>
          <w:sz w:val="20"/>
          <w:shd w:fill="FFFFFF" w:val="clear"/>
        </w:rPr>
        <w:t>in addition to $9.2 million in investment securities with a maturity date exceeding three months</w:t>
      </w:r>
      <w:r>
        <w:rPr>
          <w:rFonts w:ascii="Times New Roman;Times;serif" w:hAnsi="Times New Roman;Times;serif"/>
          <w:sz w:val="20"/>
        </w:rPr>
        <w:t>, which are not included in unrestricted cash and cash equivalents. Our primary sources of capital include sales of our solutions, proceeds from bank lending facilities, and the offering of existing or future classes of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Historical Cash Flows </w:t>
      </w:r>
    </w:p>
    <w:p>
      <w:pPr>
        <w:pStyle w:val="TextBody"/>
        <w:pBdr/>
        <w:bidi w:val="0"/>
        <w:spacing w:before="0" w:after="240"/>
        <w:ind w:left="0" w:right="0" w:hanging="200"/>
        <w:jc w:val="left"/>
        <w:rPr>
          <w:rFonts w:ascii="Times New Roman;Times;serif" w:hAnsi="Times New Roman;Times;serif"/>
          <w:i/>
          <w:sz w:val="20"/>
        </w:rPr>
      </w:pPr>
      <w:r>
        <w:rPr>
          <w:rFonts w:ascii="Times New Roman;Times;serif" w:hAnsi="Times New Roman;Times;serif"/>
          <w:i/>
          <w:sz w:val="20"/>
        </w:rPr>
        <w:t>Years Ended December 31,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tbl>
      <w:tblPr>
        <w:tblW w:w="10172" w:type="dxa"/>
        <w:jc w:val="left"/>
        <w:tblInd w:w="0" w:type="dxa"/>
        <w:tblLayout w:type="fixed"/>
        <w:tblCellMar>
          <w:top w:w="0" w:type="dxa"/>
          <w:left w:w="0" w:type="dxa"/>
          <w:bottom w:w="0" w:type="dxa"/>
          <w:right w:w="0" w:type="dxa"/>
        </w:tblCellMar>
      </w:tblPr>
      <w:tblGrid>
        <w:gridCol w:w="5566"/>
        <w:gridCol w:w="211"/>
        <w:gridCol w:w="901"/>
        <w:gridCol w:w="109"/>
        <w:gridCol w:w="211"/>
        <w:gridCol w:w="796"/>
        <w:gridCol w:w="109"/>
        <w:gridCol w:w="211"/>
        <w:gridCol w:w="796"/>
        <w:gridCol w:w="146"/>
        <w:gridCol w:w="691"/>
        <w:gridCol w:w="271"/>
        <w:gridCol w:w="154"/>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534410" cy="175260"/>
                      <wp:effectExtent l="0" t="0" r="0" b="0"/>
                      <wp:wrapNone/>
                      <wp:docPr id="197" name="Frame196"/>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72135" cy="175260"/>
                      <wp:effectExtent l="0" t="0" r="0" b="0"/>
                      <wp:wrapNone/>
                      <wp:docPr id="199" name="Frame1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05460" cy="175260"/>
                      <wp:effectExtent l="0" t="0" r="0" b="0"/>
                      <wp:wrapNone/>
                      <wp:docPr id="202" name="Frame2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05460" cy="175260"/>
                      <wp:effectExtent l="0" t="0" r="0" b="0"/>
                      <wp:wrapNone/>
                      <wp:docPr id="205" name="Frame2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2710" cy="175260"/>
                      <wp:effectExtent l="0" t="0" r="0" b="0"/>
                      <wp:wrapNone/>
                      <wp:docPr id="206" name="Frame2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38785" cy="175260"/>
                      <wp:effectExtent l="0" t="0" r="0" b="0"/>
                      <wp:wrapNone/>
                      <wp:docPr id="207" name="Frame2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2085" cy="175260"/>
                      <wp:effectExtent l="0" t="0" r="0" b="0"/>
                      <wp:wrapNone/>
                      <wp:docPr id="208" name="Frame20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7790" cy="175260"/>
                      <wp:effectExtent l="0" t="0" r="0" b="0"/>
                      <wp:wrapNone/>
                      <wp:docPr id="209" name="Frame2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22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22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154" w:type="dxa"/>
            <w:tcBorders/>
            <w:vAlign w:val="center"/>
          </w:tcPr>
          <w:p>
            <w:pPr>
              <w:pStyle w:val="TableContents"/>
              <w:bidi w:val="0"/>
              <w:spacing w:before="0" w:after="0"/>
              <w:ind w:left="0" w:right="0" w:hanging="0"/>
              <w:jc w:val="center"/>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74,332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90,489</w:t>
            </w:r>
          </w:p>
        </w:tc>
        <w:tc>
          <w:tcPr>
            <w:tcW w:w="14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(66,171)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(91,980)</w:t>
            </w:r>
          </w:p>
        </w:tc>
        <w:tc>
          <w:tcPr>
            <w:tcW w:w="1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257,739</w:t>
            </w:r>
          </w:p>
        </w:tc>
        <w:tc>
          <w:tcPr>
            <w:tcW w:w="1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c>
          <w:tcPr>
            <w:tcW w:w="1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254,512</w:t>
            </w:r>
          </w:p>
        </w:tc>
        <w:tc>
          <w:tcPr>
            <w:tcW w:w="1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97" w:name="_Hlk160099387"/>
      <w:bookmarkEnd w:id="97"/>
      <w:r>
        <w:rPr>
          <w:rFonts w:ascii="Times New Roman;Times;serif" w:hAnsi="Times New Roman;Times;serif"/>
          <w:b/>
          <w:i/>
          <w:sz w:val="20"/>
        </w:rPr>
        <w:t>Operating Activities.</w:t>
      </w:r>
      <w:r>
        <w:rPr>
          <w:rFonts w:ascii="Times New Roman;Times;serif" w:hAnsi="Times New Roman;Times;serif"/>
          <w:sz w:val="20"/>
        </w:rPr>
        <w:t xml:space="preserve"> Net cash provided by operating activities of $164.8 million for the twelve months ended December 31, 2024 consisted of a net loss of $52.7 million, adjusted for non-cash charges of $205.7 million, and cash inflows of $16.2 million from changes in operating assets and liabilities. These items were partially offset by $4.4 million in payments for purchase commitment and contingent consideration liabilities in excess of their initial fair value. The change in operating assets and liabilities was primarily driven by an increase in deferred revenue due to customer growth during the period, which was partially offset by increases in accounts receivable, as well as prepaid expenses and other current assets, as a result of the timing of cash collections and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of $74.3 million for the twelve months ended December 31, 2023 consisted of a net loss of $13.1 million adjusted for non-cash charges of $107.1 million, and cash outflows of $19.7 million from changes in operating assets and liabilities. The change in operating assets and liabilities was primarily driven by increases in accounts receivable, as a result of the timing of cash collections during the year, partially offset by increases in deferred revenue, accounts payable and accrued expenses, as a result of customer growth during the period and the timing of cash disbursements.</w:t>
      </w:r>
    </w:p>
    <w:p>
      <w:pPr>
        <w:pStyle w:val="TextBody"/>
        <w:bidi w:val="0"/>
        <w:spacing w:before="0" w:after="240"/>
        <w:ind w:left="0" w:right="0" w:firstLine="360"/>
        <w:jc w:val="both"/>
        <w:rPr>
          <w:rFonts w:ascii="Times New Roman;Times;serif" w:hAnsi="Times New Roman;Times;serif"/>
          <w:sz w:val="20"/>
        </w:rPr>
      </w:pPr>
      <w:bookmarkStart w:id="98" w:name="_Hlk160099541"/>
      <w:bookmarkEnd w:id="98"/>
      <w:r>
        <w:rPr>
          <w:rFonts w:ascii="Times New Roman;Times;serif" w:hAnsi="Times New Roman;Times;serif"/>
          <w:b/>
          <w:i/>
          <w:sz w:val="20"/>
        </w:rPr>
        <w:t>Investing Activities</w:t>
      </w:r>
      <w:r>
        <w:rPr>
          <w:rFonts w:ascii="Times New Roman;Times;serif" w:hAnsi="Times New Roman;Times;serif"/>
          <w:sz w:val="20"/>
        </w:rPr>
        <w:t>. Net cash used in investing activities of $158.2 million for the twelve months ended December 31, 2024 primarily consisted of investments in property and equipment, and capitalized software of $65.8 million and $21.3 million, respectively, related to investments in infrastructure, new products, and enhancements to existing products, and payments of $71.8 million related to acquisitions completed during the second and third quarters of 2024.  In addition, we invested $16.0 million in available-for-sale investment securities, which was more than offset by proceeds of $16.7 million received during the period for sales and maturities in our investment securities.  For further information on our acquisitions, refer to Note 3, “Acquisitions” to our consolidated financial statements beginning on page F-1 of this Annual Report on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of $66.2 million for the twelve months ended December 31, 2023 primarily consisted of investments in property and equipment, and capitalized software of $49.3 million and $19.0 million, respectively, related to infrastructure investments to drive operating leverage and commercial solutions to support our customers. In addition, we invested $16.3 million in available-for-sale investment securities, which was more than offset by proceeds of $18.4 million received during the period for sales and maturities in our investment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provided by financing activities of $231.3 million for the twelve months ended December 31, 2024 consisted of $345.0 million in gross proceeds from our Notes, a $9.7 million increase in customer funds obligations, primarily due to timing differences between receipt of funds from customers and taxing jurisdiction withdrawals of these funds, $8.5 million in proceeds from the exercise of stock options, and $3.0 million in proceeds from the purchase of stock under our ESPP. These transactions were partially offset by $46.9 million for the repayment of the Term Loan, $42.4 million for the purchase of the Capped Call Transactions, $21.5 million in payments for taxes related to the net share settlement of stock-based awards, $12.5 million for payments related to deferred financing costs, $7.6 million for payments on purchase commitment and contingent consideration liabilities, and $3.9 million in payments of other third-party debt.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of $26.5 million for the twelve months ended December 31, 2023 consisted of $20.0 million in payments for deferred purchase commitments, $9.7 million in payments for taxes related to the net share settlement of stock-based awards, $6.4 million in payments for purchase commitment and contingent consideration liabilities, $2.2 million used for principal debt repayments, and $1.0 million in payments related to deferred financing costs. These transactions were partially offset by a $5.6 million increase in customer funds obligations, primarily due to timing differences between receipt of funds from customers and taxing jurisdiction withdrawals of these funds, $4.8 million in proceeds from the exercise of stock options, and $2.5 million in proceeds from the purchase of stock under our ESPP.</w:t>
      </w:r>
    </w:p>
    <w:p>
      <w:pPr>
        <w:pStyle w:val="TextBody"/>
        <w:pBdr/>
        <w:bidi w:val="0"/>
        <w:spacing w:before="0" w:after="240"/>
        <w:ind w:left="0" w:right="0" w:hanging="200"/>
        <w:jc w:val="left"/>
        <w:rPr>
          <w:rFonts w:ascii="Times New Roman;Times;serif" w:hAnsi="Times New Roman;Times;serif"/>
          <w:b/>
          <w:i/>
          <w:sz w:val="20"/>
        </w:rPr>
      </w:pPr>
      <w:r>
        <w:rPr>
          <w:rFonts w:ascii="Times New Roman;Times;serif" w:hAnsi="Times New Roman;Times;serif"/>
          <w:b/>
          <w:i/>
          <w:sz w:val="20"/>
        </w:rPr>
        <w:t xml:space="preserve">Sources of Credit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we had a credit agreement with a banking syndicate (the “Credit Agreement”) that provides a $300.0 million revolving facility (the “Line of Credit”).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Line of Credit expires in March 2029. We are required to pay a quarterly fee on the difference between the $300.0 million allowed maximum borrowings and the unpaid principal balance outstanding under the Line of Credit at the applicable rate. Borrowings under the Credit Agreement will bear interest, at our option, at either the bank base rate plus an applicable margin (the “New Base Rate Option”) or Secured Overnight Financing Rate (“SOFR”) plus an applicable margin (the “SOFR Option”). At December 31, 2024, the New Base Rate Option and the SOFR Option applicable to the Line of Credit were 8.00% and 5.99%, respectively. There were no outstanding borrowings under the Line of Credit at December 31, 2024.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Outstanding borrowings under the Credit Agreement are collateralized by nearly all of the assets of the Company and contain financial and operating covenants. The Company was in compliance with these covenants at December 31, 2024. The Credit Agreement also limits the declaration or payment of certain dividends, not to exceed, from and after the Credit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Agreement closing date, the greater of (i) $15.0 million and (ii) 15% of Consolidated EBITDA (as defined in the Credit  Agreement) for the most recently ended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26, 2024, we closed the Notes offering. The net proceeds from the offering of the Notes were $333.7 million, after deducting the initial purchasers’ discount and commissions, and other transaction and offering expenses. </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our indebtedness, refer to Note 10, “Debt” to our consolidated financial statements beginning on page F-1 of this Annual Report on Form 10-K.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Material Future Cash Obligations and Commercial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Cash Requirements.</w:t>
      </w:r>
      <w:r>
        <w:rPr>
          <w:rFonts w:ascii="Times New Roman;Times;serif" w:hAnsi="Times New Roman;Times;serif"/>
          <w:sz w:val="20"/>
        </w:rPr>
        <w:t xml:space="preserve"> We believe that our existing cash resources and our Line of Credit will be sufficient to meet our capital requirements and fund our operations for the next 12 months as well as our longer-term liquidity needs. If an early conversion notice occurs on the Notes, we have the option to pay cash, shares of our Class A common stock, or a combination of both.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Funds Held for Customers and Customer Funds Obligations</w:t>
      </w:r>
      <w:r>
        <w:rPr>
          <w:rFonts w:ascii="Times New Roman;Times;serif" w:hAnsi="Times New Roman;Times;serif"/>
          <w:sz w:val="20"/>
        </w:rPr>
        <w:t xml:space="preserve">. We maintain trust accounts with financial institutions, to accumulate cash from our customers that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 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are presented as cash flows from financing activities.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Contractual Obligations and Commitments</w:t>
      </w:r>
      <w:r>
        <w:rPr>
          <w:rFonts w:ascii="Times New Roman;Times;serif" w:hAnsi="Times New Roman;Times;serif"/>
          <w:sz w:val="20"/>
        </w:rPr>
        <w:t>. Our contractual obligations and commitments as of December 31, 2024 are summarized in the table below:</w:t>
      </w:r>
    </w:p>
    <w:tbl>
      <w:tblPr>
        <w:tblW w:w="9754" w:type="dxa"/>
        <w:jc w:val="left"/>
        <w:tblInd w:w="0" w:type="dxa"/>
        <w:tblLayout w:type="fixed"/>
        <w:tblCellMar>
          <w:top w:w="0" w:type="dxa"/>
          <w:left w:w="0" w:type="dxa"/>
          <w:bottom w:w="0" w:type="dxa"/>
          <w:right w:w="0" w:type="dxa"/>
        </w:tblCellMar>
      </w:tblPr>
      <w:tblGrid>
        <w:gridCol w:w="2221"/>
        <w:gridCol w:w="326"/>
        <w:gridCol w:w="211"/>
        <w:gridCol w:w="781"/>
        <w:gridCol w:w="326"/>
        <w:gridCol w:w="324"/>
        <w:gridCol w:w="1042"/>
        <w:gridCol w:w="326"/>
        <w:gridCol w:w="211"/>
        <w:gridCol w:w="781"/>
        <w:gridCol w:w="326"/>
        <w:gridCol w:w="211"/>
        <w:gridCol w:w="781"/>
        <w:gridCol w:w="326"/>
        <w:gridCol w:w="547"/>
        <w:gridCol w:w="1014"/>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10335" cy="175260"/>
                      <wp:effectExtent l="0" t="0" r="0" b="0"/>
                      <wp:wrapNone/>
                      <wp:docPr id="210" name="Frame209"/>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95935" cy="175260"/>
                      <wp:effectExtent l="0" t="0" r="0" b="0"/>
                      <wp:wrapNone/>
                      <wp:docPr id="213" name="Frame2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5740" cy="175260"/>
                      <wp:effectExtent l="0" t="0" r="0" b="0"/>
                      <wp:wrapNone/>
                      <wp:docPr id="215" name="Frame214"/>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61670" cy="175260"/>
                      <wp:effectExtent l="0" t="0" r="0" b="0"/>
                      <wp:wrapNone/>
                      <wp:docPr id="216" name="Frame215"/>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95935" cy="175260"/>
                      <wp:effectExtent l="0" t="0" r="0" b="0"/>
                      <wp:wrapNone/>
                      <wp:docPr id="219" name="Frame2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95935" cy="175260"/>
                      <wp:effectExtent l="0" t="0" r="0" b="0"/>
                      <wp:wrapNone/>
                      <wp:docPr id="222" name="Frame2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47345" cy="175260"/>
                      <wp:effectExtent l="0" t="0" r="0" b="0"/>
                      <wp:wrapNone/>
                      <wp:docPr id="224" name="Frame223"/>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3890" cy="175260"/>
                      <wp:effectExtent l="0" t="0" r="0" b="0"/>
                      <wp:wrapNone/>
                      <wp:docPr id="225" name="Frame224"/>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20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 Due by Year</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center"/>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26" w:type="dxa"/>
            <w:tcBorders/>
            <w:vAlign w:val="center"/>
          </w:tcPr>
          <w:p>
            <w:pPr>
              <w:pStyle w:val="TableContents"/>
              <w:bidi w:val="0"/>
              <w:spacing w:before="0" w:after="1"/>
              <w:ind w:left="0" w:right="0" w:hanging="0"/>
              <w:jc w:val="center"/>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22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Notes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356,213</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348,450</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 </w:t>
            </w:r>
          </w:p>
        </w:tc>
        <w:tc>
          <w:tcPr>
            <w:tcW w:w="1014" w:type="dxa"/>
            <w:tcBorders/>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17,326</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3,482</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 </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Earn-outs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Stock Earn-outs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obligations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27,423</w:t>
            </w:r>
          </w:p>
        </w:tc>
        <w:tc>
          <w:tcPr>
            <w:tcW w:w="326"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w:t>
            </w:r>
          </w:p>
        </w:tc>
        <w:tc>
          <w:tcPr>
            <w:tcW w:w="326" w:type="dxa"/>
            <w:tcBorders/>
            <w:vAlign w:val="center"/>
          </w:tcPr>
          <w:p>
            <w:pPr>
              <w:pStyle w:val="TableContents"/>
              <w:bidi w:val="0"/>
              <w:spacing w:before="0" w:after="1"/>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523,551</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355,008</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table presents the principal payment made on the maturity date of the Notes. On November 1, 2028, and thereafter, holders have the right, but not the obligation, to convert their Notes. Upon conversion, we will pay or deliver, as applicable, cash, shares of Class A common stock or a combination of cash and shares of Class A common stock at our election. Future interest payments related to the Notes of $11.2 million are included in the table. For further information, refer to Note 10, “Debt” to our consolidated financial statements beginning on page F-1 of this Annual Report on Form 10-K.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Company has contingent consideration liabilities for Cash Earn-outs and Stock Earn-outs related to the 2024 acquisition of ecosio. For further information, refer to Note 3, “Acquisitions” to our consolidated financial statements beginning on page F-1 of this Annual Report on Form 10-K.</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we have no outstanding borrowings under the Line of Credit. The Notes are due in May 2029. We expect to continue to fund debt maturities and interest payments with cash flows generated from operations, existing cash and cash equivalents, or proceeds from additional financing. For further information on our debt obligations, refer to Note 10, “Debt” to our consolidated financial statements beginning on page F-1 of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pricing of the Notes on April 23, 2024, the Company entered into Capped Call Transactions. As of December 31, 2024, all of the Capped Call Transactions remained outstanding. For further information, refer to Note 10, “Debt” to our consolidated financial statements beginning on page F-1 of this Annual Report on Form 10-K.</w:t>
      </w:r>
    </w:p>
    <w:p>
      <w:pPr>
        <w:pStyle w:val="TextBody"/>
        <w:bidi w:val="0"/>
        <w:spacing w:before="0" w:after="0"/>
        <w:ind w:left="40" w:right="0" w:hanging="0"/>
        <w:jc w:val="left"/>
        <w:rPr>
          <w:rFonts w:ascii="Times New Roman;Times;serif" w:hAnsi="Times New Roman;Times;serif"/>
          <w:b/>
          <w:sz w:val="20"/>
        </w:rPr>
      </w:pPr>
      <w:r>
        <w:rPr>
          <w:rFonts w:ascii="Times New Roman;Times;serif" w:hAnsi="Times New Roman;Times;serif"/>
          <w:b/>
          <w:sz w:val="20"/>
        </w:rPr>
        <w:t xml:space="preserve">Key Business Metrics </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Annual Recurring Revenue (“ARR”) and Average Annual Revenue Per Customer (“AARPC”).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AARPC represents average annual revenue per customer and is calculated by dividing ARR by the number of software subscription customers at the end of the respective period:</w:t>
      </w:r>
    </w:p>
    <w:p>
      <w:pPr>
        <w:pStyle w:val="TextBody"/>
        <w:bidi w:val="0"/>
        <w:spacing w:before="0" w:after="0"/>
        <w:ind w:left="0" w:right="0" w:firstLine="360"/>
        <w:jc w:val="left"/>
        <w:rPr/>
      </w:pPr>
      <w:r>
        <w:rPr/>
        <w:t>​</w:t>
      </w:r>
    </w:p>
    <w:tbl>
      <w:tblPr>
        <w:tblW w:w="6195" w:type="dxa"/>
        <w:jc w:val="left"/>
        <w:tblInd w:w="0" w:type="dxa"/>
        <w:tblLayout w:type="fixed"/>
        <w:tblCellMar>
          <w:top w:w="0" w:type="dxa"/>
          <w:left w:w="0" w:type="dxa"/>
          <w:bottom w:w="0" w:type="dxa"/>
          <w:right w:w="0" w:type="dxa"/>
        </w:tblCellMar>
      </w:tblPr>
      <w:tblGrid>
        <w:gridCol w:w="2341"/>
        <w:gridCol w:w="109"/>
        <w:gridCol w:w="211"/>
        <w:gridCol w:w="571"/>
        <w:gridCol w:w="109"/>
        <w:gridCol w:w="211"/>
        <w:gridCol w:w="571"/>
        <w:gridCol w:w="109"/>
        <w:gridCol w:w="258"/>
        <w:gridCol w:w="570"/>
        <w:gridCol w:w="178"/>
        <w:gridCol w:w="570"/>
        <w:gridCol w:w="387"/>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86535" cy="175260"/>
                      <wp:effectExtent l="0" t="0" r="0" b="0"/>
                      <wp:wrapNone/>
                      <wp:docPr id="226" name="Frame225"/>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62585" cy="175260"/>
                      <wp:effectExtent l="0" t="0" r="0" b="0"/>
                      <wp:wrapNone/>
                      <wp:docPr id="229" name="Frame2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32" name="Frame2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3830" cy="175260"/>
                      <wp:effectExtent l="0" t="0" r="0" b="0"/>
                      <wp:wrapNone/>
                      <wp:docPr id="234" name="Frame23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1950" cy="175260"/>
                      <wp:effectExtent l="0" t="0" r="0" b="0"/>
                      <wp:wrapNone/>
                      <wp:docPr id="235" name="Frame234"/>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3030" cy="175260"/>
                      <wp:effectExtent l="0" t="0" r="0" b="0"/>
                      <wp:wrapNone/>
                      <wp:docPr id="236" name="Frame235"/>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1950" cy="175260"/>
                      <wp:effectExtent l="0" t="0" r="0" b="0"/>
                      <wp:wrapNone/>
                      <wp:docPr id="237" name="Frame236"/>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45745" cy="175260"/>
                      <wp:effectExtent l="0" t="0" r="0" b="0"/>
                      <wp:wrapNone/>
                      <wp:docPr id="238" name="Frame237"/>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0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left"/>
              <w:rPr/>
            </w:pPr>
            <w:r>
              <w:rPr/>
              <w:t>​</w:t>
            </w:r>
          </w:p>
        </w:tc>
        <w:tc>
          <w:tcPr>
            <w:tcW w:w="178"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left"/>
              <w:rPr/>
            </w:pPr>
            <w:r>
              <w:rPr/>
              <w:t>​</w:t>
            </w:r>
          </w:p>
        </w:tc>
        <w:tc>
          <w:tcPr>
            <w:tcW w:w="178" w:type="dxa"/>
            <w:tcBorders/>
            <w:vAlign w:val="center"/>
          </w:tcPr>
          <w:p>
            <w:pPr>
              <w:pStyle w:val="TableContents"/>
              <w:bidi w:val="0"/>
              <w:spacing w:before="0" w:after="0"/>
              <w:ind w:left="0" w:right="0" w:hanging="0"/>
              <w:jc w:val="center"/>
              <w:rPr/>
            </w:pPr>
            <w:r>
              <w:rPr/>
              <w:t>​</w:t>
            </w:r>
          </w:p>
        </w:tc>
        <w:tc>
          <w:tcPr>
            <w:tcW w:w="570"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9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Recurring Revenue</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178"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ARR increased by $90.6 million, or 17.7%, at December 31, 2024, as compared to December 31, 2023. The increase was primarily driven by $47.3 million of growth in revenues from existing customers through their expanded use of our solutions as well as price increases, and $29.5 million in growth of subscriptions of our solutions to new customers. In addition, ARR increased by $5.9 million as a result of the acquisition of the remaining ownership interests of Systax during the second quarter of 2024, and $7.9 million due to the ecosio acquisition during the third quarter of 2024. Excluding the impacts of Systax and ecosio, the ARR growth rate would have been 15.0%.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December 31, 2024, we had 4,915 direct customers and approximately $122,706 of AARPC. At December 31, 2023, we had 4,310 direct customers and approximately $118,910 of AARPC. The increase in AARPC was primarily due to expansion of usage by existing customers and adding new customers through organic growth. Additionally, the inclusion of Systax and ecosio added 597 customers in 2024.</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Net Revenue Retention Rate (“NRR”). </w:t>
      </w:r>
    </w:p>
    <w:p>
      <w:pPr>
        <w:pStyle w:val="TextBody"/>
        <w:bidi w:val="0"/>
        <w:spacing w:before="0" w:after="0"/>
        <w:ind w:left="0" w:right="0" w:firstLine="72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 usage, as well as any revenue expansion from migrations, new licenses for additional products or contractual and usage-based price changes.</w:t>
      </w:r>
    </w:p>
    <w:tbl>
      <w:tblPr>
        <w:tblW w:w="4782" w:type="dxa"/>
        <w:jc w:val="left"/>
        <w:tblInd w:w="0" w:type="dxa"/>
        <w:tblLayout w:type="fixed"/>
        <w:tblCellMar>
          <w:top w:w="0" w:type="dxa"/>
          <w:left w:w="0" w:type="dxa"/>
          <w:bottom w:w="0" w:type="dxa"/>
          <w:right w:w="0" w:type="dxa"/>
        </w:tblCellMar>
      </w:tblPr>
      <w:tblGrid>
        <w:gridCol w:w="2491"/>
        <w:gridCol w:w="326"/>
        <w:gridCol w:w="562"/>
        <w:gridCol w:w="435"/>
        <w:gridCol w:w="562"/>
        <w:gridCol w:w="40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81785" cy="175260"/>
                      <wp:effectExtent l="0" t="0" r="0" b="0"/>
                      <wp:wrapNone/>
                      <wp:docPr id="239" name="Frame23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56870" cy="175260"/>
                      <wp:effectExtent l="0" t="0" r="0" b="0"/>
                      <wp:wrapNone/>
                      <wp:docPr id="241" name="Frame240"/>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76225" cy="175260"/>
                      <wp:effectExtent l="0" t="0" r="0" b="0"/>
                      <wp:wrapNone/>
                      <wp:docPr id="242" name="Frame24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56870" cy="175260"/>
                      <wp:effectExtent l="0" t="0" r="0" b="0"/>
                      <wp:wrapNone/>
                      <wp:docPr id="243" name="Frame242"/>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57810" cy="175260"/>
                      <wp:effectExtent l="0" t="0" r="0" b="0"/>
                      <wp:wrapNone/>
                      <wp:docPr id="244" name="Frame2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5" w:type="dxa"/>
            <w:tcBorders/>
            <w:vAlign w:val="center"/>
          </w:tcPr>
          <w:p>
            <w:pPr>
              <w:pStyle w:val="TableContents"/>
              <w:bidi w:val="0"/>
              <w:spacing w:before="0" w:after="0"/>
              <w:ind w:left="0" w:right="0" w:hanging="0"/>
              <w:jc w:val="left"/>
              <w:rPr/>
            </w:pPr>
            <w:r>
              <w:rPr/>
              <w:t>    </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Revenue Retention Rate </w:t>
            </w:r>
          </w:p>
        </w:tc>
        <w:tc>
          <w:tcPr>
            <w:tcW w:w="326" w:type="dxa"/>
            <w:tcBorders/>
            <w:shd w:fill="CCEEFF" w:val="clear"/>
            <w:vAlign w:val="center"/>
          </w:tcPr>
          <w:p>
            <w:pPr>
              <w:pStyle w:val="TableContents"/>
              <w:bidi w:val="0"/>
              <w:spacing w:before="0" w:after="0"/>
              <w:ind w:left="0" w:right="0" w:hanging="0"/>
              <w:jc w:val="left"/>
              <w:rPr/>
            </w:pPr>
            <w:r>
              <w:rPr/>
              <w:t> </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400 basis point decrease in NRR to 109% at December 31, 2024 from 113% for the same period in 2023 was primarily attributed to a decrease in customer cross-sell and additional entitlements.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59" w:hanging="0"/>
        <w:jc w:val="both"/>
        <w:rPr>
          <w:rFonts w:ascii="Times New Roman;Times;serif" w:hAnsi="Times New Roman;Times;serif"/>
          <w:b/>
          <w:i/>
          <w:sz w:val="20"/>
        </w:rPr>
      </w:pPr>
      <w:r>
        <w:rPr>
          <w:rFonts w:ascii="Times New Roman;Times;serif" w:hAnsi="Times New Roman;Times;serif"/>
          <w:b/>
          <w:i/>
          <w:sz w:val="20"/>
        </w:rPr>
        <w:t>Gross Revenue Retention Rate (“GRR”).</w:t>
      </w:r>
    </w:p>
    <w:p>
      <w:pPr>
        <w:pStyle w:val="TextBody"/>
        <w:bidi w:val="0"/>
        <w:spacing w:before="0" w:after="0"/>
        <w:ind w:left="40" w:right="59"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tbl>
      <w:tblPr>
        <w:tblW w:w="4947" w:type="dxa"/>
        <w:jc w:val="left"/>
        <w:tblInd w:w="0" w:type="dxa"/>
        <w:tblLayout w:type="fixed"/>
        <w:tblCellMar>
          <w:top w:w="0" w:type="dxa"/>
          <w:left w:w="0" w:type="dxa"/>
          <w:bottom w:w="0" w:type="dxa"/>
          <w:right w:w="0" w:type="dxa"/>
        </w:tblCellMar>
      </w:tblPr>
      <w:tblGrid>
        <w:gridCol w:w="2656"/>
        <w:gridCol w:w="326"/>
        <w:gridCol w:w="562"/>
        <w:gridCol w:w="435"/>
        <w:gridCol w:w="562"/>
        <w:gridCol w:w="40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686560" cy="175260"/>
                      <wp:effectExtent l="0" t="0" r="0" b="0"/>
                      <wp:wrapNone/>
                      <wp:docPr id="245" name="Frame24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56870" cy="175260"/>
                      <wp:effectExtent l="0" t="0" r="0" b="0"/>
                      <wp:wrapNone/>
                      <wp:docPr id="247" name="Frame246"/>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6225" cy="175260"/>
                      <wp:effectExtent l="0" t="0" r="0" b="0"/>
                      <wp:wrapNone/>
                      <wp:docPr id="248" name="Frame247"/>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56870" cy="175260"/>
                      <wp:effectExtent l="0" t="0" r="0" b="0"/>
                      <wp:wrapNone/>
                      <wp:docPr id="249" name="Frame248"/>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57810" cy="175260"/>
                      <wp:effectExtent l="0" t="0" r="0" b="0"/>
                      <wp:wrapNone/>
                      <wp:docPr id="250" name="Frame2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5" w:type="dxa"/>
            <w:tcBorders/>
            <w:vAlign w:val="center"/>
          </w:tcPr>
          <w:p>
            <w:pPr>
              <w:pStyle w:val="TableContents"/>
              <w:bidi w:val="0"/>
              <w:spacing w:before="0" w:after="0"/>
              <w:ind w:left="0" w:right="0" w:hanging="0"/>
              <w:jc w:val="left"/>
              <w:rPr/>
            </w:pPr>
            <w:r>
              <w:rPr/>
              <w:t>    </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Revenue Retention Rate </w:t>
            </w:r>
          </w:p>
        </w:tc>
        <w:tc>
          <w:tcPr>
            <w:tcW w:w="326" w:type="dxa"/>
            <w:tcBorders/>
            <w:shd w:fill="CCEEFF" w:val="clear"/>
            <w:vAlign w:val="center"/>
          </w:tcPr>
          <w:p>
            <w:pPr>
              <w:pStyle w:val="TableContents"/>
              <w:bidi w:val="0"/>
              <w:spacing w:before="0" w:after="0"/>
              <w:ind w:left="0" w:right="0" w:hanging="0"/>
              <w:jc w:val="left"/>
              <w:rPr/>
            </w:pPr>
            <w:r>
              <w:rPr/>
              <w:t> </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firstLine="360"/>
        <w:jc w:val="both"/>
        <w:rPr/>
      </w:pPr>
      <w:r>
        <w:rPr/>
        <w:t>​</w:t>
      </w:r>
    </w:p>
    <w:p>
      <w:pPr>
        <w:pStyle w:val="TextBody"/>
        <w:bidi w:val="0"/>
        <w:spacing w:before="0" w:after="0"/>
        <w:ind w:left="40" w:right="59" w:hanging="0"/>
        <w:jc w:val="both"/>
        <w:rPr>
          <w:rFonts w:ascii="Times New Roman;Times;serif" w:hAnsi="Times New Roman;Times;serif"/>
          <w:b/>
          <w:i/>
          <w:sz w:val="20"/>
        </w:rPr>
      </w:pPr>
      <w:r>
        <w:rPr>
          <w:rFonts w:ascii="Times New Roman;Times;serif" w:hAnsi="Times New Roman;Times;serif"/>
          <w:b/>
          <w:i/>
          <w:sz w:val="20"/>
        </w:rPr>
        <w:t xml:space="preserve">Adjusted EBITDA and Adjusted EBITDA Margin. </w:t>
      </w:r>
    </w:p>
    <w:p>
      <w:pPr>
        <w:pStyle w:val="TextBody"/>
        <w:bidi w:val="0"/>
        <w:spacing w:before="0" w:after="0"/>
        <w:ind w:left="40" w:right="59" w:firstLine="68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income or loss before interest (including adjustments to the settlement value of deferred purchase commitment liabilities), income tax expense or benefit, depreciation, and amortization, as adjusted to exclude charges for stock-based compensation expense, amortization of cloud computing arrangement implementation costs, severance expense, acquisition contingent consideration, changes in the fair value of acquisition contingent earn-outs, and transaction costs. Adjusted EBITDA margin represents Adjusted EBITDA divided by total revenues for the same period. For purposes of comparison, our net loss was $(52.7) million and $(13.1) million in 2024 and 2023, respectively, while our net loss margin was (7.9)% and (2.3)% over the same periods, respectively. The following schedules reconcile Adjusted EBITDA and Adjusted EBITDA margin to net loss, the most closely directly comparable GAAP financial measure.</w:t>
      </w:r>
    </w:p>
    <w:tbl>
      <w:tblPr>
        <w:tblW w:w="10205" w:type="dxa"/>
        <w:jc w:val="left"/>
        <w:tblInd w:w="0" w:type="dxa"/>
        <w:tblLayout w:type="fixed"/>
        <w:tblCellMar>
          <w:top w:w="0" w:type="dxa"/>
          <w:left w:w="0" w:type="dxa"/>
          <w:bottom w:w="0" w:type="dxa"/>
          <w:right w:w="0" w:type="dxa"/>
        </w:tblCellMar>
      </w:tblPr>
      <w:tblGrid>
        <w:gridCol w:w="6896"/>
        <w:gridCol w:w="356"/>
        <w:gridCol w:w="230"/>
        <w:gridCol w:w="863"/>
        <w:gridCol w:w="394"/>
        <w:gridCol w:w="230"/>
        <w:gridCol w:w="863"/>
        <w:gridCol w:w="373"/>
      </w:tblGrid>
      <w:tr>
        <w:trPr/>
        <w:tc>
          <w:tcPr>
            <w:tcW w:w="6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378960" cy="175260"/>
                      <wp:effectExtent l="0" t="0" r="0" b="0"/>
                      <wp:wrapNone/>
                      <wp:docPr id="251" name="Frame250"/>
                      <a:graphic xmlns:a="http://schemas.openxmlformats.org/drawingml/2006/main">
                        <a:graphicData uri="http://schemas.microsoft.com/office/word/2010/wordprocessingShape">
                          <wps:wsp>
                            <wps:cNvSpPr txBox="1"/>
                            <wps:spPr>
                              <a:xfrm>
                                <a:off x="0" y="0"/>
                                <a:ext cx="437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26060" cy="175260"/>
                      <wp:effectExtent l="0" t="0" r="0" b="0"/>
                      <wp:wrapNone/>
                      <wp:docPr id="252" name="Frame25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6050" cy="175260"/>
                      <wp:effectExtent l="0" t="0" r="0" b="0"/>
                      <wp:wrapNone/>
                      <wp:docPr id="253" name="Frame25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48005" cy="175260"/>
                      <wp:effectExtent l="0" t="0" r="0" b="0"/>
                      <wp:wrapNone/>
                      <wp:docPr id="254" name="Frame253"/>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50190" cy="175260"/>
                      <wp:effectExtent l="0" t="0" r="0" b="0"/>
                      <wp:wrapNone/>
                      <wp:docPr id="255" name="Frame25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6050" cy="175260"/>
                      <wp:effectExtent l="0" t="0" r="0" b="0"/>
                      <wp:wrapNone/>
                      <wp:docPr id="256" name="Frame25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48005" cy="175260"/>
                      <wp:effectExtent l="0" t="0" r="0" b="0"/>
                      <wp:wrapNone/>
                      <wp:docPr id="257" name="Frame256"/>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36855" cy="175260"/>
                      <wp:effectExtent l="0" t="0" r="0" b="0"/>
                      <wp:wrapNone/>
                      <wp:docPr id="258" name="Frame257"/>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9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25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73" w:type="dxa"/>
            <w:tcBorders/>
            <w:vAlign w:val="center"/>
          </w:tcPr>
          <w:p>
            <w:pPr>
              <w:pStyle w:val="TableContents"/>
              <w:bidi w:val="0"/>
              <w:spacing w:before="0" w:after="0"/>
              <w:ind w:left="0" w:right="0" w:hanging="0"/>
              <w:jc w:val="center"/>
              <w:rPr/>
            </w:pPr>
            <w:r>
              <w:rPr/>
              <w:t>​</w:t>
            </w:r>
          </w:p>
        </w:tc>
      </w:tr>
      <w:tr>
        <w:trPr/>
        <w:tc>
          <w:tcPr>
            <w:tcW w:w="689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25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3" w:type="dxa"/>
            <w:tcBorders/>
            <w:vAlign w:val="center"/>
          </w:tcPr>
          <w:p>
            <w:pPr>
              <w:pStyle w:val="TableContents"/>
              <w:bidi w:val="0"/>
              <w:spacing w:before="0" w:after="0"/>
              <w:ind w:left="0" w:right="0" w:hanging="0"/>
              <w:jc w:val="center"/>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56" w:type="dxa"/>
            <w:tcBorders/>
            <w:vAlign w:val="center"/>
          </w:tcPr>
          <w:p>
            <w:pPr>
              <w:pStyle w:val="TableContents"/>
              <w:bidi w:val="0"/>
              <w:spacing w:before="0" w:after="0"/>
              <w:ind w:left="0" w:right="0" w:hanging="0"/>
              <w:jc w:val="center"/>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4"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3" w:type="dxa"/>
            <w:tcBorders/>
            <w:vAlign w:val="center"/>
          </w:tcPr>
          <w:p>
            <w:pPr>
              <w:pStyle w:val="TableContents"/>
              <w:bidi w:val="0"/>
              <w:spacing w:before="0" w:after="0"/>
              <w:ind w:left="0" w:right="0" w:hanging="0"/>
              <w:jc w:val="left"/>
              <w:rPr/>
            </w:pPr>
            <w:r>
              <w:rPr/>
              <w:t>    </w:t>
            </w:r>
          </w:p>
        </w:tc>
      </w:tr>
      <w:tr>
        <w:trPr/>
        <w:tc>
          <w:tcPr>
            <w:tcW w:w="6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(52,729)</w:t>
            </w:r>
          </w:p>
        </w:tc>
        <w:tc>
          <w:tcPr>
            <w:tcW w:w="394"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(13,093)</w:t>
            </w:r>
          </w:p>
        </w:tc>
        <w:tc>
          <w:tcPr>
            <w:tcW w:w="373" w:type="dxa"/>
            <w:tcBorders/>
            <w:vAlign w:val="center"/>
          </w:tcPr>
          <w:p>
            <w:pPr>
              <w:pStyle w:val="TableContents"/>
              <w:bidi w:val="0"/>
              <w:spacing w:before="0" w:after="0"/>
              <w:ind w:left="0" w:right="0" w:hanging="0"/>
              <w:jc w:val="left"/>
              <w:rPr/>
            </w:pPr>
            <w:r>
              <w:rPr/>
              <w:t>​</w:t>
            </w:r>
          </w:p>
        </w:tc>
      </w:tr>
      <w:tr>
        <w:trPr/>
        <w:tc>
          <w:tcPr>
            <w:tcW w:w="6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(income), net </w:t>
            </w:r>
            <w:r>
              <w:rPr>
                <w:rFonts w:ascii="Times New Roman;Times;serif" w:hAnsi="Times New Roman;Times;serif"/>
                <w:sz w:val="15"/>
              </w:rPr>
              <w:t>(1)</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c>
          <w:tcPr>
            <w:tcW w:w="394"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373" w:type="dxa"/>
            <w:tcBorders/>
            <w:vAlign w:val="center"/>
          </w:tcPr>
          <w:p>
            <w:pPr>
              <w:pStyle w:val="TableContents"/>
              <w:bidi w:val="0"/>
              <w:spacing w:before="0" w:after="0"/>
              <w:ind w:left="0" w:right="0" w:hanging="0"/>
              <w:jc w:val="left"/>
              <w:rPr/>
            </w:pPr>
            <w:r>
              <w:rPr/>
              <w:t>​</w:t>
            </w:r>
          </w:p>
        </w:tc>
      </w:tr>
      <w:tr>
        <w:trPr/>
        <w:tc>
          <w:tcPr>
            <w:tcW w:w="6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15,202</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59,302</w:t>
            </w:r>
          </w:p>
        </w:tc>
        <w:tc>
          <w:tcPr>
            <w:tcW w:w="394"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54,048</w:t>
            </w:r>
          </w:p>
        </w:tc>
        <w:tc>
          <w:tcPr>
            <w:tcW w:w="373" w:type="dxa"/>
            <w:tcBorders/>
            <w:vAlign w:val="center"/>
          </w:tcPr>
          <w:p>
            <w:pPr>
              <w:pStyle w:val="TableContents"/>
              <w:bidi w:val="0"/>
              <w:spacing w:before="0" w:after="0"/>
              <w:ind w:left="0" w:right="0" w:hanging="0"/>
              <w:jc w:val="left"/>
              <w:rPr/>
            </w:pPr>
            <w:r>
              <w:rPr/>
              <w:t>​</w:t>
            </w:r>
          </w:p>
        </w:tc>
      </w:tr>
      <w:tr>
        <w:trPr/>
        <w:tc>
          <w:tcPr>
            <w:tcW w:w="6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w:t>
            </w:r>
          </w:p>
        </w:tc>
        <w:tc>
          <w:tcPr>
            <w:tcW w:w="394"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73" w:type="dxa"/>
            <w:tcBorders/>
            <w:vAlign w:val="center"/>
          </w:tcPr>
          <w:p>
            <w:pPr>
              <w:pStyle w:val="TableContents"/>
              <w:bidi w:val="0"/>
              <w:spacing w:before="0" w:after="0"/>
              <w:ind w:left="0" w:right="0" w:hanging="0"/>
              <w:jc w:val="left"/>
              <w:rPr/>
            </w:pPr>
            <w:r>
              <w:rPr/>
              <w:t>​</w:t>
            </w:r>
          </w:p>
        </w:tc>
      </w:tr>
      <w:tr>
        <w:trPr/>
        <w:tc>
          <w:tcPr>
            <w:tcW w:w="6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47,425</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33,919</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3,048</w:t>
            </w:r>
          </w:p>
        </w:tc>
        <w:tc>
          <w:tcPr>
            <w:tcW w:w="394"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w:t>
            </w:r>
          </w:p>
        </w:tc>
        <w:tc>
          <w:tcPr>
            <w:tcW w:w="373" w:type="dxa"/>
            <w:tcBorders/>
            <w:vAlign w:val="center"/>
          </w:tcPr>
          <w:p>
            <w:pPr>
              <w:pStyle w:val="TableContents"/>
              <w:bidi w:val="0"/>
              <w:spacing w:before="0" w:after="0"/>
              <w:ind w:left="0" w:right="0" w:hanging="0"/>
              <w:jc w:val="left"/>
              <w:rPr/>
            </w:pPr>
            <w:r>
              <w:rPr/>
              <w:t>​</w:t>
            </w:r>
          </w:p>
        </w:tc>
      </w:tr>
      <w:tr>
        <w:trPr/>
        <w:tc>
          <w:tcPr>
            <w:tcW w:w="6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394"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6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(2)</w:t>
            </w:r>
            <w:r>
              <w:rPr>
                <w:rFonts w:ascii="Times New Roman;Times;serif" w:hAnsi="Times New Roman;Times;serif"/>
                <w:sz w:val="20"/>
              </w:rPr>
              <w:t xml:space="preserve"> </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4,853</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151,942</w:t>
            </w:r>
          </w:p>
        </w:tc>
        <w:tc>
          <w:tcPr>
            <w:tcW w:w="394" w:type="dxa"/>
            <w:tcBorders/>
            <w:vAlign w:val="center"/>
          </w:tcPr>
          <w:p>
            <w:pPr>
              <w:pStyle w:val="TableContents"/>
              <w:bidi w:val="0"/>
              <w:spacing w:before="0" w:after="0"/>
              <w:ind w:left="0" w:right="0" w:hanging="0"/>
              <w:jc w:val="righ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100,848</w:t>
            </w:r>
          </w:p>
        </w:tc>
        <w:tc>
          <w:tcPr>
            <w:tcW w:w="373" w:type="dxa"/>
            <w:tcBorders/>
            <w:vAlign w:val="center"/>
          </w:tcPr>
          <w:p>
            <w:pPr>
              <w:pStyle w:val="TableContents"/>
              <w:bidi w:val="0"/>
              <w:spacing w:before="0" w:after="0"/>
              <w:ind w:left="0" w:right="0" w:hanging="0"/>
              <w:jc w:val="right"/>
              <w:rPr/>
            </w:pPr>
            <w:r>
              <w:rPr/>
              <w:t>​</w:t>
            </w:r>
          </w:p>
        </w:tc>
      </w:tr>
      <w:tr>
        <w:trPr/>
        <w:tc>
          <w:tcPr>
            <w:tcW w:w="689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6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666,776</w:t>
            </w:r>
          </w:p>
        </w:tc>
        <w:tc>
          <w:tcPr>
            <w:tcW w:w="394"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572,387</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832"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(1) </w:t>
            </w:r>
            <w:r>
              <w:rPr>
                <w:rFonts w:ascii="Times New Roman;Times;serif" w:hAnsi="Times New Roman;Times;serif"/>
                <w:sz w:val="18"/>
              </w:rPr>
              <w:t>The years ended December 31, 2024 and 2023 include $423 and $4,020, respectively, for the change in the settlement value of a deferred purchase commitment liability recorded as interest expense.</w:t>
            </w:r>
          </w:p>
        </w:tc>
        <w:tc>
          <w:tcPr>
            <w:tcW w:w="373" w:type="dxa"/>
            <w:tcBorders/>
            <w:vAlign w:val="center"/>
          </w:tcPr>
          <w:p>
            <w:pPr>
              <w:pStyle w:val="TableContents"/>
              <w:bidi w:val="0"/>
              <w:spacing w:before="0" w:after="0"/>
              <w:ind w:left="0" w:right="0" w:hanging="0"/>
              <w:jc w:val="left"/>
              <w:rPr/>
            </w:pPr>
            <w:r>
              <w:rPr/>
              <w:t>​</w:t>
            </w:r>
          </w:p>
        </w:tc>
      </w:tr>
      <w:tr>
        <w:trPr/>
        <w:tc>
          <w:tcPr>
            <w:tcW w:w="9832"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The year ended December 31, 2023 includes costs associated with a public tender offer, which was withdrawn by the Company in January 2024. </w:t>
            </w:r>
          </w:p>
        </w:tc>
        <w:tc>
          <w:tcPr>
            <w:tcW w:w="37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0" w:right="79" w:firstLine="314"/>
        <w:jc w:val="both"/>
        <w:rPr>
          <w:rFonts w:ascii="Times New Roman;Times;serif" w:hAnsi="Times New Roman;Times;serif"/>
          <w:sz w:val="20"/>
        </w:rPr>
      </w:pPr>
      <w:r>
        <w:rPr>
          <w:rFonts w:ascii="Times New Roman;Times;serif" w:hAnsi="Times New Roman;Times;serif"/>
          <w:sz w:val="20"/>
        </w:rPr>
        <w:t>The increase in Adjusted EBITDA of $51.1 million in 2024, as compared to 2023, was primarily driven by an increase of $85.2 million in non-GAAP gross profit, which was partially offset by a $25.7 million increase in non-GAAP selling and marketing expense, a $4.2 million increase in non-GAAP research and development expense, and a $3.3 million increase in non-GAAP general and administrative expense. The 2024 increase in Adjusted EBITDA over the prior year, reflects the impact of our previously announced strategic investments, which were predominantly made from 2020 through 2023, into information technology infrastructure, business and re-engineering processes, employees, and other initiatives. Such investments were strategically aimed to deliver consistent revenue growth, drive future earnings leverage, and expand adjusted EBITDA margins.</w:t>
      </w:r>
    </w:p>
    <w:p>
      <w:pPr>
        <w:pStyle w:val="TextBody"/>
        <w:bidi w:val="0"/>
        <w:spacing w:before="0" w:after="0"/>
        <w:ind w:left="40" w:right="59" w:firstLine="314"/>
        <w:jc w:val="both"/>
        <w:rPr/>
      </w:pPr>
      <w:r>
        <w:rPr/>
        <w:t>​</w:t>
      </w:r>
    </w:p>
    <w:p>
      <w:pPr>
        <w:pStyle w:val="TextBody"/>
        <w:bidi w:val="0"/>
        <w:spacing w:before="0" w:after="0"/>
        <w:ind w:left="40" w:right="79" w:firstLine="314"/>
        <w:jc w:val="both"/>
        <w:rPr>
          <w:rFonts w:ascii="Times New Roman;Times;serif" w:hAnsi="Times New Roman;Times;serif"/>
          <w:sz w:val="20"/>
        </w:rPr>
      </w:pPr>
      <w:r>
        <w:rPr>
          <w:rFonts w:ascii="Times New Roman;Times;serif" w:hAnsi="Times New Roman;Times;serif"/>
          <w:sz w:val="20"/>
        </w:rPr>
        <w:t>Adjusted EBITDA margin increased in 2024 by 520 basis points in comparison to 2023 primarily due to increased non-GAAP gross margin from our software subscriptions revenue, which was partially offset by increased operating expenses driven by our previously noted investments to enable future growth.</w:t>
      </w:r>
    </w:p>
    <w:p>
      <w:pPr>
        <w:pStyle w:val="TextBody"/>
        <w:bidi w:val="0"/>
        <w:spacing w:before="0" w:after="0"/>
        <w:ind w:left="40" w:right="79" w:firstLine="314"/>
        <w:jc w:val="both"/>
        <w:rPr/>
      </w:pPr>
      <w:r>
        <w:rPr/>
        <w:t>​</w:t>
      </w:r>
    </w:p>
    <w:p>
      <w:pPr>
        <w:pStyle w:val="TextBody"/>
        <w:bidi w:val="0"/>
        <w:spacing w:before="0" w:after="0"/>
        <w:ind w:left="0" w:right="0" w:hanging="0"/>
        <w:jc w:val="left"/>
        <w:rPr/>
      </w:pPr>
      <w:r>
        <w:rPr/>
        <w:t>​</w:t>
      </w:r>
    </w:p>
    <w:p>
      <w:pPr>
        <w:pStyle w:val="TextBody"/>
        <w:bidi w:val="0"/>
        <w:spacing w:lineRule="auto" w:line="343" w:before="0" w:after="0"/>
        <w:ind w:left="40" w:right="59" w:hanging="0"/>
        <w:jc w:val="both"/>
        <w:rPr>
          <w:rFonts w:ascii="Times New Roman;Times;serif" w:hAnsi="Times New Roman;Times;serif"/>
          <w:b/>
          <w:i/>
          <w:sz w:val="20"/>
        </w:rPr>
      </w:pPr>
      <w:r>
        <w:rPr>
          <w:rFonts w:ascii="Times New Roman;Times;serif" w:hAnsi="Times New Roman;Times;serif"/>
          <w:b/>
          <w:i/>
          <w:sz w:val="20"/>
        </w:rPr>
        <w:t xml:space="preserve">Free Cash Flow and Free Cash Flow Margin. </w:t>
      </w:r>
    </w:p>
    <w:p>
      <w:pPr>
        <w:pStyle w:val="TextBody"/>
        <w:bidi w:val="0"/>
        <w:spacing w:lineRule="auto" w:line="343" w:before="0" w:after="0"/>
        <w:ind w:left="0" w:right="59"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net cash provided by operating activities was $164.8 million and $74.3 million in 2024 and 2023, respectively, while our operating cash flow margin was 24.7% and 13.0% over the same periods, respectively. The following schedule reconciles free cash flow and free cash flow margin to net cash provided by operating activities, the most closely directly comparable GAAP financial measure. </w:t>
      </w:r>
    </w:p>
    <w:p>
      <w:pPr>
        <w:pStyle w:val="Normal"/>
        <w:bidi w:val="0"/>
        <w:spacing w:before="0" w:after="0"/>
        <w:jc w:val="left"/>
        <w:rPr>
          <w:sz w:val="4"/>
          <w:szCs w:val="4"/>
        </w:rPr>
      </w:pPr>
      <w:r>
        <w:rPr>
          <w:sz w:val="4"/>
          <w:szCs w:val="4"/>
        </w:rPr>
      </w:r>
      <w:bookmarkStart w:id="99" w:name="_Hlk160100533"/>
      <w:bookmarkStart w:id="100" w:name="_Hlk160032829"/>
      <w:bookmarkStart w:id="101" w:name="_Hlk160100533"/>
      <w:bookmarkStart w:id="102" w:name="_Hlk160032829"/>
      <w:bookmarkEnd w:id="101"/>
      <w:bookmarkEnd w:id="102"/>
    </w:p>
    <w:tbl>
      <w:tblPr>
        <w:tblW w:w="6393" w:type="dxa"/>
        <w:jc w:val="left"/>
        <w:tblInd w:w="0" w:type="dxa"/>
        <w:tblLayout w:type="fixed"/>
        <w:tblCellMar>
          <w:top w:w="0" w:type="dxa"/>
          <w:left w:w="0" w:type="dxa"/>
          <w:bottom w:w="0" w:type="dxa"/>
          <w:right w:w="0" w:type="dxa"/>
        </w:tblCellMar>
      </w:tblPr>
      <w:tblGrid>
        <w:gridCol w:w="3286"/>
        <w:gridCol w:w="326"/>
        <w:gridCol w:w="211"/>
        <w:gridCol w:w="796"/>
        <w:gridCol w:w="361"/>
        <w:gridCol w:w="211"/>
        <w:gridCol w:w="796"/>
        <w:gridCol w:w="40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86610" cy="175260"/>
                      <wp:effectExtent l="0" t="0" r="0" b="0"/>
                      <wp:wrapNone/>
                      <wp:docPr id="259" name="Frame258"/>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05460" cy="175260"/>
                      <wp:effectExtent l="0" t="0" r="0" b="0"/>
                      <wp:wrapNone/>
                      <wp:docPr id="262" name="Frame2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9235" cy="175260"/>
                      <wp:effectExtent l="0" t="0" r="0" b="0"/>
                      <wp:wrapNone/>
                      <wp:docPr id="263" name="Frame2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05460" cy="175260"/>
                      <wp:effectExtent l="0" t="0" r="0" b="0"/>
                      <wp:wrapNone/>
                      <wp:docPr id="265" name="Frame2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7810" cy="175260"/>
                      <wp:effectExtent l="0" t="0" r="0" b="0"/>
                      <wp:wrapNone/>
                      <wp:docPr id="266" name="Frame2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40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40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center"/>
              <w:rPr/>
            </w:pPr>
            <w:r>
              <w:rPr/>
              <w:t>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operating activities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164,821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74,332</w:t>
            </w:r>
          </w:p>
        </w:tc>
        <w:tc>
          <w:tcPr>
            <w:tcW w:w="406" w:type="dxa"/>
            <w:tcBorders/>
            <w:vAlign w:val="center"/>
          </w:tcPr>
          <w:p>
            <w:pPr>
              <w:pStyle w:val="TableContents"/>
              <w:bidi w:val="0"/>
              <w:spacing w:before="0" w:after="0"/>
              <w:ind w:left="0" w:right="0" w:hanging="0"/>
              <w:jc w:val="center"/>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(49,261)</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additions</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(18,972)</w:t>
            </w:r>
          </w:p>
        </w:tc>
        <w:tc>
          <w:tcPr>
            <w:tcW w:w="406" w:type="dxa"/>
            <w:tcBorders/>
            <w:vAlign w:val="center"/>
          </w:tcPr>
          <w:p>
            <w:pPr>
              <w:pStyle w:val="TableContents"/>
              <w:bidi w:val="0"/>
              <w:spacing w:before="0" w:after="0"/>
              <w:ind w:left="0" w:right="0" w:hanging="0"/>
              <w:jc w:val="center"/>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77,708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6,099</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666,776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572,387</w:t>
            </w:r>
          </w:p>
        </w:tc>
        <w:tc>
          <w:tcPr>
            <w:tcW w:w="406"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increased by $71.6 million in 2024 compared to 2023, driven primarily by a net increase of $90.5 million in cash provided by operating activities, partially offset by a year-over-year increase in investments in commercial solutions supporting our customers and infrastructure investments to drive operating leverage. Free cash flow margin increased in 2024 to 11.7% compared to 1.1% in 2023.</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measures. We have provided tabular reconciliations of each of these non-GAAP financial measures to its most directly comparable GAAP financial measure.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consolidated financial statements included in this Annual Report on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Additional Non-GAAP Financial Measures </w:t>
      </w:r>
    </w:p>
    <w:p>
      <w:pPr>
        <w:pStyle w:val="TextBody"/>
        <w:bidi w:val="0"/>
        <w:spacing w:lineRule="auto" w:line="309" w:before="0" w:after="0"/>
        <w:ind w:left="60" w:right="59" w:firstLine="324"/>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p>
      <w:pPr>
        <w:pStyle w:val="TextBody"/>
        <w:bidi w:val="0"/>
        <w:spacing w:lineRule="atLeast" w:line="184"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6"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46"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3"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0"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and transaction costs related to acquired technology</w:t>
            </w:r>
            <w:r>
              <w:rPr>
                <w:caps w:val="false"/>
                <w:smallCaps w:val="false"/>
              </w:rPr>
              <w:t xml:space="preserve"> </w:t>
            </w:r>
            <w:r>
              <w:rPr>
                <w:rFonts w:ascii="Times New Roman;Times;serif" w:hAnsi="Times New Roman;Times;serif"/>
                <w:b w:val="false"/>
                <w:i w:val="false"/>
                <w:caps w:val="false"/>
                <w:smallCaps w:val="false"/>
                <w:sz w:val="20"/>
              </w:rPr>
              <w:t>included in research and development expense for the respective periods.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3"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3"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3"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w:t>
            </w:r>
            <w:r>
              <w:rPr>
                <w:caps w:val="false"/>
                <w:smallCaps w:val="false"/>
              </w:rPr>
              <w:t xml:space="preserve"> </w:t>
            </w:r>
            <w:r>
              <w:rPr>
                <w:rFonts w:ascii="Times New Roman;Times;serif" w:hAnsi="Times New Roman;Times;serif"/>
                <w:b w:val="false"/>
                <w:i w:val="false"/>
                <w:caps w:val="false"/>
                <w:smallCaps w:val="false"/>
                <w:sz w:val="20"/>
              </w:rPr>
              <w:t>amortization of cloud computing implementation costs in general and administrative expense,</w:t>
            </w:r>
            <w:r>
              <w:rPr>
                <w:caps w:val="false"/>
                <w:smallCaps w:val="false"/>
              </w:rPr>
              <w:t xml:space="preserve"> </w:t>
            </w:r>
            <w:r>
              <w:rPr>
                <w:rFonts w:ascii="Times New Roman;Times;serif" w:hAnsi="Times New Roman;Times;serif"/>
                <w:b w:val="false"/>
                <w:i w:val="false"/>
                <w:caps w:val="false"/>
                <w:smallCaps w:val="false"/>
                <w:sz w:val="20"/>
              </w:rPr>
              <w:t xml:space="preserve">severance expense, acquisition contingent consideration, changes in the fair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818"/>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value of acquisition contingent earn-outs, and transaction costs,</w:t>
            </w:r>
            <w:r>
              <w:rPr>
                <w:caps w:val="false"/>
                <w:smallCaps w:val="false"/>
              </w:rPr>
              <w:t xml:space="preserve"> </w:t>
            </w:r>
            <w:r>
              <w:rPr>
                <w:rFonts w:ascii="Times New Roman;Times;serif" w:hAnsi="Times New Roman;Times;serif"/>
                <w:b w:val="false"/>
                <w:i w:val="false"/>
                <w:caps w:val="false"/>
                <w:smallCaps w:val="false"/>
                <w:sz w:val="20"/>
              </w:rPr>
              <w:t>included in GAAP loss or income from operations for the respective periods.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6" w:before="0" w:after="0"/>
        <w:ind w:left="0" w:right="0" w:hanging="0"/>
        <w:jc w:val="left"/>
        <w:rPr/>
      </w:pPr>
      <w:r>
        <w:rPr/>
        <w:t>​</w:t>
      </w:r>
    </w:p>
    <w:p>
      <w:pPr>
        <w:pStyle w:val="Normal"/>
        <w:bidi w:val="0"/>
        <w:spacing w:before="0" w:after="0"/>
        <w:jc w:val="left"/>
        <w:rPr>
          <w:sz w:val="4"/>
          <w:szCs w:val="4"/>
        </w:rPr>
      </w:pPr>
      <w:r>
        <w:rPr>
          <w:sz w:val="4"/>
          <w:szCs w:val="4"/>
        </w:rPr>
      </w:r>
      <w:bookmarkStart w:id="103" w:name="_Hlk160100631"/>
      <w:bookmarkStart w:id="104" w:name="_Hlk160100631"/>
      <w:bookmarkEnd w:id="104"/>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net income is determined by adding back to GAAP net income or loss the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changes in the fair value of acquisition contingent earn-outs, adjustments to the settlement value of deferred purchase commitment liabilities recorded as interest expense, and transaction costs,</w:t>
            </w:r>
            <w:r>
              <w:rPr>
                <w:caps w:val="false"/>
                <w:smallCaps w:val="false"/>
              </w:rPr>
              <w:t xml:space="preserve"> </w:t>
            </w:r>
            <w:r>
              <w:rPr>
                <w:rFonts w:ascii="Times New Roman;Times;serif" w:hAnsi="Times New Roman;Times;serif"/>
                <w:b w:val="false"/>
                <w:i w:val="false"/>
                <w:caps w:val="false"/>
                <w:smallCaps w:val="false"/>
                <w:sz w:val="20"/>
              </w:rPr>
              <w:t xml:space="preserve">included in GAAP net income or loss for the respective periods to determine non-GAAP loss or income before income taxes. Non-GAAP income or loss before income taxes is then adjusted for income taxes calculated using the respective statutory tax rates for applicable jurisdictions, which for purposes of this determination were assumed to be 25.5%.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ind w:left="0" w:right="79"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schedules reflect our additional non-GAAP financial measures and reconciles our additional non-GAAP financial measures to the related GAAP financial measures.</w:t>
      </w:r>
    </w:p>
    <w:tbl>
      <w:tblPr>
        <w:tblW w:w="7027" w:type="dxa"/>
        <w:jc w:val="left"/>
        <w:tblInd w:w="0" w:type="dxa"/>
        <w:tblLayout w:type="fixed"/>
        <w:tblCellMar>
          <w:top w:w="0" w:type="dxa"/>
          <w:left w:w="0" w:type="dxa"/>
          <w:bottom w:w="0" w:type="dxa"/>
          <w:right w:w="0" w:type="dxa"/>
        </w:tblCellMar>
      </w:tblPr>
      <w:tblGrid>
        <w:gridCol w:w="4276"/>
        <w:gridCol w:w="211"/>
        <w:gridCol w:w="781"/>
        <w:gridCol w:w="361"/>
        <w:gridCol w:w="211"/>
        <w:gridCol w:w="781"/>
        <w:gridCol w:w="40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715260" cy="175260"/>
                      <wp:effectExtent l="0" t="0" r="0" b="0"/>
                      <wp:wrapNone/>
                      <wp:docPr id="267" name="Frame26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95935" cy="175260"/>
                      <wp:effectExtent l="0" t="0" r="0" b="0"/>
                      <wp:wrapNone/>
                      <wp:docPr id="269" name="Frame2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9235" cy="175260"/>
                      <wp:effectExtent l="0" t="0" r="0" b="0"/>
                      <wp:wrapNone/>
                      <wp:docPr id="270" name="Frame26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260"/>
                      <wp:effectExtent l="0" t="0" r="0" b="0"/>
                      <wp:wrapNone/>
                      <wp:docPr id="272" name="Frame2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57810" cy="175260"/>
                      <wp:effectExtent l="0" t="0" r="0" b="0"/>
                      <wp:wrapNone/>
                      <wp:docPr id="273" name="Frame27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21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40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software subscriptions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111,929</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106,038</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services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62,303</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59,042</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profit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492,544</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407,307</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research and development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56,395</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selling and marketing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154,892</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129,216</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general and administrative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128,224</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124,925</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operating income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130,989</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85,646</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100,984</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63,699</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olor w:val="FF0000"/>
        </w:rPr>
      </w:pPr>
      <w:r>
        <w:rPr>
          <w:color w:val="FF0000"/>
        </w:rPr>
        <w:t>​</w:t>
      </w:r>
    </w:p>
    <w:tbl>
      <w:tblPr>
        <w:tblW w:w="10205" w:type="dxa"/>
        <w:jc w:val="left"/>
        <w:tblInd w:w="0" w:type="dxa"/>
        <w:tblLayout w:type="fixed"/>
        <w:tblCellMar>
          <w:top w:w="0" w:type="dxa"/>
          <w:left w:w="0" w:type="dxa"/>
          <w:bottom w:w="0" w:type="dxa"/>
          <w:right w:w="0" w:type="dxa"/>
        </w:tblCellMar>
      </w:tblPr>
      <w:tblGrid>
        <w:gridCol w:w="7355"/>
        <w:gridCol w:w="326"/>
        <w:gridCol w:w="196"/>
        <w:gridCol w:w="717"/>
        <w:gridCol w:w="326"/>
        <w:gridCol w:w="196"/>
        <w:gridCol w:w="717"/>
        <w:gridCol w:w="372"/>
      </w:tblGrid>
      <w:tr>
        <w:trPr/>
        <w:tc>
          <w:tcPr>
            <w:tcW w:w="7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670425" cy="175260"/>
                      <wp:effectExtent l="0" t="0" r="0" b="0"/>
                      <wp:wrapNone/>
                      <wp:docPr id="274" name="Frame273"/>
                      <a:graphic xmlns:a="http://schemas.openxmlformats.org/drawingml/2006/main">
                        <a:graphicData uri="http://schemas.microsoft.com/office/word/2010/wordprocessingShape">
                          <wps:wsp>
                            <wps:cNvSpPr txBox="1"/>
                            <wps:spPr>
                              <a:xfrm>
                                <a:off x="0" y="0"/>
                                <a:ext cx="467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55295" cy="175260"/>
                      <wp:effectExtent l="0" t="0" r="0" b="0"/>
                      <wp:wrapNone/>
                      <wp:docPr id="277" name="Frame276"/>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79" name="Frame2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55295" cy="175260"/>
                      <wp:effectExtent l="0" t="0" r="0" b="0"/>
                      <wp:wrapNone/>
                      <wp:docPr id="280" name="Frame279"/>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36220" cy="175260"/>
                      <wp:effectExtent l="0" t="0" r="0" b="0"/>
                      <wp:wrapNone/>
                      <wp:docPr id="281" name="Frame280"/>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1"/>
              <w:ind w:left="0" w:right="0" w:hanging="0"/>
              <w:jc w:val="center"/>
              <w:rPr/>
            </w:pPr>
            <w:r>
              <w:rPr/>
              <w:t>​</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9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    </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 of revenues, software subscriptions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175,580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162,920</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(2,834)</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(59,302)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(54,048)</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111,929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106,038</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 of revenues, services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60,888</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59,042</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24"/>
        <w:gridCol w:w="109"/>
        <w:gridCol w:w="196"/>
        <w:gridCol w:w="718"/>
        <w:gridCol w:w="256"/>
        <w:gridCol w:w="196"/>
        <w:gridCol w:w="718"/>
        <w:gridCol w:w="288"/>
      </w:tblGrid>
      <w:tr>
        <w:trPr/>
        <w:tc>
          <w:tcPr>
            <w:tcW w:w="77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1"/>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1"/>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426,125</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348,579</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7,117</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4,680</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59,302</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54,048</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492,544</w:t>
            </w:r>
          </w:p>
        </w:tc>
        <w:tc>
          <w:tcPr>
            <w:tcW w:w="25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407,307</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666,776</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572,387</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w:t>
            </w:r>
          </w:p>
        </w:tc>
        <w:tc>
          <w:tcPr>
            <w:tcW w:w="2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2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Research and development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66,666</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58,212</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(9,548)</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(5,994)</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56,395</w:t>
            </w:r>
          </w:p>
        </w:tc>
        <w:tc>
          <w:tcPr>
            <w:tcW w:w="25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52,218</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Selling and marketing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170,574</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140,237</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(13,204)</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(8,380)</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(2,478)</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(2,641)</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154,892</w:t>
            </w:r>
          </w:p>
        </w:tc>
        <w:tc>
          <w:tcPr>
            <w:tcW w:w="25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129,216</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General and administrative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152,835</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145,936</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(17,556)</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(14,865)</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(3,048)</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(3,576)</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(4,007)</w:t>
            </w:r>
          </w:p>
        </w:tc>
        <w:tc>
          <w:tcPr>
            <w:tcW w:w="25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(2,570)</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128,224</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124,925</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Loss from operations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(2,228)</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(17,510)</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47,425</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33,919</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59,302</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54,048</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2,478</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2,641</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4,007</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2,570</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3,048</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3,576</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(2,575)</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1,549</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17,500</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2,032</w:t>
            </w:r>
          </w:p>
        </w:tc>
        <w:tc>
          <w:tcPr>
            <w:tcW w:w="25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4,853</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130,989</w:t>
            </w:r>
          </w:p>
        </w:tc>
        <w:tc>
          <w:tcPr>
            <w:tcW w:w="25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85,646</w:t>
            </w:r>
          </w:p>
        </w:tc>
        <w:tc>
          <w:tcPr>
            <w:tcW w:w="288" w:type="dxa"/>
            <w:tcBorders/>
            <w:shd w:fill="CCEEFF" w:val="clear"/>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r>
        <w:trPr/>
        <w:tc>
          <w:tcPr>
            <w:tcW w:w="77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288"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511"/>
        <w:gridCol w:w="134"/>
        <w:gridCol w:w="242"/>
        <w:gridCol w:w="880"/>
        <w:gridCol w:w="134"/>
        <w:gridCol w:w="242"/>
        <w:gridCol w:w="868"/>
        <w:gridCol w:w="194"/>
      </w:tblGrid>
      <w:tr>
        <w:trPr/>
        <w:tc>
          <w:tcPr>
            <w:tcW w:w="7511"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236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23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34" w:type="dxa"/>
            <w:tcBorders/>
            <w:vAlign w:val="center"/>
          </w:tcPr>
          <w:p>
            <w:pPr>
              <w:pStyle w:val="TableContents"/>
              <w:bidi w:val="0"/>
              <w:spacing w:before="0" w:after="1"/>
              <w:ind w:left="0" w:right="0" w:hanging="0"/>
              <w:jc w:val="left"/>
              <w:rPr/>
            </w:pPr>
            <w:r>
              <w:rPr/>
              <w:t>​</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4" w:type="dxa"/>
            <w:tcBorders/>
            <w:vAlign w:val="center"/>
          </w:tcPr>
          <w:p>
            <w:pPr>
              <w:pStyle w:val="TableContents"/>
              <w:bidi w:val="0"/>
              <w:spacing w:before="0" w:after="1"/>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pPr>
            <w:r>
              <w:rPr/>
              <w:t>​</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(52,729)</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(13,093)</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54,638</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(8,581)</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47,425</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33,919</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59,302</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54,048</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2,478</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2,641</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4,007</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2,570</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3,048</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3,576</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(2,575)</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1,549</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17,500</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(1)</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2,032</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4,853</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Change in settlement value of deferred purchase commitment liability – interest expense </w:t>
            </w:r>
          </w:p>
        </w:tc>
        <w:tc>
          <w:tcPr>
            <w:tcW w:w="134"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FF0000"/>
              </w:rPr>
            </w:pPr>
            <w:r>
              <w:rPr>
                <w:color w:val="FF0000"/>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w:t>
            </w:r>
          </w:p>
        </w:tc>
        <w:tc>
          <w:tcPr>
            <w:tcW w:w="134"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FF0000"/>
              </w:rPr>
            </w:pPr>
            <w:r>
              <w:rPr>
                <w:color w:val="FF0000"/>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4,020</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Non-GAAP income before income taxes</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135,549</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85,502</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Income tax adjustment at statutory rate </w:t>
            </w:r>
            <w:r>
              <w:rPr>
                <w:rFonts w:ascii="Times New Roman;Times;serif" w:hAnsi="Times New Roman;Times;serif"/>
                <w:sz w:val="14"/>
              </w:rPr>
              <w:t>(2)</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(34,565)</w:t>
            </w:r>
          </w:p>
        </w:tc>
        <w:tc>
          <w:tcPr>
            <w:tcW w:w="134"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(21,803)</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134"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100,984</w:t>
            </w:r>
          </w:p>
        </w:tc>
        <w:tc>
          <w:tcPr>
            <w:tcW w:w="134"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63,699</w:t>
            </w:r>
          </w:p>
        </w:tc>
        <w:tc>
          <w:tcPr>
            <w:tcW w:w="194" w:type="dxa"/>
            <w:tcBorders/>
            <w:vAlign w:val="center"/>
          </w:tcPr>
          <w:p>
            <w:pPr>
              <w:pStyle w:val="TableContents"/>
              <w:bidi w:val="0"/>
              <w:spacing w:before="0" w:after="1"/>
              <w:ind w:left="0" w:right="0" w:hanging="0"/>
              <w:jc w:val="left"/>
              <w:rPr/>
            </w:pPr>
            <w:r>
              <w:rPr/>
              <w:t>​</w:t>
            </w:r>
          </w:p>
        </w:tc>
      </w:tr>
      <w:tr>
        <w:trPr/>
        <w:tc>
          <w:tcPr>
            <w:tcW w:w="7511"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w:t>
            </w:r>
          </w:p>
        </w:tc>
        <w:tc>
          <w:tcPr>
            <w:tcW w:w="13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10205" w:type="dxa"/>
            <w:gridSpan w:val="8"/>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The year ended December 31, 2023 includes costs associated with a public tender offer, which was withdrawn by the Company in January 2024. </w:t>
            </w:r>
          </w:p>
        </w:tc>
      </w:tr>
      <w:tr>
        <w:trPr/>
        <w:tc>
          <w:tcPr>
            <w:tcW w:w="10205" w:type="dxa"/>
            <w:gridSpan w:val="8"/>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Non-GAAP income before income taxes is adjusted for income taxes using the respective statutory tax rates for applicable jurisdictions, which for purposes of this determination were assumed to be 25.5%.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Estimates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these consolidated financial statements in accordance with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reporting periods. These estimates, assumptions and judgments are necessary because future events and their effects on our consolidated financial statements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materially differ from those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estimates discussed below are considered by management to be critical to an understanding of our consolidated financial statements because their application places the most significant demands on management’s judgment. Specific risks for these critical accounting estimates are described in the following sections. For all of these estimates, we caution that future events rarely develop exactly as forecast, and such estimates routinely require adjustment. We have reviewed these critical accounting estimates and related disclosures with our Audit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discussion of critical accounting estimates is intended to supplement, not duplicate, our summary of significant accounting policies so that readers will have greater insight into the uncertainties involved in applying our critical accounting policies and estimates. For a summary of our significant accounting policies, see Note 1,“Summary of Significant Accounting Policies” to our consolidated financial statements beginning on page F-1 of this Annual Report on Form 10-K.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account for our revenue in accordance with Accounting Standards Codification (“ASC”) 606, </w:t>
      </w:r>
      <w:r>
        <w:rPr>
          <w:rFonts w:ascii="Times New Roman;Times;serif" w:hAnsi="Times New Roman;Times;serif"/>
          <w:i/>
          <w:sz w:val="20"/>
        </w:rPr>
        <w:t>Revenue from Contracts with Customers</w:t>
      </w:r>
      <w:r>
        <w:rPr>
          <w:rFonts w:ascii="Times New Roman;Times;serif" w:hAnsi="Times New Roman;Times;serif"/>
          <w:sz w:val="20"/>
        </w:rPr>
        <w:t>, which requires judgment and the use of estimates. Revenue is recognized upon transfer of control of promised goods or services to customers in an amount that reflects the consideration expected to be received in exchange for those products or services. Our most critical judgments required in applying ASC 606 relate to the identification of performance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Identification of the Performance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enter into contracts with customers that may include promises to transfer various combinations of software subscriptions and services. Determining whether products and services are considered distinct performance obligations that should be accounted for separately versus together may require significant judgment. Software subscriptions include the related software, consisting of both on-premise and cloud-based software, tax content updates, and product support. The updates and support, which are part of the subscription agreement, are essential to the continued utility of the software. Therefore, we have determined that the software, updates, and support should be combined into a single performance obligation.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Income Taxes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estimate our income taxes based on the various jurisdictions where we conduct business. Significant judgment is required in determining our worldwide income tax provision. Vertex and its subsidiaries are generally taxed at the corporate level, and the income tax provision or benefit is based on income or loss sourced to the U.S. federal and state jurisdictions as well as foreign jurisdictions at the tax rates applicable in those jurisdictions.</w:t>
      </w:r>
    </w:p>
    <w:p>
      <w:pPr>
        <w:pStyle w:val="TextBody"/>
        <w:bidi w:val="0"/>
        <w:spacing w:before="0" w:after="0"/>
        <w:ind w:left="60" w:right="59" w:firstLine="324"/>
        <w:jc w:val="both"/>
        <w:rPr>
          <w:rFonts w:ascii="Times New Roman;Times;serif" w:hAnsi="Times New Roman;Times;serif"/>
          <w:sz w:val="20"/>
        </w:rPr>
      </w:pPr>
      <w:r>
        <w:rPr>
          <w:rFonts w:ascii="Times New Roman;Times;serif" w:hAnsi="Times New Roman;Times;serif"/>
          <w:sz w:val="20"/>
        </w:rPr>
        <w:t xml:space="preserve">We account for income taxes using the asset and liability method resulting in the recognition of deferred tax assets and liabilities for future tax consequences of events that have been previously recognized in the Company’s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determination of which requires management judgement and which could result in a different result should our expectations of the recovery or settlement timing differ from the actual events. The effect of a change in tax laws or rates on deferred tax assets and liabilities is recognized in income in the period that includes the enactment date. The effects of future changes in tax laws or rates are not anticipated. </w:t>
      </w:r>
    </w:p>
    <w:p>
      <w:pPr>
        <w:pStyle w:val="TextBody"/>
        <w:bidi w:val="0"/>
        <w:spacing w:before="0" w:after="0"/>
        <w:ind w:left="60" w:right="59" w:firstLine="324"/>
        <w:jc w:val="both"/>
        <w:rPr/>
      </w:pPr>
      <w:r>
        <w:rPr/>
        <w:t>​</w:t>
      </w:r>
    </w:p>
    <w:p>
      <w:pPr>
        <w:pStyle w:val="TextBody"/>
        <w:bidi w:val="0"/>
        <w:spacing w:before="0" w:after="0"/>
        <w:ind w:left="60" w:right="59" w:firstLine="324"/>
        <w:jc w:val="both"/>
        <w:rPr>
          <w:rFonts w:ascii="Times New Roman;Times;serif" w:hAnsi="Times New Roman;Times;serif"/>
          <w:sz w:val="20"/>
        </w:rPr>
      </w:pPr>
      <w:r>
        <w:rPr>
          <w:rFonts w:ascii="Times New Roman;Times;serif" w:hAnsi="Times New Roman;Times;serif"/>
          <w:sz w:val="20"/>
        </w:rPr>
        <w:t>A valuation allowance is recorded when management determines it is more likely than not that some or all the deferred tax assets will not be realized. Significant judgment is required in determining any valuation allowance recorded against deferred tax assets. In evaluating the ability to realize our deferred tax assets, we rely on, in order of increasing subjectivity, taxable income in prior carryback years, the future reversals of existing taxable temporary differences, tax planning strategies and forecasted taxable income using historical and projected future operating results.</w:t>
      </w:r>
    </w:p>
    <w:p>
      <w:pPr>
        <w:pStyle w:val="TextBody"/>
        <w:bidi w:val="0"/>
        <w:spacing w:before="0" w:after="0"/>
        <w:ind w:left="60" w:right="59" w:firstLine="324"/>
        <w:jc w:val="both"/>
        <w:rPr/>
      </w:pPr>
      <w:r>
        <w:rPr/>
        <w:t>​</w:t>
      </w:r>
    </w:p>
    <w:p>
      <w:pPr>
        <w:pStyle w:val="TextBody"/>
        <w:bidi w:val="0"/>
        <w:spacing w:before="0" w:after="0"/>
        <w:ind w:left="60" w:right="59" w:firstLine="324"/>
        <w:jc w:val="both"/>
        <w:rPr>
          <w:rFonts w:ascii="Times New Roman;Times;serif" w:hAnsi="Times New Roman;Times;serif"/>
          <w:sz w:val="20"/>
        </w:rPr>
      </w:pPr>
      <w:r>
        <w:rPr>
          <w:rFonts w:ascii="Times New Roman;Times;serif" w:hAnsi="Times New Roman;Times;serif"/>
          <w:sz w:val="20"/>
        </w:rPr>
        <w:t xml:space="preserve">We record uncertain tax positions in accordance with ASC 740, </w:t>
      </w:r>
      <w:r>
        <w:rPr>
          <w:rFonts w:ascii="Times New Roman;Times;serif" w:hAnsi="Times New Roman;Times;serif"/>
          <w:i/>
          <w:sz w:val="20"/>
        </w:rPr>
        <w:t>Income Taxes</w:t>
      </w:r>
      <w:r>
        <w:rPr>
          <w:rFonts w:ascii="Times New Roman;Times;serif" w:hAnsi="Times New Roman;Times;serif"/>
          <w:sz w:val="20"/>
        </w:rPr>
        <w:t>, on the basis of a two-step process requiring judgement whereby: (i) we determine whether it is more likely than not that the tax positions will be sustained based on the technical merits of the position, and (ii) for those tax positions that meet the more likely than not recognition threshold, we recognize the largest amount of tax benefit that is greater than 50 percent likely to be realized upon ultimate settlement with the related tax authority. We record interest related to underpayment of income taxes as interest expense and penalties as other operating expenses in the consolidated statements of comprehensive loss.</w:t>
      </w:r>
    </w:p>
    <w:p>
      <w:pPr>
        <w:pStyle w:val="TextBody"/>
        <w:bidi w:val="0"/>
        <w:spacing w:before="0" w:after="0"/>
        <w:ind w:left="0" w:right="0" w:hanging="0"/>
        <w:jc w:val="left"/>
        <w:rPr/>
      </w:pPr>
      <w:r>
        <w:rPr/>
        <w:t>​</w:t>
      </w:r>
    </w:p>
    <w:p>
      <w:pPr>
        <w:pStyle w:val="TextBody"/>
        <w:bidi w:val="0"/>
        <w:spacing w:before="0" w:after="0"/>
        <w:ind w:left="60" w:right="59" w:firstLine="324"/>
        <w:jc w:val="both"/>
        <w:rPr>
          <w:rFonts w:ascii="Times New Roman;Times;serif" w:hAnsi="Times New Roman;Times;serif"/>
          <w:sz w:val="20"/>
        </w:rPr>
      </w:pPr>
      <w:r>
        <w:rPr>
          <w:rFonts w:ascii="Times New Roman;Times;serif" w:hAnsi="Times New Roman;Times;serif"/>
          <w:sz w:val="20"/>
        </w:rPr>
        <w:t>We assess our income tax positions and record tax benefits or expense based upon our evaluation of the facts, circumstances, and information available at the reporting date. Variations in the actual outcome of these future tax consequences could materially impact the consolidated financial statements.</w:t>
      </w:r>
    </w:p>
    <w:p>
      <w:pPr>
        <w:pStyle w:val="TextBody"/>
        <w:bidi w:val="0"/>
        <w:spacing w:before="0" w:after="0"/>
        <w:ind w:left="60" w:right="59" w:firstLine="324"/>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 Fair Value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results of a business acquired in a business combination are included in our consolidated financial statements from the date of the acquisition. Purchase accounting results in tangible and intangible assets acquired, liabilities assumed, consideration transferred, and amounts attributed to noncontrolling interests of an acquired business being recorded at their estimated fair values on the acquisition date, which may be considered preliminary and subject to adjustment during the measurement period, which is up to one year from the acquisition date (the “Measurement Period”). Any excess consideration over the fair value of assets acquired and liabilities assumed is recorded as goodwill. Determining the fair value of these amounts requires significant judgment and estimates, including the selection of valuation methodologies, estimates of future revenue, costs and cash flows, discount rates, royalty rates, and selection of comparable companies. We continue to collect information and reevaluate these estimates and assumptions periodically and record any adjustments to preliminary estimates to goodwill, provided we are within the Measurement Period, with any adjustments to amortization of new or previously recorded assets and identifiable intangibles being recorded to the consolidated statements of comprehensive loss in the period in which they arise. In addition, if outside of the Measurement Period,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subsequent adjustments to the acquisition date fair values are reflected in the consolidated statements of comprehensive loss in the period in which they arise.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our best estimates, information and assumptions available at the acquisition date to assign preliminary fair values to the assets acquired, liabilities assumed, consideration transferred, and amounts attributed to noncontrolling interests. We engage the assistance of third-party valuation specialists to perform valuations of these amounts and to assist us in concluding on these fair value measurements. The resulting fair values and useful lives assigned to acquisition-related assets impact the amount and timing of future amortization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estimates are inherently uncertain and unpredictable, and if different estimates were used then the purchase price for the respective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an increase in the amounts recorded for assumed liabilities, or an impairment of some or all of the goodwill.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discussion of recent accounting pronouncements is included in Note 1,“Summary of Significant Accounting Policies” to our consolidated financial statements beginning on page F-1 of this Annual Report on Form 10-K.</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5" w:name="Item7AQuantitativeandQualitativeDisclosu"/>
      <w:bookmarkStart w:id="106" w:name="_90c42aa1_14bb_4dd1_a95b_63095624037b"/>
      <w:bookmarkEnd w:id="105"/>
      <w:bookmarkEnd w:id="106"/>
      <w:r>
        <w:rPr>
          <w:rFonts w:ascii="Times New Roman;Times;serif" w:hAnsi="Times New Roman;Times;serif"/>
          <w:b/>
          <w:sz w:val="20"/>
        </w:rPr>
        <w:t>Item 7A. Quantitative and Qualitative Disclosures about Market Risk</w:t>
      </w:r>
      <w:r>
        <w:rPr>
          <w:rFonts w:ascii="Times New Roman;Times;serif" w:hAnsi="Times New Roman;Times;serif"/>
          <w:b/>
          <w:color w:val="FF0000"/>
          <w:sz w:val="20"/>
        </w:rPr>
        <w:t xml:space="preserv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360"/>
        <w:jc w:val="both"/>
        <w:rPr>
          <w:rFonts w:ascii="Times New Roman;Times;serif" w:hAnsi="Times New Roman;Times;serif"/>
          <w:sz w:val="18"/>
        </w:rPr>
      </w:pPr>
      <w:r>
        <w:rPr>
          <w:rFonts w:ascii="Times New Roman;Times;serif" w:hAnsi="Times New Roman;Times;serif"/>
          <w:sz w:val="20"/>
        </w:rPr>
        <w:t>We had unrestricted cash and cash equivalents of $296.1</w:t>
      </w:r>
      <w:r>
        <w:rPr>
          <w:rFonts w:ascii="Times New Roman;Times;serif" w:hAnsi="Times New Roman;Times;serif"/>
          <w:sz w:val="18"/>
        </w:rPr>
        <w:t> </w:t>
      </w:r>
      <w:r>
        <w:rPr>
          <w:rFonts w:ascii="Times New Roman;Times;serif" w:hAnsi="Times New Roman;Times;serif"/>
          <w:sz w:val="20"/>
        </w:rPr>
        <w:t>million and $68.2 million as of December 31, 2024 and 2023, respectively, and investments of $9.2 million and $9.5 million as of December 31, 2024 and 2023, respectively.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r>
        <w:rPr>
          <w:rFonts w:ascii="Times New Roman;Times;serif" w:hAnsi="Times New Roman;Times;serif"/>
          <w:sz w:val="18"/>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Class A common stock fluctuates. We carry the Notes at principal value less unamortized issuance costs on our consolidated balance sheets, and we present fair value for required disclosure purposes only.</w:t>
      </w:r>
    </w:p>
    <w:p>
      <w:pPr>
        <w:pStyle w:val="TextBody"/>
        <w:bidi w:val="0"/>
        <w:spacing w:before="0" w:after="0"/>
        <w:ind w:left="0" w:right="0" w:firstLine="360"/>
        <w:jc w:val="both"/>
        <w:rPr/>
      </w:pPr>
      <w:r>
        <w:rPr/>
        <w:t>​</w:t>
      </w:r>
    </w:p>
    <w:p>
      <w:pPr>
        <w:pStyle w:val="TextBody"/>
        <w:bidi w:val="0"/>
        <w:spacing w:before="0" w:after="0"/>
        <w:ind w:left="60" w:right="59" w:firstLine="324"/>
        <w:jc w:val="both"/>
        <w:rPr>
          <w:rFonts w:ascii="Times New Roman;Times;serif" w:hAnsi="Times New Roman;Times;serif"/>
          <w:sz w:val="20"/>
        </w:rPr>
      </w:pPr>
      <w:r>
        <w:rPr>
          <w:rFonts w:ascii="Times New Roman;Times;serif" w:hAnsi="Times New Roman;Times;serif"/>
          <w:sz w:val="20"/>
        </w:rPr>
        <w:t>Borrowings under our Credit Agreement will bear interest, at our option, at either the New Base Rate Option or the SOFR Option. At December 31, 2024, the New Base Rate Option and SOFR Option applicable to the Line of Credit borrowings were 8.00% and 5.99%, respectively. Because the interest rates applicable to borrowings under the Credit Agreement are variable, we are exposed to market risk from changes in the underlying index rates, which affect our cost of borrowing. There were no outstanding borrowings under the Line of Credit at December 31, 2024 or 2023.</w:t>
      </w:r>
    </w:p>
    <w:p>
      <w:pPr>
        <w:pStyle w:val="TextBody"/>
        <w:bidi w:val="0"/>
        <w:spacing w:before="0" w:after="0"/>
        <w:ind w:left="60" w:right="59" w:firstLine="324"/>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Foreign Currency Exchange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revenues and expenses are primarily denominated in U.S. dollars. For our foreign operations, the majority of our revenues and expenses are denominated in other currencies, such as the Canadian Dollar, Euro, British Pound, Swedish Krona, Indian Rupee, and Brazilian Real. Decreases in the relative value of the U.S. dollar as compared to these currencies may negatively affect our revenues and other operating results as expressed in U.S. dollars. For the years ended December 31, 2024, 2023, and 2022, approximately 4%, 4%, and 3% of our revenues were generated in currencies other than U.S. dollars in each respective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experienced and will continue to experience fluctuations in our net income (loss) as a result of transaction gains or losses related to revaluing certain current asset and current liability balances that are denominated in currencies other than the functional currency of the entities in which they are recorded. We have historically recognized immaterial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amounts of foreign currency gains and losses in each of the periods presented. We may in the future hedge selected significant transactions denominated in currencies other than the U.S. dollar as we expand our international operations and our risk grows.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Inflation</w:t>
      </w:r>
      <w:r>
        <w:rPr>
          <w:rFonts w:ascii="Times New Roman;Times;serif" w:hAnsi="Times New Roman;Times;serif"/>
          <w:b/>
          <w:i/>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ordinary course of business we increase our product and services selling prices to offset the inflationary pressures we have or may experience in the future in many of our expense items, including internal labor and third-party costs. If our product costs became subject to significant future inflationary pressures, then we may not be able to fully offset these higher costs through price increases. Our inability or failure to do so could adversely affect our business, financial condition, and results of operations. To date, we do not believe that inflation has had a material effect on our business, financial condition, or results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07" w:name="Item8FinancialStatementsandSupplem"/>
      <w:bookmarkStart w:id="108" w:name="_58946b00_65de_45d2_98e2_6499729f3ce7"/>
      <w:bookmarkEnd w:id="107"/>
      <w:bookmarkEnd w:id="108"/>
      <w:r>
        <w:rPr>
          <w:rFonts w:ascii="Times New Roman;Times;serif" w:hAnsi="Times New Roman;Times;serif"/>
          <w:b/>
          <w:i w:val="false"/>
          <w:caps w:val="false"/>
          <w:smallCaps w:val="false"/>
          <w:sz w:val="20"/>
        </w:rPr>
        <w:t xml:space="preserve">Item 8. </w:t>
      </w:r>
      <w:r>
        <w:rPr>
          <w:rFonts w:ascii="Times New Roman;Times;serif" w:hAnsi="Times New Roman;Times;serif"/>
          <w:b/>
          <w:sz w:val="20"/>
        </w:rPr>
        <w:t>Financial Statements and Supplementary Data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information required by this item is presented at the end of this report beginning on page F-1.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 w:name="Item9ChangesinandDisagreementswithAccoun"/>
      <w:bookmarkStart w:id="110" w:name="_0de369db_88e8_46bd_a959_51f48cdf0d35"/>
      <w:bookmarkEnd w:id="109"/>
      <w:bookmarkEnd w:id="110"/>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11" w:name="Item9AControlsandProcedures_98715"/>
      <w:bookmarkStart w:id="112" w:name="_146cd913_3a61_476b_ae45_11dd8aa06dee"/>
      <w:bookmarkEnd w:id="111"/>
      <w:bookmarkEnd w:id="112"/>
      <w:r>
        <w:rPr>
          <w:rFonts w:ascii="Times New Roman;Times;serif" w:hAnsi="Times New Roman;Times;serif"/>
          <w:b/>
          <w:sz w:val="20"/>
        </w:rPr>
        <w:t>Item 9A.   Controls and Procedures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we recognize that any controls and procedures, no matter how well designed and operated, can provide only reasonable assurance of achieving the desired control objectives. In addition, the design of disclosure controls and procedures must reflect that there are resource constraints and that we are required to apply judgment in evaluating the benefits of possible controls and procedures relative to their costs.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the effectiveness of our disclosure controls and procedures as defined in Rule 13a-15(e) under the Exchange Act as of December 31,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those designed to ensure that such information required to be disclosed in the reports that we file or submit under the Exchange Act is accumulated and communicated to management, including our principal executive officer and principal financial officer, as appropriate to allow timely decisions regarding required disclosure.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evaluation of our disclosure controls and procedures, our principal executive officer and principal financial officer concluded that, as of December 31, 2024, our disclosure controls and procedures were effective at a reasonable assurance level.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quarter ended December 31, 2024 that have materially affected, or are reasonably likely to materially affect, our internal control over financial reporting.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such term is defined in Rule 13a-15(f)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on a timely basis. Also, projections of any evaluation of effectiveness to future periods are subject to the risk that controls may become inadequate because of changes in conditions, or that the degree of compliance with policies and procedures may deteriorate.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under the supervision and with the participation of our principal executive officer and principal financial officer, conducted an assessment of the effectiveness of our internal control over financial reporting as of December 31, 2024 based on the framework and criteria established in Internal Control - Integrated Framework (2013) issued by the Committee of Sponsoring Organizations of the Treadway Commission. Based on this assessment, management concluded that, as of December 31, 2024, our internal control over financial reporting was effective.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2024, the Company completed the acquisition of ecosio. Based on the SEC staff guidance, management has excluded the internal controls of ecosio from our assessment of the effectiveness of internal control over financial reporting as of December 31, 2024. The acquired business represented approximately 14.6% of our total assets as of December 31, 2024 (including 10.8% of goodwill and intangible assets, which were subject to corporate controls) and approximately 1.1% of our total revenues for the year ended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effectiveness of our internal control over financial reporting as of December 31, 2024 has been audited by Crowe LLP, an independent registered public accounting firm, as stated in their report, which is included below.</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Report of Independent Registered Public Accounting Firm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and the Board of Directors of Vertex,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King of Prussia, Pennsylvania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audited Vertex, Inc.’s (the “Company”) internal control over financial reporting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the Company as of December 31, 2024 and 2023, the related consolidated statements of comprehensive loss, stockholders’ equity, and cash flows for each of the years in the three-year period ended December 31, 2024, and the related notes (collectively referred to as the "financial statements") and our report dated February 27, 2025 expressed an unqualified opinion.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Basis for Opinion</w:t>
      </w:r>
      <w:r>
        <w:rPr>
          <w:rFonts w:ascii="Times New Roman;Times;serif" w:hAnsi="Times New Roman;Times;serif"/>
          <w:color w:val="FF0000"/>
          <w:sz w:val="20"/>
        </w:rPr>
        <w:t xml:space="preserve"> </w:t>
      </w:r>
    </w:p>
    <w:p>
      <w:pPr>
        <w:pStyle w:val="TextBody"/>
        <w:bidi w:val="0"/>
        <w:spacing w:before="0" w:after="0"/>
        <w:ind w:left="0" w:right="0" w:hanging="0"/>
        <w:jc w:val="both"/>
        <w:rPr>
          <w:color w:val="FF0000"/>
        </w:rPr>
      </w:pPr>
      <w:r>
        <w:rPr>
          <w:color w:val="FF000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understanding of internal control over financial reporting, assessing the risk that a material weakness exists, and testing and evaluating the design and operating effectiveness of internal control based on the assessed risk. As permitted, the Company has excluded the operations of ecosio GmbH acquired during 2024, which is described in Note 3 of the consolidated financial statements, from the scope of management’s report on internal control over financial reporting. As such, it has also been excluded from the scope of our audit of internal control over financial reporting.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tbl>
      <w:tblPr>
        <w:tblW w:w="1539" w:type="dxa"/>
        <w:jc w:val="left"/>
        <w:tblInd w:w="0" w:type="dxa"/>
        <w:tblLayout w:type="fixed"/>
        <w:tblCellMar>
          <w:top w:w="0" w:type="dxa"/>
          <w:left w:w="0" w:type="dxa"/>
          <w:bottom w:w="0" w:type="dxa"/>
          <w:right w:w="0" w:type="dxa"/>
        </w:tblCellMar>
      </w:tblPr>
      <w:tblGrid>
        <w:gridCol w:w="124"/>
        <w:gridCol w:w="109"/>
        <w:gridCol w:w="1306"/>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829310" cy="29210"/>
                      <wp:effectExtent l="0" t="0" r="0" b="0"/>
                      <wp:wrapNone/>
                      <wp:docPr id="283" name="Frame282"/>
                      <a:graphic xmlns:a="http://schemas.openxmlformats.org/drawingml/2006/main">
                        <a:graphicData uri="http://schemas.microsoft.com/office/word/2010/wordprocessingShape">
                          <wps:wsp>
                            <wps:cNvSpPr txBox="1"/>
                            <wps:spPr>
                              <a:xfrm>
                                <a:off x="0" y="0"/>
                                <a:ext cx="829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Crowe LLP</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Oakbrook Terrace, Illinois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p>
      <w:pPr>
        <w:pStyle w:val="TextBody"/>
        <w:bidi w:val="0"/>
        <w:spacing w:before="0" w:after="0"/>
        <w:ind w:left="0" w:right="0" w:hanging="0"/>
        <w:jc w:val="left"/>
        <w:rPr>
          <w:color w:val="FF0000"/>
        </w:rPr>
      </w:pPr>
      <w:r>
        <w:rPr>
          <w:color w:val="FF0000"/>
        </w:rPr>
        <w:t>​</w:t>
      </w:r>
    </w:p>
    <w:p>
      <w:pPr>
        <w:pStyle w:val="TextBody"/>
        <w:bidi w:val="0"/>
        <w:spacing w:before="0" w:after="240"/>
        <w:ind w:left="0" w:right="0" w:hanging="0"/>
        <w:jc w:val="left"/>
        <w:rPr>
          <w:rFonts w:ascii="Times New Roman;Times;serif" w:hAnsi="Times New Roman;Times;serif"/>
          <w:b/>
          <w:sz w:val="20"/>
        </w:rPr>
      </w:pPr>
      <w:bookmarkStart w:id="113" w:name="Item9BOtherInformation_505215"/>
      <w:bookmarkStart w:id="114" w:name="_f53eb790_e4da_41f7_a1cf_c55a97049245"/>
      <w:bookmarkEnd w:id="113"/>
      <w:bookmarkEnd w:id="114"/>
      <w:r>
        <w:rPr>
          <w:rFonts w:ascii="Times New Roman;Times;serif" w:hAnsi="Times New Roman;Times;serif"/>
          <w:b/>
          <w:sz w:val="20"/>
        </w:rPr>
        <w:t>Item 9B.   Other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Second Amended and Restated Bylaws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26, 2025, the Board approved and adopted the Company’s Second Amended and Restated Bylaws (the “Bylaws”)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clarify that no person may solicit proxies in support of a director nominee other than the Board’s nominees unless such person has complied with Rule 14a-19 under the Exchange Act, including applicable notice and solicitation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 stockholder directly or indirectly soliciting proxies from other stockholders use a proxy card color other than white;</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clarify responsibility for determining whether proposals and nominations were made in compliance with the Bylaws;</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clarify procedures with respect to director nominations;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clarify the applicable record date for stockholder action by consent;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provisions relating to meetings held by remote communication, access to the stockholder list, notices and other communications by means of electronic transmission.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complete text of the Bylaws is attached hereto as Exhibit 3.2 and is incorporated herein by reference. The foregoing description of the amendments reflected in the Bylaws does not purport to be complete and is qualified in its entirety by Exhibit 3.2.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Trading Plans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December 16, 2024, John Schwab, our Chief Financial Officer, adopted a Rule 10b5-1 trading arrangement that is intended to satisfy the affirmative defense of Rule 10b5-1(c) for the sale of up to 60,000 shares of Class A common stock until December 18, 2026.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November 26, 2024, Bryan Rowland, Senior Vice President &amp; General Counsel, adopted a Rule 10b5-1 trading arrangement that is intended to satisfy the affirmative defense of Rule 10b5-1(c) for the sale of up to 47,621 shares of Class A common stock until September 30, 2025. </w:t>
      </w:r>
    </w:p>
    <w:p>
      <w:pPr>
        <w:pStyle w:val="TextBody"/>
        <w:bidi w:val="0"/>
        <w:spacing w:before="0" w:after="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as described above, during the three months ended December 31, 2024, no director or officer of the Company adopted, modified, or terminated a “Rule 10b5-1 trading arrangement” or “non-Rule 10b5-1 trading arrangement,” as each term is defined in Item 408(a) of Regulation S-K.</w:t>
      </w:r>
    </w:p>
    <w:p>
      <w:pPr>
        <w:pStyle w:val="TextBody"/>
        <w:bidi w:val="0"/>
        <w:spacing w:before="0" w:after="240"/>
        <w:ind w:left="0" w:right="0" w:hanging="0"/>
        <w:jc w:val="left"/>
        <w:rPr>
          <w:rFonts w:ascii="Times New Roman;Times;serif" w:hAnsi="Times New Roman;Times;serif"/>
          <w:b/>
          <w:sz w:val="20"/>
        </w:rPr>
      </w:pPr>
      <w:bookmarkStart w:id="115" w:name="Item_9C"/>
      <w:bookmarkStart w:id="116" w:name="Item9CDisclosure"/>
      <w:bookmarkStart w:id="117" w:name="_5c52555a_c0c9_4c9b_a25f_07742971f903"/>
      <w:bookmarkEnd w:id="115"/>
      <w:bookmarkEnd w:id="116"/>
      <w:bookmarkEnd w:id="117"/>
      <w:r>
        <w:rPr>
          <w:rFonts w:ascii="Times New Roman;Times;serif" w:hAnsi="Times New Roman;Times;serif"/>
          <w:b/>
          <w:sz w:val="20"/>
        </w:rPr>
        <w:t xml:space="preserve">Item 9C.    Disclosure Regarding Foreign Jurisdictions that Prevent Inspections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18" w:name="PARTIII_312290"/>
      <w:bookmarkStart w:id="119" w:name="_cd44e50a_4bdb_4321_bf1b_d926bf3ba5a4"/>
      <w:bookmarkEnd w:id="118"/>
      <w:bookmarkEnd w:id="119"/>
      <w:r>
        <w:rPr>
          <w:rFonts w:ascii="Times New Roman;Times;serif" w:hAnsi="Times New Roman;Times;serif"/>
          <w:b/>
          <w:sz w:val="20"/>
        </w:rPr>
        <w:t>PART III</w:t>
      </w:r>
      <w:r>
        <w:rPr>
          <w:rFonts w:ascii="Times New Roman;Times;serif" w:hAnsi="Times New Roman;Times;serif"/>
          <w:b/>
          <w:color w:val="FF0000"/>
          <w:sz w:val="20"/>
        </w:rPr>
        <w:t xml:space="preserve"> </w:t>
      </w:r>
    </w:p>
    <w:p>
      <w:pPr>
        <w:pStyle w:val="TextBody"/>
        <w:bidi w:val="0"/>
        <w:spacing w:before="0" w:after="240"/>
        <w:ind w:left="0" w:right="0" w:hanging="0"/>
        <w:jc w:val="left"/>
        <w:rPr>
          <w:rFonts w:ascii="Times New Roman;Times;serif" w:hAnsi="Times New Roman;Times;serif"/>
          <w:b/>
          <w:sz w:val="20"/>
        </w:rPr>
      </w:pPr>
      <w:bookmarkStart w:id="120" w:name="Item10DirectorsOfficersandCorporateGover"/>
      <w:bookmarkEnd w:id="120"/>
      <w:r>
        <w:rPr>
          <w:rFonts w:ascii="Times New Roman;Times;serif" w:hAnsi="Times New Roman;Times;serif"/>
          <w:b/>
          <w:sz w:val="20"/>
        </w:rPr>
        <w:t>Item 10.   Directors, Executive Officers and Corporate Governance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the relevant information from our definitive Proxy Statement for our 2025 Annual Meeting of Shareholders, which will be filed not later than 120 days after the end of the fiscal year ended December 31, 2024.</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Insider Trading Policy includes our policy governing the purchase, sale, and/or other dispositions of our securities by directors, officers and employees and is reasonably designed to promote compliance with insider trading laws, rules and regulations, and Nasdaq listing standards. This policy is included as Exhibit 19.1 hereto.</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21" w:name="Item11ExecutiveCompensation_864953"/>
      <w:bookmarkStart w:id="122" w:name="_99dfe905_d3d6_415b_9a88_cbbdc6017c6d"/>
      <w:bookmarkEnd w:id="121"/>
      <w:bookmarkEnd w:id="122"/>
      <w:r>
        <w:rPr>
          <w:rFonts w:ascii="Times New Roman;Times;serif" w:hAnsi="Times New Roman;Times;serif"/>
          <w:b/>
          <w:sz w:val="20"/>
        </w:rPr>
        <w:t>Item 11. Executive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the relevant information from our definitive Proxy Statement for our 2025 Annual Meeting of Shareholders, which will be filed not later than 120 days after the end of the fiscal year ended December 31, 2024</w:t>
      </w:r>
      <w:r>
        <w:rPr>
          <w:rFonts w:ascii="Times New Roman;Times;serif" w:hAnsi="Times New Roman;Times;serif"/>
          <w:b/>
          <w:sz w:val="20"/>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23" w:name="Item12SecurityOwnershipofCertainbenefici"/>
      <w:bookmarkStart w:id="124" w:name="_cf8eb404_2fef_44f2_a09f_0abb6f55d149"/>
      <w:bookmarkEnd w:id="123"/>
      <w:bookmarkEnd w:id="124"/>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the relevant information from our definitive Proxy Statement for our 2025 Annual Meeting of Shareholders, which will be filed not later than 120 days after the end of the fiscal year ended December 31, 2024</w:t>
      </w:r>
      <w:r>
        <w:rPr>
          <w:rFonts w:ascii="Times New Roman;Times;serif" w:hAnsi="Times New Roman;Times;serif"/>
          <w:b/>
          <w:sz w:val="20"/>
        </w:rPr>
        <w:t xml:space="preserve">. </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25" w:name="Item13CertainRelationshipsandRelatedTran"/>
      <w:bookmarkStart w:id="126" w:name="_2c992296_8d49_440c_b594_247d3962d5bb"/>
      <w:bookmarkEnd w:id="125"/>
      <w:bookmarkEnd w:id="126"/>
      <w:r>
        <w:rPr>
          <w:rFonts w:ascii="Times New Roman;Times;serif" w:hAnsi="Times New Roman;Times;serif"/>
          <w:b/>
          <w:sz w:val="20"/>
        </w:rPr>
        <w:t>Item 13. Certain Relationships and Related Transactions, and Director Independence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the relevant information from our definitive Proxy Statement for our 2025 Annual Meeting of Shareholders, which will be filed not later than 120 days after the end of the fiscal year ended December 31, 2024.</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27" w:name="Item14PrincipalAccountingFeesandServices"/>
      <w:bookmarkStart w:id="128" w:name="_bb69b5f0_e048_4b1b_8980_0c01216168db"/>
      <w:bookmarkEnd w:id="127"/>
      <w:bookmarkEnd w:id="128"/>
      <w:r>
        <w:rPr>
          <w:rFonts w:ascii="Times New Roman;Times;serif" w:hAnsi="Times New Roman;Times;serif"/>
          <w:b/>
          <w:sz w:val="20"/>
        </w:rPr>
        <w:t>Item 14. Principal Accountant Fees and Services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the relevant information from our definitive Proxy Statement for our 2025 Annual Meeting of Shareholders, which will be filed not later than 120 days after the end of the fiscal year ended December 31, 2024.</w:t>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9" w:name="PARTIV_510056"/>
      <w:bookmarkStart w:id="130" w:name="_851ad024_576b_4246_988d_a45a39d883b8"/>
      <w:bookmarkEnd w:id="129"/>
      <w:bookmarkEnd w:id="130"/>
      <w:r>
        <w:rPr>
          <w:rFonts w:ascii="Times New Roman;Times;serif" w:hAnsi="Times New Roman;Times;serif"/>
          <w:b/>
          <w:sz w:val="20"/>
        </w:rPr>
        <w:t xml:space="preserve">PART IV </w:t>
      </w:r>
    </w:p>
    <w:p>
      <w:pPr>
        <w:pStyle w:val="TextBody"/>
        <w:bidi w:val="0"/>
        <w:spacing w:before="0" w:after="240"/>
        <w:ind w:left="0" w:right="0" w:hanging="0"/>
        <w:jc w:val="left"/>
        <w:rPr>
          <w:rFonts w:ascii="Times New Roman;Times;serif" w:hAnsi="Times New Roman;Times;serif"/>
          <w:b/>
          <w:sz w:val="20"/>
        </w:rPr>
      </w:pPr>
      <w:bookmarkStart w:id="131" w:name="Item15ExhibitsFinancialStatementSchedule"/>
      <w:bookmarkEnd w:id="131"/>
      <w:r>
        <w:rPr>
          <w:rFonts w:ascii="Times New Roman;Times;serif" w:hAnsi="Times New Roman;Times;serif"/>
          <w:b/>
          <w:sz w:val="20"/>
        </w:rPr>
        <w:t>Item 15. Exhibits, Financial Statement Schedules</w:t>
      </w:r>
    </w:p>
    <w:tbl>
      <w:tblPr>
        <w:tblW w:w="6936" w:type="dxa"/>
        <w:jc w:val="left"/>
        <w:tblInd w:w="0" w:type="dxa"/>
        <w:tblLayout w:type="fixed"/>
        <w:tblCellMar>
          <w:top w:w="28" w:type="dxa"/>
          <w:left w:w="28" w:type="dxa"/>
          <w:bottom w:w="28" w:type="dxa"/>
          <w:right w:w="28" w:type="dxa"/>
        </w:tblCellMar>
      </w:tblPr>
      <w:tblGrid>
        <w:gridCol w:w="124"/>
        <w:gridCol w:w="31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the Annual Report on Form 10-K:</w:t>
            </w:r>
          </w:p>
        </w:tc>
      </w:tr>
    </w:tbl>
    <w:tbl>
      <w:tblPr>
        <w:tblW w:w="3441" w:type="dxa"/>
        <w:jc w:val="left"/>
        <w:tblInd w:w="0" w:type="dxa"/>
        <w:tblLayout w:type="fixed"/>
        <w:tblCellMar>
          <w:top w:w="28" w:type="dxa"/>
          <w:left w:w="28" w:type="dxa"/>
          <w:bottom w:w="28" w:type="dxa"/>
          <w:right w:w="28" w:type="dxa"/>
        </w:tblCellMar>
      </w:tblPr>
      <w:tblGrid>
        <w:gridCol w:w="124"/>
        <w:gridCol w:w="331"/>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financial statements filed as part of this Annual Report on Form 10-K are listed in the “Index to Consolidated Financial Statements” beginning on page F-1 of this Annual Report on Form 10-K.</w:t>
      </w:r>
    </w:p>
    <w:tbl>
      <w:tblPr>
        <w:tblW w:w="3111" w:type="dxa"/>
        <w:jc w:val="left"/>
        <w:tblInd w:w="0" w:type="dxa"/>
        <w:tblLayout w:type="fixed"/>
        <w:tblCellMar>
          <w:top w:w="28" w:type="dxa"/>
          <w:left w:w="28" w:type="dxa"/>
          <w:bottom w:w="28" w:type="dxa"/>
          <w:right w:w="28" w:type="dxa"/>
        </w:tblCellMar>
      </w:tblPr>
      <w:tblGrid>
        <w:gridCol w:w="124"/>
        <w:gridCol w:w="331"/>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6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Financial Statement</w:t>
            </w:r>
            <w:r>
              <w:rPr>
                <w:caps w:val="false"/>
                <w:smallCaps w:val="false"/>
              </w:rPr>
              <w:t xml:space="preserve"> </w:t>
            </w:r>
            <w:r>
              <w:rPr>
                <w:rFonts w:ascii="Times New Roman;Times;serif" w:hAnsi="Times New Roman;Times;serif"/>
                <w:b w:val="false"/>
                <w:i w:val="false"/>
                <w:caps w:val="false"/>
                <w:smallCaps w:val="false"/>
                <w:sz w:val="20"/>
              </w:rPr>
              <w:t>Schedules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All schedules are omitted because the information required to be set forth therein is not applicable or is presented in the consolidated financial statements or notes thereto beginning on page F-1 of this Annual Report on Form 10-K.</w:t>
      </w:r>
    </w:p>
    <w:tbl>
      <w:tblPr>
        <w:tblW w:w="1296" w:type="dxa"/>
        <w:jc w:val="left"/>
        <w:tblInd w:w="0" w:type="dxa"/>
        <w:tblLayout w:type="fixed"/>
        <w:tblCellMar>
          <w:top w:w="28" w:type="dxa"/>
          <w:left w:w="28" w:type="dxa"/>
          <w:bottom w:w="28" w:type="dxa"/>
          <w:right w:w="28" w:type="dxa"/>
        </w:tblCellMar>
      </w:tblPr>
      <w:tblGrid>
        <w:gridCol w:w="124"/>
        <w:gridCol w:w="331"/>
        <w:gridCol w:w="8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documents listed in the Index to Exhibits in this Annual Report on Form 10-K are incorporated by reference or are filed with this Annual Report on Form 10-K, in each case as indicated therein (numbered in accordance with Item 601 of Regulation 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2" w:name="ITEM16_FORM_10K_SUMMARY"/>
      <w:bookmarkStart w:id="133" w:name="_c02af709_32e9_47ba_a32e_b8fce313d6a0"/>
      <w:bookmarkEnd w:id="132"/>
      <w:bookmarkEnd w:id="133"/>
      <w:r>
        <w:rPr>
          <w:rFonts w:ascii="Times New Roman;Times;serif" w:hAnsi="Times New Roman;Times;serif"/>
          <w:b/>
          <w:sz w:val="20"/>
        </w:rPr>
        <w:t>Item 16.   Form 10-K Summary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4" w:name="Exhibit_Index"/>
      <w:bookmarkStart w:id="135" w:name="_04a230c3_099c_4bce_8a48_d83bda9d1114"/>
      <w:bookmarkEnd w:id="134"/>
      <w:bookmarkEnd w:id="135"/>
      <w:r>
        <w:rPr>
          <w:rFonts w:ascii="Times New Roman;Times;serif" w:hAnsi="Times New Roman;Times;serif"/>
          <w:b/>
          <w:sz w:val="20"/>
        </w:rPr>
        <w:t>INDEX TO EXHIBITS</w:t>
      </w:r>
      <w:r>
        <w:rPr>
          <w:rFonts w:ascii="Times New Roman;Times;serif" w:hAnsi="Times New Roman;Times;serif"/>
          <w:b/>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exhibits are filed as part of this Annual Report on Form 10-K.</w:t>
      </w:r>
    </w:p>
    <w:tbl>
      <w:tblPr>
        <w:tblW w:w="10205" w:type="dxa"/>
        <w:jc w:val="left"/>
        <w:tblInd w:w="0" w:type="dxa"/>
        <w:tblLayout w:type="fixed"/>
        <w:tblCellMar>
          <w:top w:w="0" w:type="dxa"/>
          <w:left w:w="0" w:type="dxa"/>
          <w:bottom w:w="28" w:type="dxa"/>
          <w:right w:w="0" w:type="dxa"/>
        </w:tblCellMar>
      </w:tblPr>
      <w:tblGrid>
        <w:gridCol w:w="766"/>
        <w:gridCol w:w="266"/>
        <w:gridCol w:w="3325"/>
        <w:gridCol w:w="266"/>
        <w:gridCol w:w="527"/>
        <w:gridCol w:w="266"/>
        <w:gridCol w:w="725"/>
        <w:gridCol w:w="266"/>
        <w:gridCol w:w="676"/>
        <w:gridCol w:w="266"/>
        <w:gridCol w:w="564"/>
        <w:gridCol w:w="266"/>
        <w:gridCol w:w="811"/>
        <w:gridCol w:w="266"/>
        <w:gridCol w:w="949"/>
      </w:tblGrid>
      <w:tr>
        <w:trPr/>
        <w:tc>
          <w:tcPr>
            <w:tcW w:w="766"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w:t>
            </w:r>
          </w:p>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Number</w:t>
            </w:r>
          </w:p>
        </w:tc>
        <w:tc>
          <w:tcPr>
            <w:tcW w:w="266" w:type="dxa"/>
            <w:tcBorders/>
            <w:tcMar>
              <w:bottom w:w="0" w:type="dxa"/>
            </w:tcMar>
            <w:vAlign w:val="center"/>
          </w:tcPr>
          <w:p>
            <w:pPr>
              <w:pStyle w:val="TableHeading"/>
              <w:bidi w:val="0"/>
              <w:spacing w:before="0" w:after="0"/>
              <w:ind w:left="0" w:right="0" w:hanging="0"/>
              <w:jc w:val="left"/>
              <w:rPr/>
            </w:pPr>
            <w:r>
              <w:rPr/>
              <w:t>   </w:t>
            </w:r>
          </w:p>
        </w:tc>
        <w:tc>
          <w:tcPr>
            <w:tcW w:w="3325"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Description</w:t>
            </w:r>
          </w:p>
        </w:tc>
        <w:tc>
          <w:tcPr>
            <w:tcW w:w="266" w:type="dxa"/>
            <w:tcBorders/>
            <w:tcMar>
              <w:bottom w:w="0" w:type="dxa"/>
            </w:tcMar>
            <w:vAlign w:val="center"/>
          </w:tcPr>
          <w:p>
            <w:pPr>
              <w:pStyle w:val="TableHeading"/>
              <w:bidi w:val="0"/>
              <w:spacing w:before="0" w:after="0"/>
              <w:ind w:left="0" w:right="0" w:hanging="0"/>
              <w:jc w:val="left"/>
              <w:rPr/>
            </w:pPr>
            <w:r>
              <w:rPr/>
              <w:t>   </w:t>
            </w:r>
          </w:p>
        </w:tc>
        <w:tc>
          <w:tcPr>
            <w:tcW w:w="527"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266" w:type="dxa"/>
            <w:tcBorders/>
            <w:tcMar>
              <w:bottom w:w="0" w:type="dxa"/>
            </w:tcMar>
            <w:vAlign w:val="center"/>
          </w:tcPr>
          <w:p>
            <w:pPr>
              <w:pStyle w:val="TableHeading"/>
              <w:bidi w:val="0"/>
              <w:spacing w:before="0" w:after="0"/>
              <w:ind w:left="0" w:right="0" w:hanging="0"/>
              <w:jc w:val="left"/>
              <w:rPr/>
            </w:pPr>
            <w:r>
              <w:rPr/>
              <w:t>   </w:t>
            </w:r>
          </w:p>
        </w:tc>
        <w:tc>
          <w:tcPr>
            <w:tcW w:w="725"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266" w:type="dxa"/>
            <w:tcBorders/>
            <w:tcMar>
              <w:bottom w:w="0" w:type="dxa"/>
            </w:tcMar>
            <w:vAlign w:val="center"/>
          </w:tcPr>
          <w:p>
            <w:pPr>
              <w:pStyle w:val="TableHeading"/>
              <w:bidi w:val="0"/>
              <w:spacing w:before="0" w:after="0"/>
              <w:ind w:left="0" w:right="0" w:hanging="0"/>
              <w:jc w:val="left"/>
              <w:rPr/>
            </w:pPr>
            <w:r>
              <w:rPr/>
              <w:t>   </w:t>
            </w:r>
          </w:p>
        </w:tc>
        <w:tc>
          <w:tcPr>
            <w:tcW w:w="676"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266" w:type="dxa"/>
            <w:tcBorders/>
            <w:tcMar>
              <w:bottom w:w="0" w:type="dxa"/>
            </w:tcMar>
            <w:vAlign w:val="center"/>
          </w:tcPr>
          <w:p>
            <w:pPr>
              <w:pStyle w:val="TableHeading"/>
              <w:bidi w:val="0"/>
              <w:spacing w:before="0" w:after="0"/>
              <w:ind w:left="0" w:right="0" w:hanging="0"/>
              <w:jc w:val="left"/>
              <w:rPr/>
            </w:pPr>
            <w:r>
              <w:rPr/>
              <w:t>   </w:t>
            </w:r>
          </w:p>
        </w:tc>
        <w:tc>
          <w:tcPr>
            <w:tcW w:w="564"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266" w:type="dxa"/>
            <w:tcBorders/>
            <w:tcMar>
              <w:bottom w:w="0" w:type="dxa"/>
            </w:tcMar>
            <w:vAlign w:val="center"/>
          </w:tcPr>
          <w:p>
            <w:pPr>
              <w:pStyle w:val="TableHeading"/>
              <w:bidi w:val="0"/>
              <w:spacing w:before="0" w:after="0"/>
              <w:ind w:left="0" w:right="0" w:hanging="0"/>
              <w:jc w:val="left"/>
              <w:rPr/>
            </w:pPr>
            <w:r>
              <w:rPr/>
              <w:t>   </w:t>
            </w:r>
          </w:p>
        </w:tc>
        <w:tc>
          <w:tcPr>
            <w:tcW w:w="81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c>
          <w:tcPr>
            <w:tcW w:w="266" w:type="dxa"/>
            <w:tcBorders/>
            <w:tcMar>
              <w:bottom w:w="0" w:type="dxa"/>
            </w:tcMar>
            <w:vAlign w:val="center"/>
          </w:tcPr>
          <w:p>
            <w:pPr>
              <w:pStyle w:val="TableHeading"/>
              <w:bidi w:val="0"/>
              <w:spacing w:before="0" w:after="0"/>
              <w:ind w:left="0" w:right="0" w:hanging="0"/>
              <w:jc w:val="left"/>
              <w:rPr/>
            </w:pPr>
            <w:r>
              <w:rPr/>
              <w:t>   </w:t>
            </w:r>
          </w:p>
        </w:tc>
        <w:tc>
          <w:tcPr>
            <w:tcW w:w="949"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Furnished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r>
      <w:tr>
        <w:trPr/>
        <w:tc>
          <w:tcPr>
            <w:tcW w:w="766" w:type="dxa"/>
            <w:tcBorders/>
            <w:tcMar>
              <w:bottom w:w="0" w:type="dxa"/>
            </w:tcMar>
            <w:vAlign w:val="center"/>
          </w:tcPr>
          <w:p>
            <w:pPr>
              <w:pStyle w:val="TableHeading"/>
              <w:bidi w:val="0"/>
              <w:spacing w:before="0" w:after="0"/>
              <w:ind w:left="0" w:right="0" w:hanging="0"/>
              <w:jc w:val="left"/>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3325" w:type="dxa"/>
            <w:tcBorders/>
            <w:tcMar>
              <w:bottom w:w="0" w:type="dxa"/>
            </w:tcMar>
            <w:vAlign w:val="center"/>
          </w:tcPr>
          <w:p>
            <w:pPr>
              <w:pStyle w:val="TableHeading"/>
              <w:bidi w:val="0"/>
              <w:spacing w:before="0" w:after="0"/>
              <w:ind w:left="0" w:right="0" w:hanging="0"/>
              <w:jc w:val="left"/>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527"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725"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center"/>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center"/>
              <w:rPr/>
            </w:pPr>
            <w:r>
              <w:rPr/>
              <w:t>​</w:t>
            </w:r>
          </w:p>
        </w:tc>
        <w:tc>
          <w:tcPr>
            <w:tcW w:w="564"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811"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949" w:type="dxa"/>
            <w:tcBorders/>
            <w:tcMar>
              <w:bottom w:w="0" w:type="dxa"/>
            </w:tcMar>
            <w:vAlign w:val="center"/>
          </w:tcPr>
          <w:p>
            <w:pPr>
              <w:pStyle w:val="TableHeading"/>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Form of Amended and Restated Certificate of Incorporation of Vertex, Inc.</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w:anchor="verx-20241231xex3d2.htm">
              <w:r>
                <w:rPr>
                  <w:rStyle w:val="InternetLink"/>
                  <w:rFonts w:ascii="Times New Roman;Times;serif" w:hAnsi="Times New Roman;Times;serif"/>
                  <w:b w:val="false"/>
                  <w:i w:val="false"/>
                  <w:caps w:val="false"/>
                  <w:smallCaps w:val="false"/>
                  <w:sz w:val="20"/>
                </w:rPr>
                <w:t>Second</w:t>
              </w:r>
            </w:hyperlink>
            <w:hyperlink w:anchor="verx-20241231xex3d2.htm">
              <w:r>
                <w:rPr>
                  <w:rStyle w:val="InternetLink"/>
                  <w:rFonts w:ascii="Times New Roman;Times;serif" w:hAnsi="Times New Roman;Times;serif"/>
                  <w:caps w:val="false"/>
                  <w:smallCaps w:val="false"/>
                  <w:sz w:val="20"/>
                </w:rPr>
                <w:t xml:space="preserve"> </w:t>
              </w:r>
            </w:hyperlink>
            <w:hyperlink w:anchor="verx-20241231xex3d2.htm">
              <w:r>
                <w:rPr>
                  <w:rStyle w:val="InternetLink"/>
                  <w:rFonts w:ascii="Times New Roman;Times;serif" w:hAnsi="Times New Roman;Times;serif"/>
                  <w:b w:val="false"/>
                  <w:i w:val="false"/>
                  <w:caps w:val="false"/>
                  <w:smallCaps w:val="false"/>
                  <w:sz w:val="20"/>
                </w:rPr>
                <w:t>Amended and Restated Bylaws of Vertex, Inc.</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001-39413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Stock Certificate evidencing the shares of Class A common stock.</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07/24/20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Third Amended and Restated Stockholders' Agreement.</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4.2</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07/24/20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4.3</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Description of Capital Stock</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03/15/21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18"/>
                </w:rPr>
                <w:t>Indenture, dated April 26, 2024, between Vertex, Inc. and U.S. Bank Trust Company, National Association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001-39413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04/26/24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Second Amendment to the Credit Agreement by and among Vertex, Inc., the guarantors party thereto, PNC Bank, National Association, and the lenders party thereto, dated as of March 8, 2022.</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001-39413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03/09/22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10.3#</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Indemnification Agreement between Vertex, Inc. and each of its Executive Officers and Directors.</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18"/>
                </w:rPr>
                <w:t>2007 Stock Appreciation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07/02/20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10.5#</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Executive Employment Agreement, as amended and restated, by and between Vertex, Inc. and Lisa</w:t>
              </w:r>
            </w:hyperlink>
            <w:hyperlink r:id="rId12">
              <w:r>
                <w:rPr>
                  <w:rStyle w:val="InternetLink"/>
                  <w:rFonts w:ascii="Times New Roman;Times;serif" w:hAnsi="Times New Roman;Times;serif"/>
                  <w:caps w:val="false"/>
                  <w:smallCaps w:val="false"/>
                  <w:sz w:val="20"/>
                </w:rPr>
                <w:t xml:space="preserve"> </w:t>
              </w:r>
            </w:hyperlink>
            <w:hyperlink r:id="rId13">
              <w:r>
                <w:rPr>
                  <w:rStyle w:val="InternetLink"/>
                  <w:rFonts w:ascii="Times New Roman;Times;serif" w:hAnsi="Times New Roman;Times;serif"/>
                  <w:b w:val="false"/>
                  <w:i w:val="false"/>
                  <w:caps w:val="false"/>
                  <w:smallCaps w:val="false"/>
                  <w:sz w:val="20"/>
                </w:rPr>
                <w:t>Butler.</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10.5</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10.6#</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Executive Employment Agreement, as amended and restated, by and between Vertex, Inc. and David DeStefano.</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10.6</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10.7#</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Executive Employment Agreement, as amended and restated, by and between Vertex, Inc. and Bryan</w:t>
              </w:r>
            </w:hyperlink>
            <w:hyperlink r:id="rId16">
              <w:r>
                <w:rPr>
                  <w:rStyle w:val="InternetLink"/>
                  <w:rFonts w:ascii="Times New Roman;Times;serif" w:hAnsi="Times New Roman;Times;serif"/>
                  <w:caps w:val="false"/>
                  <w:smallCaps w:val="false"/>
                  <w:sz w:val="20"/>
                </w:rPr>
                <w:t xml:space="preserve"> </w:t>
              </w:r>
            </w:hyperlink>
            <w:hyperlink r:id="rId17">
              <w:r>
                <w:rPr>
                  <w:rStyle w:val="InternetLink"/>
                  <w:rFonts w:ascii="Times New Roman;Times;serif" w:hAnsi="Times New Roman;Times;serif"/>
                  <w:b w:val="false"/>
                  <w:i w:val="false"/>
                  <w:caps w:val="false"/>
                  <w:smallCaps w:val="false"/>
                  <w:sz w:val="20"/>
                </w:rPr>
                <w:t>Rowland.</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10.7</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10.8#</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Executive Employment Agreement, as amended and restated, by and between Vertex, Inc. and John</w:t>
              </w:r>
            </w:hyperlink>
            <w:hyperlink r:id="rId19">
              <w:r>
                <w:rPr>
                  <w:rStyle w:val="InternetLink"/>
                  <w:rFonts w:ascii="Times New Roman;Times;serif" w:hAnsi="Times New Roman;Times;serif"/>
                  <w:caps w:val="false"/>
                  <w:smallCaps w:val="false"/>
                  <w:sz w:val="20"/>
                </w:rPr>
                <w:t xml:space="preserve"> </w:t>
              </w:r>
            </w:hyperlink>
            <w:hyperlink r:id="rId20">
              <w:r>
                <w:rPr>
                  <w:rStyle w:val="InternetLink"/>
                  <w:rFonts w:ascii="Times New Roman;Times;serif" w:hAnsi="Times New Roman;Times;serif"/>
                  <w:b w:val="false"/>
                  <w:i w:val="false"/>
                  <w:caps w:val="false"/>
                  <w:smallCaps w:val="false"/>
                  <w:sz w:val="20"/>
                </w:rPr>
                <w:t>Schwab.</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10.8</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10.9</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S Corporation Termination and Tax Sharing Agreement.</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10.9</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18"/>
                </w:rPr>
                <w:t>Vertex Inc. &amp; Subsidiaries 2010 Long-Term Rewards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10.10</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18"/>
                </w:rPr>
                <w:t>Vertex Inc. &amp; Subsidiaries 2018 Long-Term Rewards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18"/>
                </w:rPr>
                <w:t>Form of Stock Option Amendment Agreement</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10.12</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10.13#</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25" w:type="dxa"/>
            <w:tcBorders/>
            <w:tcMar>
              <w:bottom w:w="0" w:type="dxa"/>
            </w:tcMar>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18"/>
                </w:rPr>
                <w:t>Form of Option Award Agreement under 2020 Incentive Award Plan for Amended Options</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9"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66"/>
        <w:gridCol w:w="266"/>
        <w:gridCol w:w="3331"/>
        <w:gridCol w:w="266"/>
        <w:gridCol w:w="527"/>
        <w:gridCol w:w="266"/>
        <w:gridCol w:w="722"/>
        <w:gridCol w:w="266"/>
        <w:gridCol w:w="676"/>
        <w:gridCol w:w="266"/>
        <w:gridCol w:w="562"/>
        <w:gridCol w:w="266"/>
        <w:gridCol w:w="811"/>
        <w:gridCol w:w="266"/>
        <w:gridCol w:w="948"/>
      </w:tblGrid>
      <w:tr>
        <w:trPr/>
        <w:tc>
          <w:tcPr>
            <w:tcW w:w="766"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w:t>
            </w:r>
          </w:p>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Number</w:t>
            </w:r>
          </w:p>
        </w:tc>
        <w:tc>
          <w:tcPr>
            <w:tcW w:w="266" w:type="dxa"/>
            <w:tcBorders/>
            <w:tcMar>
              <w:bottom w:w="0" w:type="dxa"/>
            </w:tcMar>
            <w:vAlign w:val="center"/>
          </w:tcPr>
          <w:p>
            <w:pPr>
              <w:pStyle w:val="TableHeading"/>
              <w:bidi w:val="0"/>
              <w:spacing w:before="0" w:after="0"/>
              <w:ind w:left="0" w:right="0" w:hanging="0"/>
              <w:jc w:val="left"/>
              <w:rPr/>
            </w:pPr>
            <w:r>
              <w:rPr/>
              <w:t>   </w:t>
            </w:r>
          </w:p>
        </w:tc>
        <w:tc>
          <w:tcPr>
            <w:tcW w:w="3331"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Description</w:t>
            </w:r>
          </w:p>
        </w:tc>
        <w:tc>
          <w:tcPr>
            <w:tcW w:w="266" w:type="dxa"/>
            <w:tcBorders/>
            <w:tcMar>
              <w:bottom w:w="0" w:type="dxa"/>
            </w:tcMar>
            <w:vAlign w:val="center"/>
          </w:tcPr>
          <w:p>
            <w:pPr>
              <w:pStyle w:val="TableHeading"/>
              <w:bidi w:val="0"/>
              <w:spacing w:before="0" w:after="0"/>
              <w:ind w:left="0" w:right="0" w:hanging="0"/>
              <w:jc w:val="left"/>
              <w:rPr/>
            </w:pPr>
            <w:r>
              <w:rPr/>
              <w:t>   </w:t>
            </w:r>
          </w:p>
        </w:tc>
        <w:tc>
          <w:tcPr>
            <w:tcW w:w="527"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266" w:type="dxa"/>
            <w:tcBorders/>
            <w:tcMar>
              <w:bottom w:w="0" w:type="dxa"/>
            </w:tcMar>
            <w:vAlign w:val="center"/>
          </w:tcPr>
          <w:p>
            <w:pPr>
              <w:pStyle w:val="TableHeading"/>
              <w:bidi w:val="0"/>
              <w:spacing w:before="0" w:after="0"/>
              <w:ind w:left="0" w:right="0" w:hanging="0"/>
              <w:jc w:val="left"/>
              <w:rPr/>
            </w:pPr>
            <w:r>
              <w:rPr/>
              <w:t>   </w:t>
            </w:r>
          </w:p>
        </w:tc>
        <w:tc>
          <w:tcPr>
            <w:tcW w:w="722"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266" w:type="dxa"/>
            <w:tcBorders/>
            <w:tcMar>
              <w:bottom w:w="0" w:type="dxa"/>
            </w:tcMar>
            <w:vAlign w:val="center"/>
          </w:tcPr>
          <w:p>
            <w:pPr>
              <w:pStyle w:val="TableHeading"/>
              <w:bidi w:val="0"/>
              <w:spacing w:before="0" w:after="0"/>
              <w:ind w:left="0" w:right="0" w:hanging="0"/>
              <w:jc w:val="left"/>
              <w:rPr/>
            </w:pPr>
            <w:r>
              <w:rPr/>
              <w:t>   </w:t>
            </w:r>
          </w:p>
        </w:tc>
        <w:tc>
          <w:tcPr>
            <w:tcW w:w="676"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266" w:type="dxa"/>
            <w:tcBorders/>
            <w:tcMar>
              <w:bottom w:w="0" w:type="dxa"/>
            </w:tcMar>
            <w:vAlign w:val="center"/>
          </w:tcPr>
          <w:p>
            <w:pPr>
              <w:pStyle w:val="TableHeading"/>
              <w:bidi w:val="0"/>
              <w:spacing w:before="0" w:after="0"/>
              <w:ind w:left="0" w:right="0" w:hanging="0"/>
              <w:jc w:val="left"/>
              <w:rPr/>
            </w:pPr>
            <w:r>
              <w:rPr/>
              <w:t>   </w:t>
            </w:r>
          </w:p>
        </w:tc>
        <w:tc>
          <w:tcPr>
            <w:tcW w:w="562"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266" w:type="dxa"/>
            <w:tcBorders/>
            <w:tcMar>
              <w:bottom w:w="0" w:type="dxa"/>
            </w:tcMar>
            <w:vAlign w:val="center"/>
          </w:tcPr>
          <w:p>
            <w:pPr>
              <w:pStyle w:val="TableHeading"/>
              <w:bidi w:val="0"/>
              <w:spacing w:before="0" w:after="0"/>
              <w:ind w:left="0" w:right="0" w:hanging="0"/>
              <w:jc w:val="left"/>
              <w:rPr/>
            </w:pPr>
            <w:r>
              <w:rPr/>
              <w:t>   </w:t>
            </w:r>
          </w:p>
        </w:tc>
        <w:tc>
          <w:tcPr>
            <w:tcW w:w="81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c>
          <w:tcPr>
            <w:tcW w:w="266" w:type="dxa"/>
            <w:tcBorders/>
            <w:tcMar>
              <w:bottom w:w="0" w:type="dxa"/>
            </w:tcMar>
            <w:vAlign w:val="center"/>
          </w:tcPr>
          <w:p>
            <w:pPr>
              <w:pStyle w:val="TableHeading"/>
              <w:bidi w:val="0"/>
              <w:spacing w:before="0" w:after="0"/>
              <w:ind w:left="0" w:right="0" w:hanging="0"/>
              <w:jc w:val="left"/>
              <w:rPr/>
            </w:pPr>
            <w:r>
              <w:rPr/>
              <w:t>   </w:t>
            </w:r>
          </w:p>
        </w:tc>
        <w:tc>
          <w:tcPr>
            <w:tcW w:w="94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Furnished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r>
      <w:tr>
        <w:trPr/>
        <w:tc>
          <w:tcPr>
            <w:tcW w:w="766" w:type="dxa"/>
            <w:tcBorders/>
            <w:tcMar>
              <w:bottom w:w="0" w:type="dxa"/>
            </w:tcMar>
            <w:vAlign w:val="center"/>
          </w:tcPr>
          <w:p>
            <w:pPr>
              <w:pStyle w:val="TableHeading"/>
              <w:bidi w:val="0"/>
              <w:spacing w:before="0" w:after="0"/>
              <w:ind w:left="0" w:right="0" w:hanging="0"/>
              <w:jc w:val="left"/>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3331" w:type="dxa"/>
            <w:tcBorders/>
            <w:tcMar>
              <w:bottom w:w="0" w:type="dxa"/>
            </w:tcMar>
            <w:vAlign w:val="center"/>
          </w:tcPr>
          <w:p>
            <w:pPr>
              <w:pStyle w:val="TableHeading"/>
              <w:bidi w:val="0"/>
              <w:spacing w:before="0" w:after="0"/>
              <w:ind w:left="0" w:right="0" w:hanging="0"/>
              <w:jc w:val="left"/>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527"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722"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center"/>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center"/>
              <w:rPr/>
            </w:pPr>
            <w:r>
              <w:rPr/>
              <w:t>​</w:t>
            </w:r>
          </w:p>
        </w:tc>
        <w:tc>
          <w:tcPr>
            <w:tcW w:w="562"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811"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948" w:type="dxa"/>
            <w:tcBorders/>
            <w:tcMar>
              <w:bottom w:w="0" w:type="dxa"/>
            </w:tcMar>
            <w:vAlign w:val="center"/>
          </w:tcPr>
          <w:p>
            <w:pPr>
              <w:pStyle w:val="TableHeading"/>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18"/>
                </w:rPr>
                <w:t>Form of Option Award Agreement under 2020 Incentive Award Plan for Amended Stock Appreciation Rights</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10.15#</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18"/>
                </w:rPr>
                <w:t>Vertex, Inc. 2020 Incentive Award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10.15</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10.16#</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18"/>
                </w:rPr>
                <w:t>Form of Option Award Agreement under 2020 Incentive Award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10.16</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10.17#</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18"/>
                </w:rPr>
                <w:t>Form of Restricted Stock Award Agreement under 2020 Incentive Award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10.17</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10.18#</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18"/>
                </w:rPr>
                <w:t>Form of Restricted Stock Unit Award Agreement under 2020 Incentive Award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10.18</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10.19#</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18"/>
                </w:rPr>
                <w:t>Form of Stock Award Agreement under 2020 Incentive Award Plan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10.19</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Fourth Amendment to Credit Agreement by and among Vertex, Inc., the guarantors party thereto, PNC Bank, National Association, as administrative agent, and the lenders party, thereto, dated as of April 19, 2024.</w:t>
              </w:r>
            </w:hyperlink>
          </w:p>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001-39413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66" w:type="dxa"/>
            <w:tcBorders/>
            <w:tcMar>
              <w:bottom w:w="0" w:type="dxa"/>
            </w:tcMar>
            <w:vAlign w:val="center"/>
          </w:tcPr>
          <w:p>
            <w:pPr>
              <w:pStyle w:val="TableContents"/>
              <w:bidi w:val="0"/>
              <w:spacing w:before="0" w:after="0"/>
              <w:ind w:left="0" w:right="0" w:hanging="0"/>
              <w:jc w:val="right"/>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04/23/24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18"/>
                </w:rPr>
                <w:t>Form of Capped Call Confirmation</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001-39413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04/26/24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18"/>
                </w:rPr>
                <w:t>Amended and Restated Credit Agreement by and among Vertex, Inc., the guarantors party thereto, PNC Bank, National Association, as administrative agent, and the lenders party, thereto, dated as of November 4, 2024</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001-39413</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11/08/24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19.1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w:anchor="verx-20241231xex19d1.htm">
              <w:r>
                <w:rPr>
                  <w:rStyle w:val="InternetLink"/>
                  <w:rFonts w:ascii="Times New Roman;Times;serif" w:hAnsi="Times New Roman;Times;serif"/>
                  <w:b w:val="false"/>
                  <w:i w:val="false"/>
                  <w:caps w:val="false"/>
                  <w:smallCaps w:val="false"/>
                  <w:sz w:val="18"/>
                </w:rPr>
                <w:t>Insider Trading Policy</w:t>
              </w:r>
            </w:hyperlink>
            <w:r>
              <w:rPr>
                <w:rFonts w:ascii="Times New Roman;Times;serif" w:hAnsi="Times New Roman;Times;serif"/>
                <w:sz w:val="18"/>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21.1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List of Subsidiaries</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S-1/A</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333-239644</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21.1</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07/20/20</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23.1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w:anchor="verx-20241231xex23d1.htm">
              <w:r>
                <w:rPr>
                  <w:rStyle w:val="InternetLink"/>
                  <w:rFonts w:ascii="Times New Roman;Times;serif" w:hAnsi="Times New Roman;Times;serif"/>
                  <w:b w:val="false"/>
                  <w:i w:val="false"/>
                  <w:caps w:val="false"/>
                  <w:smallCaps w:val="false"/>
                  <w:sz w:val="20"/>
                </w:rPr>
                <w:t>Consent of Crowe LLP</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24.1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331" w:type="dxa"/>
            <w:tcBorders/>
            <w:tcMar>
              <w:bottom w:w="0" w:type="dxa"/>
            </w:tcMar>
            <w:vAlign w:val="center"/>
          </w:tcPr>
          <w:p>
            <w:pPr>
              <w:pStyle w:val="TableContents"/>
              <w:bidi w:val="0"/>
              <w:spacing w:before="0" w:after="0"/>
              <w:ind w:left="0" w:right="0" w:hanging="0"/>
              <w:jc w:val="left"/>
              <w:rPr/>
            </w:pPr>
            <w:hyperlink w:anchor="verx-20241231xex24d1.htm">
              <w:r>
                <w:rPr>
                  <w:rStyle w:val="InternetLink"/>
                  <w:rFonts w:ascii="Times New Roman;Times;serif" w:hAnsi="Times New Roman;Times;serif"/>
                  <w:b w:val="false"/>
                  <w:i w:val="false"/>
                  <w:caps w:val="false"/>
                  <w:smallCaps w:val="false"/>
                  <w:sz w:val="20"/>
                </w:rPr>
                <w:t>Power of Attorney</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56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331" w:type="dxa"/>
            <w:tcBorders/>
            <w:tcMar>
              <w:bottom w:w="0" w:type="dxa"/>
            </w:tcMar>
            <w:vAlign w:val="center"/>
          </w:tcPr>
          <w:p>
            <w:pPr>
              <w:pStyle w:val="TableContents"/>
              <w:bidi w:val="0"/>
              <w:spacing w:before="0" w:after="0"/>
              <w:ind w:left="0" w:right="0" w:hanging="0"/>
              <w:jc w:val="left"/>
              <w:rPr/>
            </w:pPr>
            <w:hyperlink w:anchor="verx-202412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6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331" w:type="dxa"/>
            <w:tcBorders/>
            <w:tcMar>
              <w:bottom w:w="0" w:type="dxa"/>
            </w:tcMar>
            <w:vAlign w:val="center"/>
          </w:tcPr>
          <w:p>
            <w:pPr>
              <w:pStyle w:val="TableContents"/>
              <w:bidi w:val="0"/>
              <w:spacing w:before="0" w:after="0"/>
              <w:ind w:left="0" w:right="0" w:hanging="0"/>
              <w:jc w:val="left"/>
              <w:rPr/>
            </w:pPr>
            <w:hyperlink w:anchor="verx-202412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6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331" w:type="dxa"/>
            <w:tcBorders/>
            <w:tcMar>
              <w:bottom w:w="0" w:type="dxa"/>
            </w:tcMar>
            <w:vAlign w:val="center"/>
          </w:tcPr>
          <w:p>
            <w:pPr>
              <w:pStyle w:val="TableContents"/>
              <w:bidi w:val="0"/>
              <w:spacing w:before="0" w:after="0"/>
              <w:ind w:left="0" w:right="0" w:hanging="0"/>
              <w:jc w:val="left"/>
              <w:rPr/>
            </w:pPr>
            <w:hyperlink w:anchor="verx-2024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6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331" w:type="dxa"/>
            <w:tcBorders/>
            <w:tcMar>
              <w:bottom w:w="0" w:type="dxa"/>
            </w:tcMar>
            <w:vAlign w:val="center"/>
          </w:tcPr>
          <w:p>
            <w:pPr>
              <w:pStyle w:val="TableContents"/>
              <w:bidi w:val="0"/>
              <w:spacing w:before="0" w:after="0"/>
              <w:ind w:left="0" w:right="0" w:hanging="0"/>
              <w:jc w:val="left"/>
              <w:rPr/>
            </w:pPr>
            <w:hyperlink w:anchor="verx-2024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27"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2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62"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76"/>
        <w:gridCol w:w="266"/>
        <w:gridCol w:w="3244"/>
        <w:gridCol w:w="266"/>
        <w:gridCol w:w="526"/>
        <w:gridCol w:w="266"/>
        <w:gridCol w:w="756"/>
        <w:gridCol w:w="266"/>
        <w:gridCol w:w="676"/>
        <w:gridCol w:w="266"/>
        <w:gridCol w:w="606"/>
        <w:gridCol w:w="266"/>
        <w:gridCol w:w="811"/>
        <w:gridCol w:w="266"/>
        <w:gridCol w:w="948"/>
      </w:tblGrid>
      <w:tr>
        <w:trPr/>
        <w:tc>
          <w:tcPr>
            <w:tcW w:w="776"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w:t>
            </w:r>
          </w:p>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Number</w:t>
            </w:r>
          </w:p>
        </w:tc>
        <w:tc>
          <w:tcPr>
            <w:tcW w:w="266" w:type="dxa"/>
            <w:tcBorders/>
            <w:tcMar>
              <w:bottom w:w="0" w:type="dxa"/>
            </w:tcMar>
            <w:vAlign w:val="center"/>
          </w:tcPr>
          <w:p>
            <w:pPr>
              <w:pStyle w:val="TableHeading"/>
              <w:bidi w:val="0"/>
              <w:spacing w:before="0" w:after="0"/>
              <w:ind w:left="0" w:right="0" w:hanging="0"/>
              <w:jc w:val="left"/>
              <w:rPr/>
            </w:pPr>
            <w:r>
              <w:rPr/>
              <w:t>   </w:t>
            </w:r>
          </w:p>
        </w:tc>
        <w:tc>
          <w:tcPr>
            <w:tcW w:w="3244"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Description</w:t>
            </w:r>
          </w:p>
        </w:tc>
        <w:tc>
          <w:tcPr>
            <w:tcW w:w="266" w:type="dxa"/>
            <w:tcBorders/>
            <w:tcMar>
              <w:bottom w:w="0" w:type="dxa"/>
            </w:tcMar>
            <w:vAlign w:val="center"/>
          </w:tcPr>
          <w:p>
            <w:pPr>
              <w:pStyle w:val="TableHeading"/>
              <w:bidi w:val="0"/>
              <w:spacing w:before="0" w:after="0"/>
              <w:ind w:left="0" w:right="0" w:hanging="0"/>
              <w:jc w:val="left"/>
              <w:rPr/>
            </w:pPr>
            <w:r>
              <w:rPr/>
              <w:t>   </w:t>
            </w:r>
          </w:p>
        </w:tc>
        <w:tc>
          <w:tcPr>
            <w:tcW w:w="526"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266" w:type="dxa"/>
            <w:tcBorders/>
            <w:tcMar>
              <w:bottom w:w="0" w:type="dxa"/>
            </w:tcMar>
            <w:vAlign w:val="center"/>
          </w:tcPr>
          <w:p>
            <w:pPr>
              <w:pStyle w:val="TableHeading"/>
              <w:bidi w:val="0"/>
              <w:spacing w:before="0" w:after="0"/>
              <w:ind w:left="0" w:right="0" w:hanging="0"/>
              <w:jc w:val="left"/>
              <w:rPr/>
            </w:pPr>
            <w:r>
              <w:rPr/>
              <w:t>   </w:t>
            </w:r>
          </w:p>
        </w:tc>
        <w:tc>
          <w:tcPr>
            <w:tcW w:w="756"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266" w:type="dxa"/>
            <w:tcBorders/>
            <w:tcMar>
              <w:bottom w:w="0" w:type="dxa"/>
            </w:tcMar>
            <w:vAlign w:val="center"/>
          </w:tcPr>
          <w:p>
            <w:pPr>
              <w:pStyle w:val="TableHeading"/>
              <w:bidi w:val="0"/>
              <w:spacing w:before="0" w:after="0"/>
              <w:ind w:left="0" w:right="0" w:hanging="0"/>
              <w:jc w:val="left"/>
              <w:rPr/>
            </w:pPr>
            <w:r>
              <w:rPr/>
              <w:t>   </w:t>
            </w:r>
          </w:p>
        </w:tc>
        <w:tc>
          <w:tcPr>
            <w:tcW w:w="676" w:type="dxa"/>
            <w:tcBorders>
              <w:bottom w:val="single" w:sz="2" w:space="0" w:color="000000"/>
            </w:tcBorders>
            <w:vAlign w:val="center"/>
          </w:tcPr>
          <w:p>
            <w:pPr>
              <w:pStyle w:val="TableHeading"/>
              <w:bidi w:val="0"/>
              <w:spacing w:before="0" w:after="0"/>
              <w:ind w:left="0" w:right="0" w:hanging="0"/>
              <w:jc w:val="center"/>
              <w:rPr/>
            </w:pPr>
            <w:r>
              <w:rPr/>
              <w: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266" w:type="dxa"/>
            <w:tcBorders/>
            <w:tcMar>
              <w:bottom w:w="0" w:type="dxa"/>
            </w:tcMar>
            <w:vAlign w:val="center"/>
          </w:tcPr>
          <w:p>
            <w:pPr>
              <w:pStyle w:val="TableHeading"/>
              <w:bidi w:val="0"/>
              <w:spacing w:before="0" w:after="0"/>
              <w:ind w:left="0" w:right="0" w:hanging="0"/>
              <w:jc w:val="left"/>
              <w:rPr/>
            </w:pPr>
            <w:r>
              <w:rPr/>
              <w:t>   </w:t>
            </w:r>
          </w:p>
        </w:tc>
        <w:tc>
          <w:tcPr>
            <w:tcW w:w="60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266" w:type="dxa"/>
            <w:tcBorders/>
            <w:tcMar>
              <w:bottom w:w="0" w:type="dxa"/>
            </w:tcMar>
            <w:vAlign w:val="center"/>
          </w:tcPr>
          <w:p>
            <w:pPr>
              <w:pStyle w:val="TableHeading"/>
              <w:bidi w:val="0"/>
              <w:spacing w:before="0" w:after="0"/>
              <w:ind w:left="0" w:right="0" w:hanging="0"/>
              <w:jc w:val="left"/>
              <w:rPr/>
            </w:pPr>
            <w:r>
              <w:rPr/>
              <w:t>   </w:t>
            </w:r>
          </w:p>
        </w:tc>
        <w:tc>
          <w:tcPr>
            <w:tcW w:w="81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c>
          <w:tcPr>
            <w:tcW w:w="266" w:type="dxa"/>
            <w:tcBorders/>
            <w:tcMar>
              <w:bottom w:w="0" w:type="dxa"/>
            </w:tcMar>
            <w:vAlign w:val="center"/>
          </w:tcPr>
          <w:p>
            <w:pPr>
              <w:pStyle w:val="TableHeading"/>
              <w:bidi w:val="0"/>
              <w:spacing w:before="0" w:after="0"/>
              <w:ind w:left="0" w:right="0" w:hanging="0"/>
              <w:jc w:val="left"/>
              <w:rPr/>
            </w:pPr>
            <w:r>
              <w:rPr/>
              <w:t>   </w:t>
            </w:r>
          </w:p>
        </w:tc>
        <w:tc>
          <w:tcPr>
            <w:tcW w:w="94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Furnished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r>
      <w:tr>
        <w:trPr/>
        <w:tc>
          <w:tcPr>
            <w:tcW w:w="776" w:type="dxa"/>
            <w:tcBorders/>
            <w:tcMar>
              <w:bottom w:w="0" w:type="dxa"/>
            </w:tcMar>
            <w:vAlign w:val="center"/>
          </w:tcPr>
          <w:p>
            <w:pPr>
              <w:pStyle w:val="TableHeading"/>
              <w:bidi w:val="0"/>
              <w:spacing w:before="0" w:after="0"/>
              <w:ind w:left="0" w:right="0" w:hanging="0"/>
              <w:jc w:val="left"/>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3244" w:type="dxa"/>
            <w:tcBorders/>
            <w:tcMar>
              <w:bottom w:w="0" w:type="dxa"/>
            </w:tcMar>
            <w:vAlign w:val="center"/>
          </w:tcPr>
          <w:p>
            <w:pPr>
              <w:pStyle w:val="TableHeading"/>
              <w:bidi w:val="0"/>
              <w:spacing w:before="0" w:after="0"/>
              <w:ind w:left="0" w:right="0" w:hanging="0"/>
              <w:jc w:val="left"/>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526"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756"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center"/>
              <w:rPr/>
            </w:pPr>
            <w:r>
              <w:rPr/>
              <w:t>​</w:t>
            </w:r>
          </w:p>
        </w:tc>
        <w:tc>
          <w:tcPr>
            <w:tcW w:w="676"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center"/>
              <w:rPr/>
            </w:pPr>
            <w:r>
              <w:rPr/>
              <w:t>​</w:t>
            </w:r>
          </w:p>
        </w:tc>
        <w:tc>
          <w:tcPr>
            <w:tcW w:w="606"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811" w:type="dxa"/>
            <w:tcBorders/>
            <w:tcMar>
              <w:bottom w:w="0" w:type="dxa"/>
            </w:tcMar>
            <w:vAlign w:val="center"/>
          </w:tcPr>
          <w:p>
            <w:pPr>
              <w:pStyle w:val="TableHeading"/>
              <w:bidi w:val="0"/>
              <w:spacing w:before="0" w:after="0"/>
              <w:ind w:left="0" w:right="0" w:hanging="0"/>
              <w:jc w:val="center"/>
              <w:rPr/>
            </w:pPr>
            <w:r>
              <w:rPr/>
              <w:t>​</w:t>
            </w:r>
          </w:p>
        </w:tc>
        <w:tc>
          <w:tcPr>
            <w:tcW w:w="266" w:type="dxa"/>
            <w:tcBorders/>
            <w:tcMar>
              <w:bottom w:w="0" w:type="dxa"/>
            </w:tcMar>
            <w:vAlign w:val="center"/>
          </w:tcPr>
          <w:p>
            <w:pPr>
              <w:pStyle w:val="TableHeading"/>
              <w:bidi w:val="0"/>
              <w:spacing w:before="0" w:after="0"/>
              <w:ind w:left="0" w:right="0" w:hanging="0"/>
              <w:jc w:val="left"/>
              <w:rPr/>
            </w:pPr>
            <w:r>
              <w:rPr/>
              <w:t>​</w:t>
            </w:r>
          </w:p>
        </w:tc>
        <w:tc>
          <w:tcPr>
            <w:tcW w:w="948" w:type="dxa"/>
            <w:tcBorders/>
            <w:tcMar>
              <w:bottom w:w="0" w:type="dxa"/>
            </w:tcMar>
            <w:vAlign w:val="center"/>
          </w:tcPr>
          <w:p>
            <w:pPr>
              <w:pStyle w:val="TableHeading"/>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97.1#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244" w:type="dxa"/>
            <w:tcBorders/>
            <w:tcMar>
              <w:bottom w:w="0" w:type="dxa"/>
            </w:tcMar>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18"/>
                </w:rPr>
                <w:t>Vertex, Inc. Policy for Recovery of Erroneously Awarded Compensation</w:t>
              </w:r>
            </w:hyperlink>
            <w:r>
              <w:rPr>
                <w:rFonts w:ascii="Times New Roman;Times;serif" w:hAnsi="Times New Roman;Times;serif"/>
                <w:sz w:val="18"/>
              </w:rPr>
              <w:t xml:space="preserve"> </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75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001-39413</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97.1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02/29/24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2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5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2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5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2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5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2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5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2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5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2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5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r>
        <w:trPr/>
        <w:tc>
          <w:tcPr>
            <w:tcW w:w="7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24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shd w:fill="FFFFFF" w:val="clear"/>
              </w:rPr>
            </w:pPr>
            <w:r>
              <w:rPr>
                <w:rFonts w:ascii="Times New Roman;Times;serif" w:hAnsi="Times New Roman;Times;serif"/>
                <w:sz w:val="18"/>
                <w:shd w:fill="FFFFFF" w:val="clear"/>
              </w:rPr>
              <w:t>Cover Page Interactive Data File (formatted as inline XBRL and contained in Exhibit 101)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5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0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266" w:type="dxa"/>
            <w:tcBorders/>
            <w:tcMar>
              <w:bottom w:w="0" w:type="dxa"/>
            </w:tcMar>
            <w:vAlign w:val="center"/>
          </w:tcPr>
          <w:p>
            <w:pPr>
              <w:pStyle w:val="TableContents"/>
              <w:bidi w:val="0"/>
              <w:spacing w:before="0" w:after="0"/>
              <w:ind w:left="0" w:right="0" w:hanging="0"/>
              <w:jc w:val="left"/>
              <w:rPr/>
            </w:pPr>
            <w:r>
              <w:rPr/>
              <w:t>​</w:t>
            </w:r>
          </w:p>
        </w:tc>
        <w:tc>
          <w:tcPr>
            <w:tcW w:w="948"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r>
        <w:rPr>
          <w:rFonts w:ascii="Times New Roman;Times;serif" w:hAnsi="Times New Roman;Times;serif"/>
          <w:sz w:val="18"/>
          <w:shd w:fill="FFFFFF" w:val="clear"/>
        </w:rPr>
        <w:t>Indicates a management contract or compensatory plan.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 w:name="SIGNATURES_284339"/>
      <w:bookmarkStart w:id="137" w:name="_48d0bc0e_36ac_453f_917c_b0d439b05cfa"/>
      <w:bookmarkEnd w:id="136"/>
      <w:bookmarkEnd w:id="137"/>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Act of 1934, as amended, the registrant has duly caused this report to be signed on its behalf by the undersigned, thereunto duly authorized.</w:t>
      </w:r>
    </w:p>
    <w:tbl>
      <w:tblPr>
        <w:tblW w:w="5744" w:type="dxa"/>
        <w:jc w:val="left"/>
        <w:tblInd w:w="0" w:type="dxa"/>
        <w:tblLayout w:type="fixed"/>
        <w:tblCellMar>
          <w:top w:w="0" w:type="dxa"/>
          <w:left w:w="0" w:type="dxa"/>
          <w:bottom w:w="0" w:type="dxa"/>
          <w:right w:w="0" w:type="dxa"/>
        </w:tblCellMar>
      </w:tblPr>
      <w:tblGrid>
        <w:gridCol w:w="2086"/>
        <w:gridCol w:w="326"/>
        <w:gridCol w:w="406"/>
        <w:gridCol w:w="292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57810" cy="29210"/>
                      <wp:effectExtent l="0" t="0" r="0" b="0"/>
                      <wp:wrapNone/>
                      <wp:docPr id="285" name="Frame284"/>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858010" cy="29210"/>
                      <wp:effectExtent l="0" t="0" r="0" b="0"/>
                      <wp:wrapNone/>
                      <wp:docPr id="286" name="Frame285"/>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3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32" w:type="dxa"/>
            <w:gridSpan w:val="2"/>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DESTEFANO</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9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DeStefano</w:t>
            </w:r>
          </w:p>
        </w:tc>
      </w:tr>
      <w:tr>
        <w:trPr/>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Chief Executive Officer</w:t>
              <w:br/>
              <w:t>and Chairperson</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138" w:name="ntsoftheSecuritiesActof1934asamendedthis"/>
      <w:bookmarkEnd w:id="138"/>
      <w:r>
        <w:rPr>
          <w:rFonts w:ascii="Times New Roman;Times;serif" w:hAnsi="Times New Roman;Times;serif"/>
          <w:sz w:val="20"/>
        </w:rPr>
        <w:t>Pursuant to the requirements of the Securities Act of 1934, as amended, this report has been signed by the following persons on behalf of the registrant in the capacities and on the dates indicated.</w:t>
      </w:r>
    </w:p>
    <w:tbl>
      <w:tblPr>
        <w:tblW w:w="9040" w:type="dxa"/>
        <w:jc w:val="left"/>
        <w:tblInd w:w="0" w:type="dxa"/>
        <w:tblLayout w:type="fixed"/>
        <w:tblCellMar>
          <w:top w:w="0" w:type="dxa"/>
          <w:left w:w="0" w:type="dxa"/>
          <w:bottom w:w="28" w:type="dxa"/>
          <w:right w:w="0" w:type="dxa"/>
        </w:tblCellMar>
      </w:tblPr>
      <w:tblGrid>
        <w:gridCol w:w="2506"/>
        <w:gridCol w:w="326"/>
        <w:gridCol w:w="4246"/>
        <w:gridCol w:w="326"/>
        <w:gridCol w:w="1636"/>
      </w:tblGrid>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2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6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50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DESTEFANO</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Chairperson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25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DeStefano</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SCHWAB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Schwab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LEIB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Leib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Eric Andersen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Philip Saunders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 Richard Stamm</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Amanda Westphal Radcliffe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Stefanie Westphal Thompson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250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Bradley Gayton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2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The undersigned, by signing his name hereto, does sign and execute this Annual Report on Form 10-K pursuant to the Powers of Attorney executed by the abovenamed directors of the Registrant and filed with the Securities and Exchange Commission on behalf of such directors. </w:t>
      </w:r>
    </w:p>
    <w:p>
      <w:pPr>
        <w:pStyle w:val="TextBody"/>
        <w:bidi w:val="0"/>
        <w:spacing w:before="0" w:after="0"/>
        <w:ind w:left="0" w:right="0" w:hanging="0"/>
        <w:jc w:val="left"/>
        <w:rPr/>
      </w:pPr>
      <w:r>
        <w:rPr/>
        <w:t>​</w:t>
      </w:r>
    </w:p>
    <w:tbl>
      <w:tblPr>
        <w:tblW w:w="4968" w:type="dxa"/>
        <w:jc w:val="left"/>
        <w:tblInd w:w="0" w:type="dxa"/>
        <w:tblLayout w:type="fixed"/>
        <w:tblCellMar>
          <w:top w:w="0" w:type="dxa"/>
          <w:left w:w="0" w:type="dxa"/>
          <w:bottom w:w="0" w:type="dxa"/>
          <w:right w:w="0" w:type="dxa"/>
        </w:tblCellMar>
      </w:tblPr>
      <w:tblGrid>
        <w:gridCol w:w="2086"/>
        <w:gridCol w:w="406"/>
        <w:gridCol w:w="2476"/>
      </w:tblGrid>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BRYAN ROWLAND   </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Rowland</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Attorney-in-Fact for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39" w:name="_43b076ff_02ee_47e7_b11d_b0355f8c3192"/>
      <w:bookmarkEnd w:id="139"/>
      <w:r>
        <w:rPr>
          <w:rFonts w:ascii="Times New Roman;Times;serif" w:hAnsi="Times New Roman;Times;serif"/>
          <w:b/>
          <w:sz w:val="20"/>
        </w:rPr>
        <w:t>VERTEX, INC. AND SUBSIDIARIES</w:t>
      </w:r>
    </w:p>
    <w:p>
      <w:pPr>
        <w:pStyle w:val="TextBody"/>
        <w:bidi w:val="0"/>
        <w:spacing w:before="0" w:after="240"/>
        <w:ind w:left="0" w:right="0" w:hanging="0"/>
        <w:jc w:val="center"/>
        <w:rPr>
          <w:rFonts w:ascii="Times New Roman;Times;serif" w:hAnsi="Times New Roman;Times;serif"/>
          <w:b/>
          <w:sz w:val="20"/>
        </w:rPr>
      </w:pPr>
      <w:bookmarkStart w:id="140" w:name="INDEXTOCONSOLIDATEDFINANCIALSTATEMENTS_7"/>
      <w:bookmarkEnd w:id="140"/>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Audited Consolidated Financial Statements as of December 31, 2024 and 2023 and for each of the three years in the period ended December 31, 2024:</w:t>
            </w:r>
          </w:p>
        </w:tc>
        <w:tc>
          <w:tcPr>
            <w:tcW w:w="32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368"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173)</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368" w:type="dxa"/>
            <w:tcBorders/>
            <w:vAlign w:val="center"/>
          </w:tcPr>
          <w:p>
            <w:pPr>
              <w:pStyle w:val="TableContents"/>
              <w:bidi w:val="0"/>
              <w:spacing w:before="0" w:after="0"/>
              <w:ind w:left="0" w:right="0" w:hanging="0"/>
              <w:jc w:val="left"/>
              <w:rPr/>
            </w:pPr>
            <w:hyperlink w:anchor="ConsolidatedBalanceSheets_767650">
              <w:r>
                <w:rPr>
                  <w:rStyle w:val="InternetLink"/>
                  <w:rFonts w:ascii="Times New Roman;Times;serif" w:hAnsi="Times New Roman;Times;serif"/>
                  <w:b w:val="false"/>
                  <w:i w:val="false"/>
                  <w:caps w:val="false"/>
                  <w:smallCaps w:val="false"/>
                  <w:sz w:val="20"/>
                </w:rPr>
                <w:t>Consolidated Balance Sheets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368" w:type="dxa"/>
            <w:tcBorders/>
            <w:vAlign w:val="center"/>
          </w:tcPr>
          <w:p>
            <w:pPr>
              <w:pStyle w:val="TableContents"/>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Loss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368" w:type="dxa"/>
            <w:tcBorders/>
            <w:vAlign w:val="center"/>
          </w:tcPr>
          <w:p>
            <w:pPr>
              <w:pStyle w:val="TableContents"/>
              <w:bidi w:val="0"/>
              <w:spacing w:before="0" w:after="0"/>
              <w:ind w:left="0" w:right="0" w:hanging="0"/>
              <w:jc w:val="left"/>
              <w:rPr/>
            </w:pPr>
            <w:hyperlink w:anchor="ConsolidatedStatementsofChangesinEquity_">
              <w:r>
                <w:rPr>
                  <w:rStyle w:val="InternetLink"/>
                  <w:rFonts w:ascii="Times New Roman;Times;serif" w:hAnsi="Times New Roman;Times;serif"/>
                  <w:b w:val="false"/>
                  <w:i w:val="false"/>
                  <w:caps w:val="false"/>
                  <w:smallCaps w:val="false"/>
                  <w:sz w:val="20"/>
                </w:rPr>
                <w:t xml:space="preserve">Consolidated Statements of Stockholders’ Equity </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368" w:type="dxa"/>
            <w:tcBorders/>
            <w:vAlign w:val="center"/>
          </w:tcPr>
          <w:p>
            <w:pPr>
              <w:pStyle w:val="TableContents"/>
              <w:bidi w:val="0"/>
              <w:spacing w:before="0" w:after="0"/>
              <w:ind w:left="0" w:right="0" w:hanging="0"/>
              <w:jc w:val="left"/>
              <w:rPr/>
            </w:pPr>
            <w:hyperlink w:anchor="ConsolidatedStatementsofCashFlows_715677">
              <w:r>
                <w:rPr>
                  <w:rStyle w:val="InternetLink"/>
                  <w:rFonts w:ascii="Times New Roman;Times;serif" w:hAnsi="Times New Roman;Times;serif"/>
                  <w:b w:val="false"/>
                  <w:i w:val="false"/>
                  <w:caps w:val="false"/>
                  <w:smallCaps w:val="false"/>
                  <w:sz w:val="20"/>
                </w:rPr>
                <w:t>Consolidated Statements of Cash Flows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368" w:type="dxa"/>
            <w:tcBorders/>
            <w:vAlign w:val="center"/>
          </w:tcPr>
          <w:p>
            <w:pPr>
              <w:pStyle w:val="TableContents"/>
              <w:bidi w:val="0"/>
              <w:spacing w:before="0" w:after="0"/>
              <w:ind w:left="0" w:right="0" w:hanging="0"/>
              <w:jc w:val="left"/>
              <w:rPr/>
            </w:pPr>
            <w:hyperlink w:anchor="a1SUMMARYOFSIGNIFICANTACCOUNTING_697323">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1" w:name="ReportofIndependentRegisteredPublicAccou"/>
      <w:bookmarkStart w:id="142" w:name="_a8d717d9_0fd4_4123_a6d7_758318f6c99e"/>
      <w:bookmarkEnd w:id="141"/>
      <w:bookmarkEnd w:id="142"/>
      <w:r>
        <w:rPr>
          <w:rFonts w:ascii="Times New Roman;Times;serif" w:hAnsi="Times New Roman;Times;serif"/>
          <w:b/>
          <w:sz w:val="20"/>
        </w:rPr>
        <w:t xml:space="preserve">Report of Independent Registered Public Accounting Firm </w:t>
      </w:r>
    </w:p>
    <w:p>
      <w:pPr>
        <w:pStyle w:val="TextBody"/>
        <w:bidi w:val="0"/>
        <w:spacing w:before="0" w:after="240"/>
        <w:ind w:left="0" w:right="0" w:firstLine="360"/>
        <w:jc w:val="both"/>
        <w:rPr>
          <w:color w:val="FF0000"/>
        </w:rPr>
      </w:pPr>
      <w:r>
        <w:rPr>
          <w:color w:val="FF000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Shareholders and the Board of Directors of Vertex, Inc.</w:t>
        <w:br/>
        <w:t>King of Prussia, Pennsylvania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Vertex, Inc. (the "Company") as of December 31, 2024 and 2023, the related consolidated statements of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(COSO) and our report dated February 27, 2025 expressed an unqualified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Valuation of Developed Technology and Earn-Outs in the ecosio GmbH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in Notes 3 and 5, the Company completed the acquisition of ecosio GmbH for consideration of $169.83 million and the transaction was accounted for as a business combination. The acquired intangible assets included developed technology valued at $63.80 million. The total purchase consideration for the acquisition included a cash earn-out, with an aggregate of up to $94.36 million, and a stock earn-out, with an aggregate value of up to $35.00 million, collectively valued at $105.00 million as of the acquisition date.  The Company used a discounted cash flow methodology to value the acquired developed technology at fair value on the date of acquisition. The Company used a Monte Carlo simulation model to value the cash and stock earn-outs. The methods used to estimate the fair value of acquired developed technology and earn-outs involve significant assumptions. The significant assumptions applied by management in estimating the fair value of acquired developed technology included cash flow projections and discount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considerations for our determination that auditing the valuation of developed technology and earn-outs in the ecosio acquisition is a critical audit matter are (1) there was a high degree of auditor judgment and subjectivity in applying procedures relating to the fair value of the developed technology acquired and earn-outs due to the significant judgment by management when developing the cash flow estimates and (2) significant audit effort was required in evaluating the significant assumptions relating to the basis and subjectivity of significant estimates, including the cash flow projections, revenue growth rates, cost of sales and margin projections, obsolescence curve, and discount rates. In addition, the audit effort involved the use of professionals with specialized skill and knowledge to assist in performing these procedures and evaluating the audit evidence obtained.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w:t>
      </w:r>
    </w:p>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the purchase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testing the effectiveness of controls over the valuation of developed technology and earn-outs including controls over the development of the prospective financial information and other assumptions used in the valuations </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appropriateness of the valuation models applied by management</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testing the completeness, accuracy, and relevance of underlying data and reports used in the models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significant assumptions, including key inputs into the cash flow projections and discount rates. Procedures considered the current performance of the acquired business, consistency with external market and industry data, and whether these assumptions were consistent with other evidence obtained in other areas of the audit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professionals with specialized skill and knowledge to assist in evaluating the reasonableness of significant assumptions, including the discount rates, by comparing them against discount rate ranges that were independently developed using publicly available market data for comparable companies</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040" w:right="0" w:hanging="0"/>
        <w:jc w:val="left"/>
        <w:rPr>
          <w:rFonts w:ascii="Times New Roman;Times;serif" w:hAnsi="Times New Roman;Times;serif"/>
          <w:sz w:val="20"/>
        </w:rPr>
      </w:pPr>
      <w:r>
        <w:rPr>
          <w:rFonts w:ascii="Times New Roman;Times;serif" w:hAnsi="Times New Roman;Times;serif"/>
          <w:sz w:val="20"/>
        </w:rPr>
        <w:t>/s/ Crowe LLP</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Oakbrook Terrace, Illinois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3" w:name="_d3da9f8b_2989_4f58_8fc1_481bcb5e8a7e"/>
      <w:bookmarkEnd w:id="143"/>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bookmarkStart w:id="144" w:name="ConsolidatedBalanceSheets_767650"/>
      <w:bookmarkEnd w:id="144"/>
      <w:r>
        <w:rPr>
          <w:rFonts w:ascii="Times New Roman;Times;serif" w:hAnsi="Times New Roman;Times;serif"/>
          <w:b/>
          <w:sz w:val="20"/>
        </w:rPr>
        <w:t>Consolidated Balance Sheets</w:t>
      </w:r>
    </w:p>
    <w:p>
      <w:pPr>
        <w:pStyle w:val="TextBody"/>
        <w:bidi w:val="0"/>
        <w:spacing w:before="0" w:after="12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Normal"/>
        <w:bidi w:val="0"/>
        <w:spacing w:before="0" w:after="0"/>
        <w:jc w:val="left"/>
        <w:rPr>
          <w:sz w:val="4"/>
          <w:szCs w:val="4"/>
        </w:rPr>
      </w:pPr>
      <w:r>
        <w:rPr>
          <w:sz w:val="4"/>
          <w:szCs w:val="4"/>
        </w:rPr>
      </w:r>
      <w:bookmarkStart w:id="145" w:name="Tc_pkNb4IWSpUyTzIEpjFrN9g_49_4"/>
      <w:bookmarkStart w:id="146" w:name="Tc_eBfr5kuDz0WvZtq2VAby1Q_49_1"/>
      <w:bookmarkStart w:id="147" w:name="Tc_k4LR_0qqQUClhOATzScbCg_49_0"/>
      <w:bookmarkStart w:id="148" w:name="Tc_8ZKwnPTPb0Gh5Hv6CA3TxQ_48_0"/>
      <w:bookmarkStart w:id="149" w:name="Tc_k_LOQPQdbkiTaxgP3eA7aA_47_0"/>
      <w:bookmarkStart w:id="150" w:name="Tc_B-qrCWQ3M0OcpkyCMYDjvQ_46_0"/>
      <w:bookmarkStart w:id="151" w:name="Tc_mke50Pp0AEiDqlLfWLQ4rA_45_0"/>
      <w:bookmarkStart w:id="152" w:name="Tc_XUUcZQ3lW0uA3RisMWv4xw_44_0"/>
      <w:bookmarkStart w:id="153" w:name="Tc_rOGdRczg4E6ACy9uPzZ-Gg_43_0"/>
      <w:bookmarkStart w:id="154" w:name="_33ffc2ca_e299_4d13_a798_f466de3ed567_3"/>
      <w:bookmarkStart w:id="155" w:name="_33ffc2ca_e299_4d13_a798_f466de3ed567_2"/>
      <w:bookmarkStart w:id="156" w:name="_33ffc2ca_e299_4d13_a798_f466de3ed567"/>
      <w:bookmarkStart w:id="157" w:name="Tc_Ooe73TprXUSYURnHMLFVaQ_42_0"/>
      <w:bookmarkStart w:id="158" w:name="Tc_KgLp-pKCX0KywpsA6eDZdA_41_0"/>
      <w:bookmarkStart w:id="159" w:name="Tc_fXMK8u9QKUaIHHdfhrnmjg_40_0"/>
      <w:bookmarkStart w:id="160" w:name="Tc_-eoEmX18QUCIKNO8M3_ZqQ_39_0"/>
      <w:bookmarkStart w:id="161" w:name="Tc_FjkSGeoHDE-_-NztRHSsFQ_38_0"/>
      <w:bookmarkStart w:id="162" w:name="Tc_6NO_DJeGT0K3N3U9PyzV7w_37_5"/>
      <w:bookmarkStart w:id="163" w:name="Tc_HzQ4aJCqXUevNxwPV8xRmA_37_0"/>
      <w:bookmarkStart w:id="164" w:name="Tc_ttKkTiEsjEO3r1-Cwj-rJA_36_0"/>
      <w:bookmarkStart w:id="165" w:name="Tc_GirbqPATE0Cs8oO7RvoSxw_35_0"/>
      <w:bookmarkStart w:id="166" w:name="Tc_OCQWDex0-0CX4U7PSM_2XA_34_0"/>
      <w:bookmarkStart w:id="167" w:name="Tc_Df5XTACSc0GLNnH5MWukyA_33_0"/>
      <w:bookmarkStart w:id="168" w:name="Tc_2aihVRfSmEK5HLxQHJWUpw_32_0"/>
      <w:bookmarkStart w:id="169" w:name="Tc_twT9c8eeh06GqyZwXf8nsg_31_0"/>
      <w:bookmarkStart w:id="170" w:name="Tc_LSI1xcltHEa6SQ9p0MEkTw_30_0"/>
      <w:bookmarkStart w:id="171" w:name="Tc_kbk4VtM-oEu7-CxvN-KNjQ_29_0"/>
      <w:bookmarkStart w:id="172" w:name="Tc_zzAx_drVbECAdRczkc-xPg_28_0"/>
      <w:bookmarkStart w:id="173" w:name="Tc_na1u1g1RJU-lrr_o_utd-w_27_0"/>
      <w:bookmarkStart w:id="174" w:name="Tc_UYr7ob4M1k-no1aRqV_08w_26_0"/>
      <w:bookmarkStart w:id="175" w:name="Tc_q6kECqckBkOVUfMQ4PwQ6g_25_0"/>
      <w:bookmarkStart w:id="176" w:name="Tc_6F4KHnQnbU2O_UkmUg_kQA_24_0"/>
      <w:bookmarkStart w:id="177" w:name="Tc_CVGrXjsP60ipQQQ9xeFMdg_23_0"/>
      <w:bookmarkStart w:id="178" w:name="Tc_r9fHUgAWrUyBsVJbk-SPtw_22_0"/>
      <w:bookmarkStart w:id="179" w:name="Tc_ZvAzTVxwtky2HHGYEuvthw_21_4"/>
      <w:bookmarkStart w:id="180" w:name="Tc_hrYPj3goDkKNGsKesW7--A_21_2"/>
      <w:bookmarkStart w:id="181" w:name="Tc_G7Ov-FSFR0ijC50SgG9S0g_21_1"/>
      <w:bookmarkStart w:id="182" w:name="Tc_SR05-QkLg0O-KiytvXCDAg_21_0"/>
      <w:bookmarkStart w:id="183" w:name="Tc_AD59M7SwNU6n9POFQT8Bkw_20_0"/>
      <w:bookmarkStart w:id="184" w:name="Tc_bBKvWz_0FEy9tmtLM-HoQQ_19_5"/>
      <w:bookmarkStart w:id="185" w:name="Tc_hn_xG6JMOUOXPpUBRYagyw_19_2"/>
      <w:bookmarkStart w:id="186" w:name="Tc_LUiTchJ_80ellLHmwx2qRg_19_0"/>
      <w:bookmarkStart w:id="187" w:name="Tc_Egt249LZLUmW5opbAJWY1w_18_4"/>
      <w:bookmarkStart w:id="188" w:name="Tc_2wUaeWkm1061sRfo5bHvfA_18_1"/>
      <w:bookmarkStart w:id="189" w:name="Tc_LJWQcG4Gz0q0qIBYDLivzQ_18_0"/>
      <w:bookmarkStart w:id="190" w:name="Tc_jcn6ZerVdEO_W1n0o0qU-Q_17_0"/>
      <w:bookmarkStart w:id="191" w:name="Tc_CCaLqTmk8k2JGgAC6H__yA_16_0"/>
      <w:bookmarkStart w:id="192" w:name="Tc_J-vNwcIsu0260HrivxXygQ_15_0"/>
      <w:bookmarkStart w:id="193" w:name="Tc_kosknAJ7jk-C1irIDTCBig_14_0"/>
      <w:bookmarkStart w:id="194" w:name="Tc_0eYS1yTb_UObgkgnIgay1Q_13_0"/>
      <w:bookmarkStart w:id="195" w:name="Tc_y1i8bh1czkSjFjm3HaPFqA_12_0"/>
      <w:bookmarkStart w:id="196" w:name="Tc_vqiT34TkNkmatZj063nV_g_11_0"/>
      <w:bookmarkStart w:id="197" w:name="Tc_co91pgY-ykqAlFfDsen27w_10_0"/>
      <w:bookmarkStart w:id="198" w:name="Tc_tR6Y_CfYH06nK9Kb5pnl7A_9_0"/>
      <w:bookmarkStart w:id="199" w:name="Tc_zm_Yb9sAOEuaceYhNS7_pg_8_0"/>
      <w:bookmarkStart w:id="200" w:name="Tc_Y8uTBa0YW0q9MT-A6Z6xow_7_0"/>
      <w:bookmarkStart w:id="201" w:name="Tc_bPV97Q-xB0auGTXSOjDqGA_6_0"/>
      <w:bookmarkStart w:id="202" w:name="Tc_vEjK8j92FUm_36I55YHmMg_5_4"/>
      <w:bookmarkStart w:id="203" w:name="Tc_ymEoCvNye0CySSxs5MEsaw_5_1"/>
      <w:bookmarkStart w:id="204" w:name="Tc_E2K_bmDhiUC9Aowr54PZkg_5_0"/>
      <w:bookmarkStart w:id="205" w:name="Tc_AYHlhbV5jUqG3c1EqhOEFQ_4_0"/>
      <w:bookmarkStart w:id="206" w:name="Tc_m_Tu_4h4V06UqYFzs-b0hA_3_0"/>
      <w:bookmarkStart w:id="207" w:name="Tc_lq8TUYvOWkWvuaQOmjhHig_2_4"/>
      <w:bookmarkStart w:id="208" w:name="Tc_Fy3biubMxkqfJ0apXYddtA_2_1"/>
      <w:bookmarkStart w:id="209" w:name="Tc_dfsGzhl600GIzrkSfHriPA_1_4"/>
      <w:bookmarkStart w:id="210" w:name="Tc_cdzPWdREOEKK7f-mm-YtWg_1_1"/>
      <w:bookmarkStart w:id="211" w:name="_b5d738d8_ed57_4fda_bf30_1318d6943a66"/>
      <w:bookmarkStart w:id="212" w:name="_3a75f8f0_6e49_4e8b_bb4c_e791429b4e70"/>
      <w:bookmarkStart w:id="213" w:name="Tc_pkNb4IWSpUyTzIEpjFrN9g_49_4"/>
      <w:bookmarkStart w:id="214" w:name="Tc_eBfr5kuDz0WvZtq2VAby1Q_49_1"/>
      <w:bookmarkStart w:id="215" w:name="Tc_k4LR_0qqQUClhOATzScbCg_49_0"/>
      <w:bookmarkStart w:id="216" w:name="Tc_8ZKwnPTPb0Gh5Hv6CA3TxQ_48_0"/>
      <w:bookmarkStart w:id="217" w:name="Tc_k_LOQPQdbkiTaxgP3eA7aA_47_0"/>
      <w:bookmarkStart w:id="218" w:name="Tc_B-qrCWQ3M0OcpkyCMYDjvQ_46_0"/>
      <w:bookmarkStart w:id="219" w:name="Tc_mke50Pp0AEiDqlLfWLQ4rA_45_0"/>
      <w:bookmarkStart w:id="220" w:name="Tc_XUUcZQ3lW0uA3RisMWv4xw_44_0"/>
      <w:bookmarkStart w:id="221" w:name="Tc_rOGdRczg4E6ACy9uPzZ-Gg_43_0"/>
      <w:bookmarkStart w:id="222" w:name="_33ffc2ca_e299_4d13_a798_f466de3ed567_3"/>
      <w:bookmarkStart w:id="223" w:name="_33ffc2ca_e299_4d13_a798_f466de3ed567_2"/>
      <w:bookmarkStart w:id="224" w:name="_33ffc2ca_e299_4d13_a798_f466de3ed567"/>
      <w:bookmarkStart w:id="225" w:name="Tc_Ooe73TprXUSYURnHMLFVaQ_42_0"/>
      <w:bookmarkStart w:id="226" w:name="Tc_KgLp-pKCX0KywpsA6eDZdA_41_0"/>
      <w:bookmarkStart w:id="227" w:name="Tc_fXMK8u9QKUaIHHdfhrnmjg_40_0"/>
      <w:bookmarkStart w:id="228" w:name="Tc_-eoEmX18QUCIKNO8M3_ZqQ_39_0"/>
      <w:bookmarkStart w:id="229" w:name="Tc_FjkSGeoHDE-_-NztRHSsFQ_38_0"/>
      <w:bookmarkStart w:id="230" w:name="Tc_6NO_DJeGT0K3N3U9PyzV7w_37_5"/>
      <w:bookmarkStart w:id="231" w:name="Tc_HzQ4aJCqXUevNxwPV8xRmA_37_0"/>
      <w:bookmarkStart w:id="232" w:name="Tc_ttKkTiEsjEO3r1-Cwj-rJA_36_0"/>
      <w:bookmarkStart w:id="233" w:name="Tc_GirbqPATE0Cs8oO7RvoSxw_35_0"/>
      <w:bookmarkStart w:id="234" w:name="Tc_OCQWDex0-0CX4U7PSM_2XA_34_0"/>
      <w:bookmarkStart w:id="235" w:name="Tc_Df5XTACSc0GLNnH5MWukyA_33_0"/>
      <w:bookmarkStart w:id="236" w:name="Tc_2aihVRfSmEK5HLxQHJWUpw_32_0"/>
      <w:bookmarkStart w:id="237" w:name="Tc_twT9c8eeh06GqyZwXf8nsg_31_0"/>
      <w:bookmarkStart w:id="238" w:name="Tc_LSI1xcltHEa6SQ9p0MEkTw_30_0"/>
      <w:bookmarkStart w:id="239" w:name="Tc_kbk4VtM-oEu7-CxvN-KNjQ_29_0"/>
      <w:bookmarkStart w:id="240" w:name="Tc_zzAx_drVbECAdRczkc-xPg_28_0"/>
      <w:bookmarkStart w:id="241" w:name="Tc_na1u1g1RJU-lrr_o_utd-w_27_0"/>
      <w:bookmarkStart w:id="242" w:name="Tc_UYr7ob4M1k-no1aRqV_08w_26_0"/>
      <w:bookmarkStart w:id="243" w:name="Tc_q6kECqckBkOVUfMQ4PwQ6g_25_0"/>
      <w:bookmarkStart w:id="244" w:name="Tc_6F4KHnQnbU2O_UkmUg_kQA_24_0"/>
      <w:bookmarkStart w:id="245" w:name="Tc_CVGrXjsP60ipQQQ9xeFMdg_23_0"/>
      <w:bookmarkStart w:id="246" w:name="Tc_r9fHUgAWrUyBsVJbk-SPtw_22_0"/>
      <w:bookmarkStart w:id="247" w:name="Tc_ZvAzTVxwtky2HHGYEuvthw_21_4"/>
      <w:bookmarkStart w:id="248" w:name="Tc_hrYPj3goDkKNGsKesW7--A_21_2"/>
      <w:bookmarkStart w:id="249" w:name="Tc_G7Ov-FSFR0ijC50SgG9S0g_21_1"/>
      <w:bookmarkStart w:id="250" w:name="Tc_SR05-QkLg0O-KiytvXCDAg_21_0"/>
      <w:bookmarkStart w:id="251" w:name="Tc_AD59M7SwNU6n9POFQT8Bkw_20_0"/>
      <w:bookmarkStart w:id="252" w:name="Tc_bBKvWz_0FEy9tmtLM-HoQQ_19_5"/>
      <w:bookmarkStart w:id="253" w:name="Tc_hn_xG6JMOUOXPpUBRYagyw_19_2"/>
      <w:bookmarkStart w:id="254" w:name="Tc_LUiTchJ_80ellLHmwx2qRg_19_0"/>
      <w:bookmarkStart w:id="255" w:name="Tc_Egt249LZLUmW5opbAJWY1w_18_4"/>
      <w:bookmarkStart w:id="256" w:name="Tc_2wUaeWkm1061sRfo5bHvfA_18_1"/>
      <w:bookmarkStart w:id="257" w:name="Tc_LJWQcG4Gz0q0qIBYDLivzQ_18_0"/>
      <w:bookmarkStart w:id="258" w:name="Tc_jcn6ZerVdEO_W1n0o0qU-Q_17_0"/>
      <w:bookmarkStart w:id="259" w:name="Tc_CCaLqTmk8k2JGgAC6H__yA_16_0"/>
      <w:bookmarkStart w:id="260" w:name="Tc_J-vNwcIsu0260HrivxXygQ_15_0"/>
      <w:bookmarkStart w:id="261" w:name="Tc_kosknAJ7jk-C1irIDTCBig_14_0"/>
      <w:bookmarkStart w:id="262" w:name="Tc_0eYS1yTb_UObgkgnIgay1Q_13_0"/>
      <w:bookmarkStart w:id="263" w:name="Tc_y1i8bh1czkSjFjm3HaPFqA_12_0"/>
      <w:bookmarkStart w:id="264" w:name="Tc_vqiT34TkNkmatZj063nV_g_11_0"/>
      <w:bookmarkStart w:id="265" w:name="Tc_co91pgY-ykqAlFfDsen27w_10_0"/>
      <w:bookmarkStart w:id="266" w:name="Tc_tR6Y_CfYH06nK9Kb5pnl7A_9_0"/>
      <w:bookmarkStart w:id="267" w:name="Tc_zm_Yb9sAOEuaceYhNS7_pg_8_0"/>
      <w:bookmarkStart w:id="268" w:name="Tc_Y8uTBa0YW0q9MT-A6Z6xow_7_0"/>
      <w:bookmarkStart w:id="269" w:name="Tc_bPV97Q-xB0auGTXSOjDqGA_6_0"/>
      <w:bookmarkStart w:id="270" w:name="Tc_vEjK8j92FUm_36I55YHmMg_5_4"/>
      <w:bookmarkStart w:id="271" w:name="Tc_ymEoCvNye0CySSxs5MEsaw_5_1"/>
      <w:bookmarkStart w:id="272" w:name="Tc_E2K_bmDhiUC9Aowr54PZkg_5_0"/>
      <w:bookmarkStart w:id="273" w:name="Tc_AYHlhbV5jUqG3c1EqhOEFQ_4_0"/>
      <w:bookmarkStart w:id="274" w:name="Tc_m_Tu_4h4V06UqYFzs-b0hA_3_0"/>
      <w:bookmarkStart w:id="275" w:name="Tc_lq8TUYvOWkWvuaQOmjhHig_2_4"/>
      <w:bookmarkStart w:id="276" w:name="Tc_Fy3biubMxkqfJ0apXYddtA_2_1"/>
      <w:bookmarkStart w:id="277" w:name="Tc_dfsGzhl600GIzrkSfHriPA_1_4"/>
      <w:bookmarkStart w:id="278" w:name="Tc_cdzPWdREOEKK7f-mm-YtWg_1_1"/>
      <w:bookmarkStart w:id="279" w:name="_b5d738d8_ed57_4fda_bf30_1318d6943a66"/>
      <w:bookmarkStart w:id="280" w:name="_3a75f8f0_6e49_4e8b_bb4c_e791429b4e70"/>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10205" w:type="dxa"/>
        <w:jc w:val="left"/>
        <w:tblInd w:w="0" w:type="dxa"/>
        <w:tblLayout w:type="fixed"/>
        <w:tblCellMar>
          <w:top w:w="0" w:type="dxa"/>
          <w:left w:w="0" w:type="dxa"/>
          <w:bottom w:w="0" w:type="dxa"/>
          <w:right w:w="0" w:type="dxa"/>
        </w:tblCellMar>
      </w:tblPr>
      <w:tblGrid>
        <w:gridCol w:w="7600"/>
        <w:gridCol w:w="213"/>
        <w:gridCol w:w="903"/>
        <w:gridCol w:w="326"/>
        <w:gridCol w:w="243"/>
        <w:gridCol w:w="920"/>
      </w:tblGrid>
      <w:tr>
        <w:trPr/>
        <w:tc>
          <w:tcPr>
            <w:tcW w:w="7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826000" cy="175260"/>
                      <wp:effectExtent l="0" t="0" r="0" b="0"/>
                      <wp:wrapNone/>
                      <wp:docPr id="287" name="Frame286"/>
                      <a:graphic xmlns:a="http://schemas.openxmlformats.org/drawingml/2006/main">
                        <a:graphicData uri="http://schemas.microsoft.com/office/word/2010/wordprocessingShape">
                          <wps:wsp>
                            <wps:cNvSpPr txBox="1"/>
                            <wps:spPr>
                              <a:xfrm>
                                <a:off x="0" y="0"/>
                                <a:ext cx="4826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5255" cy="175260"/>
                      <wp:effectExtent l="0" t="0" r="0" b="0"/>
                      <wp:wrapNone/>
                      <wp:docPr id="288" name="Frame28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73405" cy="175260"/>
                      <wp:effectExtent l="0" t="0" r="0" b="0"/>
                      <wp:wrapNone/>
                      <wp:docPr id="289" name="Frame288"/>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54305" cy="175260"/>
                      <wp:effectExtent l="0" t="0" r="0" b="0"/>
                      <wp:wrapNone/>
                      <wp:docPr id="291" name="Frame29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84200" cy="175260"/>
                      <wp:effectExtent l="0" t="0" r="0" b="0"/>
                      <wp:wrapNone/>
                      <wp:docPr id="292" name="Frame291"/>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00" w:type="dxa"/>
            <w:tcBorders/>
            <w:vAlign w:val="center"/>
          </w:tcPr>
          <w:p>
            <w:pPr>
              <w:pStyle w:val="TableContents"/>
              <w:bidi w:val="0"/>
              <w:spacing w:before="0" w:after="0"/>
              <w:ind w:left="0" w:right="0" w:hanging="0"/>
              <w:jc w:val="left"/>
              <w:rPr/>
            </w:pPr>
            <w:r>
              <w:rPr/>
              <w:t>​</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116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00" w:type="dxa"/>
            <w:tcBorders/>
            <w:vAlign w:val="center"/>
          </w:tcPr>
          <w:p>
            <w:pPr>
              <w:pStyle w:val="TableContents"/>
              <w:bidi w:val="0"/>
              <w:spacing w:before="0" w:after="0"/>
              <w:ind w:left="0" w:right="0" w:hanging="0"/>
              <w:jc w:val="left"/>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600"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21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43" w:type="dxa"/>
            <w:tcBorders/>
            <w:shd w:fill="CCEEFF" w:val="clear"/>
            <w:vAlign w:val="center"/>
          </w:tcPr>
          <w:p>
            <w:pPr>
              <w:pStyle w:val="TableContents"/>
              <w:bidi w:val="0"/>
              <w:spacing w:before="0" w:after="0"/>
              <w:ind w:left="0" w:right="0" w:hanging="0"/>
              <w:jc w:val="center"/>
              <w:rPr/>
            </w:pPr>
            <w:r>
              <w:rPr/>
              <w:t>​</w:t>
            </w:r>
          </w:p>
        </w:tc>
        <w:tc>
          <w:tcPr>
            <w:tcW w:w="920" w:type="dxa"/>
            <w:tcBorders/>
            <w:shd w:fill="CCEEFF" w:val="clear"/>
            <w:vAlign w:val="center"/>
          </w:tcPr>
          <w:p>
            <w:pPr>
              <w:pStyle w:val="TableContents"/>
              <w:bidi w:val="0"/>
              <w:spacing w:before="0" w:after="0"/>
              <w:ind w:left="0" w:right="0" w:hanging="0"/>
              <w:jc w:val="center"/>
              <w:rPr/>
            </w:pPr>
            <w:r>
              <w:rPr/>
              <w:t>​</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21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296,051</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68,175</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Funds held for customers</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30,015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20,976</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$16,838 and $16,272, respectively</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164,432</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141,752</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36,678</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26,173</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securities available-for-sale, at fair value (amortized cost of $9,147 and $9,550, respectively)</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9,157</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9,545</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536,333</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266,621</w:t>
            </w:r>
          </w:p>
        </w:tc>
      </w:tr>
      <w:tr>
        <w:trPr/>
        <w:tc>
          <w:tcPr>
            <w:tcW w:w="7600"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177,559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100,734</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36,350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38,771</w:t>
            </w:r>
          </w:p>
        </w:tc>
      </w:tr>
      <w:tr>
        <w:trPr/>
        <w:tc>
          <w:tcPr>
            <w:tcW w:w="7600"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363,021</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260,238</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27,480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21,237</w:t>
            </w:r>
          </w:p>
        </w:tc>
      </w:tr>
      <w:tr>
        <w:trPr/>
        <w:tc>
          <w:tcPr>
            <w:tcW w:w="7600"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21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41,708</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21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11,956</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14,605</w:t>
            </w:r>
          </w:p>
        </w:tc>
      </w:tr>
      <w:tr>
        <w:trPr/>
        <w:tc>
          <w:tcPr>
            <w:tcW w:w="7600"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14,073</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16,013</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1,166,791</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759,927</w:t>
            </w:r>
          </w:p>
        </w:tc>
      </w:tr>
      <w:tr>
        <w:trPr/>
        <w:tc>
          <w:tcPr>
            <w:tcW w:w="7600"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pPr>
            <w:r>
              <w:rPr/>
              <w:t>  </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21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36,215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23,596</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35,169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44,735</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funds obligations</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27,406</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17,731</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salaries and benefits</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14,581</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12,277</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variable compensation</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45,507</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34,105</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339,326</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290,143</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21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3,717</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finance lease liabilities</w:t>
            </w:r>
          </w:p>
        </w:tc>
        <w:tc>
          <w:tcPr>
            <w:tcW w:w="21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35,100</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11,901</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537,376</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440,779</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2,577</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Debt, net of current portion</w:t>
            </w:r>
          </w:p>
        </w:tc>
        <w:tc>
          <w:tcPr>
            <w:tcW w:w="21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335,220</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44,059</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21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16,567</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liabilities, net of current portion</w:t>
            </w:r>
          </w:p>
        </w:tc>
        <w:tc>
          <w:tcPr>
            <w:tcW w:w="21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87,400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2,600</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 liabilities</w:t>
            </w:r>
          </w:p>
        </w:tc>
        <w:tc>
          <w:tcPr>
            <w:tcW w:w="21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9,918</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pPr>
            <w:r>
              <w:rPr/>
              <w:t>—</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987,439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506,946</w:t>
            </w:r>
          </w:p>
        </w:tc>
      </w:tr>
      <w:tr>
        <w:trPr/>
        <w:tc>
          <w:tcPr>
            <w:tcW w:w="760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Commitments and contingencies (Note 15)</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pPr>
            <w:r>
              <w:rPr/>
              <w:t>  </w:t>
            </w:r>
          </w:p>
        </w:tc>
      </w:tr>
      <w:tr>
        <w:trPr/>
        <w:tc>
          <w:tcPr>
            <w:tcW w:w="7600"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21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  </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21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Class A voting common stock, $0.001</w:t>
            </w:r>
            <w:r>
              <w:rPr>
                <w:rFonts w:ascii="Times New Roman;Times;serif" w:hAnsi="Times New Roman;Times;serif"/>
                <w:sz w:val="20"/>
              </w:rPr>
              <w:t xml:space="preserve"> </w:t>
            </w:r>
            <w:r>
              <w:rPr>
                <w:rFonts w:ascii="Times New Roman;Times;serif" w:hAnsi="Times New Roman;Times;serif"/>
                <w:sz w:val="16"/>
              </w:rPr>
              <w:t>par value, 300,000</w:t>
            </w:r>
            <w:r>
              <w:rPr>
                <w:rFonts w:ascii="Times New Roman;Times;serif" w:hAnsi="Times New Roman;Times;serif"/>
                <w:sz w:val="20"/>
              </w:rPr>
              <w:t xml:space="preserve"> </w:t>
            </w:r>
            <w:r>
              <w:rPr>
                <w:rFonts w:ascii="Times New Roman;Times;serif" w:hAnsi="Times New Roman;Times;serif"/>
                <w:sz w:val="16"/>
              </w:rPr>
              <w:t>shares authorized; 70,670</w:t>
            </w:r>
            <w:r>
              <w:rPr>
                <w:rFonts w:ascii="Times New Roman;Times;serif" w:hAnsi="Times New Roman;Times;serif"/>
                <w:sz w:val="20"/>
              </w:rPr>
              <w:t xml:space="preserve"> </w:t>
            </w:r>
            <w:r>
              <w:rPr>
                <w:rFonts w:ascii="Times New Roman;Times;serif" w:hAnsi="Times New Roman;Times;serif"/>
                <w:sz w:val="16"/>
              </w:rPr>
              <w:t>and 60,989</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21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Class B voting common stock, $0.001</w:t>
            </w:r>
            <w:r>
              <w:rPr>
                <w:rFonts w:ascii="Times New Roman;Times;serif" w:hAnsi="Times New Roman;Times;serif"/>
                <w:sz w:val="20"/>
              </w:rPr>
              <w:t xml:space="preserve"> </w:t>
            </w:r>
            <w:r>
              <w:rPr>
                <w:rFonts w:ascii="Times New Roman;Times;serif" w:hAnsi="Times New Roman;Times;serif"/>
                <w:sz w:val="16"/>
              </w:rPr>
              <w:t>par value, 150,000</w:t>
            </w:r>
            <w:r>
              <w:rPr>
                <w:rFonts w:ascii="Times New Roman;Times;serif" w:hAnsi="Times New Roman;Times;serif"/>
                <w:sz w:val="20"/>
              </w:rPr>
              <w:t xml:space="preserve"> </w:t>
            </w:r>
            <w:r>
              <w:rPr>
                <w:rFonts w:ascii="Times New Roman;Times;serif" w:hAnsi="Times New Roman;Times;serif"/>
                <w:sz w:val="16"/>
              </w:rPr>
              <w:t>shares authorized; 86,481</w:t>
            </w:r>
            <w:r>
              <w:rPr>
                <w:rFonts w:ascii="Times New Roman;Times;serif" w:hAnsi="Times New Roman;Times;serif"/>
                <w:sz w:val="20"/>
              </w:rPr>
              <w:t xml:space="preserve"> </w:t>
            </w:r>
            <w:r>
              <w:rPr>
                <w:rFonts w:ascii="Times New Roman;Times;serif" w:hAnsi="Times New Roman;Times;serif"/>
                <w:sz w:val="16"/>
              </w:rPr>
              <w:t>and 92,661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21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 in capital</w:t>
            </w:r>
          </w:p>
        </w:tc>
        <w:tc>
          <w:tcPr>
            <w:tcW w:w="21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278,389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275,155</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Accumulated deficit </w:t>
            </w:r>
          </w:p>
        </w:tc>
        <w:tc>
          <w:tcPr>
            <w:tcW w:w="21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(53,315)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(45,879)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(21,742)</w:t>
            </w:r>
          </w:p>
        </w:tc>
      </w:tr>
      <w:tr>
        <w:trPr/>
        <w:tc>
          <w:tcPr>
            <w:tcW w:w="76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179,352</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252,981</w:t>
            </w:r>
          </w:p>
        </w:tc>
      </w:tr>
      <w:tr>
        <w:trPr/>
        <w:tc>
          <w:tcPr>
            <w:tcW w:w="76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1,166,791</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759,927</w:t>
            </w:r>
          </w:p>
        </w:tc>
      </w:tr>
      <w:tr>
        <w:trPr/>
        <w:tc>
          <w:tcPr>
            <w:tcW w:w="10205" w:type="dxa"/>
            <w:gridSpan w:val="6"/>
            <w:tcBorders/>
            <w:vAlign w:val="center"/>
          </w:tcPr>
          <w:p>
            <w:pPr>
              <w:pStyle w:val="TableContents"/>
              <w:bidi w:val="0"/>
              <w:spacing w:before="0" w:after="0"/>
              <w:ind w:left="0" w:right="0" w:hanging="0"/>
              <w:jc w:val="left"/>
              <w:rPr/>
            </w:pPr>
            <w:r>
              <w:rPr/>
              <w:t>​</w:t>
            </w:r>
          </w:p>
        </w:tc>
      </w:tr>
    </w:tbl>
    <w:p>
      <w:pPr>
        <w:pStyle w:val="TextBody"/>
        <w:bidi w:val="0"/>
        <w:spacing w:before="0" w:after="0"/>
        <w:ind w:left="90" w:right="0" w:hanging="0"/>
        <w:jc w:val="left"/>
        <w:rPr/>
      </w:pPr>
      <w:r>
        <w:rPr/>
        <w:t>​</w:t>
      </w:r>
    </w:p>
    <w:p>
      <w:pPr>
        <w:pStyle w:val="TextBody"/>
        <w:bidi w:val="0"/>
        <w:spacing w:before="0" w:after="240"/>
        <w:ind w:left="0" w:right="0" w:firstLine="360"/>
        <w:jc w:val="center"/>
        <w:rPr>
          <w:rFonts w:ascii="Times New Roman;Times;serif" w:hAnsi="Times New Roman;Times;serif"/>
          <w:sz w:val="18"/>
        </w:rPr>
      </w:pPr>
      <w:r>
        <w:rPr>
          <w:rFonts w:ascii="Times New Roman;Times;serif" w:hAnsi="Times New Roman;Times;serif"/>
          <w:sz w:val="18"/>
        </w:rPr>
        <w:t>The accompanying notes are an integral part of the consolidated financial statements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1" w:name="_3eee75fb_e1ac_4c54_a7a5_167334c569bb"/>
      <w:bookmarkEnd w:id="281"/>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bookmarkStart w:id="282" w:name="ConsolidatedStatementsofComprehensiveInc"/>
      <w:bookmarkEnd w:id="282"/>
      <w:r>
        <w:rPr>
          <w:rFonts w:ascii="Times New Roman;Times;serif" w:hAnsi="Times New Roman;Times;serif"/>
          <w:b/>
          <w:sz w:val="20"/>
        </w:rPr>
        <w:t>Consolidated Statements of Comprehensive Loss</w:t>
      </w:r>
    </w:p>
    <w:p>
      <w:pPr>
        <w:pStyle w:val="TextBody"/>
        <w:bidi w:val="0"/>
        <w:spacing w:before="0" w:after="16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Normal"/>
        <w:bidi w:val="0"/>
        <w:spacing w:before="0" w:after="0"/>
        <w:jc w:val="left"/>
        <w:rPr>
          <w:sz w:val="4"/>
          <w:szCs w:val="4"/>
        </w:rPr>
      </w:pPr>
      <w:r>
        <w:rPr>
          <w:sz w:val="4"/>
          <w:szCs w:val="4"/>
        </w:rPr>
      </w:r>
      <w:bookmarkStart w:id="283" w:name="Tc_v49dGiJrKUaUjiy4kt8p1Q_33_8"/>
      <w:bookmarkStart w:id="284" w:name="Tc_3AwjOf5p4kGcsQIy_Ss8TA_33_5"/>
      <w:bookmarkStart w:id="285" w:name="Tc_3LqTmXwCqUa6O-2e1u3jEQ_33_2"/>
      <w:bookmarkStart w:id="286" w:name="Tc_m84IbUcbT0enwQSd866gLw_33_0"/>
      <w:bookmarkStart w:id="287" w:name="Tc_nANvPIRfg0O3d7G84ygFiw_32_8"/>
      <w:bookmarkStart w:id="288" w:name="Tc_Cwmp-TPrN0enXepqSLWHrg_32_5"/>
      <w:bookmarkStart w:id="289" w:name="Tc_Rg1ZnfQIMkiHUg65Emb3UA_32_2"/>
      <w:bookmarkStart w:id="290" w:name="Tc_j6DEbOSnsU-SlXgiom4R0Q_32_0"/>
      <w:bookmarkStart w:id="291" w:name="Tc_RpxXVZSNM0CKtwR8vQFriQ_30_8"/>
      <w:bookmarkStart w:id="292" w:name="Tc_pYRc5_qAc0GZ_Sc-RLLo0A_30_5"/>
      <w:bookmarkStart w:id="293" w:name="Tc_AeSn2SNmPUCKqF5Fzg_1Cw_30_2"/>
      <w:bookmarkStart w:id="294" w:name="Tc_eAKM7zDcS0OHAB-LFe2dHQ_30_0"/>
      <w:bookmarkStart w:id="295" w:name="Tc_MfEsyJ85J0OY7iqCo8nr0Q_29_0"/>
      <w:bookmarkStart w:id="296" w:name="Tc_LqzpHPhVl0m7LBujhbUOAA_28_0"/>
      <w:bookmarkStart w:id="297" w:name="Tc_fagDqAov6Uisq96uFyIjJg_27_0"/>
      <w:bookmarkStart w:id="298" w:name="Tc_pP_s15BUFkO-xQgUZc4tvw_26_0"/>
      <w:bookmarkStart w:id="299" w:name="Tc_VC20iQK2nkS-cvHK2mx0mg_25_0"/>
      <w:bookmarkStart w:id="300" w:name="Tc_CKWtF4FlCkGPf2uOIkfeIg_24_0"/>
      <w:bookmarkStart w:id="301" w:name="Tc_nxUym-z980SwggYjuAfSzA_23_0"/>
      <w:bookmarkStart w:id="302" w:name="Tc_HDSDUxzUX0O9Nz9vY5_y4Q_22_0"/>
      <w:bookmarkStart w:id="303" w:name="Tc_cOIsOpYfC0CPONO32pYskg_21_0"/>
      <w:bookmarkStart w:id="304" w:name="Tc_h6xlkfh81kOzDRYRIXDGGg_20_0"/>
      <w:bookmarkStart w:id="305" w:name="Tc_mhWMDk74yEex3CTClcn0Nw_19_0"/>
      <w:bookmarkStart w:id="306" w:name="Tc_hTAgD-HuZkuHaRlJv2lW-Q_18_9"/>
      <w:bookmarkStart w:id="307" w:name="Tc_N4rD70i4JUqzxWw7trmmIg_18_6"/>
      <w:bookmarkStart w:id="308" w:name="Tc_Vx23vfBVCUy44eTexvrcYQ_18_0"/>
      <w:bookmarkStart w:id="309" w:name="Tc_31NBsujWvUiy8GE915oCmw_17_0"/>
      <w:bookmarkStart w:id="310" w:name="Tc_zNIP6zJ1XUyBe309EF725g_16_0"/>
      <w:bookmarkStart w:id="311" w:name="Tc_tS78_to57kijL2myU0jACQ_15_0"/>
      <w:bookmarkStart w:id="312" w:name="Tc_-vn75Yj7lEmyov9Z3A1LEA_14_0"/>
      <w:bookmarkStart w:id="313" w:name="Tc_yhXm5R65TEKdxyrV0CjLfg_13_0"/>
      <w:bookmarkStart w:id="314" w:name="Tc_che3Bea00U6c0RTTy70FMw_12_0"/>
      <w:bookmarkStart w:id="315" w:name="Tc_Pcmbuo1Va0uTS3TUL2RLdg_11_0"/>
      <w:bookmarkStart w:id="316" w:name="Tc_Fb5rfnMlK02zBNhuvJTvgA_10_0"/>
      <w:bookmarkStart w:id="317" w:name="Tc_IgToU0B4RUSVDtpXRAnNgQ_9_0"/>
      <w:bookmarkStart w:id="318" w:name="Tc_8vvtb8bEi0KUTAczgNyhqg_8_0"/>
      <w:bookmarkStart w:id="319" w:name="Tc_NBRcPnFaAkOxh20D-fpcUg_7_0"/>
      <w:bookmarkStart w:id="320" w:name="Tc_zThguKQ5yEy8HIoziiEZBQ_6_0"/>
      <w:bookmarkStart w:id="321" w:name="Tc_n1Lo_xCZXUGjzIZc57BLWA_5_8"/>
      <w:bookmarkStart w:id="322" w:name="Tc_S_GdmexJyEeSNo9GaZy0jQ_5_5"/>
      <w:bookmarkStart w:id="323" w:name="Tc_H5dqV90yRUOPJWNJcGQayA_5_2"/>
      <w:bookmarkStart w:id="324" w:name="Tc_MvEDogVxqkO7LPnthw2s-g_5_0"/>
      <w:bookmarkStart w:id="325" w:name="Tc_6TEzxEA9vkKXInh4u0Ldzg_4_0"/>
      <w:bookmarkStart w:id="326" w:name="Tc_0U4lUYxMBUCI0O3FgkkBKQ_2_8"/>
      <w:bookmarkStart w:id="327" w:name="Tc_AdrNOxsLQE-ig8bQIInDHA_2_5"/>
      <w:bookmarkStart w:id="328" w:name="Tc__WxOVeAds0-amgSpdPPWng_2_2"/>
      <w:bookmarkStart w:id="329" w:name="Tc_24An42wt3ke0eru-3ZC5SQ_1_2"/>
      <w:bookmarkStart w:id="330" w:name="_4efb1144_cceb_4af3_a271_720eb64a402b"/>
      <w:bookmarkStart w:id="331" w:name="_1188b787_379d_41bb_9801_c93befda7532"/>
      <w:bookmarkStart w:id="332" w:name="Tc_v49dGiJrKUaUjiy4kt8p1Q_33_8"/>
      <w:bookmarkStart w:id="333" w:name="Tc_3AwjOf5p4kGcsQIy_Ss8TA_33_5"/>
      <w:bookmarkStart w:id="334" w:name="Tc_3LqTmXwCqUa6O-2e1u3jEQ_33_2"/>
      <w:bookmarkStart w:id="335" w:name="Tc_m84IbUcbT0enwQSd866gLw_33_0"/>
      <w:bookmarkStart w:id="336" w:name="Tc_nANvPIRfg0O3d7G84ygFiw_32_8"/>
      <w:bookmarkStart w:id="337" w:name="Tc_Cwmp-TPrN0enXepqSLWHrg_32_5"/>
      <w:bookmarkStart w:id="338" w:name="Tc_Rg1ZnfQIMkiHUg65Emb3UA_32_2"/>
      <w:bookmarkStart w:id="339" w:name="Tc_j6DEbOSnsU-SlXgiom4R0Q_32_0"/>
      <w:bookmarkStart w:id="340" w:name="Tc_RpxXVZSNM0CKtwR8vQFriQ_30_8"/>
      <w:bookmarkStart w:id="341" w:name="Tc_pYRc5_qAc0GZ_Sc-RLLo0A_30_5"/>
      <w:bookmarkStart w:id="342" w:name="Tc_AeSn2SNmPUCKqF5Fzg_1Cw_30_2"/>
      <w:bookmarkStart w:id="343" w:name="Tc_eAKM7zDcS0OHAB-LFe2dHQ_30_0"/>
      <w:bookmarkStart w:id="344" w:name="Tc_MfEsyJ85J0OY7iqCo8nr0Q_29_0"/>
      <w:bookmarkStart w:id="345" w:name="Tc_LqzpHPhVl0m7LBujhbUOAA_28_0"/>
      <w:bookmarkStart w:id="346" w:name="Tc_fagDqAov6Uisq96uFyIjJg_27_0"/>
      <w:bookmarkStart w:id="347" w:name="Tc_pP_s15BUFkO-xQgUZc4tvw_26_0"/>
      <w:bookmarkStart w:id="348" w:name="Tc_VC20iQK2nkS-cvHK2mx0mg_25_0"/>
      <w:bookmarkStart w:id="349" w:name="Tc_CKWtF4FlCkGPf2uOIkfeIg_24_0"/>
      <w:bookmarkStart w:id="350" w:name="Tc_nxUym-z980SwggYjuAfSzA_23_0"/>
      <w:bookmarkStart w:id="351" w:name="Tc_HDSDUxzUX0O9Nz9vY5_y4Q_22_0"/>
      <w:bookmarkStart w:id="352" w:name="Tc_cOIsOpYfC0CPONO32pYskg_21_0"/>
      <w:bookmarkStart w:id="353" w:name="Tc_h6xlkfh81kOzDRYRIXDGGg_20_0"/>
      <w:bookmarkStart w:id="354" w:name="Tc_mhWMDk74yEex3CTClcn0Nw_19_0"/>
      <w:bookmarkStart w:id="355" w:name="Tc_hTAgD-HuZkuHaRlJv2lW-Q_18_9"/>
      <w:bookmarkStart w:id="356" w:name="Tc_N4rD70i4JUqzxWw7trmmIg_18_6"/>
      <w:bookmarkStart w:id="357" w:name="Tc_Vx23vfBVCUy44eTexvrcYQ_18_0"/>
      <w:bookmarkStart w:id="358" w:name="Tc_31NBsujWvUiy8GE915oCmw_17_0"/>
      <w:bookmarkStart w:id="359" w:name="Tc_zNIP6zJ1XUyBe309EF725g_16_0"/>
      <w:bookmarkStart w:id="360" w:name="Tc_tS78_to57kijL2myU0jACQ_15_0"/>
      <w:bookmarkStart w:id="361" w:name="Tc_-vn75Yj7lEmyov9Z3A1LEA_14_0"/>
      <w:bookmarkStart w:id="362" w:name="Tc_yhXm5R65TEKdxyrV0CjLfg_13_0"/>
      <w:bookmarkStart w:id="363" w:name="Tc_che3Bea00U6c0RTTy70FMw_12_0"/>
      <w:bookmarkStart w:id="364" w:name="Tc_Pcmbuo1Va0uTS3TUL2RLdg_11_0"/>
      <w:bookmarkStart w:id="365" w:name="Tc_Fb5rfnMlK02zBNhuvJTvgA_10_0"/>
      <w:bookmarkStart w:id="366" w:name="Tc_IgToU0B4RUSVDtpXRAnNgQ_9_0"/>
      <w:bookmarkStart w:id="367" w:name="Tc_8vvtb8bEi0KUTAczgNyhqg_8_0"/>
      <w:bookmarkStart w:id="368" w:name="Tc_NBRcPnFaAkOxh20D-fpcUg_7_0"/>
      <w:bookmarkStart w:id="369" w:name="Tc_zThguKQ5yEy8HIoziiEZBQ_6_0"/>
      <w:bookmarkStart w:id="370" w:name="Tc_n1Lo_xCZXUGjzIZc57BLWA_5_8"/>
      <w:bookmarkStart w:id="371" w:name="Tc_S_GdmexJyEeSNo9GaZy0jQ_5_5"/>
      <w:bookmarkStart w:id="372" w:name="Tc_H5dqV90yRUOPJWNJcGQayA_5_2"/>
      <w:bookmarkStart w:id="373" w:name="Tc_MvEDogVxqkO7LPnthw2s-g_5_0"/>
      <w:bookmarkStart w:id="374" w:name="Tc_6TEzxEA9vkKXInh4u0Ldzg_4_0"/>
      <w:bookmarkStart w:id="375" w:name="Tc_0U4lUYxMBUCI0O3FgkkBKQ_2_8"/>
      <w:bookmarkStart w:id="376" w:name="Tc_AdrNOxsLQE-ig8bQIInDHA_2_5"/>
      <w:bookmarkStart w:id="377" w:name="Tc__WxOVeAds0-amgSpdPPWng_2_2"/>
      <w:bookmarkStart w:id="378" w:name="Tc_24An42wt3ke0eru-3ZC5SQ_1_2"/>
      <w:bookmarkStart w:id="379" w:name="_4efb1144_cceb_4af3_a271_720eb64a402b"/>
      <w:bookmarkStart w:id="380" w:name="_1188b787_379d_41bb_9801_c93befda7532"/>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tbl>
      <w:tblPr>
        <w:tblW w:w="7810" w:type="dxa"/>
        <w:jc w:val="left"/>
        <w:tblInd w:w="0" w:type="dxa"/>
        <w:tblLayout w:type="fixed"/>
        <w:tblCellMar>
          <w:top w:w="0" w:type="dxa"/>
          <w:left w:w="0" w:type="dxa"/>
          <w:bottom w:w="0" w:type="dxa"/>
          <w:right w:w="0" w:type="dxa"/>
        </w:tblCellMar>
      </w:tblPr>
      <w:tblGrid>
        <w:gridCol w:w="4036"/>
        <w:gridCol w:w="326"/>
        <w:gridCol w:w="196"/>
        <w:gridCol w:w="721"/>
        <w:gridCol w:w="326"/>
        <w:gridCol w:w="196"/>
        <w:gridCol w:w="721"/>
        <w:gridCol w:w="326"/>
        <w:gridCol w:w="196"/>
        <w:gridCol w:w="76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62860" cy="175260"/>
                      <wp:effectExtent l="0" t="0" r="0" b="0"/>
                      <wp:wrapNone/>
                      <wp:docPr id="293" name="Frame29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95" name="Frame2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57835" cy="175260"/>
                      <wp:effectExtent l="0" t="0" r="0" b="0"/>
                      <wp:wrapNone/>
                      <wp:docPr id="296" name="Frame29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4460" cy="175260"/>
                      <wp:effectExtent l="0" t="0" r="0" b="0"/>
                      <wp:wrapNone/>
                      <wp:docPr id="298" name="Frame2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57835" cy="175260"/>
                      <wp:effectExtent l="0" t="0" r="0" b="0"/>
                      <wp:wrapNone/>
                      <wp:docPr id="299" name="Frame29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86410" cy="175260"/>
                      <wp:effectExtent l="0" t="0" r="0" b="0"/>
                      <wp:wrapNone/>
                      <wp:docPr id="302" name="Frame30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4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81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48" w:type="dxa"/>
            <w:gridSpan w:val="8"/>
            <w:tcBorders/>
            <w:vAlign w:val="center"/>
          </w:tcPr>
          <w:p>
            <w:pPr>
              <w:pStyle w:val="TableContents"/>
              <w:bidi w:val="0"/>
              <w:spacing w:before="0" w:after="1"/>
              <w:ind w:left="0" w:right="0" w:hanging="0"/>
              <w:jc w:val="center"/>
              <w:rPr/>
            </w:pPr>
            <w:r>
              <w:rPr/>
              <w:t>​</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center"/>
              <w:rPr/>
            </w:pPr>
            <w:r>
              <w:rPr/>
              <w:t>​</w:t>
            </w:r>
          </w:p>
        </w:tc>
        <w:tc>
          <w:tcPr>
            <w:tcW w:w="766" w:type="dxa"/>
            <w:tcBorders/>
            <w:shd w:fill="CCEEFF" w:val="clear"/>
            <w:vAlign w:val="center"/>
          </w:tcPr>
          <w:p>
            <w:pPr>
              <w:pStyle w:val="TableContents"/>
              <w:bidi w:val="0"/>
              <w:spacing w:before="0" w:after="1"/>
              <w:ind w:left="0" w:right="0" w:hanging="0"/>
              <w:jc w:val="right"/>
              <w:rPr/>
            </w:pPr>
            <w:r>
              <w:rPr/>
              <w:t>  </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567,124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480,830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415,473</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99,652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76,151</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666,776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572,387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491,624</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66" w:type="dxa"/>
            <w:tcBorders/>
            <w:shd w:fill="CCEEFF" w:val="clear"/>
            <w:vAlign w:val="center"/>
          </w:tcPr>
          <w:p>
            <w:pPr>
              <w:pStyle w:val="TableContents"/>
              <w:bidi w:val="0"/>
              <w:spacing w:before="0" w:after="1"/>
              <w:ind w:left="0" w:right="0" w:hanging="0"/>
              <w:jc w:val="right"/>
              <w:rPr/>
            </w:pPr>
            <w:r>
              <w:rPr/>
              <w:t>  </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175,580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162,920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142,071</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60,888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51,061</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240,651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223,808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193,132</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426,125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348,579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298,492</w:t>
            </w:r>
          </w:p>
        </w:tc>
      </w:tr>
      <w:tr>
        <w:trPr/>
        <w:tc>
          <w:tcPr>
            <w:tcW w:w="403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right"/>
              <w:rPr/>
            </w:pPr>
            <w:r>
              <w:rPr/>
              <w:t>  </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41,877</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and marketing</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170,574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140,237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125,335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152,835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145,936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121,651</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20,953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12,440</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operating expense (income), net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5,271</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428,353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366,089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306,574</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(17,510)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(8,082)</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2,048</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(10,130)</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Income tax expense (benefit)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2,174</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(13,093)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(12,304)</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66"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(5,978)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10,219</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investments,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24,137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10,255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(22,559)</w: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per share of Class A and Class B, basic</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(0.08)</w:t>
            </w:r>
          </w:p>
        </w:tc>
      </w:tr>
      <w:tr>
        <w:trPr/>
        <w:tc>
          <w:tcPr>
            <w:tcW w:w="403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 per share of Class A and Class B, dilutive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(0.08)</w: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center"/>
        <w:rPr/>
      </w:pPr>
      <w:r>
        <w:rPr/>
        <w:t>​</w:t>
      </w:r>
    </w:p>
    <w:p>
      <w:pPr>
        <w:pStyle w:val="TextBody"/>
        <w:bidi w:val="0"/>
        <w:spacing w:before="0" w:after="12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1" w:name="_b4b795b5_5f68_4e9e_907b_e5e0c2b90a2c"/>
      <w:bookmarkEnd w:id="381"/>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bookmarkStart w:id="382" w:name="ConsolidatedStatementsofChangesinEquity_"/>
      <w:bookmarkEnd w:id="382"/>
      <w:r>
        <w:rPr>
          <w:rFonts w:ascii="Times New Roman;Times;serif" w:hAnsi="Times New Roman;Times;serif"/>
          <w:b/>
          <w:sz w:val="20"/>
        </w:rPr>
        <w:t xml:space="preserve">Consolidated Statements of Stockholders’ Equity </w:t>
      </w:r>
    </w:p>
    <w:p>
      <w:pPr>
        <w:pStyle w:val="TextBody"/>
        <w:bidi w:val="0"/>
        <w:spacing w:before="0" w:after="160"/>
        <w:ind w:left="0" w:right="0" w:hanging="0"/>
        <w:jc w:val="center"/>
        <w:rPr>
          <w:rFonts w:ascii="Times New Roman;Times;serif" w:hAnsi="Times New Roman;Times;serif"/>
          <w:sz w:val="16"/>
        </w:rPr>
      </w:pPr>
      <w:r>
        <w:rPr>
          <w:rFonts w:ascii="Times New Roman;Times;serif" w:hAnsi="Times New Roman;Times;serif"/>
          <w:sz w:val="16"/>
        </w:rPr>
        <w:t>(Amounts in thousands)</w:t>
      </w:r>
    </w:p>
    <w:p>
      <w:pPr>
        <w:pStyle w:val="Normal"/>
        <w:bidi w:val="0"/>
        <w:spacing w:before="0" w:after="0"/>
        <w:jc w:val="left"/>
        <w:rPr>
          <w:sz w:val="4"/>
          <w:szCs w:val="4"/>
        </w:rPr>
      </w:pPr>
      <w:r>
        <w:rPr>
          <w:sz w:val="4"/>
          <w:szCs w:val="4"/>
        </w:rPr>
      </w:r>
      <w:bookmarkStart w:id="383" w:name="Tc_Roc2Wp66kEqWb5prSxgXBw_37_21"/>
      <w:bookmarkStart w:id="384" w:name="Tc_P58CuuI5v0yHAAdscNtd1g_37_18"/>
      <w:bookmarkStart w:id="385" w:name="Tc_Jro0S1q8y0e2gZPyxaFRig_37_15"/>
      <w:bookmarkStart w:id="386" w:name="Tc_AJsoeiVO8E6RMt5KfubZfg_37_12"/>
      <w:bookmarkStart w:id="387" w:name="Tc_kF8Bu756E06HktIW5NDZyQ_37_9"/>
      <w:bookmarkStart w:id="388" w:name="Tc_9TD7ae3dukO22iS8foKkOA_37_4"/>
      <w:bookmarkStart w:id="389" w:name="Tc_dDxBL3O3u0yIteifF7R1bg_37_0"/>
      <w:bookmarkStart w:id="390" w:name="Tc_kK0m9yG0eEe6m6LbrF-Hhg_36_19"/>
      <w:bookmarkStart w:id="391" w:name="Tc_-fLQQIs1J0Gj1-eg4OTOVg_36_13"/>
      <w:bookmarkStart w:id="392" w:name="Tc_u6tQBOtiCE-ap1g_owYQhg_36_10"/>
      <w:bookmarkStart w:id="393" w:name="Tc_qP8jZv5JLEmDqq_rjgnKNg_36_7"/>
      <w:bookmarkStart w:id="394" w:name="Tc_bhWPCVWy5kqHYp-jDOU1fQ_36_5"/>
      <w:bookmarkStart w:id="395" w:name="Tc_xoA8hcsHlUO6AiX-zBpHSw_36_2"/>
      <w:bookmarkStart w:id="396" w:name="Tc_BFmlMsPjLUGmhWXsHzrHCw_36_0"/>
      <w:bookmarkStart w:id="397" w:name="Tc_DiQMbSCAX0WN9BMBtQdj8Q_35_16"/>
      <w:bookmarkStart w:id="398" w:name="Tc_UdqAMtFmK02sGMHqfzl_Lw_35_13"/>
      <w:bookmarkStart w:id="399" w:name="Tc_rGnAq-shJkWNpXPf8dzEFg_35_10"/>
      <w:bookmarkStart w:id="400" w:name="Tc_PC910j9xS02ASq_XJrSz-A_35_7"/>
      <w:bookmarkStart w:id="401" w:name="Tc_ih9YlPr_yUCGRinywv96kg_35_5"/>
      <w:bookmarkStart w:id="402" w:name="Tc_aFCBu_sjekCtuBgy7dZGjQ_35_2"/>
      <w:bookmarkStart w:id="403" w:name="Tc_I008-ACf0USPnyftkrlLig_35_0"/>
      <w:bookmarkStart w:id="404" w:name="Tc_8O2Ykpy1UkewEQl93-LKEQ_34_16"/>
      <w:bookmarkStart w:id="405" w:name="Tc_g14I7uBCXU6AbLwWWDiGZw_34_13"/>
      <w:bookmarkStart w:id="406" w:name="Tc_z7Kc6uS1G02DXP1aZy0z9A_34_10"/>
      <w:bookmarkStart w:id="407" w:name="Tc_4YETBQ3cr0yrALGwLr7BdQ_34_7"/>
      <w:bookmarkStart w:id="408" w:name="Tc_wadY0ZThkESwLlAtVxgv0g_34_5"/>
      <w:bookmarkStart w:id="409" w:name="Tc_YT_b96mZCEKuG0XeHJW45w_34_2"/>
      <w:bookmarkStart w:id="410" w:name="Tc_s-sooeMgWEGmH6g9lQ-59Q_34_0"/>
      <w:bookmarkStart w:id="411" w:name="Tc_bqZBg4QJt0KwOvs7ugC8iw_33_19"/>
      <w:bookmarkStart w:id="412" w:name="Tc_U58qlBQmtUqDvd-y2woGIQ_33_16"/>
      <w:bookmarkStart w:id="413" w:name="Tc_65Xz9b2PskidV9I2kbFk7w_33_10"/>
      <w:bookmarkStart w:id="414" w:name="Tc_sDiXYsQRQE2gkpXTmwJUXg_33_7"/>
      <w:bookmarkStart w:id="415" w:name="Tc_zncvgbGI4EOb9lgVKRfnQQ_33_5"/>
      <w:bookmarkStart w:id="416" w:name="Tc_SzB1FUsnCEaJEUWClNeNDA_33_2"/>
      <w:bookmarkStart w:id="417" w:name="Tc_iNxh9Txju0GsUVK4EfeysA_33_0"/>
      <w:bookmarkStart w:id="418" w:name="Tc_3yeV1zwxtUO3SQZWIKCUnA_32_19"/>
      <w:bookmarkStart w:id="419" w:name="Tc_oxdHxubR7kqZAwyo8jbhVw_32_16"/>
      <w:bookmarkStart w:id="420" w:name="Tc_cdqG8PWPTkicRJgdt_hyIQ_32_10"/>
      <w:bookmarkStart w:id="421" w:name="Tc_lMEL1ylFqkK3QZNqW7_sNA_32_7"/>
      <w:bookmarkStart w:id="422" w:name="Tc_AS0soX9zY0ufv7eowxTDIA_32_5"/>
      <w:bookmarkStart w:id="423" w:name="Tc_xyRy2NOguECNBJpJPn97VA_32_2"/>
      <w:bookmarkStart w:id="424" w:name="Tc_jFYPwYXXoUWXlHs9HZxMjg_32_0"/>
      <w:bookmarkStart w:id="425" w:name="Tc_A85nUgB6iE6GKW24d1c_4Q_31_22"/>
      <w:bookmarkStart w:id="426" w:name="Tc_KshdJ-SN002el8rWn-iNQQ_31_19"/>
      <w:bookmarkStart w:id="427" w:name="Tc_jomIuzVVnkS8IWLzeU5oYg_31_16"/>
      <w:bookmarkStart w:id="428" w:name="Tc_zHtW2fUB1U-9EO-nb7U6kA_31_13"/>
      <w:bookmarkStart w:id="429" w:name="Tc_E76EddoQPk-Sk_VXa_R9Bw_31_0"/>
      <w:bookmarkStart w:id="430" w:name="Tc_pVEQeaaj9E6WnTV7Irk5-g_30_19"/>
      <w:bookmarkStart w:id="431" w:name="Tc_QDex0qviz0-jWuopmV9VbA_30_16"/>
      <w:bookmarkStart w:id="432" w:name="Tc_iB9gYYMfb0WlctXQU3N6Uw_30_10"/>
      <w:bookmarkStart w:id="433" w:name="Tc_zCjqtJKD-0qW-Z8pkLOwmQ_30_7"/>
      <w:bookmarkStart w:id="434" w:name="Tc_CAVEwxmyNEaOMY_mq-rHnw_30_5"/>
      <w:bookmarkStart w:id="435" w:name="Tc_qSO5JkktDkO8ADaL2xf2cg_30_2"/>
      <w:bookmarkStart w:id="436" w:name="Tc_XcW5gSIL0k6tyGyH__HTRw_30_0"/>
      <w:bookmarkStart w:id="437" w:name="Tc_nmpDmOAmWE25FT2zJijAjg_29_19"/>
      <w:bookmarkStart w:id="438" w:name="Tc_6oBTnPojaEihdUuBMAgFJw_29_16"/>
      <w:bookmarkStart w:id="439" w:name="Tc_9eFTfmIJp0ydhZ1Eviz5dQ_29_10"/>
      <w:bookmarkStart w:id="440" w:name="Tc_wGAX1RYCiEeOJ5HHZv3BYA_29_7"/>
      <w:bookmarkStart w:id="441" w:name="Tc_bLAK7BgIake0zZ5Z7DmQMA_29_5"/>
      <w:bookmarkStart w:id="442" w:name="Tc__XoEbiC0F0WWPH1TzHmaRw_29_0"/>
      <w:bookmarkStart w:id="443" w:name="Tc_-PAEi5nwYUGdmWEnrQ7Yuw_28_19"/>
      <w:bookmarkStart w:id="444" w:name="Tc_35icN2pghUqUBg8XZXTLYg_28_16"/>
      <w:bookmarkStart w:id="445" w:name="Tc_5G3jgjwWBE2S-Dd8mx4N_g_28_10"/>
      <w:bookmarkStart w:id="446" w:name="Tc_-y-RXkBTlkSw6ZyXz6pGXQ_28_7"/>
      <w:bookmarkStart w:id="447" w:name="Tc_Pz_XUzYbRU-kCIvGugoo2w_28_5"/>
      <w:bookmarkStart w:id="448" w:name="Tc_7VyMcAnlcESg0e0gNJewYw_28_0"/>
      <w:bookmarkStart w:id="449" w:name="Tc_xqRhBWc1aUKDMSw3VCG3-A_27_19"/>
      <w:bookmarkStart w:id="450" w:name="Tc_INqGxdvA4EGP8c2JfU_IJw_27_16"/>
      <w:bookmarkStart w:id="451" w:name="Tc_xOLfanFYf0y9EfE5v5Z9KQ_27_10"/>
      <w:bookmarkStart w:id="452" w:name="Tc_lls3OYfeUEudGmlV-zsj2Q_27_7"/>
      <w:bookmarkStart w:id="453" w:name="Tc_w5MqZ3Pz0UCvN4NDnhPH_g_27_0"/>
      <w:bookmarkStart w:id="454" w:name="Tc_ea8nIJvybkqPcouR4FIihg_26_19"/>
      <w:bookmarkStart w:id="455" w:name="Tc_aSyZxQTlvEK_o-BiHWPkmw_26_16"/>
      <w:bookmarkStart w:id="456" w:name="Tc_MipFYhDqIkSGWryTjMOH6w_26_10"/>
      <w:bookmarkStart w:id="457" w:name="Tc_IyaqPOQDV0qafHEkMVwV1g_26_7"/>
      <w:bookmarkStart w:id="458" w:name="Tc_pvccON_F0UiXXHbt_DPjlw_26_0"/>
      <w:bookmarkStart w:id="459" w:name="Tc_W_cYLejxVUmdGUJmU4B_CA_25_0"/>
      <w:bookmarkStart w:id="460" w:name="Tc_v4pg21WV80KRKlpKP46cgw_24_19"/>
      <w:bookmarkStart w:id="461" w:name="Tc_CxCm4tNCkEy8-ACnXRylNQ_24_13"/>
      <w:bookmarkStart w:id="462" w:name="Tc_15gf_PI_mkiWGZLGmLY_Fw_24_10"/>
      <w:bookmarkStart w:id="463" w:name="Tc_6lh0IbfImUmgrbs04KGO0Q_24_7"/>
      <w:bookmarkStart w:id="464" w:name="Tc_vPDDSE_nDku_JdtontgOcg_24_5"/>
      <w:bookmarkStart w:id="465" w:name="Tc_jw6T85BExUOBpsnlniTTdw_24_2"/>
      <w:bookmarkStart w:id="466" w:name="Tc_mTdwC-1y8UO8DUKO-Mj32A_24_0"/>
      <w:bookmarkStart w:id="467" w:name="Tc_xQCtUf5j6EOvqKUF6SUJ2w_23_16"/>
      <w:bookmarkStart w:id="468" w:name="Tc_QV-6QJoc6kGqgWBq8NkPpQ_23_13"/>
      <w:bookmarkStart w:id="469" w:name="Tc_RnaQM0c7sEiU1gm_hBoFOA_23_10"/>
      <w:bookmarkStart w:id="470" w:name="Tc_cGQDF6zmjEWmYVSrD2-YOQ_23_7"/>
      <w:bookmarkStart w:id="471" w:name="Tc_PDVpJFXy6E2vKN9hWJyamg_23_5"/>
      <w:bookmarkStart w:id="472" w:name="Tc_Qqtufi518kOiuhbwxzXBmQ_23_2"/>
      <w:bookmarkStart w:id="473" w:name="Tc_KggLyfKJLUW-JPm08IROAw_23_0"/>
      <w:bookmarkStart w:id="474" w:name="Tc_Ualp__fKnkypxGxqyB5QRw_22_16"/>
      <w:bookmarkStart w:id="475" w:name="Tc_ahwzy9dIkUeTtgDvSZMGhQ_22_13"/>
      <w:bookmarkStart w:id="476" w:name="Tc_xXCRa_HHjkqcoHPnjuLvJA_22_10"/>
      <w:bookmarkStart w:id="477" w:name="Tc_TiimrNufqEWidULFEO5aCw_22_7"/>
      <w:bookmarkStart w:id="478" w:name="Tc_NRM29OMsgk6_EDr0RkpVnw_22_5"/>
      <w:bookmarkStart w:id="479" w:name="Tc_1M0D0pdKy0yD-CaOvJb58w_22_2"/>
      <w:bookmarkStart w:id="480" w:name="Tc_RFAZHKuc1USIYbhVTQ4TBQ_22_0"/>
      <w:bookmarkStart w:id="481" w:name="Tc_BwRZsfWzqEqJtZbN4oWChQ_21_22"/>
      <w:bookmarkStart w:id="482" w:name="Tc_08S0tY1sh0eKQUVHdQYyUA_21_19"/>
      <w:bookmarkStart w:id="483" w:name="Tc_8bpxlK2S_0mj4I1W4Z_Rpg_21_16"/>
      <w:bookmarkStart w:id="484" w:name="Tc_oKnOQq5W00KhCNgflK8_Ww_21_13"/>
      <w:bookmarkStart w:id="485" w:name="Tc_KqOwZegMX0ixJK2urAi7dw_21_0"/>
      <w:bookmarkStart w:id="486" w:name="Tc_9ex_Cu93_U-66eRIgfkcqg_20_19"/>
      <w:bookmarkStart w:id="487" w:name="Tc_PLXtBvx_o0G1pa-EE9iy6g_20_16"/>
      <w:bookmarkStart w:id="488" w:name="Tc_wWnVEyoVL0qycYbzBWxQjQ_20_10"/>
      <w:bookmarkStart w:id="489" w:name="Tc_RWoLAOs0oUqPHHx_hbu4sQ_20_7"/>
      <w:bookmarkStart w:id="490" w:name="Tc_F5XR20xJDU-QutcKYbeGpw_20_5"/>
      <w:bookmarkStart w:id="491" w:name="Tc_uSenpjpuXEy5G2JQQXYHcg_20_2"/>
      <w:bookmarkStart w:id="492" w:name="Tc_iGngdch490Wf8SqbdMgjBw_20_0"/>
      <w:bookmarkStart w:id="493" w:name="Tc_ZRbalLeAa0aOeSASQQ0VPw_19_19"/>
      <w:bookmarkStart w:id="494" w:name="Tc_XCCdR9qQHU-6dnYTuaQscw_19_16"/>
      <w:bookmarkStart w:id="495" w:name="Tc_uIrg9ehE_EOXW5fH9SYTDw_19_10"/>
      <w:bookmarkStart w:id="496" w:name="Tc_G_UyJ6VB40-H3rxdcZDsFw_19_7"/>
      <w:bookmarkStart w:id="497" w:name="Tc_ppQEuGTpHk6Ftolwc-_ieA_19_5"/>
      <w:bookmarkStart w:id="498" w:name="Tc_JKuhLX-r_0OIF50qQZt8xg_19_0"/>
      <w:bookmarkStart w:id="499" w:name="Tc_7U5o3MAUYUS9JI_U3W92DA_18_19"/>
      <w:bookmarkStart w:id="500" w:name="Tc_8fgQYlRUlEGlXsiv7DewwA_18_16"/>
      <w:bookmarkStart w:id="501" w:name="Tc_KT859TuTW0-El1vYLstvKw_18_10"/>
      <w:bookmarkStart w:id="502" w:name="Tc_1a2NH6qeYUGT6AsSlAc-ZA_18_7"/>
      <w:bookmarkStart w:id="503" w:name="Tc_Tk6jWXbOS0WhZmHSD64ejg_18_5"/>
      <w:bookmarkStart w:id="504" w:name="Tc_QzC9N2Ls-U-7ebhkVC5EfA_18_0"/>
      <w:bookmarkStart w:id="505" w:name="Tc_OdLOpuhniESfIWjGnuoyxw_17_19"/>
      <w:bookmarkStart w:id="506" w:name="Tc_vdch0JEo-0Opph69rbQncA_17_16"/>
      <w:bookmarkStart w:id="507" w:name="Tc_-nqspshxUkee3Ejs0W3ttQ_17_10"/>
      <w:bookmarkStart w:id="508" w:name="Tc_qqKyylNNp0GKbZW6In3n5A_17_7"/>
      <w:bookmarkStart w:id="509" w:name="Tc_JTGvRMGS90mOcEdRrfHVqg_17_0"/>
      <w:bookmarkStart w:id="510" w:name="Tc_BKDSh2eJu0Gjpi7pM9X5LA_16_19"/>
      <w:bookmarkStart w:id="511" w:name="Tc_N1zYHTD30U2fswaaD7_KJw_16_16"/>
      <w:bookmarkStart w:id="512" w:name="Tc_zWCH008mt0qezCZiqMtLdA_16_10"/>
      <w:bookmarkStart w:id="513" w:name="Tc_MQCOfsv29kmJlbwuVuAVgw_16_7"/>
      <w:bookmarkStart w:id="514" w:name="Tc__WSJyOGHHE2343GP3lQtVQ_16_0"/>
      <w:bookmarkStart w:id="515" w:name="Tc_LZ-OSRUky02p2CWFV3-7Iw_15_0"/>
      <w:bookmarkStart w:id="516" w:name="Tc_y4BkEsyUYkWzqxVQrOZ7WA_14_19"/>
      <w:bookmarkStart w:id="517" w:name="Tc_9fKK2E8AZ0q_Pry209z2BQ_14_13"/>
      <w:bookmarkStart w:id="518" w:name="Tc_LXHPAQPhEkawyAXdZSVocg_14_10"/>
      <w:bookmarkStart w:id="519" w:name="Tc_ZvsjSbaXOkmenUw42fE5tA_14_7"/>
      <w:bookmarkStart w:id="520" w:name="Tc_tKpIqWl_SEG_UTs17OnV_Q_14_5"/>
      <w:bookmarkStart w:id="521" w:name="Tc__7doThiT2kWoItT2dUAR8g_14_2"/>
      <w:bookmarkStart w:id="522" w:name="Tc_53F-c8vvJUW0IZPH1Ic3aw_14_0"/>
      <w:bookmarkStart w:id="523" w:name="Tc_QLWflX84vk29PUoGYb0LHw_13_16"/>
      <w:bookmarkStart w:id="524" w:name="Tc_WC4WxQ-QAk6O_pxK7QAzNA_13_13"/>
      <w:bookmarkStart w:id="525" w:name="Tc_Vpebx8bkAUS4vMeIJHj-7w_13_10"/>
      <w:bookmarkStart w:id="526" w:name="Tc_Rk3sbiQB-Ue986a4YGZLrQ_13_7"/>
      <w:bookmarkStart w:id="527" w:name="Tc_cFisYoFFBk6X9hJrSMIHHg_13_5"/>
      <w:bookmarkStart w:id="528" w:name="Tc_3zYzKgA230iNVxTUdiIqhg_13_2"/>
      <w:bookmarkStart w:id="529" w:name="Tc_jTil5qpW8U6lQHEgGeKfpQ_13_0"/>
      <w:bookmarkStart w:id="530" w:name="Tc_BjHmbdc8lkGdIGmxXZuwRw_12_16"/>
      <w:bookmarkStart w:id="531" w:name="Tc_DREgHClfAEuYEonaCQq-jg_12_13"/>
      <w:bookmarkStart w:id="532" w:name="Tc_A1mOGTESSkmkRgYAjd21MA_12_10"/>
      <w:bookmarkStart w:id="533" w:name="Tc_fZnmXO_3mUi5D9982rTD6A_12_7"/>
      <w:bookmarkStart w:id="534" w:name="Tc_jF_VQO4A8EeCIkRYg7mW-w_12_5"/>
      <w:bookmarkStart w:id="535" w:name="Tc_n6ET_CXhWUWIyte8DPsS_Q_12_2"/>
      <w:bookmarkStart w:id="536" w:name="Tc_XUd6TkvmaEKvCNPrR_ChOw_12_0"/>
      <w:bookmarkStart w:id="537" w:name="Tc_8_hDbTTTT0StWm9FJV3qng_11_22"/>
      <w:bookmarkStart w:id="538" w:name="Tc_cXl7yKffVk-qo1mhVQ5qdA_11_19"/>
      <w:bookmarkStart w:id="539" w:name="Tc_31OKQqTrykWzFzPL0yyuDg_11_16"/>
      <w:bookmarkStart w:id="540" w:name="Tc__FCpNJ_QRUCj3w7Ie1RE9Q_11_13"/>
      <w:bookmarkStart w:id="541" w:name="Tc_0BcGwE9GLEeR9twyvyadrg_11_0"/>
      <w:bookmarkStart w:id="542" w:name="Tc_laGYHVC0JkGpELLsJIM_ng_10_19"/>
      <w:bookmarkStart w:id="543" w:name="Tc_3CEtkTP9DkCZdmjd3Gkl9Q_10_16"/>
      <w:bookmarkStart w:id="544" w:name="Tc_d6fCCkLLnU6BY2SsNCRzOQ_10_10"/>
      <w:bookmarkStart w:id="545" w:name="Tc_XhV9hjixP0q4YTWsqrp6mg_10_7"/>
      <w:bookmarkStart w:id="546" w:name="Tc_yWFR2AZk-EeGHRqGewIz5g_10_5"/>
      <w:bookmarkStart w:id="547" w:name="Tc_vD6ELxM6ZU2Wh4_MyTk_xQ_10_2"/>
      <w:bookmarkStart w:id="548" w:name="Tc_-j7jYO9T3EusqE5oi5B1-A_10_0"/>
      <w:bookmarkStart w:id="549" w:name="Tc_QKD8HIfLE0SQ_gNz5PkVGQ_9_19"/>
      <w:bookmarkStart w:id="550" w:name="Tc_XoaUMEixT0GXOn2A3MwccQ_9_16"/>
      <w:bookmarkStart w:id="551" w:name="Tc_cO4sPEclc0ijXsju7MYDxg_9_10"/>
      <w:bookmarkStart w:id="552" w:name="Tc_FuOSUrDNIkaY68-7tuqYGw_9_7"/>
      <w:bookmarkStart w:id="553" w:name="Tc_1q3JMK8UKU-ei1tiV3Et7A_9_5"/>
      <w:bookmarkStart w:id="554" w:name="Tc_bvo0b1ky1E2di0dNzn5mzQ_9_0"/>
      <w:bookmarkStart w:id="555" w:name="Tc_iALbsOxP6UqfhzU2Xvg8wA_8_19"/>
      <w:bookmarkStart w:id="556" w:name="Tc_AXRovnw-J0Gs4YVBDneLUw_8_16"/>
      <w:bookmarkStart w:id="557" w:name="Tc_KMso_cWkKk2Mgfo3bzOqbg_8_10"/>
      <w:bookmarkStart w:id="558" w:name="Tc_8QRCNsc9LEyD89YvDNExDw_8_7"/>
      <w:bookmarkStart w:id="559" w:name="Tc_w20an6pID0OgMgLVkLe7GQ_8_5"/>
      <w:bookmarkStart w:id="560" w:name="Tc_80Ohxlyby0q-dFPAMeDPiw_8_0"/>
      <w:bookmarkStart w:id="561" w:name="Tc_gOd8LkD33UiNs1ojlSltsg_7_19"/>
      <w:bookmarkStart w:id="562" w:name="Tc_N6WK7ioBIk-z3KByiAziGA_7_16"/>
      <w:bookmarkStart w:id="563" w:name="Tc_L5Nja1hFc0-OI7lqqR9JjA_7_10"/>
      <w:bookmarkStart w:id="564" w:name="Tc_Teh5u--IkECohToRQTdzEw_7_7"/>
      <w:bookmarkStart w:id="565" w:name="Tc_PNZRvjp2o0mIDzJZRjjD8w_7_5"/>
      <w:bookmarkStart w:id="566" w:name="Tc_a1bn25t3BU610brZ4CTTXQ_7_0"/>
      <w:bookmarkStart w:id="567" w:name="Tc_nbvYE32PZ0m0_g9NwmhyXQ_6_19"/>
      <w:bookmarkStart w:id="568" w:name="Tc_tf1AnSb6e0O1seWhVH9F8A_6_16"/>
      <w:bookmarkStart w:id="569" w:name="Tc_M4lTww2zukOcA1v97MYAIQ_6_10"/>
      <w:bookmarkStart w:id="570" w:name="Tc_WmGCd_AAnkqSOFDISgj7hg_6_7"/>
      <w:bookmarkStart w:id="571" w:name="Tc_IHI1JH2j9kKgQTISs2gupQ_6_0"/>
      <w:bookmarkStart w:id="572" w:name="Tc_PHUS3skBpE-Lj7_IdJgadQ_5_21"/>
      <w:bookmarkStart w:id="573" w:name="Tc_1cxB0uUoF0mLKaPvSdKdnw_5_18"/>
      <w:bookmarkStart w:id="574" w:name="Tc_MJEt088Th0CjEWNM95k5Tw_5_15"/>
      <w:bookmarkStart w:id="575" w:name="Tc_TJfMWbkPpUqh2ORdIu11ng_5_12"/>
      <w:bookmarkStart w:id="576" w:name="Tc_7k_Ao-umoEuZ713yG0tMVQ_5_9"/>
      <w:bookmarkStart w:id="577" w:name="Tc_T_40GuiAdU20zFxA3xkftA_5_4"/>
      <w:bookmarkStart w:id="578" w:name="Tc_onibkOIFsU-QC0DWZq2d4g_5_0"/>
      <w:bookmarkStart w:id="579" w:name="Tc_99sNo4uo_kSJF2cLCVhE4A_4_21"/>
      <w:bookmarkStart w:id="580" w:name="Tc_5vdfSI6I60eiw7A5h0-nrA_4_18"/>
      <w:bookmarkStart w:id="581" w:name="Tc_tu3Yg31EhE-8i1DwYAgXpA_4_15"/>
      <w:bookmarkStart w:id="582" w:name="Tc_2jznGf3fs02TqB9yKsGbrQ_4_12"/>
      <w:bookmarkStart w:id="583" w:name="Tc__NxzeXuMiEyeelPCCxMuDQ_4_9"/>
      <w:bookmarkStart w:id="584" w:name="Tc_3vRtmxqFn06TkXkDsfAYfw_4_7"/>
      <w:bookmarkStart w:id="585" w:name="Tc_S9HmD-uWB0uyEDvFGSB3ng_4_4"/>
      <w:bookmarkStart w:id="586" w:name="Tc_ry_QZNGtwUK14NmLf8q-Jg_4_2"/>
      <w:bookmarkStart w:id="587" w:name="Tc_kgQajHHHPkm4TWBMbWbe5g_3_21"/>
      <w:bookmarkStart w:id="588" w:name="Tc_nKIpDoc5C0Wry2lYthLQRQ_3_18"/>
      <w:bookmarkStart w:id="589" w:name="Tc_A1bHCDF7XEOtKis40aGeTw_3_15"/>
      <w:bookmarkStart w:id="590" w:name="Tc_PlJ7suaWsUW6xMZiJXJ9_w_3_12"/>
      <w:bookmarkStart w:id="591" w:name="Tc_6u1_D_1d3E-DLNTT5tskJA_3_9"/>
      <w:bookmarkStart w:id="592" w:name="Tc_izN3sgzVbEizQm7FVpAyEA_3_7"/>
      <w:bookmarkStart w:id="593" w:name="Tc_C6pOW-aePk6N_CMPCV01rg_3_4"/>
      <w:bookmarkStart w:id="594" w:name="Tc_nHk3mWtltk-gVkS_Rn4fNA_3_2"/>
      <w:bookmarkStart w:id="595" w:name="Tc_r0N4U0h2AEG1exM-zvSNOQ_2_21"/>
      <w:bookmarkStart w:id="596" w:name="Tc_SHP_9wyNqk2Xriqevdz6dw_2_18"/>
      <w:bookmarkStart w:id="597" w:name="Tc_7f3DQJMfIUmTpm2adPGXyQ_2_15"/>
      <w:bookmarkStart w:id="598" w:name="Tc_gFmb7MpQDkKkpaCTQsboWg_2_12"/>
      <w:bookmarkStart w:id="599" w:name="Tc_AAXokg6yAkmtkKc0g6z-tw_2_9"/>
      <w:bookmarkStart w:id="600" w:name="Tc_KMAAkdzLXkeuECSxF272fA_2_7"/>
      <w:bookmarkStart w:id="601" w:name="Tc_BdRSTLz0zUWl0_2G-vB30g_2_4"/>
      <w:bookmarkStart w:id="602" w:name="Tc_bImxpSarikmrOX9dvgfVcw_2_2"/>
      <w:bookmarkStart w:id="603" w:name="Tc_H56RnQES4UKp2U0_EhwR_w_1_18"/>
      <w:bookmarkStart w:id="604" w:name="_c327bd07_7e7f_4064_ba85_f856d39fa3df"/>
      <w:bookmarkStart w:id="605" w:name="Tc_Roc2Wp66kEqWb5prSxgXBw_37_21"/>
      <w:bookmarkStart w:id="606" w:name="Tc_P58CuuI5v0yHAAdscNtd1g_37_18"/>
      <w:bookmarkStart w:id="607" w:name="Tc_Jro0S1q8y0e2gZPyxaFRig_37_15"/>
      <w:bookmarkStart w:id="608" w:name="Tc_AJsoeiVO8E6RMt5KfubZfg_37_12"/>
      <w:bookmarkStart w:id="609" w:name="Tc_kF8Bu756E06HktIW5NDZyQ_37_9"/>
      <w:bookmarkStart w:id="610" w:name="Tc_9TD7ae3dukO22iS8foKkOA_37_4"/>
      <w:bookmarkStart w:id="611" w:name="Tc_dDxBL3O3u0yIteifF7R1bg_37_0"/>
      <w:bookmarkStart w:id="612" w:name="Tc_kK0m9yG0eEe6m6LbrF-Hhg_36_19"/>
      <w:bookmarkStart w:id="613" w:name="Tc_-fLQQIs1J0Gj1-eg4OTOVg_36_13"/>
      <w:bookmarkStart w:id="614" w:name="Tc_u6tQBOtiCE-ap1g_owYQhg_36_10"/>
      <w:bookmarkStart w:id="615" w:name="Tc_qP8jZv5JLEmDqq_rjgnKNg_36_7"/>
      <w:bookmarkStart w:id="616" w:name="Tc_bhWPCVWy5kqHYp-jDOU1fQ_36_5"/>
      <w:bookmarkStart w:id="617" w:name="Tc_xoA8hcsHlUO6AiX-zBpHSw_36_2"/>
      <w:bookmarkStart w:id="618" w:name="Tc_BFmlMsPjLUGmhWXsHzrHCw_36_0"/>
      <w:bookmarkStart w:id="619" w:name="Tc_DiQMbSCAX0WN9BMBtQdj8Q_35_16"/>
      <w:bookmarkStart w:id="620" w:name="Tc_UdqAMtFmK02sGMHqfzl_Lw_35_13"/>
      <w:bookmarkStart w:id="621" w:name="Tc_rGnAq-shJkWNpXPf8dzEFg_35_10"/>
      <w:bookmarkStart w:id="622" w:name="Tc_PC910j9xS02ASq_XJrSz-A_35_7"/>
      <w:bookmarkStart w:id="623" w:name="Tc_ih9YlPr_yUCGRinywv96kg_35_5"/>
      <w:bookmarkStart w:id="624" w:name="Tc_aFCBu_sjekCtuBgy7dZGjQ_35_2"/>
      <w:bookmarkStart w:id="625" w:name="Tc_I008-ACf0USPnyftkrlLig_35_0"/>
      <w:bookmarkStart w:id="626" w:name="Tc_8O2Ykpy1UkewEQl93-LKEQ_34_16"/>
      <w:bookmarkStart w:id="627" w:name="Tc_g14I7uBCXU6AbLwWWDiGZw_34_13"/>
      <w:bookmarkStart w:id="628" w:name="Tc_z7Kc6uS1G02DXP1aZy0z9A_34_10"/>
      <w:bookmarkStart w:id="629" w:name="Tc_4YETBQ3cr0yrALGwLr7BdQ_34_7"/>
      <w:bookmarkStart w:id="630" w:name="Tc_wadY0ZThkESwLlAtVxgv0g_34_5"/>
      <w:bookmarkStart w:id="631" w:name="Tc_YT_b96mZCEKuG0XeHJW45w_34_2"/>
      <w:bookmarkStart w:id="632" w:name="Tc_s-sooeMgWEGmH6g9lQ-59Q_34_0"/>
      <w:bookmarkStart w:id="633" w:name="Tc_bqZBg4QJt0KwOvs7ugC8iw_33_19"/>
      <w:bookmarkStart w:id="634" w:name="Tc_U58qlBQmtUqDvd-y2woGIQ_33_16"/>
      <w:bookmarkStart w:id="635" w:name="Tc_65Xz9b2PskidV9I2kbFk7w_33_10"/>
      <w:bookmarkStart w:id="636" w:name="Tc_sDiXYsQRQE2gkpXTmwJUXg_33_7"/>
      <w:bookmarkStart w:id="637" w:name="Tc_zncvgbGI4EOb9lgVKRfnQQ_33_5"/>
      <w:bookmarkStart w:id="638" w:name="Tc_SzB1FUsnCEaJEUWClNeNDA_33_2"/>
      <w:bookmarkStart w:id="639" w:name="Tc_iNxh9Txju0GsUVK4EfeysA_33_0"/>
      <w:bookmarkStart w:id="640" w:name="Tc_3yeV1zwxtUO3SQZWIKCUnA_32_19"/>
      <w:bookmarkStart w:id="641" w:name="Tc_oxdHxubR7kqZAwyo8jbhVw_32_16"/>
      <w:bookmarkStart w:id="642" w:name="Tc_cdqG8PWPTkicRJgdt_hyIQ_32_10"/>
      <w:bookmarkStart w:id="643" w:name="Tc_lMEL1ylFqkK3QZNqW7_sNA_32_7"/>
      <w:bookmarkStart w:id="644" w:name="Tc_AS0soX9zY0ufv7eowxTDIA_32_5"/>
      <w:bookmarkStart w:id="645" w:name="Tc_xyRy2NOguECNBJpJPn97VA_32_2"/>
      <w:bookmarkStart w:id="646" w:name="Tc_jFYPwYXXoUWXlHs9HZxMjg_32_0"/>
      <w:bookmarkStart w:id="647" w:name="Tc_A85nUgB6iE6GKW24d1c_4Q_31_22"/>
      <w:bookmarkStart w:id="648" w:name="Tc_KshdJ-SN002el8rWn-iNQQ_31_19"/>
      <w:bookmarkStart w:id="649" w:name="Tc_jomIuzVVnkS8IWLzeU5oYg_31_16"/>
      <w:bookmarkStart w:id="650" w:name="Tc_zHtW2fUB1U-9EO-nb7U6kA_31_13"/>
      <w:bookmarkStart w:id="651" w:name="Tc_E76EddoQPk-Sk_VXa_R9Bw_31_0"/>
      <w:bookmarkStart w:id="652" w:name="Tc_pVEQeaaj9E6WnTV7Irk5-g_30_19"/>
      <w:bookmarkStart w:id="653" w:name="Tc_QDex0qviz0-jWuopmV9VbA_30_16"/>
      <w:bookmarkStart w:id="654" w:name="Tc_iB9gYYMfb0WlctXQU3N6Uw_30_10"/>
      <w:bookmarkStart w:id="655" w:name="Tc_zCjqtJKD-0qW-Z8pkLOwmQ_30_7"/>
      <w:bookmarkStart w:id="656" w:name="Tc_CAVEwxmyNEaOMY_mq-rHnw_30_5"/>
      <w:bookmarkStart w:id="657" w:name="Tc_qSO5JkktDkO8ADaL2xf2cg_30_2"/>
      <w:bookmarkStart w:id="658" w:name="Tc_XcW5gSIL0k6tyGyH__HTRw_30_0"/>
      <w:bookmarkStart w:id="659" w:name="Tc_nmpDmOAmWE25FT2zJijAjg_29_19"/>
      <w:bookmarkStart w:id="660" w:name="Tc_6oBTnPojaEihdUuBMAgFJw_29_16"/>
      <w:bookmarkStart w:id="661" w:name="Tc_9eFTfmIJp0ydhZ1Eviz5dQ_29_10"/>
      <w:bookmarkStart w:id="662" w:name="Tc_wGAX1RYCiEeOJ5HHZv3BYA_29_7"/>
      <w:bookmarkStart w:id="663" w:name="Tc_bLAK7BgIake0zZ5Z7DmQMA_29_5"/>
      <w:bookmarkStart w:id="664" w:name="Tc__XoEbiC0F0WWPH1TzHmaRw_29_0"/>
      <w:bookmarkStart w:id="665" w:name="Tc_-PAEi5nwYUGdmWEnrQ7Yuw_28_19"/>
      <w:bookmarkStart w:id="666" w:name="Tc_35icN2pghUqUBg8XZXTLYg_28_16"/>
      <w:bookmarkStart w:id="667" w:name="Tc_5G3jgjwWBE2S-Dd8mx4N_g_28_10"/>
      <w:bookmarkStart w:id="668" w:name="Tc_-y-RXkBTlkSw6ZyXz6pGXQ_28_7"/>
      <w:bookmarkStart w:id="669" w:name="Tc_Pz_XUzYbRU-kCIvGugoo2w_28_5"/>
      <w:bookmarkStart w:id="670" w:name="Tc_7VyMcAnlcESg0e0gNJewYw_28_0"/>
      <w:bookmarkStart w:id="671" w:name="Tc_xqRhBWc1aUKDMSw3VCG3-A_27_19"/>
      <w:bookmarkStart w:id="672" w:name="Tc_INqGxdvA4EGP8c2JfU_IJw_27_16"/>
      <w:bookmarkStart w:id="673" w:name="Tc_xOLfanFYf0y9EfE5v5Z9KQ_27_10"/>
      <w:bookmarkStart w:id="674" w:name="Tc_lls3OYfeUEudGmlV-zsj2Q_27_7"/>
      <w:bookmarkStart w:id="675" w:name="Tc_w5MqZ3Pz0UCvN4NDnhPH_g_27_0"/>
      <w:bookmarkStart w:id="676" w:name="Tc_ea8nIJvybkqPcouR4FIihg_26_19"/>
      <w:bookmarkStart w:id="677" w:name="Tc_aSyZxQTlvEK_o-BiHWPkmw_26_16"/>
      <w:bookmarkStart w:id="678" w:name="Tc_MipFYhDqIkSGWryTjMOH6w_26_10"/>
      <w:bookmarkStart w:id="679" w:name="Tc_IyaqPOQDV0qafHEkMVwV1g_26_7"/>
      <w:bookmarkStart w:id="680" w:name="Tc_pvccON_F0UiXXHbt_DPjlw_26_0"/>
      <w:bookmarkStart w:id="681" w:name="Tc_W_cYLejxVUmdGUJmU4B_CA_25_0"/>
      <w:bookmarkStart w:id="682" w:name="Tc_v4pg21WV80KRKlpKP46cgw_24_19"/>
      <w:bookmarkStart w:id="683" w:name="Tc_CxCm4tNCkEy8-ACnXRylNQ_24_13"/>
      <w:bookmarkStart w:id="684" w:name="Tc_15gf_PI_mkiWGZLGmLY_Fw_24_10"/>
      <w:bookmarkStart w:id="685" w:name="Tc_6lh0IbfImUmgrbs04KGO0Q_24_7"/>
      <w:bookmarkStart w:id="686" w:name="Tc_vPDDSE_nDku_JdtontgOcg_24_5"/>
      <w:bookmarkStart w:id="687" w:name="Tc_jw6T85BExUOBpsnlniTTdw_24_2"/>
      <w:bookmarkStart w:id="688" w:name="Tc_mTdwC-1y8UO8DUKO-Mj32A_24_0"/>
      <w:bookmarkStart w:id="689" w:name="Tc_xQCtUf5j6EOvqKUF6SUJ2w_23_16"/>
      <w:bookmarkStart w:id="690" w:name="Tc_QV-6QJoc6kGqgWBq8NkPpQ_23_13"/>
      <w:bookmarkStart w:id="691" w:name="Tc_RnaQM0c7sEiU1gm_hBoFOA_23_10"/>
      <w:bookmarkStart w:id="692" w:name="Tc_cGQDF6zmjEWmYVSrD2-YOQ_23_7"/>
      <w:bookmarkStart w:id="693" w:name="Tc_PDVpJFXy6E2vKN9hWJyamg_23_5"/>
      <w:bookmarkStart w:id="694" w:name="Tc_Qqtufi518kOiuhbwxzXBmQ_23_2"/>
      <w:bookmarkStart w:id="695" w:name="Tc_KggLyfKJLUW-JPm08IROAw_23_0"/>
      <w:bookmarkStart w:id="696" w:name="Tc_Ualp__fKnkypxGxqyB5QRw_22_16"/>
      <w:bookmarkStart w:id="697" w:name="Tc_ahwzy9dIkUeTtgDvSZMGhQ_22_13"/>
      <w:bookmarkStart w:id="698" w:name="Tc_xXCRa_HHjkqcoHPnjuLvJA_22_10"/>
      <w:bookmarkStart w:id="699" w:name="Tc_TiimrNufqEWidULFEO5aCw_22_7"/>
      <w:bookmarkStart w:id="700" w:name="Tc_NRM29OMsgk6_EDr0RkpVnw_22_5"/>
      <w:bookmarkStart w:id="701" w:name="Tc_1M0D0pdKy0yD-CaOvJb58w_22_2"/>
      <w:bookmarkStart w:id="702" w:name="Tc_RFAZHKuc1USIYbhVTQ4TBQ_22_0"/>
      <w:bookmarkStart w:id="703" w:name="Tc_BwRZsfWzqEqJtZbN4oWChQ_21_22"/>
      <w:bookmarkStart w:id="704" w:name="Tc_08S0tY1sh0eKQUVHdQYyUA_21_19"/>
      <w:bookmarkStart w:id="705" w:name="Tc_8bpxlK2S_0mj4I1W4Z_Rpg_21_16"/>
      <w:bookmarkStart w:id="706" w:name="Tc_oKnOQq5W00KhCNgflK8_Ww_21_13"/>
      <w:bookmarkStart w:id="707" w:name="Tc_KqOwZegMX0ixJK2urAi7dw_21_0"/>
      <w:bookmarkStart w:id="708" w:name="Tc_9ex_Cu93_U-66eRIgfkcqg_20_19"/>
      <w:bookmarkStart w:id="709" w:name="Tc_PLXtBvx_o0G1pa-EE9iy6g_20_16"/>
      <w:bookmarkStart w:id="710" w:name="Tc_wWnVEyoVL0qycYbzBWxQjQ_20_10"/>
      <w:bookmarkStart w:id="711" w:name="Tc_RWoLAOs0oUqPHHx_hbu4sQ_20_7"/>
      <w:bookmarkStart w:id="712" w:name="Tc_F5XR20xJDU-QutcKYbeGpw_20_5"/>
      <w:bookmarkStart w:id="713" w:name="Tc_uSenpjpuXEy5G2JQQXYHcg_20_2"/>
      <w:bookmarkStart w:id="714" w:name="Tc_iGngdch490Wf8SqbdMgjBw_20_0"/>
      <w:bookmarkStart w:id="715" w:name="Tc_ZRbalLeAa0aOeSASQQ0VPw_19_19"/>
      <w:bookmarkStart w:id="716" w:name="Tc_XCCdR9qQHU-6dnYTuaQscw_19_16"/>
      <w:bookmarkStart w:id="717" w:name="Tc_uIrg9ehE_EOXW5fH9SYTDw_19_10"/>
      <w:bookmarkStart w:id="718" w:name="Tc_G_UyJ6VB40-H3rxdcZDsFw_19_7"/>
      <w:bookmarkStart w:id="719" w:name="Tc_ppQEuGTpHk6Ftolwc-_ieA_19_5"/>
      <w:bookmarkStart w:id="720" w:name="Tc_JKuhLX-r_0OIF50qQZt8xg_19_0"/>
      <w:bookmarkStart w:id="721" w:name="Tc_7U5o3MAUYUS9JI_U3W92DA_18_19"/>
      <w:bookmarkStart w:id="722" w:name="Tc_8fgQYlRUlEGlXsiv7DewwA_18_16"/>
      <w:bookmarkStart w:id="723" w:name="Tc_KT859TuTW0-El1vYLstvKw_18_10"/>
      <w:bookmarkStart w:id="724" w:name="Tc_1a2NH6qeYUGT6AsSlAc-ZA_18_7"/>
      <w:bookmarkStart w:id="725" w:name="Tc_Tk6jWXbOS0WhZmHSD64ejg_18_5"/>
      <w:bookmarkStart w:id="726" w:name="Tc_QzC9N2Ls-U-7ebhkVC5EfA_18_0"/>
      <w:bookmarkStart w:id="727" w:name="Tc_OdLOpuhniESfIWjGnuoyxw_17_19"/>
      <w:bookmarkStart w:id="728" w:name="Tc_vdch0JEo-0Opph69rbQncA_17_16"/>
      <w:bookmarkStart w:id="729" w:name="Tc_-nqspshxUkee3Ejs0W3ttQ_17_10"/>
      <w:bookmarkStart w:id="730" w:name="Tc_qqKyylNNp0GKbZW6In3n5A_17_7"/>
      <w:bookmarkStart w:id="731" w:name="Tc_JTGvRMGS90mOcEdRrfHVqg_17_0"/>
      <w:bookmarkStart w:id="732" w:name="Tc_BKDSh2eJu0Gjpi7pM9X5LA_16_19"/>
      <w:bookmarkStart w:id="733" w:name="Tc_N1zYHTD30U2fswaaD7_KJw_16_16"/>
      <w:bookmarkStart w:id="734" w:name="Tc_zWCH008mt0qezCZiqMtLdA_16_10"/>
      <w:bookmarkStart w:id="735" w:name="Tc_MQCOfsv29kmJlbwuVuAVgw_16_7"/>
      <w:bookmarkStart w:id="736" w:name="Tc__WSJyOGHHE2343GP3lQtVQ_16_0"/>
      <w:bookmarkStart w:id="737" w:name="Tc_LZ-OSRUky02p2CWFV3-7Iw_15_0"/>
      <w:bookmarkStart w:id="738" w:name="Tc_y4BkEsyUYkWzqxVQrOZ7WA_14_19"/>
      <w:bookmarkStart w:id="739" w:name="Tc_9fKK2E8AZ0q_Pry209z2BQ_14_13"/>
      <w:bookmarkStart w:id="740" w:name="Tc_LXHPAQPhEkawyAXdZSVocg_14_10"/>
      <w:bookmarkStart w:id="741" w:name="Tc_ZvsjSbaXOkmenUw42fE5tA_14_7"/>
      <w:bookmarkStart w:id="742" w:name="Tc_tKpIqWl_SEG_UTs17OnV_Q_14_5"/>
      <w:bookmarkStart w:id="743" w:name="Tc__7doThiT2kWoItT2dUAR8g_14_2"/>
      <w:bookmarkStart w:id="744" w:name="Tc_53F-c8vvJUW0IZPH1Ic3aw_14_0"/>
      <w:bookmarkStart w:id="745" w:name="Tc_QLWflX84vk29PUoGYb0LHw_13_16"/>
      <w:bookmarkStart w:id="746" w:name="Tc_WC4WxQ-QAk6O_pxK7QAzNA_13_13"/>
      <w:bookmarkStart w:id="747" w:name="Tc_Vpebx8bkAUS4vMeIJHj-7w_13_10"/>
      <w:bookmarkStart w:id="748" w:name="Tc_Rk3sbiQB-Ue986a4YGZLrQ_13_7"/>
      <w:bookmarkStart w:id="749" w:name="Tc_cFisYoFFBk6X9hJrSMIHHg_13_5"/>
      <w:bookmarkStart w:id="750" w:name="Tc_3zYzKgA230iNVxTUdiIqhg_13_2"/>
      <w:bookmarkStart w:id="751" w:name="Tc_jTil5qpW8U6lQHEgGeKfpQ_13_0"/>
      <w:bookmarkStart w:id="752" w:name="Tc_BjHmbdc8lkGdIGmxXZuwRw_12_16"/>
      <w:bookmarkStart w:id="753" w:name="Tc_DREgHClfAEuYEonaCQq-jg_12_13"/>
      <w:bookmarkStart w:id="754" w:name="Tc_A1mOGTESSkmkRgYAjd21MA_12_10"/>
      <w:bookmarkStart w:id="755" w:name="Tc_fZnmXO_3mUi5D9982rTD6A_12_7"/>
      <w:bookmarkStart w:id="756" w:name="Tc_jF_VQO4A8EeCIkRYg7mW-w_12_5"/>
      <w:bookmarkStart w:id="757" w:name="Tc_n6ET_CXhWUWIyte8DPsS_Q_12_2"/>
      <w:bookmarkStart w:id="758" w:name="Tc_XUd6TkvmaEKvCNPrR_ChOw_12_0"/>
      <w:bookmarkStart w:id="759" w:name="Tc_8_hDbTTTT0StWm9FJV3qng_11_22"/>
      <w:bookmarkStart w:id="760" w:name="Tc_cXl7yKffVk-qo1mhVQ5qdA_11_19"/>
      <w:bookmarkStart w:id="761" w:name="Tc_31OKQqTrykWzFzPL0yyuDg_11_16"/>
      <w:bookmarkStart w:id="762" w:name="Tc__FCpNJ_QRUCj3w7Ie1RE9Q_11_13"/>
      <w:bookmarkStart w:id="763" w:name="Tc_0BcGwE9GLEeR9twyvyadrg_11_0"/>
      <w:bookmarkStart w:id="764" w:name="Tc_laGYHVC0JkGpELLsJIM_ng_10_19"/>
      <w:bookmarkStart w:id="765" w:name="Tc_3CEtkTP9DkCZdmjd3Gkl9Q_10_16"/>
      <w:bookmarkStart w:id="766" w:name="Tc_d6fCCkLLnU6BY2SsNCRzOQ_10_10"/>
      <w:bookmarkStart w:id="767" w:name="Tc_XhV9hjixP0q4YTWsqrp6mg_10_7"/>
      <w:bookmarkStart w:id="768" w:name="Tc_yWFR2AZk-EeGHRqGewIz5g_10_5"/>
      <w:bookmarkStart w:id="769" w:name="Tc_vD6ELxM6ZU2Wh4_MyTk_xQ_10_2"/>
      <w:bookmarkStart w:id="770" w:name="Tc_-j7jYO9T3EusqE5oi5B1-A_10_0"/>
      <w:bookmarkStart w:id="771" w:name="Tc_QKD8HIfLE0SQ_gNz5PkVGQ_9_19"/>
      <w:bookmarkStart w:id="772" w:name="Tc_XoaUMEixT0GXOn2A3MwccQ_9_16"/>
      <w:bookmarkStart w:id="773" w:name="Tc_cO4sPEclc0ijXsju7MYDxg_9_10"/>
      <w:bookmarkStart w:id="774" w:name="Tc_FuOSUrDNIkaY68-7tuqYGw_9_7"/>
      <w:bookmarkStart w:id="775" w:name="Tc_1q3JMK8UKU-ei1tiV3Et7A_9_5"/>
      <w:bookmarkStart w:id="776" w:name="Tc_bvo0b1ky1E2di0dNzn5mzQ_9_0"/>
      <w:bookmarkStart w:id="777" w:name="Tc_iALbsOxP6UqfhzU2Xvg8wA_8_19"/>
      <w:bookmarkStart w:id="778" w:name="Tc_AXRovnw-J0Gs4YVBDneLUw_8_16"/>
      <w:bookmarkStart w:id="779" w:name="Tc_KMso_cWkKk2Mgfo3bzOqbg_8_10"/>
      <w:bookmarkStart w:id="780" w:name="Tc_8QRCNsc9LEyD89YvDNExDw_8_7"/>
      <w:bookmarkStart w:id="781" w:name="Tc_w20an6pID0OgMgLVkLe7GQ_8_5"/>
      <w:bookmarkStart w:id="782" w:name="Tc_80Ohxlyby0q-dFPAMeDPiw_8_0"/>
      <w:bookmarkStart w:id="783" w:name="Tc_gOd8LkD33UiNs1ojlSltsg_7_19"/>
      <w:bookmarkStart w:id="784" w:name="Tc_N6WK7ioBIk-z3KByiAziGA_7_16"/>
      <w:bookmarkStart w:id="785" w:name="Tc_L5Nja1hFc0-OI7lqqR9JjA_7_10"/>
      <w:bookmarkStart w:id="786" w:name="Tc_Teh5u--IkECohToRQTdzEw_7_7"/>
      <w:bookmarkStart w:id="787" w:name="Tc_PNZRvjp2o0mIDzJZRjjD8w_7_5"/>
      <w:bookmarkStart w:id="788" w:name="Tc_a1bn25t3BU610brZ4CTTXQ_7_0"/>
      <w:bookmarkStart w:id="789" w:name="Tc_nbvYE32PZ0m0_g9NwmhyXQ_6_19"/>
      <w:bookmarkStart w:id="790" w:name="Tc_tf1AnSb6e0O1seWhVH9F8A_6_16"/>
      <w:bookmarkStart w:id="791" w:name="Tc_M4lTww2zukOcA1v97MYAIQ_6_10"/>
      <w:bookmarkStart w:id="792" w:name="Tc_WmGCd_AAnkqSOFDISgj7hg_6_7"/>
      <w:bookmarkStart w:id="793" w:name="Tc_IHI1JH2j9kKgQTISs2gupQ_6_0"/>
      <w:bookmarkStart w:id="794" w:name="Tc_PHUS3skBpE-Lj7_IdJgadQ_5_21"/>
      <w:bookmarkStart w:id="795" w:name="Tc_1cxB0uUoF0mLKaPvSdKdnw_5_18"/>
      <w:bookmarkStart w:id="796" w:name="Tc_MJEt088Th0CjEWNM95k5Tw_5_15"/>
      <w:bookmarkStart w:id="797" w:name="Tc_TJfMWbkPpUqh2ORdIu11ng_5_12"/>
      <w:bookmarkStart w:id="798" w:name="Tc_7k_Ao-umoEuZ713yG0tMVQ_5_9"/>
      <w:bookmarkStart w:id="799" w:name="Tc_T_40GuiAdU20zFxA3xkftA_5_4"/>
      <w:bookmarkStart w:id="800" w:name="Tc_onibkOIFsU-QC0DWZq2d4g_5_0"/>
      <w:bookmarkStart w:id="801" w:name="Tc_99sNo4uo_kSJF2cLCVhE4A_4_21"/>
      <w:bookmarkStart w:id="802" w:name="Tc_5vdfSI6I60eiw7A5h0-nrA_4_18"/>
      <w:bookmarkStart w:id="803" w:name="Tc_tu3Yg31EhE-8i1DwYAgXpA_4_15"/>
      <w:bookmarkStart w:id="804" w:name="Tc_2jznGf3fs02TqB9yKsGbrQ_4_12"/>
      <w:bookmarkStart w:id="805" w:name="Tc__NxzeXuMiEyeelPCCxMuDQ_4_9"/>
      <w:bookmarkStart w:id="806" w:name="Tc_3vRtmxqFn06TkXkDsfAYfw_4_7"/>
      <w:bookmarkStart w:id="807" w:name="Tc_S9HmD-uWB0uyEDvFGSB3ng_4_4"/>
      <w:bookmarkStart w:id="808" w:name="Tc_ry_QZNGtwUK14NmLf8q-Jg_4_2"/>
      <w:bookmarkStart w:id="809" w:name="Tc_kgQajHHHPkm4TWBMbWbe5g_3_21"/>
      <w:bookmarkStart w:id="810" w:name="Tc_nKIpDoc5C0Wry2lYthLQRQ_3_18"/>
      <w:bookmarkStart w:id="811" w:name="Tc_A1bHCDF7XEOtKis40aGeTw_3_15"/>
      <w:bookmarkStart w:id="812" w:name="Tc_PlJ7suaWsUW6xMZiJXJ9_w_3_12"/>
      <w:bookmarkStart w:id="813" w:name="Tc_6u1_D_1d3E-DLNTT5tskJA_3_9"/>
      <w:bookmarkStart w:id="814" w:name="Tc_izN3sgzVbEizQm7FVpAyEA_3_7"/>
      <w:bookmarkStart w:id="815" w:name="Tc_C6pOW-aePk6N_CMPCV01rg_3_4"/>
      <w:bookmarkStart w:id="816" w:name="Tc_nHk3mWtltk-gVkS_Rn4fNA_3_2"/>
      <w:bookmarkStart w:id="817" w:name="Tc_r0N4U0h2AEG1exM-zvSNOQ_2_21"/>
      <w:bookmarkStart w:id="818" w:name="Tc_SHP_9wyNqk2Xriqevdz6dw_2_18"/>
      <w:bookmarkStart w:id="819" w:name="Tc_7f3DQJMfIUmTpm2adPGXyQ_2_15"/>
      <w:bookmarkStart w:id="820" w:name="Tc_gFmb7MpQDkKkpaCTQsboWg_2_12"/>
      <w:bookmarkStart w:id="821" w:name="Tc_AAXokg6yAkmtkKc0g6z-tw_2_9"/>
      <w:bookmarkStart w:id="822" w:name="Tc_KMAAkdzLXkeuECSxF272fA_2_7"/>
      <w:bookmarkStart w:id="823" w:name="Tc_BdRSTLz0zUWl0_2G-vB30g_2_4"/>
      <w:bookmarkStart w:id="824" w:name="Tc_bImxpSarikmrOX9dvgfVcw_2_2"/>
      <w:bookmarkStart w:id="825" w:name="Tc_H56RnQES4UKp2U0_EhwR_w_1_18"/>
      <w:bookmarkStart w:id="826" w:name="_c327bd07_7e7f_4064_ba85_f856d39fa3df"/>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tbl>
      <w:tblPr>
        <w:tblW w:w="10205" w:type="dxa"/>
        <w:jc w:val="left"/>
        <w:tblInd w:w="0" w:type="dxa"/>
        <w:tblLayout w:type="fixed"/>
        <w:tblCellMar>
          <w:top w:w="0" w:type="dxa"/>
          <w:left w:w="0" w:type="dxa"/>
          <w:bottom w:w="0" w:type="dxa"/>
          <w:right w:w="0" w:type="dxa"/>
        </w:tblCellMar>
      </w:tblPr>
      <w:tblGrid>
        <w:gridCol w:w="1918"/>
        <w:gridCol w:w="109"/>
        <w:gridCol w:w="856"/>
        <w:gridCol w:w="206"/>
        <w:gridCol w:w="215"/>
        <w:gridCol w:w="416"/>
        <w:gridCol w:w="206"/>
        <w:gridCol w:w="856"/>
        <w:gridCol w:w="206"/>
        <w:gridCol w:w="215"/>
        <w:gridCol w:w="416"/>
        <w:gridCol w:w="206"/>
        <w:gridCol w:w="181"/>
        <w:gridCol w:w="590"/>
        <w:gridCol w:w="206"/>
        <w:gridCol w:w="281"/>
        <w:gridCol w:w="715"/>
        <w:gridCol w:w="206"/>
        <w:gridCol w:w="257"/>
        <w:gridCol w:w="794"/>
        <w:gridCol w:w="206"/>
        <w:gridCol w:w="197"/>
        <w:gridCol w:w="747"/>
      </w:tblGrid>
      <w:tr>
        <w:trPr/>
        <w:tc>
          <w:tcPr>
            <w:tcW w:w="1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17930" cy="175260"/>
                      <wp:effectExtent l="0" t="0" r="0" b="0"/>
                      <wp:wrapNone/>
                      <wp:docPr id="303" name="Frame302"/>
                      <a:graphic xmlns:a="http://schemas.openxmlformats.org/drawingml/2006/main">
                        <a:graphicData uri="http://schemas.microsoft.com/office/word/2010/wordprocessingShape">
                          <wps:wsp>
                            <wps:cNvSpPr txBox="1"/>
                            <wps:spPr>
                              <a:xfrm>
                                <a:off x="0" y="0"/>
                                <a:ext cx="1217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43560" cy="175260"/>
                      <wp:effectExtent l="0" t="0" r="0" b="0"/>
                      <wp:wrapNone/>
                      <wp:docPr id="305" name="Frame30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0810" cy="175260"/>
                      <wp:effectExtent l="0" t="0" r="0" b="0"/>
                      <wp:wrapNone/>
                      <wp:docPr id="306" name="Frame30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6525" cy="175260"/>
                      <wp:effectExtent l="0" t="0" r="0" b="0"/>
                      <wp:wrapNone/>
                      <wp:docPr id="307" name="Frame30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64160" cy="175260"/>
                      <wp:effectExtent l="0" t="0" r="0" b="0"/>
                      <wp:wrapNone/>
                      <wp:docPr id="308" name="Frame307"/>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0810" cy="175260"/>
                      <wp:effectExtent l="0" t="0" r="0" b="0"/>
                      <wp:wrapNone/>
                      <wp:docPr id="309" name="Frame30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43560" cy="175260"/>
                      <wp:effectExtent l="0" t="0" r="0" b="0"/>
                      <wp:wrapNone/>
                      <wp:docPr id="310" name="Frame30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0810" cy="175260"/>
                      <wp:effectExtent l="0" t="0" r="0" b="0"/>
                      <wp:wrapNone/>
                      <wp:docPr id="311" name="Frame3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6525" cy="175260"/>
                      <wp:effectExtent l="0" t="0" r="0" b="0"/>
                      <wp:wrapNone/>
                      <wp:docPr id="312" name="Frame3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64160" cy="175260"/>
                      <wp:effectExtent l="0" t="0" r="0" b="0"/>
                      <wp:wrapNone/>
                      <wp:docPr id="313" name="Frame312"/>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0810" cy="175260"/>
                      <wp:effectExtent l="0" t="0" r="0" b="0"/>
                      <wp:wrapNone/>
                      <wp:docPr id="314" name="Frame3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14935" cy="175260"/>
                      <wp:effectExtent l="0" t="0" r="0" b="0"/>
                      <wp:wrapNone/>
                      <wp:docPr id="315" name="Frame3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74650" cy="175260"/>
                      <wp:effectExtent l="0" t="0" r="0" b="0"/>
                      <wp:wrapNone/>
                      <wp:docPr id="316" name="Frame315"/>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0810" cy="175260"/>
                      <wp:effectExtent l="0" t="0" r="0" b="0"/>
                      <wp:wrapNone/>
                      <wp:docPr id="317" name="Frame31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78435" cy="175260"/>
                      <wp:effectExtent l="0" t="0" r="0" b="0"/>
                      <wp:wrapNone/>
                      <wp:docPr id="318" name="Frame31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54025" cy="175260"/>
                      <wp:effectExtent l="0" t="0" r="0" b="0"/>
                      <wp:wrapNone/>
                      <wp:docPr id="319" name="Frame318"/>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0810" cy="175260"/>
                      <wp:effectExtent l="0" t="0" r="0" b="0"/>
                      <wp:wrapNone/>
                      <wp:docPr id="320" name="Frame3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3195" cy="175260"/>
                      <wp:effectExtent l="0" t="0" r="0" b="0"/>
                      <wp:wrapNone/>
                      <wp:docPr id="321" name="Frame32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04190" cy="175260"/>
                      <wp:effectExtent l="0" t="0" r="0" b="0"/>
                      <wp:wrapNone/>
                      <wp:docPr id="322" name="Frame321"/>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0810" cy="175260"/>
                      <wp:effectExtent l="0" t="0" r="0" b="0"/>
                      <wp:wrapNone/>
                      <wp:docPr id="323" name="Frame32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5095" cy="175260"/>
                      <wp:effectExtent l="0" t="0" r="0" b="0"/>
                      <wp:wrapNone/>
                      <wp:docPr id="324" name="Frame323"/>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74345" cy="175260"/>
                      <wp:effectExtent l="0" t="0" r="0" b="0"/>
                      <wp:wrapNone/>
                      <wp:docPr id="325" name="Frame324"/>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996"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left"/>
              <w:rPr/>
            </w:pPr>
            <w:r>
              <w:rPr/>
              <w:t>​</w:t>
            </w:r>
          </w:p>
        </w:tc>
        <w:tc>
          <w:tcPr>
            <w:tcW w:w="944" w:type="dxa"/>
            <w:gridSpan w:val="2"/>
            <w:tcBorders/>
            <w:vAlign w:val="center"/>
          </w:tcPr>
          <w:p>
            <w:pPr>
              <w:pStyle w:val="TableContents"/>
              <w:bidi w:val="0"/>
              <w:spacing w:before="0" w:after="0"/>
              <w:ind w:left="0" w:right="0" w:hanging="0"/>
              <w:jc w:val="center"/>
              <w:rPr/>
            </w:pPr>
            <w:r>
              <w:rPr/>
              <w:t>​</w:t>
            </w:r>
          </w:p>
        </w:tc>
      </w:tr>
      <w:tr>
        <w:trPr/>
        <w:tc>
          <w:tcPr>
            <w:tcW w:w="1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7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06" w:type="dxa"/>
            <w:tcBorders/>
            <w:vAlign w:val="center"/>
          </w:tcPr>
          <w:p>
            <w:pPr>
              <w:pStyle w:val="TableContents"/>
              <w:bidi w:val="0"/>
              <w:spacing w:before="0" w:after="0"/>
              <w:ind w:left="0" w:right="0" w:hanging="0"/>
              <w:jc w:val="center"/>
              <w:rPr/>
            </w:pPr>
            <w:r>
              <w:rPr/>
              <w:t>  </w:t>
            </w:r>
          </w:p>
        </w:tc>
        <w:tc>
          <w:tcPr>
            <w:tcW w:w="99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 Earnings</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7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206" w:type="dxa"/>
            <w:tcBorders/>
            <w:vAlign w:val="center"/>
          </w:tcPr>
          <w:p>
            <w:pPr>
              <w:pStyle w:val="TableContents"/>
              <w:bidi w:val="0"/>
              <w:spacing w:before="0" w:after="0"/>
              <w:ind w:left="0" w:right="0" w:hanging="0"/>
              <w:jc w:val="center"/>
              <w:rPr/>
            </w:pPr>
            <w:r>
              <w:rPr/>
              <w:t>​</w:t>
            </w:r>
          </w:p>
        </w:tc>
        <w:tc>
          <w:tcPr>
            <w:tcW w:w="99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 </w:t>
            </w:r>
          </w:p>
        </w:tc>
        <w:tc>
          <w:tcPr>
            <w:tcW w:w="206" w:type="dxa"/>
            <w:tcBorders/>
            <w:vAlign w:val="center"/>
          </w:tcPr>
          <w:p>
            <w:pPr>
              <w:pStyle w:val="TableContents"/>
              <w:bidi w:val="0"/>
              <w:spacing w:before="0" w:after="0"/>
              <w:ind w:left="0" w:right="0" w:hanging="0"/>
              <w:jc w:val="center"/>
              <w:rPr/>
            </w:pPr>
            <w:r>
              <w:rPr/>
              <w:t>​</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06" w:type="dxa"/>
            <w:tcBorders/>
            <w:vAlign w:val="center"/>
          </w:tcPr>
          <w:p>
            <w:pPr>
              <w:pStyle w:val="TableContents"/>
              <w:bidi w:val="0"/>
              <w:spacing w:before="0" w:after="0"/>
              <w:ind w:left="0" w:right="0" w:hanging="0"/>
              <w:jc w:val="center"/>
              <w:rPr/>
            </w:pPr>
            <w:r>
              <w:rPr/>
              <w:t>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20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Equity </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January 1, 2022</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42,286</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106,807</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222,621</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24,811</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(17,497)</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230,084</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800</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1,164</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1,165</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in connection with ESPP</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1,951</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1,951</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19,531</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19,531</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Class B shares exchanged for Class A shares</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6,500</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(6,500)</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pPr>
            <w:r>
              <w:rPr/>
              <w:t>—</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from available-for-sale investments, net of tax</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(10,219)</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(10,219)</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109"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(12,304)</w:t>
            </w:r>
          </w:p>
        </w:tc>
        <w:tc>
          <w:tcPr>
            <w:tcW w:w="20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(12,304)</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50,014</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100,307</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244,820</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12,507</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(27,752)</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229,725</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2,468</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511</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(4,690)</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(4,689)</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in connection with ESPP</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2,486</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2,486</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32,714</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32,714</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Class B shares exchanged for Class A shares</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7,646</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(7,646)</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pPr>
            <w:r>
              <w:rPr/>
              <w:t>—</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from available-for-sale investments, net of tax</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5,978</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5,978</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109"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(13,093)</w:t>
            </w:r>
          </w:p>
        </w:tc>
        <w:tc>
          <w:tcPr>
            <w:tcW w:w="20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(13,093)</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60,989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92,661</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275,155</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(586)</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(21,742)</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252,981</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2,455</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1,435</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1,437</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846</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(14,205)</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(14,204)</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Awards, net</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in connection with ESPP</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44,811</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44,811</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Class B shares exchanged for Class A shares</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6,180</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(6,180)</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pPr>
            <w:r>
              <w:rPr/>
              <w:t>—</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capped calls, net of tax</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(31,517)</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(31,517)</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impact on capped calls</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from available-for-sale investments, net of tax</w:t>
            </w:r>
          </w:p>
        </w:tc>
        <w:tc>
          <w:tcPr>
            <w:tcW w:w="10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90"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center"/>
              <w:rPr/>
            </w:pPr>
            <w:r>
              <w:rPr/>
              <w:t>​</w:t>
            </w:r>
          </w:p>
        </w:tc>
        <w:tc>
          <w:tcPr>
            <w:tcW w:w="71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(24,150)</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(24,150)</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109"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(52,729)</w:t>
            </w:r>
          </w:p>
        </w:tc>
        <w:tc>
          <w:tcPr>
            <w:tcW w:w="20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(52,729)</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70,670</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86,481</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278,389</w:t>
            </w:r>
          </w:p>
        </w:tc>
        <w:tc>
          <w:tcPr>
            <w:tcW w:w="206" w:type="dxa"/>
            <w:tcBorders/>
            <w:shd w:fill="CCEEFF" w:val="clear"/>
            <w:vAlign w:val="center"/>
          </w:tcPr>
          <w:p>
            <w:pPr>
              <w:pStyle w:val="TableContents"/>
              <w:bidi w:val="0"/>
              <w:spacing w:before="0" w:after="0"/>
              <w:ind w:left="0" w:right="0" w:hanging="0"/>
              <w:jc w:val="righ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(53,315)</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(45,879)</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4"/>
              </w:rPr>
            </w:pPr>
            <w:r>
              <w:rPr>
                <w:rFonts w:ascii="Times New Roman;Times;serif" w:hAnsi="Times New Roman;Times;serif"/>
                <w:sz w:val="14"/>
              </w:rPr>
              <w:t>179,352</w:t>
            </w:r>
          </w:p>
        </w:tc>
      </w:tr>
    </w:tbl>
    <w:p>
      <w:pPr>
        <w:pStyle w:val="TextBody"/>
        <w:bidi w:val="0"/>
        <w:spacing w:before="160" w:after="0"/>
        <w:ind w:left="0" w:right="0" w:hanging="0"/>
        <w:jc w:val="center"/>
        <w:rPr>
          <w:rFonts w:ascii="Times New Roman;Times;serif" w:hAnsi="Times New Roman;Times;serif"/>
          <w:sz w:val="18"/>
        </w:rPr>
      </w:pPr>
      <w:r>
        <w:rPr>
          <w:rFonts w:ascii="Times New Roman;Times;serif" w:hAnsi="Times New Roman;Times;serif"/>
          <w:sz w:val="18"/>
        </w:rPr>
        <w:t>The accompanying notes are an integral part of the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827" w:name="_55f9271a_e817_4fe1_b3e5_bc4baf5f85b8"/>
      <w:bookmarkEnd w:id="827"/>
      <w:r>
        <w:rPr>
          <w:rFonts w:ascii="Times New Roman;Times;serif" w:hAnsi="Times New Roman;Times;serif"/>
          <w:b/>
          <w:sz w:val="16"/>
        </w:rPr>
        <w:t>Vertex, Inc. and Subsidiaries</w:t>
      </w:r>
    </w:p>
    <w:p>
      <w:pPr>
        <w:pStyle w:val="TextBody"/>
        <w:bidi w:val="0"/>
        <w:spacing w:before="0" w:after="0"/>
        <w:ind w:left="0" w:right="0" w:hanging="0"/>
        <w:jc w:val="center"/>
        <w:rPr>
          <w:rFonts w:ascii="Times New Roman;Times;serif" w:hAnsi="Times New Roman;Times;serif"/>
          <w:b/>
          <w:sz w:val="16"/>
        </w:rPr>
      </w:pPr>
      <w:bookmarkStart w:id="828" w:name="ConsolidatedStatementsofCashFlows_715677"/>
      <w:bookmarkEnd w:id="828"/>
      <w:r>
        <w:rPr>
          <w:rFonts w:ascii="Times New Roman;Times;serif" w:hAnsi="Times New Roman;Times;serif"/>
          <w:b/>
          <w:sz w:val="16"/>
        </w:rPr>
        <w:t xml:space="preserve">Consolidated Statements of Cash Flows </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(Amounts in thousands)</w:t>
      </w:r>
    </w:p>
    <w:p>
      <w:pPr>
        <w:pStyle w:val="Normal"/>
        <w:bidi w:val="0"/>
        <w:spacing w:before="0" w:after="0"/>
        <w:jc w:val="left"/>
        <w:rPr>
          <w:sz w:val="4"/>
          <w:szCs w:val="4"/>
        </w:rPr>
      </w:pPr>
      <w:r>
        <w:rPr>
          <w:sz w:val="4"/>
          <w:szCs w:val="4"/>
        </w:rPr>
      </w:r>
      <w:bookmarkStart w:id="829" w:name="Tc_v0flbZ2ROE-Yp-ygdd4ZHA_59_7"/>
      <w:bookmarkStart w:id="830" w:name="Tc_D7tqGcoMfE-yirqSmqxUbA_59_4"/>
      <w:bookmarkStart w:id="831" w:name="Tc_5fgTmopqWU-LZGbtvBtN0w_59_1"/>
      <w:bookmarkStart w:id="832" w:name="Tc_Gb6oJQkHjEyonLmh1O0_9g_59_0"/>
      <w:bookmarkStart w:id="833" w:name="Tc_58qHaNjalEClWcfE_gG0LQ_58_0"/>
      <w:bookmarkStart w:id="834" w:name="Tc_maEAlf_XrEiG9Un3XvKmmA_57_7"/>
      <w:bookmarkStart w:id="835" w:name="Tc_M9ijVxAUg0-ZoaInpkroAA_57_4"/>
      <w:bookmarkStart w:id="836" w:name="Tc_YChiLkfx3UagFvjwrd40aA_57_1"/>
      <w:bookmarkStart w:id="837" w:name="Tc_4TgrcoLT6UOQrG0aRX9sUA_57_0"/>
      <w:bookmarkStart w:id="838" w:name="Tc_2zACoLIzBUKeqpCcNynBig_56_0"/>
      <w:bookmarkStart w:id="839" w:name="Tc_nU2hxlY1ak6tIwyZJxUZbQ_55_7"/>
      <w:bookmarkStart w:id="840" w:name="Tc_VWhX0YkQ-Uqb2S8KGJOSwA_55_4"/>
      <w:bookmarkStart w:id="841" w:name="Tc_6OMMtLALX0m1SdpCSwokHQ_55_1"/>
      <w:bookmarkStart w:id="842" w:name="Tc_eR2R0Ynvhkere1X0g6-Oog_55_0"/>
      <w:bookmarkStart w:id="843" w:name="Tc_iUlAlemHREeFnoSwH7J4uw_54_0"/>
      <w:bookmarkStart w:id="844" w:name="Tc_MFD-847hiUKslJujJbnIAA_53_0"/>
      <w:bookmarkStart w:id="845" w:name="Tc_6zFJoitghkSUaouaGibv0Q_52_0"/>
      <w:bookmarkStart w:id="846" w:name="Tc_peq5m7AxS0WMnuiKZY4kVg_51_0"/>
      <w:bookmarkStart w:id="847" w:name="Tc_R6qd7OQkHk2rDKc-SuS0Kg_50_2"/>
      <w:bookmarkStart w:id="848" w:name="Tc_cGLPVg4eV0SN4KR0DBHDiA_50_0"/>
      <w:bookmarkStart w:id="849" w:name="Tc_a5MPcn2rTkWWgIMq_ADmtQ_49_0"/>
      <w:bookmarkStart w:id="850" w:name="Tc_EIxHuiZq-EGaWaLvbnIUYA_48_0"/>
      <w:bookmarkStart w:id="851" w:name="Tc_YtaSjKimNki04rZhnVUp0Q_47_5"/>
      <w:bookmarkStart w:id="852" w:name="Tc_0ll-_1BMLUOch2CRE91uYA_47_2"/>
      <w:bookmarkStart w:id="853" w:name="Tc_aG_T077g90KLwyJR8zSooA_47_0"/>
      <w:bookmarkStart w:id="854" w:name="Tc_x0R_Pz1NNUSdXW5A91ysOw_46_0"/>
      <w:bookmarkStart w:id="855" w:name="Tc_dn-K8xS0NkG2-UT_aJLGZA_45_0"/>
      <w:bookmarkStart w:id="856" w:name="Tc_F8ZrsaMTdUieUlJtHVF0IQ_44_0"/>
      <w:bookmarkStart w:id="857" w:name="Tc_WBVgHmSwFkSn3rdXBiAENQ_43_0"/>
      <w:bookmarkStart w:id="858" w:name="Tc_QIbFv635oEmltbdIqrcaiQ_42_8"/>
      <w:bookmarkStart w:id="859" w:name="Tc_rTL2YuxgN0SK2mVIkIZ5fg_42_5"/>
      <w:bookmarkStart w:id="860" w:name="Tc_3YIMdvLUM0WkDT28Xn_Bow_42_0"/>
      <w:bookmarkStart w:id="861" w:name="Tc_dSBsVCy8nEm8NCplRykHLA_41_8"/>
      <w:bookmarkStart w:id="862" w:name="Tc_-4FKftcX2UW_SeFdYSBKlg_41_5"/>
      <w:bookmarkStart w:id="863" w:name="Tc_-iXR40fdo0iUeMZ94dWiWw_41_0"/>
      <w:bookmarkStart w:id="864" w:name="Tc_gLDmRBL0uEO8gL5W_4chHg_40_0"/>
      <w:bookmarkStart w:id="865" w:name="Tc_n8yP0yRrg0qzXlMnPIBQtg_39_8"/>
      <w:bookmarkStart w:id="866" w:name="Tc_4i6eUTM_tkaUwkAJRvvB1A_39_5"/>
      <w:bookmarkStart w:id="867" w:name="Tc_BMZ0MdXidkOnkAfBZn5wIw_39_0"/>
      <w:bookmarkStart w:id="868" w:name="Tc_dA5c9lUIrkiEEHAOgmrmWg_38_5"/>
      <w:bookmarkStart w:id="869" w:name="Tc_YQ2590gT2EaKZgtmrscV3A_38_2"/>
      <w:bookmarkStart w:id="870" w:name="Tc_TRY3h6jBoEagdyw4hfUMdA_38_0"/>
      <w:bookmarkStart w:id="871" w:name="Tc__kJeaxttPU66b93bPaBNNQ_37_0"/>
      <w:bookmarkStart w:id="872" w:name="Tc_41NKBPypv06HtzrJEYdKhA_36_0"/>
      <w:bookmarkStart w:id="873" w:name="Tc_90nit_CyXUqdkv1r9NxCEQ_35_0"/>
      <w:bookmarkStart w:id="874" w:name="Tc_YE9RTTcTaUuHlYc60mylQg_34_0"/>
      <w:bookmarkStart w:id="875" w:name="Tc_UhSwwUsbOUSIO-UuPXi93w_33_0"/>
      <w:bookmarkStart w:id="876" w:name="Tc_ZFCYREsrMkWtGzX37lT_Tg_32_0"/>
      <w:bookmarkStart w:id="877" w:name="Tc_vt5FZOZagEikPn97be1Fbg_31_0"/>
      <w:bookmarkStart w:id="878" w:name="Tc_d1MDtZsNPkyNlGsGfUQwAg_30_5"/>
      <w:bookmarkStart w:id="879" w:name="Tc_KU4pFktRpkacjZdSxu_sXA_30_0"/>
      <w:bookmarkStart w:id="880" w:name="Tc_MHnc0itGXUGi_aq3viK6sw_29_0"/>
      <w:bookmarkStart w:id="881" w:name="Tc_LXjTIAKAIkKPM9gb-wH0wA_28_0"/>
      <w:bookmarkStart w:id="882" w:name="Tc_R5cvjlC6C0eVmcfxQSSzkA_27_0"/>
      <w:bookmarkStart w:id="883" w:name="Tc_qrK2UQImO0SoK26eG5QgWA_26_8"/>
      <w:bookmarkStart w:id="884" w:name="Tc_63pmMgwg5E6EpHjaZ3HCHA_26_5"/>
      <w:bookmarkStart w:id="885" w:name="Tc_nDx3QdSSHUWld4t41dcxNw_26_0"/>
      <w:bookmarkStart w:id="886" w:name="Tc_69NvN7sbfEuZNC43x6fBgg_25_0"/>
      <w:bookmarkStart w:id="887" w:name="Tc_z_LiSIq-bk60IupkORrYCQ_24_0"/>
      <w:bookmarkStart w:id="888" w:name="Tc_13indf9qtkShvqBP_XSmOQ_23_0"/>
      <w:bookmarkStart w:id="889" w:name="Tc_8tT08rAg6UaU8FNF1CW6uA_22_0"/>
      <w:bookmarkStart w:id="890" w:name="Tc_DgVNCIvDEE-yADlhtMWNqw_21_0"/>
      <w:bookmarkStart w:id="891" w:name="Tc_YqaY60QLEkaaHzgKcPuQsA_20_0"/>
      <w:bookmarkStart w:id="892" w:name="Tc_F8PVzUn4IESdSPWO9r7suw_19_0"/>
      <w:bookmarkStart w:id="893" w:name="Tc_SbSXOAi9aEq8RzJ-PFOOGQ_18_0"/>
      <w:bookmarkStart w:id="894" w:name="Tc_B0LufPlUlUS2SS65bA78Fw_17_0"/>
      <w:bookmarkStart w:id="895" w:name="Tc_yg0q0PKxG0GUmdlB37RVcw_16_0"/>
      <w:bookmarkStart w:id="896" w:name="Tc_IFy3mrONhU2kPndq-_eefA_15_0"/>
      <w:bookmarkStart w:id="897" w:name="Tc_pUhqC4xLIkmdkmFPFpI23w_14_0"/>
      <w:bookmarkStart w:id="898" w:name="Tc_BlBrsW24PUir2JKNFFd_1w_13_0"/>
      <w:bookmarkStart w:id="899" w:name="Tc_yKLMWRF2h0OgNyDiZhOCgg_12_5"/>
      <w:bookmarkStart w:id="900" w:name="Tc_7rSTIkuDvkGWKXNNWGDJqw_12_0"/>
      <w:bookmarkStart w:id="901" w:name="Tc_UJ6HRzMld0ixXF1_hnnpOw_11_8"/>
      <w:bookmarkStart w:id="902" w:name="Tc_7tuyJGtobECEC9AU9JpdIQ_11_5"/>
      <w:bookmarkStart w:id="903" w:name="Tc_gKkQli7Cu0-GafRTtWs_Bg_11_0"/>
      <w:bookmarkStart w:id="904" w:name="Tc_o5hNtYxlXUeMxC_MYivVTA_10_8"/>
      <w:bookmarkStart w:id="905" w:name="Tc_y9mTE-PSmkWQwX0yeM4AwQ_10_5"/>
      <w:bookmarkStart w:id="906" w:name="Tc_nNJjt4CGT0a1Iwt2kZlD8Q_10_0"/>
      <w:bookmarkStart w:id="907" w:name="Tc_N06NPQJyk0qyw8T4SQajLg_9_0"/>
      <w:bookmarkStart w:id="908" w:name="Tc_kJqfDf_j8EmBsjLfR9eW1g_8_0"/>
      <w:bookmarkStart w:id="909" w:name="Tc_zSm7ArE_8kmfeL1EhLt6KQ_7_8"/>
      <w:bookmarkStart w:id="910" w:name="Tc_kexFKC5JOEmi-LxigMkQTg_7_0"/>
      <w:bookmarkStart w:id="911" w:name="Tc_CDIVaKcKzES3_KW3_yuLCA_6_0"/>
      <w:bookmarkStart w:id="912" w:name="Tc_79iJ102hREGcSIDISmpoVA_5_0"/>
      <w:bookmarkStart w:id="913" w:name="Tc_2WuGWaKZI0qy7DPkSWHvNw_4_7"/>
      <w:bookmarkStart w:id="914" w:name="Tc_cim3Yd76V0uVyvDlNc9grA_4_4"/>
      <w:bookmarkStart w:id="915" w:name="Tc_THE-uBOM00ahLPQY6tjZMg_4_1"/>
      <w:bookmarkStart w:id="916" w:name="Tc__AByC8iqtEeVLdFb7431xA_4_0"/>
      <w:bookmarkStart w:id="917" w:name="Tc_rBT1q_sCCkmEcjP1ptKaBw_3_0"/>
      <w:bookmarkStart w:id="918" w:name="Tc_7eK00Wq1gUCwadMXi6Hk_w_2_7"/>
      <w:bookmarkStart w:id="919" w:name="Tc_X8AR4zNMXkeyWvmmQAeCTQ_2_4"/>
      <w:bookmarkStart w:id="920" w:name="Tc_6Rxq1Bzafki_cHTceTN8qg_2_1"/>
      <w:bookmarkStart w:id="921" w:name="Tc_GzXpStNKFkCIAngJRvMxzw_1_1"/>
      <w:bookmarkStart w:id="922" w:name="_d23708cc_07e8_43bc_9d98_00249e25ce80"/>
      <w:bookmarkStart w:id="923" w:name="Tc_v0flbZ2ROE-Yp-ygdd4ZHA_59_7"/>
      <w:bookmarkStart w:id="924" w:name="Tc_D7tqGcoMfE-yirqSmqxUbA_59_4"/>
      <w:bookmarkStart w:id="925" w:name="Tc_5fgTmopqWU-LZGbtvBtN0w_59_1"/>
      <w:bookmarkStart w:id="926" w:name="Tc_Gb6oJQkHjEyonLmh1O0_9g_59_0"/>
      <w:bookmarkStart w:id="927" w:name="Tc_58qHaNjalEClWcfE_gG0LQ_58_0"/>
      <w:bookmarkStart w:id="928" w:name="Tc_maEAlf_XrEiG9Un3XvKmmA_57_7"/>
      <w:bookmarkStart w:id="929" w:name="Tc_M9ijVxAUg0-ZoaInpkroAA_57_4"/>
      <w:bookmarkStart w:id="930" w:name="Tc_YChiLkfx3UagFvjwrd40aA_57_1"/>
      <w:bookmarkStart w:id="931" w:name="Tc_4TgrcoLT6UOQrG0aRX9sUA_57_0"/>
      <w:bookmarkStart w:id="932" w:name="Tc_2zACoLIzBUKeqpCcNynBig_56_0"/>
      <w:bookmarkStart w:id="933" w:name="Tc_nU2hxlY1ak6tIwyZJxUZbQ_55_7"/>
      <w:bookmarkStart w:id="934" w:name="Tc_VWhX0YkQ-Uqb2S8KGJOSwA_55_4"/>
      <w:bookmarkStart w:id="935" w:name="Tc_6OMMtLALX0m1SdpCSwokHQ_55_1"/>
      <w:bookmarkStart w:id="936" w:name="Tc_eR2R0Ynvhkere1X0g6-Oog_55_0"/>
      <w:bookmarkStart w:id="937" w:name="Tc_iUlAlemHREeFnoSwH7J4uw_54_0"/>
      <w:bookmarkStart w:id="938" w:name="Tc_MFD-847hiUKslJujJbnIAA_53_0"/>
      <w:bookmarkStart w:id="939" w:name="Tc_6zFJoitghkSUaouaGibv0Q_52_0"/>
      <w:bookmarkStart w:id="940" w:name="Tc_peq5m7AxS0WMnuiKZY4kVg_51_0"/>
      <w:bookmarkStart w:id="941" w:name="Tc_R6qd7OQkHk2rDKc-SuS0Kg_50_2"/>
      <w:bookmarkStart w:id="942" w:name="Tc_cGLPVg4eV0SN4KR0DBHDiA_50_0"/>
      <w:bookmarkStart w:id="943" w:name="Tc_a5MPcn2rTkWWgIMq_ADmtQ_49_0"/>
      <w:bookmarkStart w:id="944" w:name="Tc_EIxHuiZq-EGaWaLvbnIUYA_48_0"/>
      <w:bookmarkStart w:id="945" w:name="Tc_YtaSjKimNki04rZhnVUp0Q_47_5"/>
      <w:bookmarkStart w:id="946" w:name="Tc_0ll-_1BMLUOch2CRE91uYA_47_2"/>
      <w:bookmarkStart w:id="947" w:name="Tc_aG_T077g90KLwyJR8zSooA_47_0"/>
      <w:bookmarkStart w:id="948" w:name="Tc_x0R_Pz1NNUSdXW5A91ysOw_46_0"/>
      <w:bookmarkStart w:id="949" w:name="Tc_dn-K8xS0NkG2-UT_aJLGZA_45_0"/>
      <w:bookmarkStart w:id="950" w:name="Tc_F8ZrsaMTdUieUlJtHVF0IQ_44_0"/>
      <w:bookmarkStart w:id="951" w:name="Tc_WBVgHmSwFkSn3rdXBiAENQ_43_0"/>
      <w:bookmarkStart w:id="952" w:name="Tc_QIbFv635oEmltbdIqrcaiQ_42_8"/>
      <w:bookmarkStart w:id="953" w:name="Tc_rTL2YuxgN0SK2mVIkIZ5fg_42_5"/>
      <w:bookmarkStart w:id="954" w:name="Tc_3YIMdvLUM0WkDT28Xn_Bow_42_0"/>
      <w:bookmarkStart w:id="955" w:name="Tc_dSBsVCy8nEm8NCplRykHLA_41_8"/>
      <w:bookmarkStart w:id="956" w:name="Tc_-4FKftcX2UW_SeFdYSBKlg_41_5"/>
      <w:bookmarkStart w:id="957" w:name="Tc_-iXR40fdo0iUeMZ94dWiWw_41_0"/>
      <w:bookmarkStart w:id="958" w:name="Tc_gLDmRBL0uEO8gL5W_4chHg_40_0"/>
      <w:bookmarkStart w:id="959" w:name="Tc_n8yP0yRrg0qzXlMnPIBQtg_39_8"/>
      <w:bookmarkStart w:id="960" w:name="Tc_4i6eUTM_tkaUwkAJRvvB1A_39_5"/>
      <w:bookmarkStart w:id="961" w:name="Tc_BMZ0MdXidkOnkAfBZn5wIw_39_0"/>
      <w:bookmarkStart w:id="962" w:name="Tc_dA5c9lUIrkiEEHAOgmrmWg_38_5"/>
      <w:bookmarkStart w:id="963" w:name="Tc_YQ2590gT2EaKZgtmrscV3A_38_2"/>
      <w:bookmarkStart w:id="964" w:name="Tc_TRY3h6jBoEagdyw4hfUMdA_38_0"/>
      <w:bookmarkStart w:id="965" w:name="Tc__kJeaxttPU66b93bPaBNNQ_37_0"/>
      <w:bookmarkStart w:id="966" w:name="Tc_41NKBPypv06HtzrJEYdKhA_36_0"/>
      <w:bookmarkStart w:id="967" w:name="Tc_90nit_CyXUqdkv1r9NxCEQ_35_0"/>
      <w:bookmarkStart w:id="968" w:name="Tc_YE9RTTcTaUuHlYc60mylQg_34_0"/>
      <w:bookmarkStart w:id="969" w:name="Tc_UhSwwUsbOUSIO-UuPXi93w_33_0"/>
      <w:bookmarkStart w:id="970" w:name="Tc_ZFCYREsrMkWtGzX37lT_Tg_32_0"/>
      <w:bookmarkStart w:id="971" w:name="Tc_vt5FZOZagEikPn97be1Fbg_31_0"/>
      <w:bookmarkStart w:id="972" w:name="Tc_d1MDtZsNPkyNlGsGfUQwAg_30_5"/>
      <w:bookmarkStart w:id="973" w:name="Tc_KU4pFktRpkacjZdSxu_sXA_30_0"/>
      <w:bookmarkStart w:id="974" w:name="Tc_MHnc0itGXUGi_aq3viK6sw_29_0"/>
      <w:bookmarkStart w:id="975" w:name="Tc_LXjTIAKAIkKPM9gb-wH0wA_28_0"/>
      <w:bookmarkStart w:id="976" w:name="Tc_R5cvjlC6C0eVmcfxQSSzkA_27_0"/>
      <w:bookmarkStart w:id="977" w:name="Tc_qrK2UQImO0SoK26eG5QgWA_26_8"/>
      <w:bookmarkStart w:id="978" w:name="Tc_63pmMgwg5E6EpHjaZ3HCHA_26_5"/>
      <w:bookmarkStart w:id="979" w:name="Tc_nDx3QdSSHUWld4t41dcxNw_26_0"/>
      <w:bookmarkStart w:id="980" w:name="Tc_69NvN7sbfEuZNC43x6fBgg_25_0"/>
      <w:bookmarkStart w:id="981" w:name="Tc_z_LiSIq-bk60IupkORrYCQ_24_0"/>
      <w:bookmarkStart w:id="982" w:name="Tc_13indf9qtkShvqBP_XSmOQ_23_0"/>
      <w:bookmarkStart w:id="983" w:name="Tc_8tT08rAg6UaU8FNF1CW6uA_22_0"/>
      <w:bookmarkStart w:id="984" w:name="Tc_DgVNCIvDEE-yADlhtMWNqw_21_0"/>
      <w:bookmarkStart w:id="985" w:name="Tc_YqaY60QLEkaaHzgKcPuQsA_20_0"/>
      <w:bookmarkStart w:id="986" w:name="Tc_F8PVzUn4IESdSPWO9r7suw_19_0"/>
      <w:bookmarkStart w:id="987" w:name="Tc_SbSXOAi9aEq8RzJ-PFOOGQ_18_0"/>
      <w:bookmarkStart w:id="988" w:name="Tc_B0LufPlUlUS2SS65bA78Fw_17_0"/>
      <w:bookmarkStart w:id="989" w:name="Tc_yg0q0PKxG0GUmdlB37RVcw_16_0"/>
      <w:bookmarkStart w:id="990" w:name="Tc_IFy3mrONhU2kPndq-_eefA_15_0"/>
      <w:bookmarkStart w:id="991" w:name="Tc_pUhqC4xLIkmdkmFPFpI23w_14_0"/>
      <w:bookmarkStart w:id="992" w:name="Tc_BlBrsW24PUir2JKNFFd_1w_13_0"/>
      <w:bookmarkStart w:id="993" w:name="Tc_yKLMWRF2h0OgNyDiZhOCgg_12_5"/>
      <w:bookmarkStart w:id="994" w:name="Tc_7rSTIkuDvkGWKXNNWGDJqw_12_0"/>
      <w:bookmarkStart w:id="995" w:name="Tc_UJ6HRzMld0ixXF1_hnnpOw_11_8"/>
      <w:bookmarkStart w:id="996" w:name="Tc_7tuyJGtobECEC9AU9JpdIQ_11_5"/>
      <w:bookmarkStart w:id="997" w:name="Tc_gKkQli7Cu0-GafRTtWs_Bg_11_0"/>
      <w:bookmarkStart w:id="998" w:name="Tc_o5hNtYxlXUeMxC_MYivVTA_10_8"/>
      <w:bookmarkStart w:id="999" w:name="Tc_y9mTE-PSmkWQwX0yeM4AwQ_10_5"/>
      <w:bookmarkStart w:id="1000" w:name="Tc_nNJjt4CGT0a1Iwt2kZlD8Q_10_0"/>
      <w:bookmarkStart w:id="1001" w:name="Tc_N06NPQJyk0qyw8T4SQajLg_9_0"/>
      <w:bookmarkStart w:id="1002" w:name="Tc_kJqfDf_j8EmBsjLfR9eW1g_8_0"/>
      <w:bookmarkStart w:id="1003" w:name="Tc_zSm7ArE_8kmfeL1EhLt6KQ_7_8"/>
      <w:bookmarkStart w:id="1004" w:name="Tc_kexFKC5JOEmi-LxigMkQTg_7_0"/>
      <w:bookmarkStart w:id="1005" w:name="Tc_CDIVaKcKzES3_KW3_yuLCA_6_0"/>
      <w:bookmarkStart w:id="1006" w:name="Tc_79iJ102hREGcSIDISmpoVA_5_0"/>
      <w:bookmarkStart w:id="1007" w:name="Tc_2WuGWaKZI0qy7DPkSWHvNw_4_7"/>
      <w:bookmarkStart w:id="1008" w:name="Tc_cim3Yd76V0uVyvDlNc9grA_4_4"/>
      <w:bookmarkStart w:id="1009" w:name="Tc_THE-uBOM00ahLPQY6tjZMg_4_1"/>
      <w:bookmarkStart w:id="1010" w:name="Tc__AByC8iqtEeVLdFb7431xA_4_0"/>
      <w:bookmarkStart w:id="1011" w:name="Tc_rBT1q_sCCkmEcjP1ptKaBw_3_0"/>
      <w:bookmarkStart w:id="1012" w:name="Tc_7eK00Wq1gUCwadMXi6Hk_w_2_7"/>
      <w:bookmarkStart w:id="1013" w:name="Tc_X8AR4zNMXkeyWvmmQAeCTQ_2_4"/>
      <w:bookmarkStart w:id="1014" w:name="Tc_6Rxq1Bzafki_cHTceTN8qg_2_1"/>
      <w:bookmarkStart w:id="1015" w:name="Tc_GzXpStNKFkCIAngJRvMxzw_1_1"/>
      <w:bookmarkStart w:id="1016" w:name="_d23708cc_07e8_43bc_9d98_00249e25ce80"/>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tbl>
      <w:tblPr>
        <w:tblW w:w="10205" w:type="dxa"/>
        <w:jc w:val="left"/>
        <w:tblInd w:w="0" w:type="dxa"/>
        <w:tblLayout w:type="fixed"/>
        <w:tblCellMar>
          <w:top w:w="0" w:type="dxa"/>
          <w:left w:w="0" w:type="dxa"/>
          <w:bottom w:w="0" w:type="dxa"/>
          <w:right w:w="0" w:type="dxa"/>
        </w:tblCellMar>
      </w:tblPr>
      <w:tblGrid>
        <w:gridCol w:w="6651"/>
        <w:gridCol w:w="196"/>
        <w:gridCol w:w="801"/>
        <w:gridCol w:w="326"/>
        <w:gridCol w:w="196"/>
        <w:gridCol w:w="716"/>
        <w:gridCol w:w="326"/>
        <w:gridCol w:w="196"/>
        <w:gridCol w:w="797"/>
      </w:tblGrid>
      <w:tr>
        <w:trPr/>
        <w:tc>
          <w:tcPr>
            <w:tcW w:w="6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23385" cy="175260"/>
                      <wp:effectExtent l="0" t="0" r="0" b="0"/>
                      <wp:wrapNone/>
                      <wp:docPr id="326" name="Frame325"/>
                      <a:graphic xmlns:a="http://schemas.openxmlformats.org/drawingml/2006/main">
                        <a:graphicData uri="http://schemas.microsoft.com/office/word/2010/wordprocessingShape">
                          <wps:wsp>
                            <wps:cNvSpPr txBox="1"/>
                            <wps:spPr>
                              <a:xfrm>
                                <a:off x="0" y="0"/>
                                <a:ext cx="422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4460" cy="175260"/>
                      <wp:effectExtent l="0" t="0" r="0" b="0"/>
                      <wp:wrapNone/>
                      <wp:docPr id="327" name="Frame3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08635" cy="175260"/>
                      <wp:effectExtent l="0" t="0" r="0" b="0"/>
                      <wp:wrapNone/>
                      <wp:docPr id="328" name="Frame327"/>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54660" cy="175260"/>
                      <wp:effectExtent l="0" t="0" r="0" b="0"/>
                      <wp:wrapNone/>
                      <wp:docPr id="331" name="Frame330"/>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06095" cy="175260"/>
                      <wp:effectExtent l="0" t="0" r="0" b="0"/>
                      <wp:wrapNone/>
                      <wp:docPr id="334" name="Frame333"/>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51" w:type="dxa"/>
            <w:tcBorders/>
            <w:vAlign w:val="center"/>
          </w:tcPr>
          <w:p>
            <w:pPr>
              <w:pStyle w:val="TableContents"/>
              <w:bidi w:val="0"/>
              <w:spacing w:before="0" w:after="1"/>
              <w:ind w:left="0" w:right="0" w:hanging="0"/>
              <w:jc w:val="left"/>
              <w:rPr/>
            </w:pPr>
            <w:r>
              <w:rPr/>
              <w:t>​</w:t>
            </w:r>
          </w:p>
        </w:tc>
        <w:tc>
          <w:tcPr>
            <w:tcW w:w="35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651" w:type="dxa"/>
            <w:tcBorders/>
            <w:vAlign w:val="center"/>
          </w:tcPr>
          <w:p>
            <w:pPr>
              <w:pStyle w:val="TableContents"/>
              <w:bidi w:val="0"/>
              <w:spacing w:before="0" w:after="1"/>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51"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operating activities:</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pPr>
            <w:r>
              <w:rPr/>
              <w:t>  </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(13,093)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(12,304)</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provided by operating activities: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pPr>
            <w:r>
              <w:rPr/>
              <w:t>  </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82,733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61,153</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cloud computing implementation costs</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pPr>
            <w:r>
              <w:rPr/>
              <w:t>—</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subscription cancellations and non-renewals</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deferred financing costs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contingent consideration liabilities</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settlement value of deferred purchase commitment liability</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pPr>
            <w:r>
              <w:rPr/>
              <w:t>—</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Write-off of deferred financing costs</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19,729</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(1,345)</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operating lease costs</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3,357</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5,335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4,052</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pPr>
            <w:r>
              <w:rPr/>
              <w:t>​</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(22,076)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(25,665)</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(2,171)</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commissions</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(6,242)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(2,908)</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1,369</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(12,323)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15,064</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and deferred compensation</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(12,005)</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51,096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30,768</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(4,041)</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purchase commitment and contingent consideration liabilities in excess of initial fair value</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(11,624)</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164,821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74,332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63,848</w:t>
            </w:r>
          </w:p>
        </w:tc>
      </w:tr>
      <w:tr>
        <w:trPr/>
        <w:tc>
          <w:tcPr>
            <w:tcW w:w="6651"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investing activities: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pPr>
            <w:r>
              <w:rPr/>
              <w:t>  </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businesses and assets, net of cash acquired</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(71,755)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additions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(65,769)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(45,532)</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Capitalized software additions</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(21,344)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(14,888)</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investment securities, available-for-sale</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(16,518)</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sales and maturities of investment securities, available-for-sale</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18,390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5,364</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(158,151)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(72,048)</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pPr>
            <w:r>
              <w:rPr/>
              <w:t>  </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(decrease) in customer funds obligations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(11,340)</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term loan</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50,000</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convertible senior notes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pPr>
            <w:r>
              <w:rPr/>
              <w:t>—</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Principal payments on long-term debt</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(46,875)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(938)</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on third-party debt</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pPr>
            <w:r>
              <w:rPr/>
              <w:t>—</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for purchase of capped calls</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(42,366)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deferred financing costs</w:t>
            </w:r>
          </w:p>
        </w:tc>
        <w:tc>
          <w:tcPr>
            <w:tcW w:w="196"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(983)</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purchases of stock under ESPP</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1,951</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taxes related to net share settlement of stock-based awards</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8,459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1,821</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under Tax Sharing Agreement</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purchase commitment and contingent consideration liabilities</w:t>
            </w:r>
          </w:p>
        </w:tc>
        <w:tc>
          <w:tcPr>
            <w:tcW w:w="19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(7,580)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finance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(1,354)</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deferred purchase commitments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231,257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17,094</w:t>
            </w:r>
          </w:p>
        </w:tc>
      </w:tr>
      <w:tr>
        <w:trPr/>
        <w:tc>
          <w:tcPr>
            <w:tcW w:w="6651"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236,915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8,542</w:t>
            </w:r>
          </w:p>
        </w:tc>
      </w:tr>
      <w:tr>
        <w:trPr/>
        <w:tc>
          <w:tcPr>
            <w:tcW w:w="6651"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89,151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106,748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98,206</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326,066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106,748</w:t>
            </w:r>
          </w:p>
        </w:tc>
      </w:tr>
      <w:tr>
        <w:trPr/>
        <w:tc>
          <w:tcPr>
            <w:tcW w:w="6651"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Reconciliation of cash, cash equivalents and restricted cash to the Consolidated Balance Sheets, end of period:</w:t>
            </w:r>
          </w:p>
        </w:tc>
        <w:tc>
          <w:tcPr>
            <w:tcW w:w="196"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pPr>
            <w:r>
              <w:rPr/>
              <w:t>  </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296,051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68,175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91,803</w:t>
            </w:r>
          </w:p>
        </w:tc>
      </w:tr>
      <w:tr>
        <w:trPr/>
        <w:tc>
          <w:tcPr>
            <w:tcW w:w="66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cash—funds held for customers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20,976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14,945</w:t>
            </w:r>
          </w:p>
        </w:tc>
      </w:tr>
      <w:tr>
        <w:trPr/>
        <w:tc>
          <w:tcPr>
            <w:tcW w:w="66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end of period</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326,066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106,748</w:t>
            </w:r>
          </w:p>
        </w:tc>
      </w:tr>
    </w:tbl>
    <w:p>
      <w:pPr>
        <w:pStyle w:val="TextBody"/>
        <w:bidi w:val="0"/>
        <w:spacing w:lineRule="atLeast" w:line="200" w:before="60" w:after="0"/>
        <w:ind w:left="0" w:right="0" w:firstLine="360"/>
        <w:jc w:val="center"/>
        <w:rPr>
          <w:rFonts w:ascii="Times New Roman;Times;serif" w:hAnsi="Times New Roman;Times;serif"/>
          <w:sz w:val="16"/>
        </w:rPr>
      </w:pPr>
      <w:r>
        <w:rPr>
          <w:rFonts w:ascii="Times New Roman;Times;serif" w:hAnsi="Times New Roman;Times;serif"/>
          <w:sz w:val="16"/>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17" w:name="a1SUMMARYOFSIGNIFICANTACCOUNTING_697323"/>
      <w:bookmarkStart w:id="1018" w:name="_4887841f_89d0_40a7_b086_4367cd68142c"/>
      <w:bookmarkEnd w:id="1017"/>
      <w:bookmarkEnd w:id="1018"/>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1.SUMMARY OF SIGNIFICANT ACCOUNTING POLICIES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Nature of Business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consolidated subsidiaries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are prepared in accordance with accounting principles generally accepted in the U.S. (“U.S. GAAP”) and include the accounts of the Company. All intercompany transactions have been eliminated in consolidation.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August 30, 2024, the Company completed its acquisition of ecosio GmbH (“ecosio”). Upon its acquisition, ecosio became a wholly owned subsidiary of the Company, and its operations have been included in the Company’s consolidated financial statements commencing on the acquisition date.</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had an 80% and 65% controlling equity interest in Systax Sistemas Fiscais LTDA (“Systax”), a provider of Brazilian transaction tax content and software at December 31, 2023 and 2022, respectively. Systax was determined to be a variable interest entity and the accounts were included in the consolidated financial statements. Vertex did not have full decision-making authority over Systax; however, Vertex was the entity that most significantly participated in the variability of the fair value of Systax’s net assets and was considered the entity most closely associated to Systax. As such, Vertex was deemed the primary beneficiary of Systax and consolidated Systax into its consolidated financial statements. On June 5, 2024, Vertex acquired the remaining 20% equity interest in Systax. Systax is now a wholly owned subsidiary of the Company and continues to be consolidated into the consolidated financial statements.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its business as one operating segment. Operating segments are defined as components of an enterprise that separate financial information is evaluated regularly by the chief operating decision maker (“CODM”) the Company’s Chief Executive Officer, in deciding how to allocate resources and assess performance. The Company’s CODM allocates resources and assesses performance based upon discrete financial information at the consolidated level.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credit risk consist principally of cash and cash equivalents, which includes highly liquid investment securities, available-for-sale securities, funds held for customers and accounts receivable.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maintains the majority of its cash and cash equivalent balances and funds held for customers in four banks. These amounts exceed federally insured (“FDIC”) limits. The Company periodically evaluates the creditworthiness of the banks. The Company has not experienced any losses in these accounts and believes they are not exposed to significant credit risk on such accounts.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sz w:val="20"/>
        </w:rPr>
      </w:pPr>
      <w:bookmarkStart w:id="1019" w:name="_Hlk78445428"/>
      <w:bookmarkEnd w:id="1019"/>
      <w:r>
        <w:rPr>
          <w:rFonts w:ascii="Times New Roman;Times;serif" w:hAnsi="Times New Roman;Times;serif"/>
          <w:sz w:val="20"/>
        </w:rPr>
        <w:t>The Company does not require collateral from its customers. Allowances are maintained for credit losses. Credit risk related to accounts receivable is limited due to the industry and geographic diversity within the Company's customer base. No single customer accounted for more than 10% of revenues for the years ended December 31, 2024, 2023, and 2022.</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Level 1</w:t>
      </w:r>
      <w:r>
        <w:rPr>
          <w:rFonts w:ascii="Times New Roman;Times;serif" w:hAnsi="Times New Roman;Times;serif"/>
          <w:sz w:val="20"/>
        </w:rPr>
        <w:t>: Inputs are unadjusted quoted prices in active markets for identical assets or liabilities.</w:t>
      </w:r>
    </w:p>
    <w:p>
      <w:pPr>
        <w:pStyle w:val="TextBody"/>
        <w:pBdr/>
        <w:bidi w:val="0"/>
        <w:spacing w:before="0" w:after="240"/>
        <w:ind w:left="360" w:right="0" w:hanging="720"/>
        <w:jc w:val="both"/>
        <w:rPr>
          <w:rFonts w:ascii="Times New Roman;Times;serif" w:hAnsi="Times New Roman;Times;serif"/>
          <w:sz w:val="20"/>
        </w:rPr>
      </w:pPr>
      <w:r>
        <w:rPr>
          <w:rFonts w:ascii="Times New Roman;Times;serif" w:hAnsi="Times New Roman;Times;serif"/>
          <w:i/>
          <w:sz w:val="20"/>
        </w:rPr>
        <w:t>Level 2</w:t>
      </w:r>
      <w:r>
        <w:rPr>
          <w:rFonts w:ascii="Times New Roman;Times;serif" w:hAnsi="Times New Roman;Times;serif"/>
          <w:sz w:val="20"/>
        </w:rPr>
        <w:t>: Inputs are quoted prices for similar assets and liabilities in active markets or quoted prices for identical or similar instruments in markets that are not active and model-derived valuations in which all significant inputs and significant value drivers are observable in active markets.</w:t>
      </w:r>
    </w:p>
    <w:p>
      <w:pPr>
        <w:pStyle w:val="TextBody"/>
        <w:pBdr/>
        <w:bidi w:val="0"/>
        <w:spacing w:before="0" w:after="240"/>
        <w:ind w:left="360" w:right="0" w:hanging="720"/>
        <w:jc w:val="both"/>
        <w:rPr>
          <w:rFonts w:ascii="Times New Roman;Times;serif" w:hAnsi="Times New Roman;Times;serif"/>
          <w:sz w:val="20"/>
        </w:rPr>
      </w:pPr>
      <w:r>
        <w:rPr>
          <w:rFonts w:ascii="Times New Roman;Times;serif" w:hAnsi="Times New Roman;Times;serif"/>
          <w:i/>
          <w:sz w:val="20"/>
        </w:rPr>
        <w:t>Level 3</w:t>
      </w:r>
      <w:r>
        <w:rPr>
          <w:rFonts w:ascii="Times New Roman;Times;serif" w:hAnsi="Times New Roman;Times;serif"/>
          <w:sz w:val="20"/>
        </w:rPr>
        <w:t>: Inputs are unobservable inputs based on the Company’s assumptions and valuation techniques used to measure assets and liabilities at fair value. The inputs require significant management judgment or estimation.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assessment of the significance of an input to a fair value measurement requires judgment, which may affect the determination of fair value and the measurement’s classification within the Fair Value Hierarchy.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cloud computing arrangement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and contingent consideration and deferred purchase consideration liabilities associated with acquisitions; and (xiii) the potential outcome of future tax consequences of events that have been recognized in the consolidated financial statements or tax returns. Actual results may differ from these estimates.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considers all highly liquid investments purchased with an initial maturity date of three months or less to be cash equivalents. Funds held as investments in money market funds are included within cash and cash equivalents.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accordance with Accounting Standards Update (“ASU”) No. 2016-18, </w:t>
      </w:r>
      <w:r>
        <w:rPr>
          <w:rFonts w:ascii="Times New Roman;Times;serif" w:hAnsi="Times New Roman;Times;serif"/>
          <w:i/>
          <w:sz w:val="20"/>
        </w:rPr>
        <w:t>Restricted Cash</w:t>
      </w:r>
      <w:r>
        <w:rPr>
          <w:rFonts w:ascii="Times New Roman;Times;serif" w:hAnsi="Times New Roman;Times;serif"/>
          <w:sz w:val="20"/>
        </w:rPr>
        <w:t>, the Company presents changes in restricted cash in the cash flow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Funds Held for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Funds held for customers in the consolidated balance sheets represents customer funds advanced for transaction tax return payments. Funds held for customers are restricted for the sole purpose of remitting such funds to satisfy obligations on behalf of such customers and are deposited at FDIC-insured institutions. Customer obligations are included in current liabilities in the consolidated balance sheets, as the obligations are expected to be settled within one year.</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Property and equipment are stated at cost or fair value when acquired and presented net of accumulated depreciation. Normal maintenance and repairs are charged to expense, while major renewals and betterments are capitalized. Assets under finance leases are recorded at the present value of future lease payments. Assets under finance leases are recorded at the lower of the present value of the minimum lease payments or the fair value of the assets and are depreciated over the shorter of the asset’s useful life or lease term. </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are computed straight-line over the estimated useful lives of the assets, as follows:</w:t>
      </w:r>
    </w:p>
    <w:p>
      <w:pPr>
        <w:pStyle w:val="TextBody"/>
        <w:bidi w:val="0"/>
        <w:spacing w:before="0" w:after="0"/>
        <w:ind w:left="0" w:right="0" w:hanging="0"/>
        <w:jc w:val="left"/>
        <w:rPr/>
      </w:pPr>
      <w:r>
        <w:rPr/>
        <w:t>​</w:t>
      </w:r>
    </w:p>
    <w:tbl>
      <w:tblPr>
        <w:tblW w:w="4108" w:type="dxa"/>
        <w:jc w:val="left"/>
        <w:tblInd w:w="0" w:type="dxa"/>
        <w:tblLayout w:type="fixed"/>
        <w:tblCellMar>
          <w:top w:w="0" w:type="dxa"/>
          <w:left w:w="0" w:type="dxa"/>
          <w:bottom w:w="0" w:type="dxa"/>
          <w:right w:w="0" w:type="dxa"/>
        </w:tblCellMar>
      </w:tblPr>
      <w:tblGrid>
        <w:gridCol w:w="2701"/>
        <w:gridCol w:w="326"/>
        <w:gridCol w:w="10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15135" cy="175260"/>
                      <wp:effectExtent l="0" t="0" r="0" b="0"/>
                      <wp:wrapNone/>
                      <wp:docPr id="335" name="Frame334"/>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86435" cy="175260"/>
                      <wp:effectExtent l="0" t="0" r="0" b="0"/>
                      <wp:wrapNone/>
                      <wp:docPr id="337" name="Frame33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1 - 12 years</w:t>
            </w:r>
          </w:p>
        </w:tc>
      </w:tr>
      <w:tr>
        <w:trPr/>
        <w:tc>
          <w:tcPr>
            <w:tcW w:w="27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3 - 5 years</w:t>
            </w:r>
          </w:p>
        </w:tc>
      </w:tr>
      <w:tr>
        <w:trPr/>
        <w:tc>
          <w:tcPr>
            <w:tcW w:w="27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3 - 7 years</w:t>
            </w:r>
          </w:p>
        </w:tc>
      </w:tr>
      <w:tr>
        <w:trPr/>
        <w:tc>
          <w:tcPr>
            <w:tcW w:w="27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3 - 10 years</w:t>
            </w:r>
          </w:p>
        </w:tc>
      </w:tr>
      <w:tr>
        <w:trPr/>
        <w:tc>
          <w:tcPr>
            <w:tcW w:w="27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7 - 10 years</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Software Development Costs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Internal-Use Software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follows Accounting Standards Codification (“ASC”) 350-40 to account for development costs incurred for the costs of computer software developed or obtained for internal use. ASC 350-40 requires such costs to be capitalized once certain criteria are met. Capitalized internal-use software costs are primarily comprised of direct and contracted labor, and related expenses. ASC 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Depreciation expense for internal-use software utilized for cloud-based customer solutions and for software for internal systems and tools is included in cost of revenues, software subscriptions, and depreciation and amortization, respectively, in the consolidated statements of comprehensive loss.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Software Developed for Sale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costs incurred for the development of computer software to be sold, leased, or otherwise marketed are capitalized in accordance with ASC 985-20, </w:t>
      </w:r>
      <w:r>
        <w:rPr>
          <w:rFonts w:ascii="Times New Roman;Times;serif" w:hAnsi="Times New Roman;Times;serif"/>
          <w:i/>
          <w:sz w:val="20"/>
        </w:rPr>
        <w:t>Costs of Software to be Sold, Leased or Marketed</w:t>
      </w:r>
      <w:r>
        <w:rPr>
          <w:rFonts w:ascii="Times New Roman;Times;serif" w:hAnsi="Times New Roman;Times;serif"/>
          <w:sz w:val="20"/>
        </w:rPr>
        <w:t xml:space="preserve">,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future revenues, estimated economic life, and changes in technology. Capitalized software includes direct and contracted labor and related expenses for software development for new products and enhancements to existing products and acquired software.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Amortization of capitalized software development costs begins when the product is available for general release. Amortization is provided on a product-by-product basis using the straight-line method over periods between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 years and are reflected in cost of revenues - software subscriptions in the consolidated statements of comprehensive loss. Unamortized capitalized software development costs determined to be in excess of the net realizable value of the product are expensed immediately.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Capitalized software costs are subject to an ongoing assessment of recoverability based on anticipated future revenues and changes in software technologies at each balance sheet date.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Cloud Computing Software Implementation Costs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follows ASC 350-40 to account for development costs incurred for cloud computing software implementations. ASC 350-40 requires such costs to be capitalized once certain criteria are met. Costs are primarily comprised of contracted labor, direct labor, and related expenses. ASC 350-40 includes specific guidance on costs not to be capitalized, such as overhead, general and administrative, and training costs.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Cloud computing software implementation costs incurred in hosting arrangements are capitalized and reported as a component of prepaid expenses and other current assets, and other assets, once available for their intended use. These costs are amortized using the straight-line method over their respective contract service periods, including periods covered by an option to extend,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Amortization expense for capitalized cloud computing implementation costs for the years ended December 31, 2024 and 2023 were $4,007 and $2,570, respectively, and is included in general and administrative expense in the consolidated statements of comprehensive loss. There was no amortization expense for the year ended December 31, 2022.</w:t>
      </w:r>
    </w:p>
    <w:p>
      <w:pPr>
        <w:pStyle w:val="TextBody"/>
        <w:bidi w:val="0"/>
        <w:spacing w:before="0" w:after="0"/>
        <w:ind w:left="0" w:right="0" w:firstLine="36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Assessment of Long-Lived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Business Combinations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would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provided for by ASU 2017-04, </w:t>
      </w:r>
      <w:r>
        <w:rPr>
          <w:rFonts w:ascii="Times New Roman;Times;serif" w:hAnsi="Times New Roman;Times;serif"/>
          <w:i/>
          <w:sz w:val="20"/>
        </w:rPr>
        <w:t>Simplifying the Test for Goodwill Impairment</w:t>
      </w:r>
      <w:r>
        <w:rPr>
          <w:rFonts w:ascii="Times New Roman;Times;serif" w:hAnsi="Times New Roman;Times;serif"/>
          <w:sz w:val="20"/>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 over its fair value up to the amount of goodwill allocated to the reporting unit. Income tax effects from any tax-deductible goodwill on the carrying amount of the reporting unit are considered when measuring the goodwill impairment loss, if applicable.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Convertible Senior Notes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Notes (as defined below) wholly as debt under ASU 2026-06 </w:t>
      </w:r>
      <w:r>
        <w:rPr>
          <w:rFonts w:ascii="Times New Roman;Times;serif" w:hAnsi="Times New Roman;Times;serif"/>
          <w:i/>
          <w:sz w:val="20"/>
        </w:rPr>
        <w:t>Debt—Debt with Conversion and Other Options (Subtopic 470-20.)</w:t>
      </w:r>
      <w:r>
        <w:rPr>
          <w:rFonts w:ascii="Times New Roman;Times;serif" w:hAnsi="Times New Roman;Times;serif"/>
          <w:sz w:val="20"/>
        </w:rPr>
        <w:t xml:space="preserve"> Debt issuance costs incurred in connection with the issuance of the Notes are reflected in the consolidated balance sheets as a direct deduction from the carrying amount of the Notes. These costs are amortized on a straight-line basis, which approximates the effective interest method, over the contractual term of the Notes and are included within interest expense (income), net on the consolidated statements of comprehensive loss.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Capped Call Transactions</w:t>
      </w:r>
    </w:p>
    <w:p>
      <w:pPr>
        <w:pStyle w:val="TextBody"/>
        <w:bidi w:val="0"/>
        <w:spacing w:before="0" w:after="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Capped call transactions cover the aggregate number of shares of the Company’s common stock that will initially underlie the Notes. The Company also determined that the capped call option contracts meet the definition of a derivative under ASC Topic 815, “</w:t>
      </w:r>
      <w:r>
        <w:rPr>
          <w:rFonts w:ascii="Times New Roman;Times;serif" w:hAnsi="Times New Roman;Times;serif"/>
          <w:i/>
          <w:sz w:val="20"/>
        </w:rPr>
        <w:t>Derivatives and Hedging,</w:t>
      </w:r>
      <w:r>
        <w:rPr>
          <w:rFonts w:ascii="Times New Roman;Times;serif" w:hAnsi="Times New Roman;Times;serif"/>
          <w:sz w:val="20"/>
        </w:rPr>
        <w:t xml:space="preserve">” but are not required to be accounted for as a derivative as they meet the scope exception outlined in the guidance. The Company determined that the freestanding capped call option contracts qualify as equity under the accounting guidance and recognized the contract by recording an entry to additional paid-in capital in stockholders’ equity in its consolidated balance sheets. The capped call options are not remeasured.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Deferred Financing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capitalizes costs related to obtaining, renewing, or extending loan agreements and amortizes these costs on a straight-line basis, which approximates the effective interest method, over the life of the loan. Deferred financing costs related to undrawn debt are reflected in other assets in the consolidated balance sheets in accordance with ASC 835-30, </w:t>
      </w:r>
      <w:r>
        <w:rPr>
          <w:rFonts w:ascii="Times New Roman;Times;serif" w:hAnsi="Times New Roman;Times;serif"/>
          <w:i/>
          <w:sz w:val="20"/>
        </w:rPr>
        <w:t>Interest—Imputation of Interest</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2020 Incentive Award Plan (the “2020 Plan”) and the ESPP provide for the award of stock appreciation rights (“SARs”), stock options (“options”), restricted stock awards (“RSAs”), restricted stock units (“RSUs”), performance stock units (“PSUs”), and participation in the ESPP (collectively, the “awards”).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awards are subject to, and the Company applies, the guidance set forth in ASC 718, </w:t>
      </w:r>
      <w:r>
        <w:rPr>
          <w:rFonts w:ascii="Times New Roman;Times;serif" w:hAnsi="Times New Roman;Times;serif"/>
          <w:i/>
          <w:sz w:val="20"/>
        </w:rPr>
        <w:t>Compensation—Stock Compensation</w:t>
      </w:r>
      <w:r>
        <w:rPr>
          <w:rFonts w:ascii="Times New Roman;Times;serif" w:hAnsi="Times New Roman;Times;serif"/>
          <w:sz w:val="20"/>
        </w:rPr>
        <w:t>, for the award of equity-based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provisions of ASC 718 require a company to measure the fair value of stock-based compensation as of the grant date of the award. Stock-based compensation expense reflects the cost of employee services received in exchange for the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expense for stock options issued under the 2020 Plan is measured based on the grant date fair value of the award and is estimated using the Black-Scholes model. Compensation cost is recognized on a straight-line basis over the requisite service or performance period associated with the award.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expense for RSAs and RSUs</w:t>
      </w:r>
      <w:r>
        <w:rPr>
          <w:rFonts w:ascii="Times New Roman;Times;serif" w:hAnsi="Times New Roman;Times;serif"/>
          <w:color w:val="FF0000"/>
          <w:sz w:val="20"/>
        </w:rPr>
        <w:t xml:space="preserve"> </w:t>
      </w:r>
      <w:r>
        <w:rPr>
          <w:rFonts w:ascii="Times New Roman;Times;serif" w:hAnsi="Times New Roman;Times;serif"/>
          <w:sz w:val="20"/>
        </w:rPr>
        <w:t>is based on the fair value of the Company’s underlying common stock on the date of grant. Compensation cost for RSAs and RSUs is recognized on a straight-line basis over the requisite service or performance period associated with the award. Stock-based compensation expense for PSUs is based on the fair value of the Company’s common stock on the date of grant and is subject to performance-based measurement criteria. Compensation cost for PSUs is recognized on a straight-line basis over the requisite service period associated with the award when the achievement of performance targets is deemed probable.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permits participants to purchase Class A common stock through payroll deductions, up to a specified percentage of their eligible compensation. The plan is a compensatory plan as it allows participants to purchase stock at a 15% discount from the lower of the fair value of the Class A common on the first or last day of the ESPP offering period (the “ESPP Discount”). 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recognize award forfeitures as they occur.</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accordance with ASU No. 2016-02, </w:t>
      </w:r>
      <w:r>
        <w:rPr>
          <w:rFonts w:ascii="Times New Roman;Times;serif" w:hAnsi="Times New Roman;Times;serif"/>
          <w:i/>
          <w:sz w:val="20"/>
        </w:rPr>
        <w:t>Leases</w:t>
      </w:r>
      <w:r>
        <w:rPr>
          <w:rFonts w:ascii="Times New Roman;Times;serif" w:hAnsi="Times New Roman;Times;serif"/>
          <w:sz w:val="20"/>
        </w:rPr>
        <w:t xml:space="preserve"> (“ASC 842”), the Company determines if an arrangement is or contains a lease at its inception. The Company has elected not to recognize on the balance sheet leases with terms of one year or less as a practical expedient.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leases with terms greater than 12 months, the Company records an operating lease right-of-use asset or finance lease asset and related lease liability at the present value of lease payments over the lease term. The implicit rate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individual leases is generally not readily determinable; therefore, the Company uses its incremental borrowing rate at lease commencement to determine the present value of lease payments. Leases with an option to extend the related lease term or terminate early are reflected in the lease term when it is reasonably certain that the Company will exercise such options. The Company recognizes expense for operating leases on a straight-line basis over the lease term plus any variable lease costs.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does not recognize a right-of-use asset or lease liability for leases with an initial term equal to or less than 12 months (“short-term leases”) on its consolidated balance sheets. The Company recognizes expense on short-term leases in the consolidated statements of comprehensive loss on a straight-line basis over the lease term.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Self-insurance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$2,240 and $2,246 at December 31, 2024 and 2023, respectively, and are reflected in accrued salaries and benefits in the consolidated balance sheets. Material differences may result in the amount and timing of insurance expense if actual experience differs significantly from management’s estimates.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Revenue Recognition </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Revenue from contracts with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recognizes revenue in accordance with ASC 606, </w:t>
      </w:r>
      <w:r>
        <w:rPr>
          <w:rFonts w:ascii="Times New Roman;Times;serif" w:hAnsi="Times New Roman;Times;serif"/>
          <w:i/>
          <w:sz w:val="20"/>
        </w:rPr>
        <w:t>Revenue from Contracts with Customers</w:t>
      </w:r>
      <w:r>
        <w:rPr>
          <w:rFonts w:ascii="Times New Roman;Times;serif" w:hAnsi="Times New Roman;Times;serif"/>
          <w:sz w:val="20"/>
        </w:rPr>
        <w:t>, (“ASC 606”).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Nature of goods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Cloud-based subscriptions allow customers to use Company-hosted software over the contract period without taking possession of the software. The cloud-based offerings also include related updates and support. Revenue recognition begins on the later of the beginning of the subscription period or the date the customer is provided access to the cloud-based solutions. Cloud-based contracts consistently provide a benefit to the customer during the subscription period; thus, the associated revenue is recognized ratably over the related subscription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deliverable-based services is recognized as services are delivered. Revenue from fixed fee services is recognized as services are performed using the cost-to-cost input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the “right to invoice” practical expedient for revenue related to services that are billed on an hourly basis, which enables revenue to be recognized as the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Significant Judgments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judgment by management.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Payment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Payment terms and conditions vary by contract, although the Company’s terms generally include a requirement of payment within 30-60 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Cost of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revenues, software subscriptions include the direct cost to develop, host, and distribute software products, the direct cost to provide customer support, and amortization of costs capitalized for software developed for sale, for internal-use software utilized for cloud-based subscriptions and for certain acquired intangible assets. Cost of revenues, services include the direct costs of implementation, training, transaction tax returns outsourcing, and other tax-related services.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Reimbursable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Reimbursable costs passed through and invoiced to customers of the Company are recorded as services revenues with the associated expenses recorded as cost of revenues, services in the consolidated statements of comprehensive loss. These amounts were $431, $17, and $133 for the years ended December 31, 2024, 2023, and 2022, respectively.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Times New Roman;Times;serif" w:hAnsi="Times New Roman;Times;serif"/>
          <w:i/>
          <w:sz w:val="20"/>
        </w:rPr>
        <w:t>Research and Development,</w:t>
      </w:r>
      <w:r>
        <w:rPr>
          <w:rFonts w:ascii="Times New Roman;Times;serif" w:hAnsi="Times New Roman;Times;serif"/>
          <w:sz w:val="20"/>
        </w:rPr>
        <w:t xml:space="preserve"> and are included in the consolidated statements of comprehensive loss.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Advertising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Advertising expense is recorded as incurred and is reflected in selling and marketing expense in the consolidated statements of comprehensive loss. Total advertising expense was $26,333, $26,000, and $26,529 for the years ended December 31, 2024,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Foreign Currency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 translated into U.S. dollars using exchange rates at the balance sheet date. The effects of foreign currency translation adjustments are included in total stockholders’ equity as a component of accumulated other comprehensive loss in the consolidated balance sheets. Related periodic movements in exchange rates are included in other comprehensive loss in the consolidated statements of comprehensive loss. Other operating expense, net in the consolidated statements of comprehensive loss includes net foreign exchange transaction (losses) of $(1,067), $(109), and $(38) for the years ended December 31, 2024, 2023, and 2022, respectively.</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Investments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investment securities portfolio consists of the following: money market mutual funds invested in high quality, short-term money market instruments which are issued and payable in U.S. dollars (“Money Market Funds”), bank and corporate issued commercial paper (“Commercial Paper”), corporate bonds (“Corporate Bonds”), and U.S. treasury securities (“Treasury Securities”). The Money Market Funds and a portion of the Commercial Paper are considered cash and cash equivalents due to their short maturity dates. These securities are carried at fair value, with the realized holding gains and (losses), net of tax, reported in the interest expense, net line of the consolidated statements of comprehensive loss. Realized holding gains and (losses), net of tax, were not material. The Money Market Funds qualify as equity securities per ASC 321, </w:t>
      </w:r>
      <w:r>
        <w:rPr>
          <w:rFonts w:ascii="Times New Roman;Times;serif" w:hAnsi="Times New Roman;Times;serif"/>
          <w:i/>
          <w:sz w:val="20"/>
        </w:rPr>
        <w:t>Investments – Equity Securities</w:t>
      </w:r>
      <w:r>
        <w:rPr>
          <w:rFonts w:ascii="Times New Roman;Times;serif" w:hAnsi="Times New Roman;Times;serif"/>
          <w:sz w:val="20"/>
        </w:rPr>
        <w:t xml:space="preserve">. The Commercial Paper, Corporate Bonds, and U.S. Treasury Securities qualify as debt securities per ASC 320, </w:t>
      </w:r>
      <w:r>
        <w:rPr>
          <w:rFonts w:ascii="Times New Roman;Times;serif" w:hAnsi="Times New Roman;Times;serif"/>
          <w:i/>
          <w:sz w:val="20"/>
        </w:rPr>
        <w:t>Investments– Debt Securities</w:t>
      </w:r>
      <w:r>
        <w:rPr>
          <w:rFonts w:ascii="Times New Roman;Times;serif" w:hAnsi="Times New Roman;Times;serif"/>
          <w:sz w:val="20"/>
        </w:rPr>
        <w:t xml:space="preserve">, and have been classified as available-for-sale as they may be liquidated and used for general corporate purposes. These securities are carried at fair value, with the unrealized holding gains and (losses), net of tax, reported in other comprehensive (income) loss and do not affect earnings until realized. None of the Company’s debt securities are classified as trading or held-to-maturity. </w:t>
      </w:r>
    </w:p>
    <w:p>
      <w:pPr>
        <w:pStyle w:val="TextBody"/>
        <w:bidi w:val="0"/>
        <w:spacing w:before="0" w:after="0"/>
        <w:ind w:left="0" w:right="0" w:firstLine="36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Income Taxes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accounts for income taxes using the asset and liability method, which recognizes deferred tax assets and liabilities for future tax consequences of events that have been previously recognized in the Company’s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effect of a change in tax laws or rates on deferred tax assets and liabilities is recognized in income in the period that includes the enactment date. The effects of future changes in tax laws or rates are not anticipated. Vertex and its subsidiaries are generally taxed at the corporate level, and the income tax provision or benefit is based on income or loss sourced to the U.S. federal and state jurisdictions as well as foreign jurisdictions at the tax rates applicable in those jurisdictions. A valuation allowance is recorded when it is more likely than not that some or all the deferred tax assets will not be realized.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records uncertain tax positions in accordance with ASC 740, </w:t>
      </w:r>
      <w:r>
        <w:rPr>
          <w:rFonts w:ascii="Times New Roman;Times;serif" w:hAnsi="Times New Roman;Times;serif"/>
          <w:i/>
          <w:sz w:val="20"/>
        </w:rPr>
        <w:t>Income Taxes</w:t>
      </w:r>
      <w:r>
        <w:rPr>
          <w:rFonts w:ascii="Times New Roman;Times;serif" w:hAnsi="Times New Roman;Times;serif"/>
          <w:sz w:val="20"/>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Company records interest related to underpayment of income taxes as interest expense and penalties as other operating expenses in the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assesses its income tax positions and records tax benefits or expense based upon management’s evaluation of the facts, circumstances, and information available at the reporting date. Variations in the actual outcome of these future tax consequences could materially impact the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Total Comprehensive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comprehensive loss consists of net loss and other comprehensive (income) loss. Other comprehensive (income) loss refers to revenues, expenses, gains and losses that under U.S. GAAP are recorded as elements of stockholders' equity but are excluded from net loss. Other comprehensive (income) loss is comprised of foreign currency translation adjustments and revaluations, and unrealized (gains) losses on available-for-sale debt securities.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Earnings Per Share (“EPS”)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two classes of common stock outstanding and thus calculates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and diluted net income (loss) per share attributable to common stockholders is calculated using the treasury stock and if-converted methods. The basic net income (loss) per share attributable to Class A common stockholders includes RSAs, RSUs, PSUs,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PSUs are included in the computation of diluted net income per share only to the extent that the underlying performance conditions are satisfied prior to the end of the reporting period or would be satisfied if the end of the reporting period were the end of the related performance period, and if the effect would be dilutive. The portion of ESPP shares for which the Company has received payments but for which the related shares are not yet issuable are also considered potential common stock equivalents. Additionally, the dilutive effect of shares issuable upon conversion of the Notes is included in the calculation of diluted EPS by application of the if-converted method. In connection with the issuance of the Notes, the Company entered into the Capped Calls Transactions, which are not included for purposes of calculating the number of diluted weighted-average shares outstanding, as their effect would be anti-dilutive. The Company has excluded the effect of its Class A common stock to be issued in connection with the Stock Earn-outs (as defined in Note 3) as the underlying performance conditions were not satisfied prior to the end of the reporting period, nor would they be satisfied if the end of the reporting period were the end of the related performance period. In periods of net loss available to common stockholders, diluted calculations are equal to basic calculations because the inclusion of potential common stock equivalents would be anti-dilutive.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left"/>
        <w:rPr>
          <w:rFonts w:ascii="Times New Roman;Times;serif" w:hAnsi="Times New Roman;Times;serif"/>
          <w:b/>
          <w:sz w:val="20"/>
        </w:rPr>
      </w:pPr>
      <w:bookmarkStart w:id="1020" w:name="Tc_8omoOX8sNESR3twSrVzShg_11_0"/>
      <w:bookmarkStart w:id="1021" w:name="Tc_SPgr2uIWgESBZZQKWKKCFg_10_0"/>
      <w:bookmarkStart w:id="1022" w:name="Tc_yu0zCWIExUGhUVytwshXqA_9_0"/>
      <w:bookmarkStart w:id="1023" w:name="Tc_3PmN57UJ0EWYSXQaeY9Hbw_8_0"/>
      <w:bookmarkStart w:id="1024" w:name="Tc_ysL3360YqU6_X0WPTLXAaQ_7_0"/>
      <w:bookmarkStart w:id="1025" w:name="Tc_N7NnEQzyqE-zK372ovr9RA_6_0"/>
      <w:bookmarkStart w:id="1026" w:name="Tc_wNyFLG6CbUmWtRMV0KHxzg_5_0"/>
      <w:bookmarkStart w:id="1027" w:name="Tc_LJYi1bJqokOVUl3_XCgcMQ_4_8"/>
      <w:bookmarkStart w:id="1028" w:name="Tc_I6GU2oxYHk6LnN_LCKCv7A_4_5"/>
      <w:bookmarkStart w:id="1029" w:name="Tc_OwHAK81K5EO-w1tMSaKkxg_4_2"/>
      <w:bookmarkStart w:id="1030" w:name="Tc_cyJyoAehMUumo1frfcNQvw_4_0"/>
      <w:bookmarkStart w:id="1031" w:name="Tc_xDQDUG7Z2k-3pYLhUoUXZw_3_0"/>
      <w:bookmarkStart w:id="1032" w:name="Tc_On62mzTOa0S5kVJXc32IDQ_2_8"/>
      <w:bookmarkStart w:id="1033" w:name="Tc_BacYBiSSCkydxFD6oxzQYg_2_5"/>
      <w:bookmarkStart w:id="1034" w:name="Tc_bZGAZ1Kx70-7qKR12tUzpg_2_2"/>
      <w:bookmarkStart w:id="1035" w:name="Tc_Z7zdIhovH0SIpMYOZEtMIw_1_2"/>
      <w:bookmarkStart w:id="1036" w:name="Tc_Us25zxETh0ecUufzYp1hyw_19_5"/>
      <w:bookmarkStart w:id="1037" w:name="Tc_WHiacTrRoECDP1haAIRTMA_19_2"/>
      <w:bookmarkStart w:id="1038" w:name="Tc_iPoPNXU3_0GxDKZzwEwepQ_19_0"/>
      <w:bookmarkStart w:id="1039" w:name="Tc_IfoGpPlfr028EqBBy-nV3g_18_0"/>
      <w:bookmarkStart w:id="1040" w:name="Tc_OxWLTcIAGU6Xg9vc3jnUUg_17_0"/>
      <w:bookmarkStart w:id="1041" w:name="Tc_1r1nL-HfSkS5oH8j8ikANw_16_5"/>
      <w:bookmarkStart w:id="1042" w:name="Tc_e5Q7Nm5hPESMsAe1bus4oA_16_2"/>
      <w:bookmarkStart w:id="1043" w:name="Tc_pCl4VXYiNkONB4DhDmjSsA_16_0"/>
      <w:bookmarkStart w:id="1044" w:name="Tc_JambTxhYYUajBOisvF3fbA_15_0"/>
      <w:bookmarkStart w:id="1045" w:name="Tc_JHjS3zifkkmJn5BL_5MVgQ_13_5"/>
      <w:bookmarkStart w:id="1046" w:name="Tc_KdkOTTGzVUaWxNNoMSJuNA_13_2"/>
      <w:bookmarkStart w:id="1047" w:name="Tc_RjAfYRCk00ieala3qEokZg_13_0"/>
      <w:bookmarkStart w:id="1048" w:name="Tc_mik0cFV4xkiXyZzLNGUoSg_12_0"/>
      <w:bookmarkStart w:id="1049" w:name="Tc_SVTdT6gxtkm9GxLiyxG0JQ_11_5"/>
      <w:bookmarkStart w:id="1050" w:name="Tc_Rwd80QDulUijR2DCEfigCA_11_2"/>
      <w:bookmarkStart w:id="1051" w:name="Tc_708_7wyxfUqephYHu13PuA_11_0"/>
      <w:bookmarkStart w:id="1052" w:name="Tc_r3hMfXZyqUewS8XC-ES7Lg_10_0"/>
      <w:bookmarkStart w:id="1053" w:name="Tc_lqtDrVz2z0KrOGWFCswXAw_8_5"/>
      <w:bookmarkStart w:id="1054" w:name="Tc_zZCx6NDjsEW8nR6AYAnvqw_8_2"/>
      <w:bookmarkStart w:id="1055" w:name="Tc_CFPp0RD6jUij441CjzhI6Q_8_0"/>
      <w:bookmarkStart w:id="1056" w:name="Tc_Xo9gJiVXZEymCl2mWy5lCA_7_0"/>
      <w:bookmarkStart w:id="1057" w:name="Tc_29T-a1JNe0Ke6kM1hgKuKA_6_0"/>
      <w:bookmarkStart w:id="1058" w:name="Tc_IuidWN-xTUONXI49ureEQg_5_0"/>
      <w:bookmarkStart w:id="1059" w:name="Tc_5YBByz6EsUeE1tO8KEFGZQ_4_5"/>
      <w:bookmarkStart w:id="1060" w:name="Tc_3_V7RFITxE2qxxghrPKxGQ_4_2"/>
      <w:bookmarkStart w:id="1061" w:name="Tc_KKHVQl3rKkqLwDv0gVudLA_4_0"/>
      <w:bookmarkStart w:id="1062" w:name="Tc_qOhh9Q7NuUqMuiJCBbACrw_3_0"/>
      <w:bookmarkStart w:id="1063" w:name="Tc_HlxPFuvbG0O4TH7BDo4efQ_2_5"/>
      <w:bookmarkStart w:id="1064" w:name="Tc_yJrlQHcZcUm1-N53hocdPQ_2_2"/>
      <w:bookmarkStart w:id="1065" w:name="Tc_wjMpRPs-aEecnNJA2joTqA_1_3"/>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b/>
          <w:sz w:val="20"/>
        </w:rPr>
        <w:t>Supplemental Balance Sheet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balance sheet disclosures are as follows for the respective periods:</w:t>
      </w:r>
    </w:p>
    <w:p>
      <w:pPr>
        <w:pStyle w:val="TextBody"/>
        <w:bidi w:val="0"/>
        <w:spacing w:before="0" w:after="240"/>
        <w:ind w:left="0" w:right="0" w:hanging="0"/>
        <w:jc w:val="both"/>
        <w:rPr/>
      </w:pPr>
      <w:r>
        <w:rPr/>
        <w:t>​</w:t>
      </w:r>
    </w:p>
    <w:tbl>
      <w:tblPr>
        <w:tblW w:w="6687" w:type="dxa"/>
        <w:jc w:val="left"/>
        <w:tblInd w:w="0" w:type="dxa"/>
        <w:tblLayout w:type="fixed"/>
        <w:tblCellMar>
          <w:top w:w="0" w:type="dxa"/>
          <w:left w:w="0" w:type="dxa"/>
          <w:bottom w:w="0" w:type="dxa"/>
          <w:right w:w="0" w:type="dxa"/>
        </w:tblCellMar>
      </w:tblPr>
      <w:tblGrid>
        <w:gridCol w:w="4396"/>
        <w:gridCol w:w="326"/>
        <w:gridCol w:w="211"/>
        <w:gridCol w:w="676"/>
        <w:gridCol w:w="146"/>
        <w:gridCol w:w="211"/>
        <w:gridCol w:w="721"/>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791460" cy="175260"/>
                      <wp:effectExtent l="0" t="0" r="0" b="0"/>
                      <wp:wrapNone/>
                      <wp:docPr id="338" name="Frame337"/>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9260" cy="175260"/>
                      <wp:effectExtent l="0" t="0" r="0" b="0"/>
                      <wp:wrapNone/>
                      <wp:docPr id="341" name="Frame3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92710" cy="175260"/>
                      <wp:effectExtent l="0" t="0" r="0" b="0"/>
                      <wp:wrapNone/>
                      <wp:docPr id="342" name="Frame3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57835" cy="175260"/>
                      <wp:effectExtent l="0" t="0" r="0" b="0"/>
                      <wp:wrapNone/>
                      <wp:docPr id="344" name="Frame3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75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11,558</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3,995</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licenses and support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10,099</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36,678</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26,173</w:t>
            </w:r>
          </w:p>
        </w:tc>
      </w:tr>
      <w:tr>
        <w:trPr/>
        <w:tc>
          <w:tcPr>
            <w:tcW w:w="43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12,475</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3,900</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16,013</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general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25,998</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contract labor and professional fees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13,372</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income and other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5,365</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35,169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44,735</w: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Supplemental Cash Flow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cash flow disclosures are as follows for the respective periods:</w:t>
      </w:r>
    </w:p>
    <w:p>
      <w:pPr>
        <w:pStyle w:val="TextBody"/>
        <w:bidi w:val="0"/>
        <w:spacing w:before="0" w:after="0"/>
        <w:ind w:left="0" w:right="0" w:hanging="0"/>
        <w:jc w:val="left"/>
        <w:rPr/>
      </w:pPr>
      <w:r>
        <w:rPr/>
        <w:t>​</w:t>
      </w:r>
    </w:p>
    <w:tbl>
      <w:tblPr>
        <w:tblW w:w="9163" w:type="dxa"/>
        <w:jc w:val="left"/>
        <w:tblInd w:w="0" w:type="dxa"/>
        <w:tblLayout w:type="fixed"/>
        <w:tblCellMar>
          <w:top w:w="0" w:type="dxa"/>
          <w:left w:w="0" w:type="dxa"/>
          <w:bottom w:w="0" w:type="dxa"/>
          <w:right w:w="0" w:type="dxa"/>
        </w:tblCellMar>
      </w:tblPr>
      <w:tblGrid>
        <w:gridCol w:w="5836"/>
        <w:gridCol w:w="326"/>
        <w:gridCol w:w="211"/>
        <w:gridCol w:w="676"/>
        <w:gridCol w:w="326"/>
        <w:gridCol w:w="211"/>
        <w:gridCol w:w="571"/>
        <w:gridCol w:w="109"/>
        <w:gridCol w:w="211"/>
        <w:gridCol w:w="686"/>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705860" cy="175260"/>
                      <wp:effectExtent l="0" t="0" r="0" b="0"/>
                      <wp:wrapNone/>
                      <wp:docPr id="345" name="Frame344"/>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29260" cy="175260"/>
                      <wp:effectExtent l="0" t="0" r="0" b="0"/>
                      <wp:wrapNone/>
                      <wp:docPr id="348" name="Frame3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2585" cy="175260"/>
                      <wp:effectExtent l="0" t="0" r="0" b="0"/>
                      <wp:wrapNone/>
                      <wp:docPr id="351" name="Frame3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35610" cy="175260"/>
                      <wp:effectExtent l="0" t="0" r="0" b="0"/>
                      <wp:wrapNone/>
                      <wp:docPr id="354" name="Frame35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0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w:t>
            </w:r>
          </w:p>
        </w:tc>
      </w:tr>
      <w:tr>
        <w:trPr/>
        <w:tc>
          <w:tcPr>
            <w:tcW w:w="58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included in the measurement of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w:t>
            </w:r>
          </w:p>
        </w:tc>
      </w:tr>
      <w:tr>
        <w:trPr/>
        <w:tc>
          <w:tcPr>
            <w:tcW w:w="58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  </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 in settlement value of deferred purchase commitment liability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5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 assets obtained in exchange for new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b/>
          <w:sz w:val="20"/>
        </w:rPr>
      </w:pPr>
      <w:bookmarkStart w:id="1066" w:name="xref-external"/>
      <w:bookmarkEnd w:id="1066"/>
      <w:r>
        <w:rPr>
          <w:rFonts w:ascii="Times New Roman;Times;serif" w:hAnsi="Times New Roman;Times;serif"/>
          <w:b/>
          <w:sz w:val="20"/>
        </w:rPr>
        <w:t>Recently Adopted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Segment Reporting</w:t>
      </w:r>
      <w:r>
        <w:rPr>
          <w:rFonts w:ascii="Times New Roman;Times;serif" w:hAnsi="Times New Roman;Times;serif"/>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The amendments in ASU 2023-07, improve reportable segment disclosure requirements through enhanced disclosures. These new requirements include: disclosure of significant segment expenses regularly provided to the CODM, the title and position of the CODM, and the extension of certain annual disclosures to interim periods, permitting the disclosure of multiple measures of segment profit or loss, provided that certain criteria are met. The standard also clarifies that entities with a single reportable segment are subject to new and existing segment reporting requirements. Entities must adopt the changes to the segment reporting guidance on a retrospective basis. The Company adopted the standard effective for its annual period ending December 31, 2024. The adoption of the standard only impacted disclosures. See Note 16, “Segment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Recently Issued</w:t>
      </w:r>
      <w:r>
        <w:rPr>
          <w:rFonts w:ascii="Times New Roman;Times;serif" w:hAnsi="Times New Roman;Times;serif"/>
          <w:sz w:val="20"/>
        </w:rPr>
        <w:t xml:space="preserve"> </w:t>
      </w:r>
      <w:r>
        <w:rPr>
          <w:rFonts w:ascii="Times New Roman;Times;serif" w:hAnsi="Times New Roman;Times;serif"/>
          <w:b/>
          <w:sz w:val="20"/>
        </w:rPr>
        <w:t>Accounting Pronouncements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Income Tax Disclosures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740):Improvements to Income Tax Disclosures.</w:t>
      </w:r>
      <w:r>
        <w:rPr>
          <w:rFonts w:ascii="Times New Roman;Times;serif" w:hAnsi="Times New Roman;Times;serif"/>
          <w:sz w:val="20"/>
        </w:rPr>
        <w:t xml:space="preserve"> Entities will be required to disclose additional information in specified categories in the reconciliation of the effective tax rate to the statutory rate for federal, state, and foreign income taxes. The standard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and for interim periods for fiscal years beginning after December 15, 2025 with early adoption permitted. The Company is continuing to assess the potential impacts of the standard, and it does not expect this pronouncement to have a material effect on its financial statements, other than the required changes to the income tax disclosures.</w:t>
      </w:r>
    </w:p>
    <w:p>
      <w:pPr>
        <w:pStyle w:val="TextBody"/>
        <w:pBdr/>
        <w:bidi w:val="0"/>
        <w:spacing w:before="0" w:after="0"/>
        <w:ind w:left="0" w:right="0" w:firstLine="36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Disaggregation of Income Statement Expenses </w:t>
      </w:r>
    </w:p>
    <w:p>
      <w:pPr>
        <w:pStyle w:val="TextBody"/>
        <w:shd w:fill="FFFFFF" w:val="clear"/>
        <w:bidi w:val="0"/>
        <w:spacing w:before="0" w:after="240"/>
        <w:ind w:left="0" w:right="0" w:firstLine="360"/>
        <w:jc w:val="both"/>
        <w:rPr>
          <w:rFonts w:ascii="Times New Roman;Times;serif" w:hAnsi="Times New Roman;Times;serif"/>
          <w:i/>
          <w:sz w:val="20"/>
        </w:rPr>
      </w:pPr>
      <w:r>
        <w:rPr>
          <w:rFonts w:ascii="Times New Roman;Times;serif" w:hAnsi="Times New Roman;Times;serif"/>
          <w:i w:val="false"/>
          <w:caps w:val="false"/>
          <w:smallCaps w:val="false"/>
          <w:sz w:val="20"/>
        </w:rPr>
        <w:t>On November 4, 2024, the FASB</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 xml:space="preserve">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i w:val="false"/>
          <w:caps w:val="false"/>
          <w:smallCaps w:val="false"/>
          <w:sz w:val="20"/>
        </w:rPr>
        <w:t>. Entities will be required to provide disaggregation of certain expense captions into specified categories in disclosures within the footnotes to the financial statements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for both interim and annual reporting periods. The standard does not change the expense captions that an entity presents on the face of the income statement. The standard will be effective for annual periods beginning after December 15, 2026, and for interim periods for fiscal years beginning after December 15, 2027, with early adoption permitted. Entities are required to adopt the standard prospectively; however, entities are permitted to apply the amendments retrospectively to any or all prior periods presented in the financial statements.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The Company is continuing to assess the potential impacts of the standard, and it does not expect this pronouncement to have a material effect on its financial statements, other than the required changes to the disclosures.</w:t>
      </w:r>
      <w:r>
        <w:rPr>
          <w:rFonts w:ascii="Times New Roman;Times;serif" w:hAnsi="Times New Roman;Times;serif"/>
          <w:i/>
          <w:caps w:val="false"/>
          <w:smallCaps w:val="false"/>
          <w:sz w:val="20"/>
        </w:rPr>
        <w:t xml:space="preserve">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left"/>
        <w:rPr>
          <w:rFonts w:ascii="Times New Roman;Times;serif" w:hAnsi="Times New Roman;Times;serif"/>
          <w:b/>
          <w:sz w:val="20"/>
        </w:rPr>
      </w:pPr>
      <w:bookmarkStart w:id="1067" w:name="Tc_wHqOk5hAWUKddfm5iWWm4g_4_8"/>
      <w:bookmarkStart w:id="1068" w:name="Tc_XknF9xihUUWUfFQLRZx55A_4_5"/>
      <w:bookmarkStart w:id="1069" w:name="Tc_mjea4xtDIkmX16E-WbS-ZQ_4_2"/>
      <w:bookmarkStart w:id="1070" w:name="Tc_1FTtuqv5NkePvvw6K61GLA_4_0"/>
      <w:bookmarkStart w:id="1071" w:name="Tc_8DyDcKnpxkKoykWXxP7aLw_3_0"/>
      <w:bookmarkStart w:id="1072" w:name="Tc_GAX6iQvXbkW8WYrsnqZIzw_2_8"/>
      <w:bookmarkStart w:id="1073" w:name="Tc_1SK74GTH50Sbkxgu5GIfOQ_2_5"/>
      <w:bookmarkStart w:id="1074" w:name="Tc_dTembc79hkCrL4PmOHDlhg_2_2"/>
      <w:bookmarkStart w:id="1075" w:name="Tc_dWCNJ8rYmUqwjQBssVQ6qA_2_0"/>
      <w:bookmarkStart w:id="1076" w:name="Tc_2Q_OgErSqkmkhhjS1n0NpA_1_8"/>
      <w:bookmarkStart w:id="1077" w:name="Tc_ejPvQvQBvE2ezy8XG6jmiQ_1_5"/>
      <w:bookmarkStart w:id="1078" w:name="Tc_37ySSdU81EGjcIkMjDey0Q_1_3"/>
      <w:bookmarkStart w:id="1079" w:name="Tc_2xYBovh_U0eegQjlTZRPiQ_8_8"/>
      <w:bookmarkStart w:id="1080" w:name="Tc_GWsDP0Eal0GShJtA8sAEDQ_8_5"/>
      <w:bookmarkStart w:id="1081" w:name="Tc_WXRaMf3DcE64DcOs8M0c1Q_8_2"/>
      <w:bookmarkStart w:id="1082" w:name="Tc_VSVvCzMtCUufS2GT_8WiXQ_8_0"/>
      <w:bookmarkStart w:id="1083" w:name="Tc_IBP4mjJKEkyuP2U1Jgmu3w_7_0"/>
      <w:bookmarkStart w:id="1084" w:name="Tc_Zie2KeknAkeINEnovqD6UQ_6_0"/>
      <w:bookmarkStart w:id="1085" w:name="Tc_MFeDNArWfkKxppek5D9Npg_5_0"/>
      <w:bookmarkStart w:id="1086" w:name="Tc_nsKcGRqpg0e2wX-k1BBcSA_4_8"/>
      <w:bookmarkStart w:id="1087" w:name="Tc_VpNFl4mPK0eoNwyw6ItqQA_4_5"/>
      <w:bookmarkStart w:id="1088" w:name="Tc_Zxgudh5iIUa7ew2T3gakzg_4_2"/>
      <w:bookmarkStart w:id="1089" w:name="Tc_4mNs8Z4BE02hYKjFWZnnmg_4_0"/>
      <w:bookmarkStart w:id="1090" w:name="Tc_FlKgc9ueGkKR_yJueZAFxA_3_0"/>
      <w:bookmarkStart w:id="1091" w:name="Tc__EenbynFPUCNNq9TupxMSQ_2_8"/>
      <w:bookmarkStart w:id="1092" w:name="Tc_bnFXyCENO06qN7XCsimUxw_2_5"/>
      <w:bookmarkStart w:id="1093" w:name="Tc_pQTVDqeP60-CTRDe5xc29g_2_3"/>
      <w:bookmarkStart w:id="1094" w:name="Tc_gZpKUM_g2kuMG7zDfspmrw_1_2"/>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b/>
          <w:sz w:val="20"/>
        </w:rPr>
        <w:t>2.REVENUE RECOGNITION</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bidi w:val="0"/>
        <w:spacing w:before="0" w:after="0"/>
        <w:ind w:left="0" w:right="0" w:hanging="0"/>
        <w:jc w:val="left"/>
        <w:rPr/>
      </w:pPr>
      <w:r>
        <w:rPr/>
        <w:t>​</w:t>
      </w:r>
    </w:p>
    <w:tbl>
      <w:tblPr>
        <w:tblW w:w="6080" w:type="dxa"/>
        <w:jc w:val="left"/>
        <w:tblInd w:w="0" w:type="dxa"/>
        <w:tblLayout w:type="fixed"/>
        <w:tblCellMar>
          <w:top w:w="0" w:type="dxa"/>
          <w:left w:w="0" w:type="dxa"/>
          <w:bottom w:w="0" w:type="dxa"/>
          <w:right w:w="0" w:type="dxa"/>
        </w:tblCellMar>
      </w:tblPr>
      <w:tblGrid>
        <w:gridCol w:w="2011"/>
        <w:gridCol w:w="326"/>
        <w:gridCol w:w="211"/>
        <w:gridCol w:w="781"/>
        <w:gridCol w:w="326"/>
        <w:gridCol w:w="211"/>
        <w:gridCol w:w="781"/>
        <w:gridCol w:w="326"/>
        <w:gridCol w:w="211"/>
        <w:gridCol w:w="89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76985" cy="175260"/>
                      <wp:effectExtent l="0" t="0" r="0" b="0"/>
                      <wp:wrapNone/>
                      <wp:docPr id="355" name="Frame35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5935" cy="175260"/>
                      <wp:effectExtent l="0" t="0" r="0" b="0"/>
                      <wp:wrapNone/>
                      <wp:docPr id="358"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95935" cy="175260"/>
                      <wp:effectExtent l="0" t="0" r="0" b="0"/>
                      <wp:wrapNone/>
                      <wp:docPr id="361" name="Frame3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68960" cy="175260"/>
                      <wp:effectExtent l="0" t="0" r="0" b="0"/>
                      <wp:wrapNone/>
                      <wp:docPr id="364" name="Frame36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246,577</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Cloud subscriptions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168,896</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567,124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480,830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415,473</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76,151</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666,776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491,624</w:t>
            </w:r>
          </w:p>
        </w:tc>
      </w:tr>
    </w:tbl>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Contract balances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The Company’s payment terms </w:t>
      </w:r>
      <w:r>
        <w:rPr>
          <w:rFonts w:ascii="Times New Roman;Times;serif" w:hAnsi="Times New Roman;Times;serif"/>
          <w:sz w:val="20"/>
          <w:shd w:fill="FFFFFF" w:val="clear"/>
        </w:rPr>
        <w:t xml:space="preserve">typically range from 30-60 days. </w:t>
      </w:r>
      <w:r>
        <w:rPr>
          <w:rFonts w:ascii="Times New Roman;Times;serif" w:hAnsi="Times New Roman;Times;serif"/>
          <w:sz w:val="20"/>
        </w:rPr>
        <w:t>Accounts receivable is presented net of an allowance for potentially uncollectible accounts and estimated cancellations of software license and cloud-based subscriptions (the “allowance”) of $16,838 and $16,272 at December 31, 2024 and 2023, respectively. The allowance is adjusted for expected credit losses based on management’s assessment of collectability after considering factors including the age of each outstanding invoice, collection history of customers, current and forecasted economic conditions as well as estimated cancellations.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bidi w:val="0"/>
        <w:spacing w:before="0" w:after="0"/>
        <w:ind w:left="0" w:right="0" w:hanging="0"/>
        <w:jc w:val="left"/>
        <w:rPr/>
      </w:pPr>
      <w:r>
        <w:rPr/>
        <w:t>​</w:t>
      </w:r>
    </w:p>
    <w:tbl>
      <w:tblPr>
        <w:tblW w:w="6273" w:type="dxa"/>
        <w:jc w:val="left"/>
        <w:tblInd w:w="0" w:type="dxa"/>
        <w:tblLayout w:type="fixed"/>
        <w:tblCellMar>
          <w:top w:w="0" w:type="dxa"/>
          <w:left w:w="0" w:type="dxa"/>
          <w:bottom w:w="0" w:type="dxa"/>
          <w:right w:w="0" w:type="dxa"/>
        </w:tblCellMar>
      </w:tblPr>
      <w:tblGrid>
        <w:gridCol w:w="2491"/>
        <w:gridCol w:w="109"/>
        <w:gridCol w:w="211"/>
        <w:gridCol w:w="781"/>
        <w:gridCol w:w="326"/>
        <w:gridCol w:w="211"/>
        <w:gridCol w:w="781"/>
        <w:gridCol w:w="326"/>
        <w:gridCol w:w="211"/>
        <w:gridCol w:w="82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581785" cy="175260"/>
                      <wp:effectExtent l="0" t="0" r="0" b="0"/>
                      <wp:wrapNone/>
                      <wp:docPr id="365" name="Frame364"/>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95935" cy="175260"/>
                      <wp:effectExtent l="0" t="0" r="0" b="0"/>
                      <wp:wrapNone/>
                      <wp:docPr id="368" name="Frame3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95935" cy="175260"/>
                      <wp:effectExtent l="0" t="0" r="0" b="0"/>
                      <wp:wrapNone/>
                      <wp:docPr id="371" name="Frame3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24510" cy="175260"/>
                      <wp:effectExtent l="0" t="0" r="0" b="0"/>
                      <wp:wrapNone/>
                      <wp:docPr id="374" name="Frame37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76,929</w:t>
            </w:r>
          </w:p>
        </w:tc>
      </w:tr>
      <w:tr>
        <w:trPr/>
        <w:tc>
          <w:tcPr>
            <w:tcW w:w="24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102,885</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25,956</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liability is recorded as deferred revenue on the consolidated balance sheets when customers are billed in advance of performance obligations being satisfied, and revenue is recognized after invoicing ratably over the subscription period. Deferred revenue is reflected net of a related deferred allowance for subscription cancellations (the “deferred allowance”) of $12,028 and $11,741 at December 31, 2024 and 2023, respectively. The deferred allowance represents the portion of the allowance for subscription cancellations associated with deferred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pPr>
      <w:bookmarkStart w:id="1095" w:name="Tc_MqfmCNE-qUCS6aAkAijE0g_5_2"/>
      <w:bookmarkStart w:id="1096" w:name="Tc_I02-X9H8P0KAJDoakxtnkQ_5_0"/>
      <w:bookmarkStart w:id="1097" w:name="Tc_YYHKbmxj2Um4iVl6jiZl5g_4_3"/>
      <w:bookmarkStart w:id="1098" w:name="Tc_VCwa9scMK0-PymDGVB7Yqg_4_0"/>
      <w:bookmarkStart w:id="1099" w:name="Tc_ys5NRfB7SE-K81Qjipl1LQ_3_0"/>
      <w:bookmarkStart w:id="1100" w:name="Tc_3iqa6-HRmEGo5T70UsVDNA_2_2"/>
      <w:bookmarkStart w:id="1101" w:name="Tc_CChdZNUeq0qIf9O7cPdXKQ_2_0"/>
      <w:bookmarkStart w:id="1102" w:name="Tc_nHaVHY7eiEKrz4RILpW31g_1_0"/>
      <w:bookmarkStart w:id="1103" w:name="Tc_6L0IakqU4UaDK33oA96yEw_7_8"/>
      <w:bookmarkStart w:id="1104" w:name="Tc_UCyQtJrQ-UqquqkGrP7PLA_7_5"/>
      <w:bookmarkStart w:id="1105" w:name="Tc_KVtE0Lj9PkKS6s28L3UvYQ_7_2"/>
      <w:bookmarkStart w:id="1106" w:name="Tc_nMWHa4RqPEqqTYJl_S3hog_7_0"/>
      <w:bookmarkStart w:id="1107" w:name="Tc_efaRavnJaUaHSY746t4MWA_6_0"/>
      <w:bookmarkStart w:id="1108" w:name="Tc_XLB-j-yy8EudkEvZzRBWkA_5_0"/>
      <w:bookmarkStart w:id="1109" w:name="Tc__3hUg9AQsESXKVmX06l7SA_4_8"/>
      <w:bookmarkStart w:id="1110" w:name="Tc_gMYtbps5Ik-ZOcDdpumQ-w_4_5"/>
      <w:bookmarkStart w:id="1111" w:name="Tc_FIUBj6eM20CcmbHJIe8o2w_4_2"/>
      <w:bookmarkStart w:id="1112" w:name="Tc_cQ7DW-kjvE-CMkFJ5uRJoA_4_0"/>
      <w:bookmarkStart w:id="1113" w:name="Tc_wW0yJ8ujMEOHq2Y1LPQxFg_3_0"/>
      <w:bookmarkStart w:id="1114" w:name="Tc_HpP8sAEfYkSBIuDmH6sNMQ_2_8"/>
      <w:bookmarkStart w:id="1115" w:name="Tc_kDsf21lgoUiGE5F8wvYEXw_2_5"/>
      <w:bookmarkStart w:id="1116" w:name="Tc_I3JjHBrXz0OopGfOn946Nw_2_2"/>
      <w:bookmarkStart w:id="1117" w:name="Tc_iGb452JjZEW4RfAGXr0_SQ_1_2"/>
      <w:bookmarkStart w:id="1118" w:name="_efb4ac69_fe87_4497_9013_ccf7b7295573"/>
      <w:bookmarkStart w:id="1119" w:name="Tc_YzFbVY9mmUyuTGI3GBD9yg_6_5"/>
      <w:bookmarkStart w:id="1120" w:name="Tc_2z_hsB6Tj0CzpIFOe779SA_6_2"/>
      <w:bookmarkStart w:id="1121" w:name="Tc_nJgUi9NwNE6w8p5NywZUPQ_6_0"/>
      <w:bookmarkStart w:id="1122" w:name="Tc_oFGhiSMGuk2o2sR6BcDu1A_5_0"/>
      <w:bookmarkStart w:id="1123" w:name="Tc_SxP46v31k0auhVngv5gcLQ_4_5"/>
      <w:bookmarkStart w:id="1124" w:name="Tc_6DhNzn1WR0OT-4Lqz42KjA_4_2"/>
      <w:bookmarkStart w:id="1125" w:name="Tc_GzpgJjIHBUekoqfCJM2-zg_4_0"/>
      <w:bookmarkStart w:id="1126" w:name="Tc_hRkGc2-9QEGDAQ9eACfgvg_3_0"/>
      <w:bookmarkStart w:id="1127" w:name="Tc_9BoW6TipwUuzqsGbg6K53g_2_5"/>
      <w:bookmarkStart w:id="1128" w:name="Tc_chfBw95v_0GqilpsZaYC9g_2_2"/>
      <w:bookmarkStart w:id="1129" w:name="Tc_0VkK4Dgbe0yeqfUUjKxzGA_1_2"/>
      <w:bookmarkStart w:id="1130" w:name="_16140399_ddc1_46bf_943f_ea70f9ef8f7e"/>
      <w:bookmarkStart w:id="1131" w:name="Tc_Fwf63OSo_k-daigrZMItQA_10_16"/>
      <w:bookmarkStart w:id="1132" w:name="Tc_c4z9_M1y10eOUYFf16k2tQ_10_11"/>
      <w:bookmarkStart w:id="1133" w:name="Tc_VxorKkhIHUWpmKB8FQBfYQ_10_5"/>
      <w:bookmarkStart w:id="1134" w:name="Tc_Qodea533DkK2NMsWJCSOzg_10_0"/>
      <w:bookmarkStart w:id="1135" w:name="Tc_lO36z5en6EGjYgki5RFRGw_9_0"/>
      <w:bookmarkStart w:id="1136" w:name="Tc_2HqKfystYkmlWDj1HJpF5Q_8_0"/>
      <w:bookmarkStart w:id="1137" w:name="Tc_HyXrZPEylEWSCRZZbyH9hg_7_0"/>
      <w:bookmarkStart w:id="1138" w:name="Tc_VCDw43GAX0y5eHljbSn0Eg_6_16"/>
      <w:bookmarkStart w:id="1139" w:name="Tc_vKMtxOY1vUm1rLkdQ-Ediw_6_11"/>
      <w:bookmarkStart w:id="1140" w:name="Tc_jQ8TqamWskubudIHu-T0nA_6_5"/>
      <w:bookmarkStart w:id="1141" w:name="Tc_Kxf1W9OwCUWRVW2JrfMLmw_6_0"/>
      <w:bookmarkStart w:id="1142" w:name="Tc_xh-eyIoKZE2SRrQdcnPcmA_5_0"/>
      <w:bookmarkStart w:id="1143" w:name="Tc_1qso4hyws0iSXT68zg_gFg_4_13"/>
      <w:bookmarkStart w:id="1144" w:name="Tc_gih0nBWSa0-DMoA-WYviQA_4_8"/>
      <w:bookmarkStart w:id="1145" w:name="Tc_2hdU8UyQZUefjp1AtXdbMQ_4_2"/>
      <w:bookmarkStart w:id="1146" w:name="Tc_4YFH4FyU-EOdwqzCgLHupA_4_0"/>
      <w:bookmarkStart w:id="1147" w:name="Tc_763bBUpHT0yepWRkw3rY2g_3_17"/>
      <w:bookmarkStart w:id="1148" w:name="Tc_IupnB3q-pkyaliYU6CZv0g_3_14"/>
      <w:bookmarkStart w:id="1149" w:name="Tc_nC8Wxg_U_0aAAGz2GxrJRw_3_12"/>
      <w:bookmarkStart w:id="1150" w:name="Tc_syKM8tloxEySrzml7ODl7w_3_8"/>
      <w:bookmarkStart w:id="1151" w:name="Tc_4ofPDtqcnU6WYUb5eiLJfQ_3_6"/>
      <w:bookmarkStart w:id="1152" w:name="Tc_vfn-5xmMZU-K3D-VGP6BoA_3_2"/>
      <w:bookmarkStart w:id="1153" w:name="Tc_rE9_Hw85tEaYD5USp3RxOw_2_14"/>
      <w:bookmarkStart w:id="1154" w:name="Tc_lDDKw_5YMEymmN3ciPn4ng_2_8"/>
      <w:bookmarkStart w:id="1155" w:name="Tc_ooUTfIoZckS-2wLe-Z_QAA_2_2"/>
      <w:bookmarkStart w:id="1156" w:name="Tc_-2T-F2dHWUCECEZYnh_tIA_1_2"/>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60"/>
        <w:gridCol w:w="109"/>
        <w:gridCol w:w="211"/>
        <w:gridCol w:w="774"/>
        <w:gridCol w:w="326"/>
        <w:gridCol w:w="211"/>
        <w:gridCol w:w="961"/>
        <w:gridCol w:w="326"/>
        <w:gridCol w:w="211"/>
        <w:gridCol w:w="774"/>
        <w:gridCol w:w="326"/>
        <w:gridCol w:w="211"/>
        <w:gridCol w:w="961"/>
        <w:gridCol w:w="211"/>
        <w:gridCol w:w="685"/>
        <w:gridCol w:w="109"/>
        <w:gridCol w:w="211"/>
        <w:gridCol w:w="928"/>
      </w:tblGrid>
      <w:tr>
        <w:trPr/>
        <w:tc>
          <w:tcPr>
            <w:tcW w:w="2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89100" cy="175260"/>
                      <wp:effectExtent l="0" t="0" r="0" b="0"/>
                      <wp:wrapNone/>
                      <wp:docPr id="375" name="Frame374"/>
                      <a:graphic xmlns:a="http://schemas.openxmlformats.org/drawingml/2006/main">
                        <a:graphicData uri="http://schemas.microsoft.com/office/word/2010/wordprocessingShape">
                          <wps:wsp>
                            <wps:cNvSpPr txBox="1"/>
                            <wps:spPr>
                              <a:xfrm>
                                <a:off x="0" y="0"/>
                                <a:ext cx="168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91490" cy="175260"/>
                      <wp:effectExtent l="0" t="0" r="0" b="0"/>
                      <wp:wrapNone/>
                      <wp:docPr id="378" name="Frame377"/>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10235" cy="175260"/>
                      <wp:effectExtent l="0" t="0" r="0" b="0"/>
                      <wp:wrapNone/>
                      <wp:docPr id="381" name="Frame38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91490" cy="175260"/>
                      <wp:effectExtent l="0" t="0" r="0" b="0"/>
                      <wp:wrapNone/>
                      <wp:docPr id="384" name="Frame383"/>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10235" cy="175260"/>
                      <wp:effectExtent l="0" t="0" r="0" b="0"/>
                      <wp:wrapNone/>
                      <wp:docPr id="387" name="Frame38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34975" cy="175260"/>
                      <wp:effectExtent l="0" t="0" r="0" b="0"/>
                      <wp:wrapNone/>
                      <wp:docPr id="389" name="Frame388"/>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89280" cy="175260"/>
                      <wp:effectExtent l="0" t="0" r="0" b="0"/>
                      <wp:wrapNone/>
                      <wp:docPr id="392" name="Frame391"/>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36"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6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24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11" w:type="dxa"/>
            <w:tcBorders/>
            <w:vAlign w:val="center"/>
          </w:tcPr>
          <w:p>
            <w:pPr>
              <w:pStyle w:val="TableContents"/>
              <w:bidi w:val="0"/>
              <w:spacing w:before="0" w:after="0"/>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vAlign w:val="center"/>
          </w:tcPr>
          <w:p>
            <w:pPr>
              <w:pStyle w:val="TableContents"/>
              <w:bidi w:val="0"/>
              <w:spacing w:before="0" w:after="0"/>
              <w:ind w:left="0" w:right="0" w:hanging="0"/>
              <w:jc w:val="center"/>
              <w:rPr/>
            </w:pPr>
            <w:r>
              <w:rPr/>
              <w:t>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211" w:type="dxa"/>
            <w:tcBorders/>
            <w:vAlign w:val="center"/>
          </w:tcPr>
          <w:p>
            <w:pPr>
              <w:pStyle w:val="TableContents"/>
              <w:bidi w:val="0"/>
              <w:spacing w:before="0" w:after="0"/>
              <w:ind w:left="0" w:right="0" w:hanging="0"/>
              <w:jc w:val="center"/>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Net Change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January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28" w:type="dxa"/>
            <w:tcBorders/>
            <w:shd w:fill="CCEEFF" w:val="clear"/>
            <w:vAlign w:val="center"/>
          </w:tcPr>
          <w:p>
            <w:pPr>
              <w:pStyle w:val="TableContents"/>
              <w:bidi w:val="0"/>
              <w:spacing w:before="0" w:after="0"/>
              <w:ind w:left="0" w:right="0" w:hanging="0"/>
              <w:jc w:val="left"/>
              <w:rPr/>
            </w:pPr>
            <w:r>
              <w:rPr/>
              <w:t>​</w:t>
            </w:r>
          </w:p>
        </w:tc>
      </w:tr>
      <w:tr>
        <w:trPr/>
        <w:tc>
          <w:tcPr>
            <w:tcW w:w="2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December 31,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6,718</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2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January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December 31,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r>
      <w:tr>
        <w:trPr/>
        <w:tc>
          <w:tcPr>
            <w:tcW w:w="2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6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amount of revenue recognized during the years ended December 31, 2024, 2023, and 2022 that was included in the opening deferred revenue balance of the same fiscal year was $290,143, $268,847, and $237,344,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consolidated balance sheets. The tables provide information about the balances of and changes to deferred revenue for the following periods:</w:t>
      </w:r>
    </w:p>
    <w:p>
      <w:pPr>
        <w:pStyle w:val="TextBody"/>
        <w:bidi w:val="0"/>
        <w:spacing w:before="0" w:after="0"/>
        <w:ind w:left="0" w:right="0" w:hanging="0"/>
        <w:jc w:val="left"/>
        <w:rPr/>
      </w:pPr>
      <w:r>
        <w:rPr/>
        <w:t>​</w:t>
      </w:r>
    </w:p>
    <w:tbl>
      <w:tblPr>
        <w:tblW w:w="4890" w:type="dxa"/>
        <w:jc w:val="left"/>
        <w:tblInd w:w="0" w:type="dxa"/>
        <w:tblLayout w:type="fixed"/>
        <w:tblCellMar>
          <w:top w:w="0" w:type="dxa"/>
          <w:left w:w="0" w:type="dxa"/>
          <w:bottom w:w="0" w:type="dxa"/>
          <w:right w:w="0" w:type="dxa"/>
        </w:tblCellMar>
      </w:tblPr>
      <w:tblGrid>
        <w:gridCol w:w="2536"/>
        <w:gridCol w:w="146"/>
        <w:gridCol w:w="211"/>
        <w:gridCol w:w="781"/>
        <w:gridCol w:w="109"/>
        <w:gridCol w:w="211"/>
        <w:gridCol w:w="89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610360" cy="175260"/>
                      <wp:effectExtent l="0" t="0" r="0" b="0"/>
                      <wp:wrapNone/>
                      <wp:docPr id="393" name="Frame39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92710" cy="175260"/>
                      <wp:effectExtent l="0" t="0" r="0" b="0"/>
                      <wp:wrapNone/>
                      <wp:docPr id="394" name="Frame3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95935" cy="175260"/>
                      <wp:effectExtent l="0" t="0" r="0" b="0"/>
                      <wp:wrapNone/>
                      <wp:docPr id="396" name="Frame3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68960" cy="175260"/>
                      <wp:effectExtent l="0" t="0" r="0" b="0"/>
                      <wp:wrapNone/>
                      <wp:docPr id="399" name="Frame39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22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3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current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339,326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290,143</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non-current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344,166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292,720</w:t>
            </w:r>
          </w:p>
        </w:tc>
      </w:tr>
    </w:tbl>
    <w:p>
      <w:pPr>
        <w:pStyle w:val="TextBody"/>
        <w:bidi w:val="0"/>
        <w:spacing w:before="0" w:after="240"/>
        <w:ind w:left="0" w:right="0" w:hanging="0"/>
        <w:jc w:val="both"/>
        <w:rPr>
          <w:shd w:fill="FFFF00" w:val="clear"/>
        </w:rPr>
      </w:pPr>
      <w:r>
        <w:rPr>
          <w:shd w:fill="FFFF00" w:val="clear"/>
        </w:rPr>
        <w:t>​</w:t>
      </w:r>
    </w:p>
    <w:tbl>
      <w:tblPr>
        <w:tblW w:w="6850" w:type="dxa"/>
        <w:jc w:val="left"/>
        <w:tblInd w:w="0" w:type="dxa"/>
        <w:tblLayout w:type="fixed"/>
        <w:tblCellMar>
          <w:top w:w="0" w:type="dxa"/>
          <w:left w:w="0" w:type="dxa"/>
          <w:bottom w:w="0" w:type="dxa"/>
          <w:right w:w="0" w:type="dxa"/>
        </w:tblCellMar>
      </w:tblPr>
      <w:tblGrid>
        <w:gridCol w:w="2491"/>
        <w:gridCol w:w="326"/>
        <w:gridCol w:w="211"/>
        <w:gridCol w:w="901"/>
        <w:gridCol w:w="326"/>
        <w:gridCol w:w="211"/>
        <w:gridCol w:w="901"/>
        <w:gridCol w:w="326"/>
        <w:gridCol w:w="211"/>
        <w:gridCol w:w="94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581785" cy="175260"/>
                      <wp:effectExtent l="0" t="0" r="0" b="0"/>
                      <wp:wrapNone/>
                      <wp:docPr id="400" name="Frame399"/>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72135" cy="175260"/>
                      <wp:effectExtent l="0" t="0" r="0" b="0"/>
                      <wp:wrapNone/>
                      <wp:docPr id="403" name="Frame40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72135" cy="175260"/>
                      <wp:effectExtent l="0" t="0" r="0" b="0"/>
                      <wp:wrapNone/>
                      <wp:docPr id="406" name="Frame40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00710" cy="175260"/>
                      <wp:effectExtent l="0" t="0" r="0" b="0"/>
                      <wp:wrapNone/>
                      <wp:docPr id="409" name="Frame40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249,010</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 deferred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521,750</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recognized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(491,624)</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279,136</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revenue at December 31, 2024 will be recognized as follows for all future years:</w:t>
      </w:r>
    </w:p>
    <w:p>
      <w:pPr>
        <w:pStyle w:val="TextBody"/>
        <w:bidi w:val="0"/>
        <w:spacing w:before="0" w:after="0"/>
        <w:ind w:left="0" w:right="0" w:hanging="0"/>
        <w:jc w:val="left"/>
        <w:rPr/>
      </w:pPr>
      <w:r>
        <w:rPr/>
        <w:t>​</w:t>
      </w:r>
    </w:p>
    <w:tbl>
      <w:tblPr>
        <w:tblW w:w="3504" w:type="dxa"/>
        <w:jc w:val="left"/>
        <w:tblInd w:w="0" w:type="dxa"/>
        <w:tblLayout w:type="fixed"/>
        <w:tblCellMar>
          <w:top w:w="0" w:type="dxa"/>
          <w:left w:w="0" w:type="dxa"/>
          <w:bottom w:w="0" w:type="dxa"/>
          <w:right w:w="0" w:type="dxa"/>
        </w:tblCellMar>
      </w:tblPr>
      <w:tblGrid>
        <w:gridCol w:w="2071"/>
        <w:gridCol w:w="326"/>
        <w:gridCol w:w="211"/>
        <w:gridCol w:w="89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15085" cy="175260"/>
                      <wp:effectExtent l="0" t="0" r="0" b="0"/>
                      <wp:wrapNone/>
                      <wp:docPr id="410" name="Frame409"/>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68960" cy="175260"/>
                      <wp:effectExtent l="0" t="0" r="0" b="0"/>
                      <wp:wrapNone/>
                      <wp:docPr id="413" name="Frame41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339,326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4,840</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344,166</w:t>
            </w:r>
          </w:p>
        </w:tc>
      </w:tr>
    </w:tbl>
    <w:p>
      <w:pPr>
        <w:pStyle w:val="TextBody"/>
        <w:bidi w:val="0"/>
        <w:spacing w:before="0" w:after="240"/>
        <w:ind w:left="0" w:right="0" w:firstLine="360"/>
        <w:jc w:val="both"/>
        <w:rPr/>
      </w:pPr>
      <w:r>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Contract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both"/>
        <w:rPr>
          <w:rFonts w:ascii="Times New Roman;Times;serif" w:hAnsi="Times New Roman;Times;serif"/>
          <w:sz w:val="20"/>
        </w:rPr>
      </w:pPr>
      <w:bookmarkStart w:id="1157" w:name="Tc_Tu809F_5D0ivipM9lpZbQg_7_8"/>
      <w:bookmarkStart w:id="1158" w:name="Tc_X0SX7gLTPE2eMuOgXF7dDg_7_5"/>
      <w:bookmarkStart w:id="1159" w:name="Tc_SZbqHaPVnky7R_NSWmW8ow_7_2"/>
      <w:bookmarkStart w:id="1160" w:name="Tc_CQG4_nLvz0q-AZHIStXomg_7_0"/>
      <w:bookmarkStart w:id="1161" w:name="Tc_VT82bwj6B0KMyBQ2z7uY9w_6_0"/>
      <w:bookmarkStart w:id="1162" w:name="Tc_k0owM3_bm0G0Mx0Uu8d8Aw_5_0"/>
      <w:bookmarkStart w:id="1163" w:name="Tc_Uoe5cFw8N0iLR37KvhfW_g_4_8"/>
      <w:bookmarkStart w:id="1164" w:name="Tc_LHY2tOw5jEmBG3ljRsaF7Q_4_5"/>
      <w:bookmarkStart w:id="1165" w:name="Tc_pqGdoWg7WEKPFCYCNQbPqw_4_2"/>
      <w:bookmarkStart w:id="1166" w:name="Tc_uACxlaAp-ke4fFQtAhou7g_4_0"/>
      <w:bookmarkStart w:id="1167" w:name="Tc_zHujnexR1U6M8XdkYT3aFw_3_0"/>
      <w:bookmarkStart w:id="1168" w:name="Tc_nd0kROFMM0GPX80caz7XOQ_2_8"/>
      <w:bookmarkStart w:id="1169" w:name="Tc_CuBkvPeXgkeWkzlRtaSiYg_2_5"/>
      <w:bookmarkStart w:id="1170" w:name="Tc_CL0Us7ZTU0WqvlR46fghbg_2_2"/>
      <w:bookmarkStart w:id="1171" w:name="Tc_rbu42r8f9kyPW8Z3ffRXcw_1_2"/>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Pr>
          <w:rFonts w:ascii="Times New Roman;Times;serif" w:hAnsi="Times New Roman;Times;serif"/>
          <w:sz w:val="20"/>
        </w:rPr>
        <w:t xml:space="preserve">These contract costs are amortized on a straight-line basis over a period consistent with the transfer of the associated product and services to the customer,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Amortization of these costs are included in selling and marketing expense in the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to contract cost balances as of and for the following periods are:</w:t>
      </w:r>
    </w:p>
    <w:p>
      <w:pPr>
        <w:pStyle w:val="TextBody"/>
        <w:bidi w:val="0"/>
        <w:spacing w:before="0" w:after="240"/>
        <w:ind w:left="0" w:right="0" w:firstLine="360"/>
        <w:jc w:val="both"/>
        <w:rPr/>
      </w:pPr>
      <w:r>
        <w:rPr/>
        <w:t>​</w:t>
      </w:r>
    </w:p>
    <w:tbl>
      <w:tblPr>
        <w:tblW w:w="6010" w:type="dxa"/>
        <w:jc w:val="left"/>
        <w:tblInd w:w="0" w:type="dxa"/>
        <w:tblLayout w:type="fixed"/>
        <w:tblCellMar>
          <w:top w:w="0" w:type="dxa"/>
          <w:left w:w="0" w:type="dxa"/>
          <w:bottom w:w="0" w:type="dxa"/>
          <w:right w:w="0" w:type="dxa"/>
        </w:tblCellMar>
      </w:tblPr>
      <w:tblGrid>
        <w:gridCol w:w="1966"/>
        <w:gridCol w:w="326"/>
        <w:gridCol w:w="211"/>
        <w:gridCol w:w="796"/>
        <w:gridCol w:w="326"/>
        <w:gridCol w:w="211"/>
        <w:gridCol w:w="796"/>
        <w:gridCol w:w="326"/>
        <w:gridCol w:w="211"/>
        <w:gridCol w:w="84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248410" cy="175260"/>
                      <wp:effectExtent l="0" t="0" r="0" b="0"/>
                      <wp:wrapNone/>
                      <wp:docPr id="414" name="Frame413"/>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05460" cy="175260"/>
                      <wp:effectExtent l="0" t="0" r="0" b="0"/>
                      <wp:wrapNone/>
                      <wp:docPr id="417" name="Frame4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05460" cy="175260"/>
                      <wp:effectExtent l="0" t="0" r="0" b="0"/>
                      <wp:wrapNone/>
                      <wp:docPr id="420" name="Frame4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34035" cy="175260"/>
                      <wp:effectExtent l="0" t="0" r="0" b="0"/>
                      <wp:wrapNone/>
                      <wp:docPr id="423" name="Frame42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1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commissions: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12,555</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13,913</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15,463</w:t>
            </w:r>
          </w:p>
        </w:tc>
      </w:tr>
    </w:tbl>
    <w:p>
      <w:pPr>
        <w:pStyle w:val="TextBody"/>
        <w:bidi w:val="0"/>
        <w:spacing w:before="0" w:after="240"/>
        <w:ind w:left="90" w:right="0" w:hanging="360"/>
        <w:jc w:val="left"/>
        <w:rPr>
          <w:rFonts w:ascii="Times New Roman;Times;serif" w:hAnsi="Times New Roman;Times;serif"/>
          <w:b/>
          <w:sz w:val="20"/>
        </w:rPr>
      </w:pPr>
      <w:r>
        <w:rPr>
          <w:rFonts w:ascii="Times New Roman;Times;serif" w:hAnsi="Times New Roman;Times;serif"/>
          <w:b/>
          <w:sz w:val="2"/>
        </w:rPr>
        <w:t>3.</w:t>
      </w:r>
      <w:r>
        <w:rPr>
          <w:rFonts w:ascii="Times New Roman;Times;serif" w:hAnsi="Times New Roman;Times;serif"/>
          <w:b/>
          <w:sz w:val="20"/>
        </w:rPr>
        <w:t>​​</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1172" w:name="Tc_rBFPg2DsjEyKXnM59OpXgg_4_1"/>
      <w:bookmarkStart w:id="1173" w:name="Tc_Dy16NYjrW0mG5gM_AEX3Og_4_0"/>
      <w:bookmarkStart w:id="1174" w:name="Tc_17rWKvul-EyVam6YoVUsng_3_0"/>
      <w:bookmarkStart w:id="1175" w:name="Tc_m9Ef5tBiIUu7EBwmPTJ08w_2_1"/>
      <w:bookmarkStart w:id="1176" w:name="Tc_hIIQv5IoUUmnyhapH-treQ_2_0"/>
      <w:bookmarkStart w:id="1177" w:name="Tc_uJTz_Or-kke--aHojlkp9Q_1_1"/>
      <w:bookmarkStart w:id="1178" w:name="Tc_rBFPg2DsjEyKXnM59OpXgg_4_1"/>
      <w:bookmarkStart w:id="1179" w:name="Tc_Dy16NYjrW0mG5gM_AEX3Og_4_0"/>
      <w:bookmarkStart w:id="1180" w:name="Tc_17rWKvul-EyVam6YoVUsng_3_0"/>
      <w:bookmarkStart w:id="1181" w:name="Tc_m9Ef5tBiIUu7EBwmPTJ08w_2_1"/>
      <w:bookmarkStart w:id="1182" w:name="Tc_hIIQv5IoUUmnyhapH-treQ_2_0"/>
      <w:bookmarkStart w:id="1183" w:name="Tc_uJTz_Or-kke--aHojlkp9Q_1_1"/>
      <w:bookmarkEnd w:id="1178"/>
      <w:bookmarkEnd w:id="1179"/>
      <w:bookmarkEnd w:id="1180"/>
      <w:bookmarkEnd w:id="1181"/>
      <w:bookmarkEnd w:id="1182"/>
      <w:bookmarkEnd w:id="1183"/>
    </w:p>
    <w:tbl>
      <w:tblPr>
        <w:tblW w:w="1832" w:type="dxa"/>
        <w:jc w:val="left"/>
        <w:tblInd w:w="0" w:type="dxa"/>
        <w:tblLayout w:type="fixed"/>
        <w:tblCellMar>
          <w:top w:w="0" w:type="dxa"/>
          <w:left w:w="0" w:type="dxa"/>
          <w:bottom w:w="0" w:type="dxa"/>
          <w:right w:w="0" w:type="dxa"/>
        </w:tblCellMar>
      </w:tblPr>
      <w:tblGrid>
        <w:gridCol w:w="271"/>
        <w:gridCol w:w="156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5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w:t>
            </w:r>
          </w:p>
        </w:tc>
      </w:tr>
    </w:tbl>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ecosio GmbH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August 30, 2024 (the “Acquisition Date”), the Company purchased 100% of the share interests in ecosio, a limited liability company incorporated under the laws of Austria and a provider of electronic data interchange (“EDI”) and e-invoicing services. The acquisition was completed with the goal of integrating ecosio’s cloud-based, scalable global network with the Company’s indirect tax solutions to enable customers to facilitate the creation, exchange, and clearance of jurisdictionally compliant e-invoices and seamlessly reconcile these invoices with their periodic filing requirements. Ecosio’s operations and offerings are being integrated into the Company’s one operating segment.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acquisition was accounted for as a business combination. Upon its acquisition, ecosio became a wholly owned subsidiary of the Company, and its operations have been included in the Company’s consolidated financial statements commencing on the Acquisition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 xml:space="preserve">Total Purchase Consideration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purchase consideration for the ecosio acquisition was $169,041, net of $788 cash acquired, which was comprised of the following:</w:t>
      </w:r>
    </w:p>
    <w:p>
      <w:pPr>
        <w:pStyle w:val="TextBody"/>
        <w:bidi w:val="0"/>
        <w:spacing w:before="0" w:after="0"/>
        <w:ind w:left="0" w:right="0" w:hanging="0"/>
        <w:jc w:val="left"/>
        <w:rPr/>
      </w:pPr>
      <w:r>
        <w:rPr/>
        <w:t>​</w:t>
      </w:r>
    </w:p>
    <w:tbl>
      <w:tblPr>
        <w:tblW w:w="4591" w:type="dxa"/>
        <w:jc w:val="left"/>
        <w:tblInd w:w="0" w:type="dxa"/>
        <w:tblLayout w:type="fixed"/>
        <w:tblCellMar>
          <w:top w:w="0" w:type="dxa"/>
          <w:left w:w="0" w:type="dxa"/>
          <w:bottom w:w="0" w:type="dxa"/>
          <w:right w:w="0" w:type="dxa"/>
        </w:tblCellMar>
      </w:tblPr>
      <w:tblGrid>
        <w:gridCol w:w="3256"/>
        <w:gridCol w:w="254"/>
        <w:gridCol w:w="108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67560" cy="175260"/>
                      <wp:effectExtent l="0" t="0" r="0" b="0"/>
                      <wp:wrapNone/>
                      <wp:docPr id="424" name="Frame42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61290" cy="175260"/>
                      <wp:effectExtent l="0" t="0" r="0" b="0"/>
                      <wp:wrapNone/>
                      <wp:docPr id="425" name="Frame42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86435" cy="175260"/>
                      <wp:effectExtent l="0" t="0" r="0" b="0"/>
                      <wp:wrapNone/>
                      <wp:docPr id="426" name="Frame42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center"/>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 2024</w:t>
            </w:r>
          </w:p>
        </w:tc>
      </w:tr>
      <w:tr>
        <w:trPr/>
        <w:tc>
          <w:tcPr>
            <w:tcW w:w="32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Upfront cash consideration</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64,829</w:t>
            </w:r>
          </w:p>
        </w:tc>
      </w:tr>
      <w:tr>
        <w:trPr/>
        <w:tc>
          <w:tcPr>
            <w:tcW w:w="3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Stock Earn-outs, at fair value</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105,000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169,829</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initial cash consideration was $65,000, adjusted for certain closing adjustments and transaction costs paid on behalf of ecosio. The cash consideration was paid with existing cash on hand.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contingent consideration liabilities included in the consideration are in the form of cash, with an aggregate of up to $94,355 (the “Cash Earn-outs”), and stock, with an aggregate value of up to $35,000 (the “Stock Earn-outs,” and together with the Cash Earn-outs, the “Earn-outs”), assuming maximum payouts. The Earn-outs will be based upon ecosio’s monthly software revenues meeting specified annual targets over a three-year period. The Cash Earn-outs are payable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hanging="0"/>
        <w:jc w:val="both"/>
        <w:rPr>
          <w:rFonts w:ascii="Times New Roman;Times;serif" w:hAnsi="Times New Roman;Times;serif"/>
          <w:sz w:val="20"/>
        </w:rPr>
      </w:pPr>
      <w:bookmarkStart w:id="1184" w:name="Tc_QDOvlKtrA0mBIfjgbH3JIQ_17_0"/>
      <w:bookmarkStart w:id="1185" w:name="Tc_IXee2dsSi0SfCdiTJ14zpw_16_0"/>
      <w:bookmarkStart w:id="1186" w:name="Tc_Ko-gcj-3cEmnY2zFc_bQkg_15_1"/>
      <w:bookmarkStart w:id="1187" w:name="Tc_UH3I4P0eV06qgDIT5XJz4g_15_0"/>
      <w:bookmarkStart w:id="1188" w:name="Tc_boIKaGWcrkqDurYy4GdE7Q_14_0"/>
      <w:bookmarkStart w:id="1189" w:name="Tc_FTqL9XbAY0yPzvCy4dmXFg_13_0"/>
      <w:bookmarkStart w:id="1190" w:name="Tc_sYU0YYrPu0ahldHsAj_Q2Q_12_0"/>
      <w:bookmarkStart w:id="1191" w:name="Tc_FCq3630YrUm0sNtOq0Qltw_11_0"/>
      <w:bookmarkStart w:id="1192" w:name="Tc_jONMYwT-dE2vGv4qeSn5iQ_10_0"/>
      <w:bookmarkStart w:id="1193" w:name="Tc_XttUM5rdK0qYuy4y8MFSMQ_9_0"/>
      <w:bookmarkStart w:id="1194" w:name="Tc_cKFwrEHZn0OhumRBiextcg_8_0"/>
      <w:bookmarkStart w:id="1195" w:name="Tc_RRVM_dXCq0OtSrXGblaxPA_7_0"/>
      <w:bookmarkStart w:id="1196" w:name="Tc_FIbtJwav8kiB_73lI8HqSQ_6_0"/>
      <w:bookmarkStart w:id="1197" w:name="Tc_Yb-P2Jyi9EmbixOiM7zstg_5_0"/>
      <w:bookmarkStart w:id="1198" w:name="Tc_gfFwIlqa2kCv0AAuztzvrQ_4_0"/>
      <w:bookmarkStart w:id="1199" w:name="Tc_7W9B7AVqIUmGsiZyVKfS9A_3_0"/>
      <w:bookmarkStart w:id="1200" w:name="Tc_TaCrJEZ-1ki5bzo5G-tPUg_2_1"/>
      <w:bookmarkStart w:id="1201" w:name="Tc_mKPlVz7Q4E69iMrWsTOuOA_2_0"/>
      <w:bookmarkStart w:id="1202" w:name="Tc_WgdssOwLjUC_U9fMSaIdHw_1_1"/>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Pr>
          <w:rFonts w:ascii="Times New Roman;Times;serif" w:hAnsi="Times New Roman;Times;serif"/>
          <w:sz w:val="20"/>
        </w:rPr>
        <w:t>annually and also contain a catch-up mechanism. The Stock Earn-outs are payable annually and are settled in shares of the Company’s Class A common stock. The fair value of the Cash and Stock Earn-outs at acquisition was $71,000 and</w:t>
      </w:r>
      <w:r>
        <w:rPr>
          <w:rFonts w:ascii="Times New Roman;Times;serif" w:hAnsi="Times New Roman;Times;serif"/>
          <w:color w:val="FF0000"/>
          <w:sz w:val="20"/>
        </w:rPr>
        <w:t xml:space="preserve"> </w:t>
      </w:r>
      <w:r>
        <w:rPr>
          <w:rFonts w:ascii="Times New Roman;Times;serif" w:hAnsi="Times New Roman;Times;serif"/>
          <w:sz w:val="20"/>
        </w:rPr>
        <w:t>$34,000, respectively, and was measured on the Acquisition Date using a Monte Carlo simulation in a risk-neutral framework, calibrated to management’s revenue forecasts. The final payments may be adjusted depending on the actual amount, above or below the targets. The Stock Earn-outs are classified as a liability on the consolidated balance sheets in accordance with ASC Topic 815, “</w:t>
      </w:r>
      <w:r>
        <w:rPr>
          <w:rFonts w:ascii="Times New Roman;Times;serif" w:hAnsi="Times New Roman;Times;serif"/>
          <w:i/>
          <w:sz w:val="20"/>
        </w:rPr>
        <w:t>Derivatives and Hedging.</w:t>
      </w:r>
      <w:r>
        <w:rPr>
          <w:rFonts w:ascii="Times New Roman;Times;serif" w:hAnsi="Times New Roman;Times;serif"/>
          <w:sz w:val="20"/>
        </w:rPr>
        <w:t>” For further information on the Earn-outs, including recurring fair value adjustments, refer to Note 5, “Financial Instruments and Fair Value Measurements.”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Assets Acquired and Liabilities Assumed</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 fair values of these amounts on the Acquisition Date, which are reflected in the table below, were finalized during the fourth quarter of 2024. These amounts include Measurement Period adjustments resulting in a decrease to deferred income tax liabilities of $3,879, and various other adjustments resulting in a net reduction to goodwill of $3,841. Any subsequent adjustments to these values will be recorded in the consolidated statements of comprehensive loss in the period in which the adjustment is identified.</w:t>
      </w:r>
    </w:p>
    <w:p>
      <w:pPr>
        <w:pStyle w:val="TextBody"/>
        <w:bidi w:val="0"/>
        <w:spacing w:before="0" w:after="0"/>
        <w:ind w:left="0" w:right="0" w:firstLine="360"/>
        <w:jc w:val="both"/>
        <w:rPr>
          <w:color w:val="FF0000"/>
        </w:rPr>
      </w:pPr>
      <w:r>
        <w:rPr>
          <w:color w:val="FF000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allocation of the purchase price to the assets acquired and liabilities assumed as recorded in the Company’s consolidated balance sheets as of the Acquisition Date:</w:t>
      </w:r>
    </w:p>
    <w:p>
      <w:pPr>
        <w:pStyle w:val="TextBody"/>
        <w:bidi w:val="0"/>
        <w:spacing w:before="0" w:after="0"/>
        <w:ind w:left="0" w:right="0" w:hanging="0"/>
        <w:jc w:val="left"/>
        <w:rPr/>
      </w:pPr>
      <w:r>
        <w:rPr/>
        <w:t>​</w:t>
      </w:r>
    </w:p>
    <w:tbl>
      <w:tblPr>
        <w:tblW w:w="6976" w:type="dxa"/>
        <w:jc w:val="left"/>
        <w:tblInd w:w="0" w:type="dxa"/>
        <w:tblLayout w:type="fixed"/>
        <w:tblCellMar>
          <w:top w:w="0" w:type="dxa"/>
          <w:left w:w="0" w:type="dxa"/>
          <w:bottom w:w="0" w:type="dxa"/>
          <w:right w:w="0" w:type="dxa"/>
        </w:tblCellMar>
      </w:tblPr>
      <w:tblGrid>
        <w:gridCol w:w="5641"/>
        <w:gridCol w:w="267"/>
        <w:gridCol w:w="1068"/>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582035" cy="175260"/>
                      <wp:effectExtent l="0" t="0" r="0" b="0"/>
                      <wp:wrapNone/>
                      <wp:docPr id="427" name="Frame426"/>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69545" cy="175260"/>
                      <wp:effectExtent l="0" t="0" r="0" b="0"/>
                      <wp:wrapNone/>
                      <wp:docPr id="428" name="Frame42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78180" cy="175260"/>
                      <wp:effectExtent l="0" t="0" r="0" b="0"/>
                      <wp:wrapNone/>
                      <wp:docPr id="429" name="Frame428"/>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center"/>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30, 2024</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267"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5641"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w:t>
            </w:r>
            <w:r>
              <w:rPr>
                <w:rFonts w:ascii="Times New Roman;Times;serif" w:hAnsi="Times New Roman;Times;serif"/>
                <w:sz w:val="15"/>
              </w:rPr>
              <w:t>(1)</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63,984</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67"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5641"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w:t>
            </w:r>
            <w:r>
              <w:rPr>
                <w:rFonts w:ascii="Times New Roman;Times;serif" w:hAnsi="Times New Roman;Times;serif"/>
                <w:sz w:val="15"/>
              </w:rPr>
              <w:t>(2)</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119,668</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intangibles</w:t>
            </w:r>
          </w:p>
        </w:tc>
        <w:tc>
          <w:tcPr>
            <w:tcW w:w="267"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Accounts payable </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lease liabilities</w:t>
            </w:r>
          </w:p>
        </w:tc>
        <w:tc>
          <w:tcPr>
            <w:tcW w:w="267"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Third-party debt</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w:t>
            </w:r>
          </w:p>
        </w:tc>
        <w:tc>
          <w:tcPr>
            <w:tcW w:w="267"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income tax</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(12,142)</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169,829</w:t>
            </w:r>
          </w:p>
        </w:tc>
      </w:tr>
      <w:tr>
        <w:trPr/>
        <w:tc>
          <w:tcPr>
            <w:tcW w:w="564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Includes $63,800 of acquired developed technology.</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r>
      <w:tr>
        <w:trPr/>
        <w:tc>
          <w:tcPr>
            <w:tcW w:w="564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Goodwill associated with the acquisition is not deductible for tax purposes.</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firstLine="360"/>
        <w:jc w:val="both"/>
        <w:rPr>
          <w:rFonts w:ascii="Times New Roman;Times;serif" w:hAnsi="Times New Roman;Times;serif"/>
          <w:sz w:val="20"/>
        </w:rPr>
      </w:pPr>
      <w:bookmarkStart w:id="1203" w:name="Tc_IlBguNud-UWbOqXilAnrtg_5_12"/>
      <w:bookmarkStart w:id="1204" w:name="Tc_zFAjsvTAoE-oTrRc-WrBSg_5_7"/>
      <w:bookmarkStart w:id="1205" w:name="Tc_gP1h83oGYk67lH8AkZ14Qg_5_4"/>
      <w:bookmarkStart w:id="1206" w:name="Tc_4L2PpJMEJE-8AMI9w5MTOA_5_2"/>
      <w:bookmarkStart w:id="1207" w:name="Tc_U6RNPchotUCgsCwnczbpkQ_5_0"/>
      <w:bookmarkStart w:id="1208" w:name="Tc_Z-bArwt3vkC7tQ6-eOGwEQ_4_12"/>
      <w:bookmarkStart w:id="1209" w:name="Tc_H7IxXcAClkG4S72u2uVetA_4_7"/>
      <w:bookmarkStart w:id="1210" w:name="Tc_ynnCBQbQbEuS5qwbTpHGZA_4_4"/>
      <w:bookmarkStart w:id="1211" w:name="Tc_8HIH6YK31U2OeFS_MXqC6A_4_2"/>
      <w:bookmarkStart w:id="1212" w:name="Tc_VlimDW8r606RbTDCv91NEg_4_0"/>
      <w:bookmarkStart w:id="1213" w:name="Tc_q18XztrT3UCbZhOLDwLp9Q_3_12"/>
      <w:bookmarkStart w:id="1214" w:name="Tc_ryvBPGpSHUmkrWJ3Efqotw_3_7"/>
      <w:bookmarkStart w:id="1215" w:name="Tc_yiH1gykbw0-cM5VsGjDj5w_3_4"/>
      <w:bookmarkStart w:id="1216" w:name="Tc_1TYpF-h0MkGxVmS0618AGA_3_2"/>
      <w:bookmarkStart w:id="1217" w:name="Tc_SXAxxxTNPUerBnjtFC20-g_3_0"/>
      <w:bookmarkStart w:id="1218" w:name="Tc_4s357yER0U-phaTi-CEqYQ_2_11"/>
      <w:bookmarkStart w:id="1219" w:name="Tc_KtQIh4hhUk6x4L5N4VgOoA_2_9"/>
      <w:bookmarkStart w:id="1220" w:name="Tc_YS5GpRK3u06pcLbM1amg0Q_2_7"/>
      <w:bookmarkStart w:id="1221" w:name="Tc_cPaJUY__K0SQBPByTOFxrw_2_5"/>
      <w:bookmarkStart w:id="1222" w:name="Tc_T98ETKVyZU27NJqemGNgSw_2_2"/>
      <w:bookmarkStart w:id="1223" w:name="Tc_rGu9wNJVRECzVts15U9J1w_2_0"/>
      <w:bookmarkStart w:id="1224" w:name="Tc_NdA2-w-pK0yVYMLP4pwf0w_1_4"/>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r>
        <w:rPr>
          <w:rFonts w:ascii="Times New Roman;Times;serif" w:hAnsi="Times New Roman;Times;serif"/>
          <w:sz w:val="20"/>
        </w:rPr>
        <w:t>The fair value, valuation methodologies, estimated useful lives, and significant assumptions of the identifiable intangibles acquired in the ecosio acquisition are summarized in the table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08"/>
        <w:gridCol w:w="109"/>
        <w:gridCol w:w="1860"/>
        <w:gridCol w:w="109"/>
        <w:gridCol w:w="211"/>
        <w:gridCol w:w="759"/>
        <w:gridCol w:w="109"/>
        <w:gridCol w:w="2856"/>
        <w:gridCol w:w="109"/>
        <w:gridCol w:w="1155"/>
        <w:gridCol w:w="109"/>
        <w:gridCol w:w="891"/>
        <w:gridCol w:w="320"/>
      </w:tblGrid>
      <w:tr>
        <w:trPr/>
        <w:tc>
          <w:tcPr>
            <w:tcW w:w="1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021080" cy="175260"/>
                      <wp:effectExtent l="0" t="0" r="0" b="0"/>
                      <wp:wrapNone/>
                      <wp:docPr id="430" name="Frame429"/>
                      <a:graphic xmlns:a="http://schemas.openxmlformats.org/drawingml/2006/main">
                        <a:graphicData uri="http://schemas.microsoft.com/office/word/2010/wordprocessingShape">
                          <wps:wsp>
                            <wps:cNvSpPr txBox="1"/>
                            <wps:spPr>
                              <a:xfrm>
                                <a:off x="0" y="0"/>
                                <a:ext cx="1021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9215" cy="175260"/>
                      <wp:effectExtent l="0" t="0" r="0" b="0"/>
                      <wp:wrapNone/>
                      <wp:docPr id="431" name="Frame4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181100" cy="175260"/>
                      <wp:effectExtent l="0" t="0" r="0" b="0"/>
                      <wp:wrapNone/>
                      <wp:docPr id="432" name="Frame431"/>
                      <a:graphic xmlns:a="http://schemas.openxmlformats.org/drawingml/2006/main">
                        <a:graphicData uri="http://schemas.microsoft.com/office/word/2010/wordprocessingShape">
                          <wps:wsp>
                            <wps:cNvSpPr txBox="1"/>
                            <wps:spPr>
                              <a:xfrm>
                                <a:off x="0" y="0"/>
                                <a:ext cx="1181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3"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81965" cy="175260"/>
                      <wp:effectExtent l="0" t="0" r="0" b="0"/>
                      <wp:wrapNone/>
                      <wp:docPr id="435" name="Frame434"/>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6"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813560" cy="175260"/>
                      <wp:effectExtent l="0" t="0" r="0" b="0"/>
                      <wp:wrapNone/>
                      <wp:docPr id="437" name="Frame436"/>
                      <a:graphic xmlns:a="http://schemas.openxmlformats.org/drawingml/2006/main">
                        <a:graphicData uri="http://schemas.microsoft.com/office/word/2010/wordprocessingShape">
                          <wps:wsp>
                            <wps:cNvSpPr txBox="1"/>
                            <wps:spPr>
                              <a:xfrm>
                                <a:off x="0" y="0"/>
                                <a:ext cx="181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33425" cy="175260"/>
                      <wp:effectExtent l="0" t="0" r="0" b="0"/>
                      <wp:wrapNone/>
                      <wp:docPr id="439" name="Frame438"/>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215" cy="175260"/>
                      <wp:effectExtent l="0" t="0" r="0" b="0"/>
                      <wp:wrapNone/>
                      <wp:docPr id="440" name="Frame4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65785" cy="175260"/>
                      <wp:effectExtent l="0" t="0" r="0" b="0"/>
                      <wp:wrapNone/>
                      <wp:docPr id="441" name="Frame44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3200" cy="175260"/>
                      <wp:effectExtent l="0" t="0" r="0" b="0"/>
                      <wp:wrapNone/>
                      <wp:docPr id="442" name="Frame44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51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August 30, 2024 </w:t>
            </w:r>
          </w:p>
        </w:tc>
      </w:tr>
      <w:tr>
        <w:trPr/>
        <w:tc>
          <w:tcPr>
            <w:tcW w:w="160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ecosio Identifiable Intangibles</w:t>
            </w:r>
          </w:p>
        </w:tc>
        <w:tc>
          <w:tcPr>
            <w:tcW w:w="109" w:type="dxa"/>
            <w:tcBorders/>
            <w:vAlign w:val="center"/>
          </w:tcPr>
          <w:p>
            <w:pPr>
              <w:pStyle w:val="TableContents"/>
              <w:bidi w:val="0"/>
              <w:spacing w:before="0" w:after="1"/>
              <w:ind w:left="0" w:right="0" w:hanging="0"/>
              <w:jc w:val="left"/>
              <w:rPr/>
            </w:pPr>
            <w:r>
              <w:rPr/>
              <w:t>​</w:t>
            </w:r>
          </w:p>
        </w:tc>
        <w:tc>
          <w:tcPr>
            <w:tcW w:w="186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2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Methodology</w:t>
            </w:r>
          </w:p>
        </w:tc>
        <w:tc>
          <w:tcPr>
            <w:tcW w:w="109" w:type="dxa"/>
            <w:tcBorders/>
            <w:vAlign w:val="center"/>
          </w:tcPr>
          <w:p>
            <w:pPr>
              <w:pStyle w:val="TableContents"/>
              <w:bidi w:val="0"/>
              <w:spacing w:before="0" w:after="1"/>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c>
          <w:tcPr>
            <w:tcW w:w="109" w:type="dxa"/>
            <w:tcBorders/>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Discount Rate</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1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1"/>
              <w:ind w:left="0" w:right="0" w:hanging="0"/>
              <w:jc w:val="left"/>
              <w:rPr/>
            </w:pPr>
            <w:r>
              <w:rPr/>
              <w:t>​</w:t>
            </w:r>
          </w:p>
        </w:tc>
        <w:tc>
          <w:tcPr>
            <w:tcW w:w="18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63,800</w:t>
            </w:r>
          </w:p>
        </w:tc>
        <w:tc>
          <w:tcPr>
            <w:tcW w:w="109" w:type="dxa"/>
            <w:tcBorders/>
            <w:shd w:fill="CCEEFF" w:val="clear"/>
            <w:vAlign w:val="center"/>
          </w:tcPr>
          <w:p>
            <w:pPr>
              <w:pStyle w:val="TableContents"/>
              <w:bidi w:val="0"/>
              <w:spacing w:before="0" w:after="1"/>
              <w:ind w:left="0" w:right="0" w:hanging="0"/>
              <w:jc w:val="left"/>
              <w:rPr/>
            </w:pPr>
            <w:r>
              <w:rPr/>
              <w:t>​</w:t>
            </w:r>
          </w:p>
        </w:tc>
        <w:tc>
          <w:tcPr>
            <w:tcW w:w="2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Multi-period excess earnings method - income approach</w:t>
            </w:r>
          </w:p>
        </w:tc>
        <w:tc>
          <w:tcPr>
            <w:tcW w:w="109"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 years</w:t>
            </w:r>
          </w:p>
        </w:tc>
        <w:tc>
          <w:tcPr>
            <w:tcW w:w="109"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109" w:type="dxa"/>
            <w:tcBorders/>
            <w:vAlign w:val="center"/>
          </w:tcPr>
          <w:p>
            <w:pPr>
              <w:pStyle w:val="TableContents"/>
              <w:bidi w:val="0"/>
              <w:spacing w:before="0" w:after="1"/>
              <w:ind w:left="0" w:right="0" w:hanging="0"/>
              <w:jc w:val="left"/>
              <w:rPr/>
            </w:pPr>
            <w:r>
              <w:rPr/>
              <w:t>​</w:t>
            </w:r>
          </w:p>
        </w:tc>
        <w:tc>
          <w:tcPr>
            <w:tcW w:w="18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w:t>
            </w:r>
          </w:p>
        </w:tc>
        <w:tc>
          <w:tcPr>
            <w:tcW w:w="109" w:type="dxa"/>
            <w:tcBorders/>
            <w:vAlign w:val="center"/>
          </w:tcPr>
          <w:p>
            <w:pPr>
              <w:pStyle w:val="TableContents"/>
              <w:bidi w:val="0"/>
              <w:spacing w:before="0" w:after="1"/>
              <w:ind w:left="0" w:right="0" w:hanging="0"/>
              <w:jc w:val="left"/>
              <w:rPr/>
            </w:pPr>
            <w:r>
              <w:rPr/>
              <w:t>​</w:t>
            </w:r>
          </w:p>
        </w:tc>
        <w:tc>
          <w:tcPr>
            <w:tcW w:w="2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Relief from royalty method - income approach</w:t>
            </w:r>
          </w:p>
        </w:tc>
        <w:tc>
          <w:tcPr>
            <w:tcW w:w="109" w:type="dxa"/>
            <w:tcBorders/>
            <w:vAlign w:val="center"/>
          </w:tcPr>
          <w:p>
            <w:pPr>
              <w:pStyle w:val="TableContents"/>
              <w:bidi w:val="0"/>
              <w:spacing w:before="0" w:after="1"/>
              <w:ind w:left="0" w:right="0" w:hanging="0"/>
              <w:jc w:val="left"/>
              <w:rPr/>
            </w:pPr>
            <w:r>
              <w:rPr/>
              <w:t>​</w:t>
            </w:r>
          </w:p>
        </w:tc>
        <w:tc>
          <w:tcPr>
            <w:tcW w:w="115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years</w:t>
            </w:r>
          </w:p>
        </w:tc>
        <w:tc>
          <w:tcPr>
            <w:tcW w:w="109"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shd w:fill="CCEEFF" w:val="clear"/>
            <w:vAlign w:val="center"/>
          </w:tcPr>
          <w:p>
            <w:pPr>
              <w:pStyle w:val="TableContents"/>
              <w:bidi w:val="0"/>
              <w:spacing w:before="0" w:after="1"/>
              <w:ind w:left="0" w:right="0" w:hanging="0"/>
              <w:jc w:val="left"/>
              <w:rPr/>
            </w:pPr>
            <w:r>
              <w:rPr/>
              <w:t>​</w:t>
            </w:r>
          </w:p>
        </w:tc>
        <w:tc>
          <w:tcPr>
            <w:tcW w:w="18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Goodwill and other intangible assets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c>
          <w:tcPr>
            <w:tcW w:w="109" w:type="dxa"/>
            <w:tcBorders/>
            <w:shd w:fill="CCEEFF" w:val="clear"/>
            <w:vAlign w:val="center"/>
          </w:tcPr>
          <w:p>
            <w:pPr>
              <w:pStyle w:val="TableContents"/>
              <w:bidi w:val="0"/>
              <w:spacing w:before="0" w:after="1"/>
              <w:ind w:left="0" w:right="0" w:hanging="0"/>
              <w:jc w:val="left"/>
              <w:rPr/>
            </w:pPr>
            <w:r>
              <w:rPr/>
              <w:t>​</w:t>
            </w:r>
          </w:p>
        </w:tc>
        <w:tc>
          <w:tcPr>
            <w:tcW w:w="2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With and without method - income approach</w:t>
            </w:r>
          </w:p>
        </w:tc>
        <w:tc>
          <w:tcPr>
            <w:tcW w:w="109"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years</w:t>
            </w:r>
          </w:p>
        </w:tc>
        <w:tc>
          <w:tcPr>
            <w:tcW w:w="109"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18"/>
        </w:rPr>
      </w:pPr>
      <w:r>
        <w:rPr>
          <w:rFonts w:ascii="Times New Roman;Times;serif" w:hAnsi="Times New Roman;Times;serif"/>
          <w:sz w:val="20"/>
        </w:rPr>
        <w:t>Third-party experts were engaged to assist in the valuation of identifiable intangible assets and Earn-out payments as part of the acquisition. All estimates, key assumptions, and forecasts were either provided or reviewed by the Company. Significant assumptions applied in the valuation of developed technology, tradename, and customer relationships include cash flow projections, revenue growth rates, cost of sales and margin projections, obsolescence curve, and royalty rates. While the Company chose to utilize a third-party valuation specialist for assistance, the fair value analysis and related valuations reflect the conclusions of the Company, and not those of any third-party.</w:t>
      </w:r>
      <w:r>
        <w:rPr>
          <w:rFonts w:ascii="Times New Roman;Times;serif" w:hAnsi="Times New Roman;Times;serif"/>
          <w:sz w:val="18"/>
        </w:rPr>
        <w:t xml:space="preserve"> </w:t>
      </w:r>
    </w:p>
    <w:p>
      <w:pPr>
        <w:pStyle w:val="TextBody"/>
        <w:bidi w:val="0"/>
        <w:spacing w:before="0" w:after="0"/>
        <w:ind w:left="0" w:right="0" w:hanging="0"/>
        <w:jc w:val="both"/>
        <w:rPr>
          <w:color w:val="FF0000"/>
        </w:rPr>
      </w:pPr>
      <w:r>
        <w:rPr>
          <w:color w:val="FF000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Total transaction costs associated with the acquisition were $1,698 for the year ended December 31, 2024, and are recorded in other operating expense (income), net in the consolidated statements of comprehensive loss. </w:t>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Asset Acquisition</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 xml:space="preserve">Artificial Intelligence Tax Categorization </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On May 31, 2024, the Company entered into an asset purchase agreement with Ryan, LLC (“Ryan”) to acquire tax-specific artificial intelligence (“AI”) capabilities, designed to more effectively manage the complexity of tax mapping.</w:t>
      </w:r>
      <w:r>
        <w:rPr>
          <w:rFonts w:ascii="Times New Roman;Times;serif" w:hAnsi="Times New Roman;Times;serif"/>
          <w:sz w:val="20"/>
          <w:shd w:fill="FFFFFF" w:val="clear"/>
        </w:rPr>
        <w:t xml:space="preserve"> </w:t>
      </w:r>
      <w:r>
        <w:rPr>
          <w:rFonts w:ascii="Times New Roman;Times;serif" w:hAnsi="Times New Roman;Times;serif"/>
          <w:sz w:val="20"/>
        </w:rPr>
        <w:t>The acquisition will accelerate the Company’s AI innovation strategy to help global companies manage tax complexity with greater speed and scale.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paid $6,075 in closing consideration, which included $75 in transaction costs. The purchase agreement also includes the potential for earn-out payments and referral fees to Ryan over a five-year period. The earn-out payments will be paid annually in an amount equal to the (a) applicable percentage (ranging from 0% to 35%) multiplied by (b) new sales (excluding new sales to new customers). The referral fees will be paid annually to compensate Ryan for new customers in an amount equal to 35% multiplied by new sales from such new customers. The agreement also contained the assignment and assumption of certain immaterial contracts related to the software.</w:t>
      </w:r>
    </w:p>
    <w:p>
      <w:pPr>
        <w:pStyle w:val="TextBody"/>
        <w:bidi w:val="0"/>
        <w:spacing w:before="0" w:after="0"/>
        <w:ind w:left="0" w:right="0" w:hanging="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guidance provided under the FASB Accounting Standards Update No. 2017-01, </w:t>
      </w:r>
      <w:r>
        <w:rPr>
          <w:rFonts w:ascii="Times New Roman;Times;serif" w:hAnsi="Times New Roman;Times;serif"/>
          <w:i/>
          <w:sz w:val="20"/>
        </w:rPr>
        <w:t>Clarifying the Definition of a Business, </w:t>
      </w:r>
      <w:r>
        <w:rPr>
          <w:rFonts w:ascii="Times New Roman;Times;serif" w:hAnsi="Times New Roman;Times;serif"/>
          <w:sz w:val="20"/>
        </w:rPr>
        <w:t>the transaction was accounted for as an asset acquisition and the entire consideration was allocated to the asset and recognized as in-process internal-use software within property and equipment on the consolidated balance sheets. Once placed into service, the asset will be reported as internal-use cloud-based customer solutions software, net of accumulated amortization within property and equipment on the consolidated balance sheets and will amortize over its assigned useful life of five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Unaudited Pro Forma Financial Information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Unaudited proforma financial information has not been presented, as the information from the acquired companies would not have had a material impact individually or in the aggregate for the prior year periods.</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bookmarkStart w:id="1225" w:name="Tc_nMY5lLNLkUGBM4de1_1K6Q_13_14"/>
      <w:bookmarkStart w:id="1226" w:name="Tc_70GuVXYRDUSXPK3OYIKNLg_13_12"/>
      <w:bookmarkStart w:id="1227" w:name="Tc_uOBam0stiU6erMQHSNbppw_13_11"/>
      <w:bookmarkStart w:id="1228" w:name="Tc_jCMZfptZfEOc1qjMYn23Aw_13_8"/>
      <w:bookmarkStart w:id="1229" w:name="Tc_AffhZtkIAUWqYY4PkvFRsA_13_6"/>
      <w:bookmarkStart w:id="1230" w:name="Tc_-0nfd1ippUOawaixOrkccQ_13_5"/>
      <w:bookmarkStart w:id="1231" w:name="Tc_TnVRz_uaEk2PUzaBvhInHw_13_2"/>
      <w:bookmarkStart w:id="1232" w:name="Tc_g1qbN0Vj90iL5zBEZLa4Kw_13_0"/>
      <w:bookmarkStart w:id="1233" w:name="Tc_T52bx-Mwrketxpw1Cxaxzg_12_12"/>
      <w:bookmarkStart w:id="1234" w:name="Tc_BjUJjPFtHkuaRP4K5FvY4w_12_6"/>
      <w:bookmarkStart w:id="1235" w:name="Tc_QwDIdxXj9USbMUCK6YJ4mg_12_0"/>
      <w:bookmarkStart w:id="1236" w:name="Tc_w0q7WBGBwEGyw14YZoaCTg_11_14"/>
      <w:bookmarkStart w:id="1237" w:name="Tc_D6nM2dQE3UqK2nJ3yQDW5Q_11_12"/>
      <w:bookmarkStart w:id="1238" w:name="Tc_Uwxh1_DfIkS7S7LLWLNBLA_11_11"/>
      <w:bookmarkStart w:id="1239" w:name="Tc_SBv7MtWo0U-BFSoPS91EDw_11_8"/>
      <w:bookmarkStart w:id="1240" w:name="Tc_O9wHOJdjukOUnGwNm16oPA_11_6"/>
      <w:bookmarkStart w:id="1241" w:name="Tc_x-DY90GEk0muQmPzvfevnQ_11_5"/>
      <w:bookmarkStart w:id="1242" w:name="Tc_DB0et4NkqkCoU7BhytbYUg_11_2"/>
      <w:bookmarkStart w:id="1243" w:name="Tc_Owkq9Kop-kexD8AL6ZoK-Q_11_0"/>
      <w:bookmarkStart w:id="1244" w:name="Tc_6yCCyhzjkkuqQLi55dTyow_10_14"/>
      <w:bookmarkStart w:id="1245" w:name="Tc_JGSCDVMzv0iIP6IE2prvmw_10_11"/>
      <w:bookmarkStart w:id="1246" w:name="Tc_Pj8eeSO68kCFE0N9VQ5mpw_10_8"/>
      <w:bookmarkStart w:id="1247" w:name="Tc_F6h9L2KQskS3iVeKtrlHvQ_10_5"/>
      <w:bookmarkStart w:id="1248" w:name="Tc_kIctFAZseUy4FeHeWsYqUA_10_2"/>
      <w:bookmarkStart w:id="1249" w:name="Tc_k_fHTpum_0SxFb_pdx-kvg_10_0"/>
      <w:bookmarkStart w:id="1250" w:name="Tc_pHxqUXxgW0OLkDZu9xg5UA_9_2"/>
      <w:bookmarkStart w:id="1251" w:name="Tc_BoNBinw7BEidTheThpPy6w_6_14"/>
      <w:bookmarkStart w:id="1252" w:name="Tc_BByUXyEUq0S2ec4G_Kb1-Q_6_12"/>
      <w:bookmarkStart w:id="1253" w:name="Tc_gJRhmPFY3kCzw5iIdSzELw_6_11"/>
      <w:bookmarkStart w:id="1254" w:name="Tc_fjtf7DAOd0a-2biOhct8pw_6_8"/>
      <w:bookmarkStart w:id="1255" w:name="Tc_iIBP4lvZNUmgEu5do--gyA_6_5"/>
      <w:bookmarkStart w:id="1256" w:name="Tc_4b5_2bG2F02wvM13kb_hzw_6_2"/>
      <w:bookmarkStart w:id="1257" w:name="Tc_rGmXdTKj5UiJnNqxdx41Rw_6_0"/>
      <w:bookmarkStart w:id="1258" w:name="Tc_LoPeAKwViESZaR6zsrNvDw_5_12"/>
      <w:bookmarkStart w:id="1259" w:name="Tc_bF8kPkmgb0W4t-up3-WT8A_5_0"/>
      <w:bookmarkStart w:id="1260" w:name="Tc_FkwcyEspUU6FTovxzHKj4w_4_12"/>
      <w:bookmarkStart w:id="1261" w:name="Tc_J52rMWEzq0mF-1JtUxW1Cg_4_9"/>
      <w:bookmarkStart w:id="1262" w:name="Tc_prZ4TUo5XkKznMg9zIYtgQ_4_6"/>
      <w:bookmarkStart w:id="1263" w:name="Tc_JzJBmp22LU-R5BgQZyc_zg_4_0"/>
      <w:bookmarkStart w:id="1264" w:name="Tc_3rUedEfhhUu9YDJpe-JOYQ_3_14"/>
      <w:bookmarkStart w:id="1265" w:name="Tc_3msUi_rlG020bHEbv28R0w_3_12"/>
      <w:bookmarkStart w:id="1266" w:name="Tc_yoc8cKHIlUSCf61lozVvkA_3_11"/>
      <w:bookmarkStart w:id="1267" w:name="Tc_KHagkVVnO0ChdgPyZlwkyQ_3_9"/>
      <w:bookmarkStart w:id="1268" w:name="Tc_B5mfVVP760WKSU_oUNsgkg_3_8"/>
      <w:bookmarkStart w:id="1269" w:name="Tc_2Va1nmKvzkmp6kIpaJH4aA_3_6"/>
      <w:bookmarkStart w:id="1270" w:name="Tc_4mU9PzCrjEShGnAkiL95pA_3_5"/>
      <w:bookmarkStart w:id="1271" w:name="Tc_c1U9Km20fEC6oT9TuT_NyA_3_2"/>
      <w:bookmarkStart w:id="1272" w:name="Tc_HUJC9-ZecUCUwVMNg-w67w_3_0"/>
      <w:bookmarkStart w:id="1273" w:name="Tc_Dj-Vy0cBhke0ZJZlYiSVww_2_14"/>
      <w:bookmarkStart w:id="1274" w:name="Tc_pyR-f2TJ1UCKx-QksEBF0g_2_11"/>
      <w:bookmarkStart w:id="1275" w:name="Tc_cxBYL6Jrv0CLWISfrGABHg_2_8"/>
      <w:bookmarkStart w:id="1276" w:name="Tc_H4xRBESPk0ujhFh19HWZug_2_5"/>
      <w:bookmarkStart w:id="1277" w:name="Tc_bGJF9O3joUODHaDX8NDfRA_2_2"/>
      <w:bookmarkStart w:id="1278" w:name="Tc_MuCpPQRLAkKChU_eKfzGfg_2_0"/>
      <w:bookmarkStart w:id="1279" w:name="Tc_nVjVwy2hoECDRqmCuB9MKA_1_2"/>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4. INVESTMENTS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table below presents the amortized cost, gross unrealized gains and losses, allowance for credit losses, and fair value aggregated by major security type as of December 31, 2024 and 2023. Accrued interest receivables of $40 and $20 as of December 31, 2024 and 2023, respectively, are not included in the tables.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22"/>
        <w:gridCol w:w="109"/>
        <w:gridCol w:w="254"/>
        <w:gridCol w:w="816"/>
        <w:gridCol w:w="326"/>
        <w:gridCol w:w="503"/>
        <w:gridCol w:w="828"/>
        <w:gridCol w:w="326"/>
        <w:gridCol w:w="494"/>
        <w:gridCol w:w="814"/>
        <w:gridCol w:w="109"/>
        <w:gridCol w:w="580"/>
        <w:gridCol w:w="953"/>
        <w:gridCol w:w="326"/>
        <w:gridCol w:w="211"/>
        <w:gridCol w:w="676"/>
        <w:gridCol w:w="158"/>
      </w:tblGrid>
      <w:tr>
        <w:trPr/>
        <w:tc>
          <w:tcPr>
            <w:tcW w:w="2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28470" cy="175260"/>
                      <wp:effectExtent l="0" t="0" r="0" b="0"/>
                      <wp:wrapNone/>
                      <wp:docPr id="443" name="Frame442"/>
                      <a:graphic xmlns:a="http://schemas.openxmlformats.org/drawingml/2006/main">
                        <a:graphicData uri="http://schemas.microsoft.com/office/word/2010/wordprocessingShape">
                          <wps:wsp>
                            <wps:cNvSpPr txBox="1"/>
                            <wps:spPr>
                              <a:xfrm>
                                <a:off x="0" y="0"/>
                                <a:ext cx="172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175260"/>
                      <wp:effectExtent l="0" t="0" r="0" b="0"/>
                      <wp:wrapNone/>
                      <wp:docPr id="444" name="Frame4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61290" cy="175260"/>
                      <wp:effectExtent l="0" t="0" r="0" b="0"/>
                      <wp:wrapNone/>
                      <wp:docPr id="445" name="Frame44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18160" cy="175260"/>
                      <wp:effectExtent l="0" t="0" r="0" b="0"/>
                      <wp:wrapNone/>
                      <wp:docPr id="446" name="Frame445"/>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19405" cy="175260"/>
                      <wp:effectExtent l="0" t="0" r="0" b="0"/>
                      <wp:wrapNone/>
                      <wp:docPr id="448" name="Frame447"/>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25780" cy="175260"/>
                      <wp:effectExtent l="0" t="0" r="0" b="0"/>
                      <wp:wrapNone/>
                      <wp:docPr id="449" name="Frame44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13690" cy="175260"/>
                      <wp:effectExtent l="0" t="0" r="0" b="0"/>
                      <wp:wrapNone/>
                      <wp:docPr id="451" name="Frame450"/>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16890" cy="175260"/>
                      <wp:effectExtent l="0" t="0" r="0" b="0"/>
                      <wp:wrapNone/>
                      <wp:docPr id="452" name="Frame451"/>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68300" cy="175260"/>
                      <wp:effectExtent l="0" t="0" r="0" b="0"/>
                      <wp:wrapNone/>
                      <wp:docPr id="454" name="Frame453"/>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05155" cy="175260"/>
                      <wp:effectExtent l="0" t="0" r="0" b="0"/>
                      <wp:wrapNone/>
                      <wp:docPr id="455" name="Frame454"/>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29260" cy="175260"/>
                      <wp:effectExtent l="0" t="0" r="0" b="0"/>
                      <wp:wrapNone/>
                      <wp:docPr id="458" name="Frame4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00330" cy="175260"/>
                      <wp:effectExtent l="0" t="0" r="0" b="0"/>
                      <wp:wrapNone/>
                      <wp:docPr id="459" name="Frame458"/>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Investment securities available-for-sale:</w:t>
            </w:r>
          </w:p>
        </w:tc>
        <w:tc>
          <w:tcPr>
            <w:tcW w:w="109" w:type="dxa"/>
            <w:tcBorders/>
            <w:vAlign w:val="center"/>
          </w:tcPr>
          <w:p>
            <w:pPr>
              <w:pStyle w:val="TableContents"/>
              <w:bidi w:val="0"/>
              <w:spacing w:before="0" w:after="1"/>
              <w:ind w:left="0" w:right="0" w:hanging="0"/>
              <w:jc w:val="left"/>
              <w:rPr/>
            </w:pPr>
            <w:r>
              <w:rPr/>
              <w:t>​</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1"/>
              <w:ind w:left="0" w:right="0" w:hanging="0"/>
              <w:jc w:val="left"/>
              <w:rPr/>
            </w:pPr>
            <w:r>
              <w:rPr/>
              <w:t>    </w:t>
            </w:r>
          </w:p>
        </w:tc>
        <w:tc>
          <w:tcPr>
            <w:tcW w:w="13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Gain</w:t>
            </w:r>
          </w:p>
        </w:tc>
        <w:tc>
          <w:tcPr>
            <w:tcW w:w="326" w:type="dxa"/>
            <w:tcBorders/>
            <w:vAlign w:val="center"/>
          </w:tcPr>
          <w:p>
            <w:pPr>
              <w:pStyle w:val="TableContents"/>
              <w:bidi w:val="0"/>
              <w:spacing w:before="0" w:after="1"/>
              <w:ind w:left="0" w:right="0" w:hanging="0"/>
              <w:jc w:val="left"/>
              <w:rPr/>
            </w:pPr>
            <w:r>
              <w:rPr/>
              <w:t>    </w:t>
            </w:r>
          </w:p>
        </w:tc>
        <w:tc>
          <w:tcPr>
            <w:tcW w:w="13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c>
          <w:tcPr>
            <w:tcW w:w="109" w:type="dxa"/>
            <w:tcBorders/>
            <w:vAlign w:val="center"/>
          </w:tcPr>
          <w:p>
            <w:pPr>
              <w:pStyle w:val="TableContents"/>
              <w:bidi w:val="0"/>
              <w:spacing w:before="0" w:after="1"/>
              <w:ind w:left="0" w:right="0" w:hanging="0"/>
              <w:jc w:val="center"/>
              <w:rPr/>
            </w:pPr>
            <w:r>
              <w:rPr/>
              <w:t>​</w:t>
            </w:r>
          </w:p>
        </w:tc>
        <w:tc>
          <w:tcPr>
            <w:tcW w:w="15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 For Credit Losses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5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80"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5,970</w:t>
            </w:r>
          </w:p>
        </w:tc>
        <w:tc>
          <w:tcPr>
            <w:tcW w:w="326" w:type="dxa"/>
            <w:tcBorders/>
            <w:shd w:fill="CCEEFF" w:val="cle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 available-for-sale</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11,140</w:t>
            </w:r>
          </w:p>
        </w:tc>
        <w:tc>
          <w:tcPr>
            <w:tcW w:w="326" w:type="dxa"/>
            <w:tcBorders/>
            <w:vAlign w:val="center"/>
          </w:tcPr>
          <w:p>
            <w:pPr>
              <w:pStyle w:val="TableContents"/>
              <w:bidi w:val="0"/>
              <w:spacing w:before="0" w:after="1"/>
              <w:ind w:left="0" w:right="0" w:hanging="0"/>
              <w:jc w:val="left"/>
              <w:rPr/>
            </w:pPr>
            <w:r>
              <w:rPr/>
              <w:t>​</w:t>
            </w:r>
          </w:p>
        </w:tc>
        <w:tc>
          <w:tcPr>
            <w:tcW w:w="5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4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right"/>
              <w:rPr/>
            </w:pPr>
            <w:r>
              <w:rPr/>
              <w:t>​</w:t>
            </w:r>
          </w:p>
        </w:tc>
        <w:tc>
          <w:tcPr>
            <w:tcW w:w="5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11,153</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80"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Investment securities available for sale:</w:t>
            </w:r>
          </w:p>
        </w:tc>
        <w:tc>
          <w:tcPr>
            <w:tcW w:w="109" w:type="dxa"/>
            <w:tcBorders/>
            <w:vAlign w:val="center"/>
          </w:tcPr>
          <w:p>
            <w:pPr>
              <w:pStyle w:val="TableContents"/>
              <w:bidi w:val="0"/>
              <w:spacing w:before="0" w:after="1"/>
              <w:ind w:left="0" w:right="0" w:hanging="0"/>
              <w:jc w:val="left"/>
              <w:rPr/>
            </w:pPr>
            <w:r>
              <w:rPr/>
              <w:t>​</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1"/>
              <w:ind w:left="0" w:right="0" w:hanging="0"/>
              <w:jc w:val="left"/>
              <w:rPr/>
            </w:pPr>
            <w:r>
              <w:rPr/>
              <w:t>    </w:t>
            </w:r>
          </w:p>
        </w:tc>
        <w:tc>
          <w:tcPr>
            <w:tcW w:w="13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Gain</w:t>
            </w:r>
          </w:p>
        </w:tc>
        <w:tc>
          <w:tcPr>
            <w:tcW w:w="326" w:type="dxa"/>
            <w:tcBorders/>
            <w:vAlign w:val="center"/>
          </w:tcPr>
          <w:p>
            <w:pPr>
              <w:pStyle w:val="TableContents"/>
              <w:bidi w:val="0"/>
              <w:spacing w:before="0" w:after="1"/>
              <w:ind w:left="0" w:right="0" w:hanging="0"/>
              <w:jc w:val="left"/>
              <w:rPr/>
            </w:pPr>
            <w:r>
              <w:rPr/>
              <w:t>    </w:t>
            </w:r>
          </w:p>
        </w:tc>
        <w:tc>
          <w:tcPr>
            <w:tcW w:w="13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c>
          <w:tcPr>
            <w:tcW w:w="109" w:type="dxa"/>
            <w:tcBorders/>
            <w:vAlign w:val="center"/>
          </w:tcPr>
          <w:p>
            <w:pPr>
              <w:pStyle w:val="TableContents"/>
              <w:bidi w:val="0"/>
              <w:spacing w:before="0" w:after="1"/>
              <w:ind w:left="0" w:right="0" w:hanging="0"/>
              <w:jc w:val="center"/>
              <w:rPr/>
            </w:pPr>
            <w:r>
              <w:rPr/>
              <w:t>​</w:t>
            </w:r>
          </w:p>
        </w:tc>
        <w:tc>
          <w:tcPr>
            <w:tcW w:w="15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Allowance For Credit Losses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7,169</w:t>
            </w:r>
          </w:p>
        </w:tc>
        <w:tc>
          <w:tcPr>
            <w:tcW w:w="326"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right"/>
              <w:rPr/>
            </w:pPr>
            <w:r>
              <w:rPr/>
              <w:t>​</w:t>
            </w:r>
          </w:p>
        </w:tc>
        <w:tc>
          <w:tcPr>
            <w:tcW w:w="5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7,168</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3,628</w:t>
            </w:r>
          </w:p>
        </w:tc>
        <w:tc>
          <w:tcPr>
            <w:tcW w:w="326" w:type="dxa"/>
            <w:tcBorders/>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1"/>
              <w:ind w:left="0" w:right="0" w:hanging="0"/>
              <w:jc w:val="left"/>
              <w:rPr/>
            </w:pPr>
            <w:r>
              <w:rPr/>
              <w:t>​</w:t>
            </w:r>
          </w:p>
        </w:tc>
        <w:tc>
          <w:tcPr>
            <w:tcW w:w="5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w:t>
            </w:r>
          </w:p>
        </w:tc>
        <w:tc>
          <w:tcPr>
            <w:tcW w:w="158" w:type="dxa"/>
            <w:tcBorders/>
            <w:vAlign w:val="center"/>
          </w:tcPr>
          <w:p>
            <w:pPr>
              <w:pStyle w:val="TableContents"/>
              <w:bidi w:val="0"/>
              <w:spacing w:before="0" w:after="1"/>
              <w:ind w:left="0" w:right="0" w:hanging="0"/>
              <w:jc w:val="left"/>
              <w:rPr/>
            </w:pPr>
            <w:r>
              <w:rPr/>
              <w:t>​</w:t>
            </w:r>
          </w:p>
        </w:tc>
      </w:tr>
      <w:tr>
        <w:trPr/>
        <w:tc>
          <w:tcPr>
            <w:tcW w:w="27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 securities available for sale</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10,797</w:t>
            </w:r>
          </w:p>
        </w:tc>
        <w:tc>
          <w:tcPr>
            <w:tcW w:w="326" w:type="dxa"/>
            <w:tcBorders/>
            <w:shd w:fill="CCEEFF" w:val="clear"/>
            <w:vAlign w:val="center"/>
          </w:tcPr>
          <w:p>
            <w:pPr>
              <w:pStyle w:val="TableContents"/>
              <w:bidi w:val="0"/>
              <w:spacing w:before="0" w:after="1"/>
              <w:ind w:left="0" w:right="0" w:hanging="0"/>
              <w:jc w:val="left"/>
              <w:rPr/>
            </w:pPr>
            <w:r>
              <w:rPr/>
              <w:t>​</w:t>
            </w:r>
          </w:p>
        </w:tc>
        <w:tc>
          <w:tcPr>
            <w:tcW w:w="5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righ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10,789</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272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Investment Securities in a Gross Unrealized Loss Position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below provides the gross unrealized losses and fair value of securities available-for-sale aggregated by major security type and the length of time that individual securities have been in a continuous unrealized loss position as of December 31, 2024 and 2023. The amounts include securities available-for-sale without an allowance for credit losses. As of December 31, 2024, the Company’s available-for-sale investment securities consisted of 42 securities, 2 of which are in an immaterial unrealized loss position. As of December 31, 2023, the Company’s available-for-sale investment securities consisted of 41 securities, 24 of which are in an immaterial unrealized loss position. As a result, there is no allowance for credit losses recorded for available-for-sale debt securities as of December 31, 2024 or 2023.</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Normal"/>
        <w:bidi w:val="0"/>
        <w:spacing w:before="0" w:after="0"/>
        <w:ind w:left="0" w:right="0" w:hanging="0"/>
        <w:jc w:val="left"/>
        <w:rPr>
          <w:sz w:val="4"/>
          <w:szCs w:val="4"/>
        </w:rPr>
      </w:pPr>
      <w:r>
        <w:rPr>
          <w:sz w:val="4"/>
          <w:szCs w:val="4"/>
        </w:rPr>
      </w:r>
      <w:bookmarkStart w:id="1280" w:name="Tc_rM2RKdSJBkm2UQai-bxbyA_8_14"/>
      <w:bookmarkStart w:id="1281" w:name="Tc_V7aJlGMfzkSrei3aaTUIRQ_8_12"/>
      <w:bookmarkStart w:id="1282" w:name="Tc_Imjh-sinV0KbZ9l-bcYiPA_8_11"/>
      <w:bookmarkStart w:id="1283" w:name="Tc__KsherJ60USU8MR03qJ-FA_8_9"/>
      <w:bookmarkStart w:id="1284" w:name="Tc_awp8lmSnHEqoYbJm14ZR1A_8_8"/>
      <w:bookmarkStart w:id="1285" w:name="Tc_J6wBgmQ-Y06UASMFv2V3FA_8_5"/>
      <w:bookmarkStart w:id="1286" w:name="Tc_QUKhYHrrbEC3YPcqDuv7pg_8_2"/>
      <w:bookmarkStart w:id="1287" w:name="Tc_t-LkQijboE6BkaGwL4tJqA_8_0"/>
      <w:bookmarkStart w:id="1288" w:name="Tc_tXgjcVwvYUar__pSCuvbwA_7_14"/>
      <w:bookmarkStart w:id="1289" w:name="Tc_dry1J_NRwE-zKFoOfccgiw_7_12"/>
      <w:bookmarkStart w:id="1290" w:name="Tc_-XeMLpRx7UOX1toSzSDozw_7_11"/>
      <w:bookmarkStart w:id="1291" w:name="Tc_xfTSRWhlOU6k50__hV_ytw_7_9"/>
      <w:bookmarkStart w:id="1292" w:name="Tc_mXmCbWG2okexlB2KpiHZhA_7_8"/>
      <w:bookmarkStart w:id="1293" w:name="Tc_AEp8PtBgDk-BN5RTsEUriw_7_5"/>
      <w:bookmarkStart w:id="1294" w:name="Tc_Ms7AFy-mT0es75zRZ63WlA_7_2"/>
      <w:bookmarkStart w:id="1295" w:name="Tc_u2nfKS3VVUiP3C60poDo6Q_7_0"/>
      <w:bookmarkStart w:id="1296" w:name="Tc_Nk2jw7CF80iuAgZe_9oFuA_6_12"/>
      <w:bookmarkStart w:id="1297" w:name="Tc_SQbkgkEXTkaHa6HwjbNkmw_6_9"/>
      <w:bookmarkStart w:id="1298" w:name="Tc_Bdfep0iAskCP1Ojh40eWUA_6_0"/>
      <w:bookmarkStart w:id="1299" w:name="Tc_yP7Q246AXU6VEcQW1lDWew_5_12"/>
      <w:bookmarkStart w:id="1300" w:name="Tc_5L9a2J4orU2ZrZ2u1_TZ-A_5_9"/>
      <w:bookmarkStart w:id="1301" w:name="Tc_qJ0xOAoK2UGDFGF-CAOv-w_5_3"/>
      <w:bookmarkStart w:id="1302" w:name="Tc_kn_hv8t5LkWo5cCbdEwimw_5_0"/>
      <w:bookmarkStart w:id="1303" w:name="Tc_xjV1m3YKDEa70E1Kyp-NhQ_4_14"/>
      <w:bookmarkStart w:id="1304" w:name="Tc_-N8hEkiQgkecxmyX7QWUmA_4_12"/>
      <w:bookmarkStart w:id="1305" w:name="Tc_OQ-jSMvOyUuUailoPS5cqQ_4_11"/>
      <w:bookmarkStart w:id="1306" w:name="Tc_ySN_Wbx3MkCNd2RT6gM-gw_4_9"/>
      <w:bookmarkStart w:id="1307" w:name="Tc_-XGXEzTs6UuJrmOOedS6KA_4_8"/>
      <w:bookmarkStart w:id="1308" w:name="Tc_REkzPtXWeUq34OQyqow9lw_4_6"/>
      <w:bookmarkStart w:id="1309" w:name="Tc_1Am6spjB5ESJfO6ohoOhIQ_4_5"/>
      <w:bookmarkStart w:id="1310" w:name="Tc_GdNYIcHKY0KLsBzHuRnovA_4_2"/>
      <w:bookmarkStart w:id="1311" w:name="Tc_lZSy9GHACkKwJJbkJ081Yw_4_0"/>
      <w:bookmarkStart w:id="1312" w:name="Tc_LkzIW81OO0STiKwxOAXwXA_3_0"/>
      <w:bookmarkStart w:id="1313" w:name="Tc_UNv1NtlyiUSKjsJiKn7Zlw_2_14"/>
      <w:bookmarkStart w:id="1314" w:name="Tc_bTUkL24ookyuaV6S0fDrDg_2_11"/>
      <w:bookmarkStart w:id="1315" w:name="Tc_cYMk1GC400G7t_HICdpnlw_2_8"/>
      <w:bookmarkStart w:id="1316" w:name="Tc_NcaCyblvzUqZdvaoyM0hrA_2_5"/>
      <w:bookmarkStart w:id="1317" w:name="Tc_PYIjNv170kuAO5gXqzycJw_2_2"/>
      <w:bookmarkStart w:id="1318" w:name="Tc_LF7AbeWqikGy5RkREo2Yhg_1_2"/>
      <w:bookmarkStart w:id="1319" w:name="Tc_agioLb2DHESEoXy7HQ-cXw_15_17"/>
      <w:bookmarkStart w:id="1320" w:name="Tc_EwqzNSvFU02-bCeAmEurbg_15_14"/>
      <w:bookmarkStart w:id="1321" w:name="Tc_esLYwT59sUSlW5-r_LNV1g_15_11"/>
      <w:bookmarkStart w:id="1322" w:name="Tc_fNOJDen2MUK7XSG4xDMWzw_15_8"/>
      <w:bookmarkStart w:id="1323" w:name="Tc_ExB_R3nChUq8WyWda7_qpg_15_5"/>
      <w:bookmarkStart w:id="1324" w:name="Tc_3D1pgeWmu0CjLysOPnrrrQ_15_2"/>
      <w:bookmarkStart w:id="1325" w:name="Tc_7T_t43TSAEKW7ppR6KVYkQ_15_0"/>
      <w:bookmarkStart w:id="1326" w:name="Tc_rBM2x0YzbkyYLKxdtdoYtQ_14_6"/>
      <w:bookmarkStart w:id="1327" w:name="Tc_PHaSI6jBoki5Y6HNOjdaww_14_3"/>
      <w:bookmarkStart w:id="1328" w:name="Tc_nRJwh_1I2UaWIjqMzSBgvg_14_0"/>
      <w:bookmarkStart w:id="1329" w:name="Tc_MBVi___vE0WufGGZHRCqng_13_17"/>
      <w:bookmarkStart w:id="1330" w:name="Tc_ppqyiEJmSU-9OWhMMSQH_Q_13_14"/>
      <w:bookmarkStart w:id="1331" w:name="Tc_3cgLIHS-bkCZD9c--pg8qg_13_12"/>
      <w:bookmarkStart w:id="1332" w:name="Tc_m8y1EG6XcUG3aDrriao07g_13_11"/>
      <w:bookmarkStart w:id="1333" w:name="Tc_xPJ3kGAUsEyU-Hjp5TqVQQ_13_9"/>
      <w:bookmarkStart w:id="1334" w:name="Tc_Ddu3BIbQ3UaDzxud67wQeQ_13_8"/>
      <w:bookmarkStart w:id="1335" w:name="Tc_PZfhS5rzY0O5M8wqwUsMBg_13_5"/>
      <w:bookmarkStart w:id="1336" w:name="Tc_3XcRGscHwEm3OvpJAHbE_g_13_2"/>
      <w:bookmarkStart w:id="1337" w:name="Tc_f94mcFdV2EWzmRn9GqCLTA_13_0"/>
      <w:bookmarkStart w:id="1338" w:name="Tc_xHYyYgR050uAufzPfLK_Bw_12_17"/>
      <w:bookmarkStart w:id="1339" w:name="Tc_hVy1CFu09kiV7o-nLpndKQ_12_14"/>
      <w:bookmarkStart w:id="1340" w:name="Tc_BDOFtryloUeqH9DrBUrgUQ_12_11"/>
      <w:bookmarkStart w:id="1341" w:name="Tc_IG0ThKk0JEeTClGG3dbY-g_12_8"/>
      <w:bookmarkStart w:id="1342" w:name="Tc_sv9FknBoVkKjpojqrw0AvA_12_5"/>
      <w:bookmarkStart w:id="1343" w:name="Tc_Gsxw-KW-hE2tWg4ZUKpe9g_12_2"/>
      <w:bookmarkStart w:id="1344" w:name="Tc_l3j5dLFKNUSv5-Q-RDK_pg_12_0"/>
      <w:bookmarkStart w:id="1345" w:name="Tc_mIyziEHPc0KQ5UpZIGOcLw_11_14"/>
      <w:bookmarkStart w:id="1346" w:name="Tc_6xkty9M30EalXT9CfXnjsA_11_8"/>
      <w:bookmarkStart w:id="1347" w:name="Tc_VhXYPV-DfEClrGQQvv0VZQ_11_2"/>
      <w:bookmarkStart w:id="1348" w:name="Tc_t751HfuLnUKXgaYWkzitVQ_10_2"/>
      <w:bookmarkStart w:id="1349" w:name="Tc_EbmdfxDMRkua__to0jgR7A_5_17"/>
      <w:bookmarkStart w:id="1350" w:name="Tc_bodWE9vMO0mMcfzsneiaDg_5_14"/>
      <w:bookmarkStart w:id="1351" w:name="Tc_KVPBI0wNX0q2pteUsDIMaQ_5_11"/>
      <w:bookmarkStart w:id="1352" w:name="Tc_3cH7MRPYg0-gL2GrE8-DYw_5_8"/>
      <w:bookmarkStart w:id="1353" w:name="Tc__EkXQmv6wkaRZecqPA4-VQ_5_6"/>
      <w:bookmarkStart w:id="1354" w:name="Tc_JhsE4ENNV0C9EgqHQ9NmEw_5_5"/>
      <w:bookmarkStart w:id="1355" w:name="Tc_uIbEBzT53EGkr7ykITCqZA_5_3"/>
      <w:bookmarkStart w:id="1356" w:name="Tc_l7xfOI8230GqPU7SJbsMRw_5_2"/>
      <w:bookmarkStart w:id="1357" w:name="Tc_F9smQY1CD0O6Y9CGdzdzTw_5_0"/>
      <w:bookmarkStart w:id="1358" w:name="Tc_39ulYBHqgE-pI3Ugn4rqYA_4_17"/>
      <w:bookmarkStart w:id="1359" w:name="Tc_HV_XbtTdAkuMNBOLZBvcVw_4_14"/>
      <w:bookmarkStart w:id="1360" w:name="Tc_5DU5oHlkpESVx85hirjMtQ_4_11"/>
      <w:bookmarkStart w:id="1361" w:name="Tc_D8NyRTao3ECddQH9QrURLQ_4_8"/>
      <w:bookmarkStart w:id="1362" w:name="Tc_sKkkOD7k2kWsCu36gldHnw_4_6"/>
      <w:bookmarkStart w:id="1363" w:name="Tc_tVAgkHRxWUGfK6O0iPqmfw_4_5"/>
      <w:bookmarkStart w:id="1364" w:name="Tc_EgDkWqFGs0SSUTip8kh7JA_4_3"/>
      <w:bookmarkStart w:id="1365" w:name="Tc_Zu2cKzZ4i0yiQhlZCX0cPw_4_2"/>
      <w:bookmarkStart w:id="1366" w:name="Tc_nQlkYg4hzkaeJAifhrYTOQ_4_0"/>
      <w:bookmarkStart w:id="1367" w:name="Tc_X2HnnN8qRUupQtLX2UtEIA_3_17"/>
      <w:bookmarkStart w:id="1368" w:name="Tc_eSAgtHoEH0acwTAnErCz5A_3_14"/>
      <w:bookmarkStart w:id="1369" w:name="Tc_fHKgXx0MrE-AA0agsW1vPQ_3_11"/>
      <w:bookmarkStart w:id="1370" w:name="Tc_dnzzfJED7UKQRcDWeoeK_g_3_8"/>
      <w:bookmarkStart w:id="1371" w:name="Tc_YSZFXmHM5E2gAFeie-w4iw_3_5"/>
      <w:bookmarkStart w:id="1372" w:name="Tc_a2Yvuuj0LEy7_Xf6xbRwsg_3_2"/>
      <w:bookmarkStart w:id="1373" w:name="Tc_pgfiCk_lWUKIeEHs7lUy-w_3_0"/>
      <w:bookmarkStart w:id="1374" w:name="Tc_eww2ZxdsNESO0wfI2EOw6g_2_14"/>
      <w:bookmarkStart w:id="1375" w:name="Tc_P2laW2jDrkiF0QWvovB19Q_2_8"/>
      <w:bookmarkStart w:id="1376" w:name="Tc_tGsj63jZb0uPYvqK9IKZcA_2_2"/>
      <w:bookmarkStart w:id="1377" w:name="Tc_yh-Qu73F6kGvnSrCw8aPjg_1_2"/>
      <w:bookmarkStart w:id="1378" w:name="Tc_rM2RKdSJBkm2UQai-bxbyA_8_14"/>
      <w:bookmarkStart w:id="1379" w:name="Tc_V7aJlGMfzkSrei3aaTUIRQ_8_12"/>
      <w:bookmarkStart w:id="1380" w:name="Tc_Imjh-sinV0KbZ9l-bcYiPA_8_11"/>
      <w:bookmarkStart w:id="1381" w:name="Tc__KsherJ60USU8MR03qJ-FA_8_9"/>
      <w:bookmarkStart w:id="1382" w:name="Tc_awp8lmSnHEqoYbJm14ZR1A_8_8"/>
      <w:bookmarkStart w:id="1383" w:name="Tc_J6wBgmQ-Y06UASMFv2V3FA_8_5"/>
      <w:bookmarkStart w:id="1384" w:name="Tc_QUKhYHrrbEC3YPcqDuv7pg_8_2"/>
      <w:bookmarkStart w:id="1385" w:name="Tc_t-LkQijboE6BkaGwL4tJqA_8_0"/>
      <w:bookmarkStart w:id="1386" w:name="Tc_tXgjcVwvYUar__pSCuvbwA_7_14"/>
      <w:bookmarkStart w:id="1387" w:name="Tc_dry1J_NRwE-zKFoOfccgiw_7_12"/>
      <w:bookmarkStart w:id="1388" w:name="Tc_-XeMLpRx7UOX1toSzSDozw_7_11"/>
      <w:bookmarkStart w:id="1389" w:name="Tc_xfTSRWhlOU6k50__hV_ytw_7_9"/>
      <w:bookmarkStart w:id="1390" w:name="Tc_mXmCbWG2okexlB2KpiHZhA_7_8"/>
      <w:bookmarkStart w:id="1391" w:name="Tc_AEp8PtBgDk-BN5RTsEUriw_7_5"/>
      <w:bookmarkStart w:id="1392" w:name="Tc_Ms7AFy-mT0es75zRZ63WlA_7_2"/>
      <w:bookmarkStart w:id="1393" w:name="Tc_u2nfKS3VVUiP3C60poDo6Q_7_0"/>
      <w:bookmarkStart w:id="1394" w:name="Tc_Nk2jw7CF80iuAgZe_9oFuA_6_12"/>
      <w:bookmarkStart w:id="1395" w:name="Tc_SQbkgkEXTkaHa6HwjbNkmw_6_9"/>
      <w:bookmarkStart w:id="1396" w:name="Tc_Bdfep0iAskCP1Ojh40eWUA_6_0"/>
      <w:bookmarkStart w:id="1397" w:name="Tc_yP7Q246AXU6VEcQW1lDWew_5_12"/>
      <w:bookmarkStart w:id="1398" w:name="Tc_5L9a2J4orU2ZrZ2u1_TZ-A_5_9"/>
      <w:bookmarkStart w:id="1399" w:name="Tc_qJ0xOAoK2UGDFGF-CAOv-w_5_3"/>
      <w:bookmarkStart w:id="1400" w:name="Tc_kn_hv8t5LkWo5cCbdEwimw_5_0"/>
      <w:bookmarkStart w:id="1401" w:name="Tc_xjV1m3YKDEa70E1Kyp-NhQ_4_14"/>
      <w:bookmarkStart w:id="1402" w:name="Tc_-N8hEkiQgkecxmyX7QWUmA_4_12"/>
      <w:bookmarkStart w:id="1403" w:name="Tc_OQ-jSMvOyUuUailoPS5cqQ_4_11"/>
      <w:bookmarkStart w:id="1404" w:name="Tc_ySN_Wbx3MkCNd2RT6gM-gw_4_9"/>
      <w:bookmarkStart w:id="1405" w:name="Tc_-XGXEzTs6UuJrmOOedS6KA_4_8"/>
      <w:bookmarkStart w:id="1406" w:name="Tc_REkzPtXWeUq34OQyqow9lw_4_6"/>
      <w:bookmarkStart w:id="1407" w:name="Tc_1Am6spjB5ESJfO6ohoOhIQ_4_5"/>
      <w:bookmarkStart w:id="1408" w:name="Tc_GdNYIcHKY0KLsBzHuRnovA_4_2"/>
      <w:bookmarkStart w:id="1409" w:name="Tc_lZSy9GHACkKwJJbkJ081Yw_4_0"/>
      <w:bookmarkStart w:id="1410" w:name="Tc_LkzIW81OO0STiKwxOAXwXA_3_0"/>
      <w:bookmarkStart w:id="1411" w:name="Tc_UNv1NtlyiUSKjsJiKn7Zlw_2_14"/>
      <w:bookmarkStart w:id="1412" w:name="Tc_bTUkL24ookyuaV6S0fDrDg_2_11"/>
      <w:bookmarkStart w:id="1413" w:name="Tc_cYMk1GC400G7t_HICdpnlw_2_8"/>
      <w:bookmarkStart w:id="1414" w:name="Tc_NcaCyblvzUqZdvaoyM0hrA_2_5"/>
      <w:bookmarkStart w:id="1415" w:name="Tc_PYIjNv170kuAO5gXqzycJw_2_2"/>
      <w:bookmarkStart w:id="1416" w:name="Tc_LF7AbeWqikGy5RkREo2Yhg_1_2"/>
      <w:bookmarkStart w:id="1417" w:name="Tc_agioLb2DHESEoXy7HQ-cXw_15_17"/>
      <w:bookmarkStart w:id="1418" w:name="Tc_EwqzNSvFU02-bCeAmEurbg_15_14"/>
      <w:bookmarkStart w:id="1419" w:name="Tc_esLYwT59sUSlW5-r_LNV1g_15_11"/>
      <w:bookmarkStart w:id="1420" w:name="Tc_fNOJDen2MUK7XSG4xDMWzw_15_8"/>
      <w:bookmarkStart w:id="1421" w:name="Tc_ExB_R3nChUq8WyWda7_qpg_15_5"/>
      <w:bookmarkStart w:id="1422" w:name="Tc_3D1pgeWmu0CjLysOPnrrrQ_15_2"/>
      <w:bookmarkStart w:id="1423" w:name="Tc_7T_t43TSAEKW7ppR6KVYkQ_15_0"/>
      <w:bookmarkStart w:id="1424" w:name="Tc_rBM2x0YzbkyYLKxdtdoYtQ_14_6"/>
      <w:bookmarkStart w:id="1425" w:name="Tc_PHaSI6jBoki5Y6HNOjdaww_14_3"/>
      <w:bookmarkStart w:id="1426" w:name="Tc_nRJwh_1I2UaWIjqMzSBgvg_14_0"/>
      <w:bookmarkStart w:id="1427" w:name="Tc_MBVi___vE0WufGGZHRCqng_13_17"/>
      <w:bookmarkStart w:id="1428" w:name="Tc_ppqyiEJmSU-9OWhMMSQH_Q_13_14"/>
      <w:bookmarkStart w:id="1429" w:name="Tc_3cgLIHS-bkCZD9c--pg8qg_13_12"/>
      <w:bookmarkStart w:id="1430" w:name="Tc_m8y1EG6XcUG3aDrriao07g_13_11"/>
      <w:bookmarkStart w:id="1431" w:name="Tc_xPJ3kGAUsEyU-Hjp5TqVQQ_13_9"/>
      <w:bookmarkStart w:id="1432" w:name="Tc_Ddu3BIbQ3UaDzxud67wQeQ_13_8"/>
      <w:bookmarkStart w:id="1433" w:name="Tc_PZfhS5rzY0O5M8wqwUsMBg_13_5"/>
      <w:bookmarkStart w:id="1434" w:name="Tc_3XcRGscHwEm3OvpJAHbE_g_13_2"/>
      <w:bookmarkStart w:id="1435" w:name="Tc_f94mcFdV2EWzmRn9GqCLTA_13_0"/>
      <w:bookmarkStart w:id="1436" w:name="Tc_xHYyYgR050uAufzPfLK_Bw_12_17"/>
      <w:bookmarkStart w:id="1437" w:name="Tc_hVy1CFu09kiV7o-nLpndKQ_12_14"/>
      <w:bookmarkStart w:id="1438" w:name="Tc_BDOFtryloUeqH9DrBUrgUQ_12_11"/>
      <w:bookmarkStart w:id="1439" w:name="Tc_IG0ThKk0JEeTClGG3dbY-g_12_8"/>
      <w:bookmarkStart w:id="1440" w:name="Tc_sv9FknBoVkKjpojqrw0AvA_12_5"/>
      <w:bookmarkStart w:id="1441" w:name="Tc_Gsxw-KW-hE2tWg4ZUKpe9g_12_2"/>
      <w:bookmarkStart w:id="1442" w:name="Tc_l3j5dLFKNUSv5-Q-RDK_pg_12_0"/>
      <w:bookmarkStart w:id="1443" w:name="Tc_mIyziEHPc0KQ5UpZIGOcLw_11_14"/>
      <w:bookmarkStart w:id="1444" w:name="Tc_6xkty9M30EalXT9CfXnjsA_11_8"/>
      <w:bookmarkStart w:id="1445" w:name="Tc_VhXYPV-DfEClrGQQvv0VZQ_11_2"/>
      <w:bookmarkStart w:id="1446" w:name="Tc_t751HfuLnUKXgaYWkzitVQ_10_2"/>
      <w:bookmarkStart w:id="1447" w:name="Tc_EbmdfxDMRkua__to0jgR7A_5_17"/>
      <w:bookmarkStart w:id="1448" w:name="Tc_bodWE9vMO0mMcfzsneiaDg_5_14"/>
      <w:bookmarkStart w:id="1449" w:name="Tc_KVPBI0wNX0q2pteUsDIMaQ_5_11"/>
      <w:bookmarkStart w:id="1450" w:name="Tc_3cH7MRPYg0-gL2GrE8-DYw_5_8"/>
      <w:bookmarkStart w:id="1451" w:name="Tc__EkXQmv6wkaRZecqPA4-VQ_5_6"/>
      <w:bookmarkStart w:id="1452" w:name="Tc_JhsE4ENNV0C9EgqHQ9NmEw_5_5"/>
      <w:bookmarkStart w:id="1453" w:name="Tc_uIbEBzT53EGkr7ykITCqZA_5_3"/>
      <w:bookmarkStart w:id="1454" w:name="Tc_l7xfOI8230GqPU7SJbsMRw_5_2"/>
      <w:bookmarkStart w:id="1455" w:name="Tc_F9smQY1CD0O6Y9CGdzdzTw_5_0"/>
      <w:bookmarkStart w:id="1456" w:name="Tc_39ulYBHqgE-pI3Ugn4rqYA_4_17"/>
      <w:bookmarkStart w:id="1457" w:name="Tc_HV_XbtTdAkuMNBOLZBvcVw_4_14"/>
      <w:bookmarkStart w:id="1458" w:name="Tc_5DU5oHlkpESVx85hirjMtQ_4_11"/>
      <w:bookmarkStart w:id="1459" w:name="Tc_D8NyRTao3ECddQH9QrURLQ_4_8"/>
      <w:bookmarkStart w:id="1460" w:name="Tc_sKkkOD7k2kWsCu36gldHnw_4_6"/>
      <w:bookmarkStart w:id="1461" w:name="Tc_tVAgkHRxWUGfK6O0iPqmfw_4_5"/>
      <w:bookmarkStart w:id="1462" w:name="Tc_EgDkWqFGs0SSUTip8kh7JA_4_3"/>
      <w:bookmarkStart w:id="1463" w:name="Tc_Zu2cKzZ4i0yiQhlZCX0cPw_4_2"/>
      <w:bookmarkStart w:id="1464" w:name="Tc_nQlkYg4hzkaeJAifhrYTOQ_4_0"/>
      <w:bookmarkStart w:id="1465" w:name="Tc_X2HnnN8qRUupQtLX2UtEIA_3_17"/>
      <w:bookmarkStart w:id="1466" w:name="Tc_eSAgtHoEH0acwTAnErCz5A_3_14"/>
      <w:bookmarkStart w:id="1467" w:name="Tc_fHKgXx0MrE-AA0agsW1vPQ_3_11"/>
      <w:bookmarkStart w:id="1468" w:name="Tc_dnzzfJED7UKQRcDWeoeK_g_3_8"/>
      <w:bookmarkStart w:id="1469" w:name="Tc_YSZFXmHM5E2gAFeie-w4iw_3_5"/>
      <w:bookmarkStart w:id="1470" w:name="Tc_a2Yvuuj0LEy7_Xf6xbRwsg_3_2"/>
      <w:bookmarkStart w:id="1471" w:name="Tc_pgfiCk_lWUKIeEHs7lUy-w_3_0"/>
      <w:bookmarkStart w:id="1472" w:name="Tc_eww2ZxdsNESO0wfI2EOw6g_2_14"/>
      <w:bookmarkStart w:id="1473" w:name="Tc_P2laW2jDrkiF0QWvovB19Q_2_8"/>
      <w:bookmarkStart w:id="1474" w:name="Tc_tGsj63jZb0uPYvqK9IKZcA_2_2"/>
      <w:bookmarkStart w:id="1475" w:name="Tc_yh-Qu73F6kGvnSrCw8aPjg_1_2"/>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tbl>
      <w:tblPr>
        <w:tblW w:w="10205" w:type="dxa"/>
        <w:jc w:val="left"/>
        <w:tblInd w:w="0" w:type="dxa"/>
        <w:tblLayout w:type="fixed"/>
        <w:tblCellMar>
          <w:top w:w="0" w:type="dxa"/>
          <w:left w:w="0" w:type="dxa"/>
          <w:bottom w:w="0" w:type="dxa"/>
          <w:right w:w="0" w:type="dxa"/>
        </w:tblCellMar>
      </w:tblPr>
      <w:tblGrid>
        <w:gridCol w:w="3061"/>
        <w:gridCol w:w="109"/>
        <w:gridCol w:w="218"/>
        <w:gridCol w:w="592"/>
        <w:gridCol w:w="326"/>
        <w:gridCol w:w="422"/>
        <w:gridCol w:w="695"/>
        <w:gridCol w:w="326"/>
        <w:gridCol w:w="219"/>
        <w:gridCol w:w="593"/>
        <w:gridCol w:w="113"/>
        <w:gridCol w:w="422"/>
        <w:gridCol w:w="695"/>
        <w:gridCol w:w="326"/>
        <w:gridCol w:w="218"/>
        <w:gridCol w:w="592"/>
        <w:gridCol w:w="109"/>
        <w:gridCol w:w="464"/>
        <w:gridCol w:w="705"/>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943735" cy="175260"/>
                      <wp:effectExtent l="0" t="0" r="0" b="0"/>
                      <wp:wrapNone/>
                      <wp:docPr id="460" name="Frame459"/>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8430" cy="175260"/>
                      <wp:effectExtent l="0" t="0" r="0" b="0"/>
                      <wp:wrapNone/>
                      <wp:docPr id="462" name="Frame46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375920" cy="175260"/>
                      <wp:effectExtent l="0" t="0" r="0" b="0"/>
                      <wp:wrapNone/>
                      <wp:docPr id="463" name="Frame462"/>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67970" cy="175260"/>
                      <wp:effectExtent l="0" t="0" r="0" b="0"/>
                      <wp:wrapNone/>
                      <wp:docPr id="465" name="Frame46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41325" cy="175260"/>
                      <wp:effectExtent l="0" t="0" r="0" b="0"/>
                      <wp:wrapNone/>
                      <wp:docPr id="466" name="Frame465"/>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9065" cy="175260"/>
                      <wp:effectExtent l="0" t="0" r="0" b="0"/>
                      <wp:wrapNone/>
                      <wp:docPr id="468" name="Frame467"/>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76555" cy="175260"/>
                      <wp:effectExtent l="0" t="0" r="0" b="0"/>
                      <wp:wrapNone/>
                      <wp:docPr id="469" name="Frame468"/>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71755" cy="175260"/>
                      <wp:effectExtent l="0" t="0" r="0" b="0"/>
                      <wp:wrapNone/>
                      <wp:docPr id="470" name="Frame469"/>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67970" cy="175260"/>
                      <wp:effectExtent l="0" t="0" r="0" b="0"/>
                      <wp:wrapNone/>
                      <wp:docPr id="471" name="Frame470"/>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41325" cy="175260"/>
                      <wp:effectExtent l="0" t="0" r="0" b="0"/>
                      <wp:wrapNone/>
                      <wp:docPr id="472" name="Frame471"/>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8430" cy="175260"/>
                      <wp:effectExtent l="0" t="0" r="0" b="0"/>
                      <wp:wrapNone/>
                      <wp:docPr id="474" name="Frame47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75920" cy="175260"/>
                      <wp:effectExtent l="0" t="0" r="0" b="0"/>
                      <wp:wrapNone/>
                      <wp:docPr id="475" name="Frame474"/>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94640" cy="175260"/>
                      <wp:effectExtent l="0" t="0" r="0" b="0"/>
                      <wp:wrapNone/>
                      <wp:docPr id="477" name="Frame476"/>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47675" cy="175260"/>
                      <wp:effectExtent l="0" t="0" r="0" b="0"/>
                      <wp:wrapNone/>
                      <wp:docPr id="478" name="Frame477"/>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3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vAlign w:val="center"/>
          </w:tcPr>
          <w:p>
            <w:pPr>
              <w:pStyle w:val="TableContents"/>
              <w:bidi w:val="0"/>
              <w:spacing w:before="0" w:after="1"/>
              <w:ind w:left="0" w:right="0" w:hanging="0"/>
              <w:jc w:val="center"/>
              <w:rPr/>
            </w:pPr>
            <w:r>
              <w:rPr/>
              <w:t>​</w:t>
            </w:r>
          </w:p>
        </w:tc>
        <w:tc>
          <w:tcPr>
            <w:tcW w:w="20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 or Longer</w:t>
            </w:r>
          </w:p>
        </w:tc>
        <w:tc>
          <w:tcPr>
            <w:tcW w:w="326" w:type="dxa"/>
            <w:tcBorders/>
            <w:vAlign w:val="center"/>
          </w:tcPr>
          <w:p>
            <w:pPr>
              <w:pStyle w:val="TableContents"/>
              <w:bidi w:val="0"/>
              <w:spacing w:before="0" w:after="1"/>
              <w:ind w:left="0" w:right="0" w:hanging="0"/>
              <w:jc w:val="center"/>
              <w:rPr/>
            </w:pPr>
            <w:r>
              <w:rPr/>
              <w:t>​</w:t>
            </w:r>
          </w:p>
        </w:tc>
        <w:tc>
          <w:tcPr>
            <w:tcW w:w="20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Investment securities available-for-sale without an allowance for credit losses: </w:t>
            </w:r>
          </w:p>
        </w:tc>
        <w:tc>
          <w:tcPr>
            <w:tcW w:w="109"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13" w:type="dxa"/>
            <w:tcBorders/>
            <w:vAlign w:val="center"/>
          </w:tcPr>
          <w:p>
            <w:pPr>
              <w:pStyle w:val="TableContents"/>
              <w:bidi w:val="0"/>
              <w:spacing w:before="0" w:after="1"/>
              <w:ind w:left="0" w:right="0" w:hanging="0"/>
              <w:jc w:val="center"/>
              <w:rPr/>
            </w:pPr>
            <w:r>
              <w:rPr/>
              <w:t>​</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11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13" w:type="dxa"/>
            <w:tcBorders/>
            <w:shd w:fill="CCEEFF" w:val="clear"/>
            <w:vAlign w:val="center"/>
          </w:tcPr>
          <w:p>
            <w:pPr>
              <w:pStyle w:val="TableContents"/>
              <w:bidi w:val="0"/>
              <w:spacing w:before="0" w:after="1"/>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shd w:fill="CCEEFF" w:val="clear"/>
            <w:vAlign w:val="center"/>
          </w:tcPr>
          <w:p>
            <w:pPr>
              <w:pStyle w:val="TableContents"/>
              <w:bidi w:val="0"/>
              <w:spacing w:before="0" w:after="1"/>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investment securities available-for-sale</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13" w:type="dxa"/>
            <w:tcBorders/>
            <w:vAlign w:val="center"/>
          </w:tcPr>
          <w:p>
            <w:pPr>
              <w:pStyle w:val="TableContents"/>
              <w:bidi w:val="0"/>
              <w:spacing w:before="0" w:after="1"/>
              <w:ind w:left="0" w:right="0" w:hanging="0"/>
              <w:jc w:val="left"/>
              <w:rPr/>
            </w:pPr>
            <w:r>
              <w:rPr/>
              <w:t>​</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vAlign w:val="center"/>
          </w:tcPr>
          <w:p>
            <w:pPr>
              <w:pStyle w:val="TableContents"/>
              <w:bidi w:val="0"/>
              <w:spacing w:before="0" w:after="1"/>
              <w:ind w:left="0" w:right="0" w:hanging="0"/>
              <w:jc w:val="right"/>
              <w:rPr/>
            </w:pPr>
            <w:r>
              <w:rPr/>
              <w:t>​</w:t>
            </w:r>
          </w:p>
        </w:tc>
        <w:tc>
          <w:tcPr>
            <w:tcW w:w="4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right"/>
              <w:rPr/>
            </w:pPr>
            <w:r>
              <w:rPr/>
              <w:t>​</w:t>
            </w:r>
          </w:p>
        </w:tc>
        <w:tc>
          <w:tcPr>
            <w:tcW w:w="113" w:type="dxa"/>
            <w:tcBorders/>
            <w:vAlign w:val="center"/>
          </w:tcPr>
          <w:p>
            <w:pPr>
              <w:pStyle w:val="TableContents"/>
              <w:bidi w:val="0"/>
              <w:spacing w:before="0" w:after="1"/>
              <w:ind w:left="0" w:right="0" w:hanging="0"/>
              <w:jc w:val="righ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64"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right"/>
              <w:rPr/>
            </w:pPr>
            <w:r>
              <w:rPr/>
              <w:t>​</w:t>
            </w:r>
          </w:p>
        </w:tc>
        <w:tc>
          <w:tcPr>
            <w:tcW w:w="113" w:type="dxa"/>
            <w:tcBorders/>
            <w:vAlign w:val="center"/>
          </w:tcPr>
          <w:p>
            <w:pPr>
              <w:pStyle w:val="TableContents"/>
              <w:bidi w:val="0"/>
              <w:spacing w:before="0" w:after="1"/>
              <w:ind w:left="0" w:right="0" w:hanging="0"/>
              <w:jc w:val="righ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64"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right"/>
              <w:rPr/>
            </w:pPr>
            <w:r>
              <w:rPr/>
              <w:t>​</w:t>
            </w:r>
          </w:p>
        </w:tc>
        <w:tc>
          <w:tcPr>
            <w:tcW w:w="113" w:type="dxa"/>
            <w:tcBorders/>
            <w:vAlign w:val="center"/>
          </w:tcPr>
          <w:p>
            <w:pPr>
              <w:pStyle w:val="TableContents"/>
              <w:bidi w:val="0"/>
              <w:spacing w:before="0" w:after="1"/>
              <w:ind w:left="0" w:right="0" w:hanging="0"/>
              <w:jc w:val="righ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64"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left"/>
              <w:rPr/>
            </w:pPr>
            <w:r>
              <w:rPr/>
              <w:t>​</w:t>
            </w:r>
          </w:p>
        </w:tc>
        <w:tc>
          <w:tcPr>
            <w:tcW w:w="113"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left"/>
              <w:rPr/>
            </w:pPr>
            <w:r>
              <w:rPr/>
              <w:t>​</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3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vAlign w:val="center"/>
          </w:tcPr>
          <w:p>
            <w:pPr>
              <w:pStyle w:val="TableContents"/>
              <w:bidi w:val="0"/>
              <w:spacing w:before="0" w:after="1"/>
              <w:ind w:left="0" w:right="0" w:hanging="0"/>
              <w:jc w:val="center"/>
              <w:rPr/>
            </w:pPr>
            <w:r>
              <w:rPr/>
              <w:t>​</w:t>
            </w:r>
          </w:p>
        </w:tc>
        <w:tc>
          <w:tcPr>
            <w:tcW w:w="20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 or Longer</w:t>
            </w:r>
          </w:p>
        </w:tc>
        <w:tc>
          <w:tcPr>
            <w:tcW w:w="326" w:type="dxa"/>
            <w:tcBorders/>
            <w:vAlign w:val="center"/>
          </w:tcPr>
          <w:p>
            <w:pPr>
              <w:pStyle w:val="TableContents"/>
              <w:bidi w:val="0"/>
              <w:spacing w:before="0" w:after="1"/>
              <w:ind w:left="0" w:right="0" w:hanging="0"/>
              <w:jc w:val="center"/>
              <w:rPr/>
            </w:pPr>
            <w:r>
              <w:rPr/>
              <w:t>​</w:t>
            </w:r>
          </w:p>
        </w:tc>
        <w:tc>
          <w:tcPr>
            <w:tcW w:w="20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Investment securities available for sale without an allowance for credit losses:</w:t>
            </w:r>
          </w:p>
        </w:tc>
        <w:tc>
          <w:tcPr>
            <w:tcW w:w="109"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13" w:type="dxa"/>
            <w:tcBorders/>
            <w:vAlign w:val="center"/>
          </w:tcPr>
          <w:p>
            <w:pPr>
              <w:pStyle w:val="TableContents"/>
              <w:bidi w:val="0"/>
              <w:spacing w:before="0" w:after="1"/>
              <w:ind w:left="0" w:right="0" w:hanging="0"/>
              <w:jc w:val="center"/>
              <w:rPr/>
            </w:pPr>
            <w:r>
              <w:rPr/>
              <w:t>​</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11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 Loss</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4,472</w:t>
            </w:r>
          </w:p>
        </w:tc>
        <w:tc>
          <w:tcPr>
            <w:tcW w:w="326"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1"/>
              <w:ind w:left="0" w:right="0" w:hanging="0"/>
              <w:jc w:val="right"/>
              <w:rPr/>
            </w:pPr>
            <w:r>
              <w:rPr/>
              <w:t>—</w:t>
            </w:r>
          </w:p>
        </w:tc>
        <w:tc>
          <w:tcPr>
            <w:tcW w:w="113" w:type="dxa"/>
            <w:tcBorders/>
            <w:shd w:fill="CCEEFF" w:val="clear"/>
            <w:vAlign w:val="center"/>
          </w:tcPr>
          <w:p>
            <w:pPr>
              <w:pStyle w:val="TableContents"/>
              <w:bidi w:val="0"/>
              <w:spacing w:before="0" w:after="1"/>
              <w:ind w:left="0" w:right="0" w:hanging="0"/>
              <w:jc w:val="right"/>
              <w:rPr/>
            </w:pPr>
            <w:r>
              <w:rPr/>
              <w:t>​</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4,472</w:t>
            </w:r>
          </w:p>
        </w:tc>
        <w:tc>
          <w:tcPr>
            <w:tcW w:w="109" w:type="dxa"/>
            <w:tcBorders/>
            <w:shd w:fill="CCEEFF" w:val="clear"/>
            <w:vAlign w:val="center"/>
          </w:tcPr>
          <w:p>
            <w:pPr>
              <w:pStyle w:val="TableContents"/>
              <w:bidi w:val="0"/>
              <w:spacing w:before="0" w:after="1"/>
              <w:ind w:left="0" w:right="0" w:hanging="0"/>
              <w:jc w:val="left"/>
              <w:rPr/>
            </w:pPr>
            <w:r>
              <w:rPr/>
              <w:t>​</w:t>
            </w:r>
          </w:p>
        </w:tc>
        <w:tc>
          <w:tcPr>
            <w:tcW w:w="4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c>
          <w:tcPr>
            <w:tcW w:w="113" w:type="dxa"/>
            <w:tcBorders/>
            <w:vAlign w:val="center"/>
          </w:tcPr>
          <w:p>
            <w:pPr>
              <w:pStyle w:val="TableContents"/>
              <w:bidi w:val="0"/>
              <w:spacing w:before="0" w:after="1"/>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c>
          <w:tcPr>
            <w:tcW w:w="109" w:type="dxa"/>
            <w:tcBorders/>
            <w:vAlign w:val="center"/>
          </w:tcPr>
          <w:p>
            <w:pPr>
              <w:pStyle w:val="TableContents"/>
              <w:bidi w:val="0"/>
              <w:spacing w:before="0" w:after="1"/>
              <w:ind w:left="0" w:right="0" w:hanging="0"/>
              <w:jc w:val="left"/>
              <w:rPr/>
            </w:pPr>
            <w:r>
              <w:rPr/>
              <w:t>​</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investment securities available for sale</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4,472</w:t>
            </w:r>
          </w:p>
        </w:tc>
        <w:tc>
          <w:tcPr>
            <w:tcW w:w="326" w:type="dxa"/>
            <w:tcBorders/>
            <w:shd w:fill="CCEEFF" w:val="clear"/>
            <w:vAlign w:val="center"/>
          </w:tcPr>
          <w:p>
            <w:pPr>
              <w:pStyle w:val="TableContents"/>
              <w:bidi w:val="0"/>
              <w:spacing w:before="0" w:after="1"/>
              <w:ind w:left="0" w:right="0" w:hanging="0"/>
              <w:jc w:val="left"/>
              <w:rPr/>
            </w:pPr>
            <w:r>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c>
          <w:tcPr>
            <w:tcW w:w="113" w:type="dxa"/>
            <w:tcBorders/>
            <w:shd w:fill="CCEEFF" w:val="clear"/>
            <w:vAlign w:val="center"/>
          </w:tcPr>
          <w:p>
            <w:pPr>
              <w:pStyle w:val="TableContents"/>
              <w:bidi w:val="0"/>
              <w:spacing w:before="0" w:after="1"/>
              <w:ind w:left="0" w:right="0" w:hanging="0"/>
              <w:jc w:val="right"/>
              <w:rPr/>
            </w:pPr>
            <w:r>
              <w:rPr/>
              <w:t>​</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6,515</w:t>
            </w:r>
          </w:p>
        </w:tc>
        <w:tc>
          <w:tcPr>
            <w:tcW w:w="109" w:type="dxa"/>
            <w:tcBorders/>
            <w:shd w:fill="CCEEFF" w:val="clear"/>
            <w:vAlign w:val="center"/>
          </w:tcPr>
          <w:p>
            <w:pPr>
              <w:pStyle w:val="TableContents"/>
              <w:bidi w:val="0"/>
              <w:spacing w:before="0" w:after="1"/>
              <w:ind w:left="0" w:right="0" w:hanging="0"/>
              <w:jc w:val="left"/>
              <w:rPr/>
            </w:pPr>
            <w:r>
              <w:rPr/>
              <w:t>​</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Maturities of Investment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table below summarizes, as of December 31, 2024, the fair value of investment securities by major security type and contractual maturity as well as the total fair value, and amortized cost of investment securities by contractual maturity. Because borrowers may have the right to call or prepay certain obligations, the expected maturities of securities are likely to differ from the scheduled contractual maturities presented below. </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067"/>
        <w:gridCol w:w="109"/>
        <w:gridCol w:w="314"/>
        <w:gridCol w:w="851"/>
        <w:gridCol w:w="326"/>
        <w:gridCol w:w="388"/>
        <w:gridCol w:w="1050"/>
        <w:gridCol w:w="326"/>
        <w:gridCol w:w="548"/>
        <w:gridCol w:w="904"/>
        <w:gridCol w:w="109"/>
        <w:gridCol w:w="319"/>
        <w:gridCol w:w="523"/>
        <w:gridCol w:w="326"/>
        <w:gridCol w:w="211"/>
        <w:gridCol w:w="676"/>
        <w:gridCol w:w="158"/>
      </w:tblGrid>
      <w:tr>
        <w:trPr/>
        <w:tc>
          <w:tcPr>
            <w:tcW w:w="3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947545" cy="175260"/>
                      <wp:effectExtent l="0" t="0" r="0" b="0"/>
                      <wp:wrapNone/>
                      <wp:docPr id="479" name="Frame478"/>
                      <a:graphic xmlns:a="http://schemas.openxmlformats.org/drawingml/2006/main">
                        <a:graphicData uri="http://schemas.microsoft.com/office/word/2010/wordprocessingShape">
                          <wps:wsp>
                            <wps:cNvSpPr txBox="1"/>
                            <wps:spPr>
                              <a:xfrm>
                                <a:off x="0" y="0"/>
                                <a:ext cx="1947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99390" cy="175260"/>
                      <wp:effectExtent l="0" t="0" r="0" b="0"/>
                      <wp:wrapNone/>
                      <wp:docPr id="481" name="Frame480"/>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40385" cy="175260"/>
                      <wp:effectExtent l="0" t="0" r="0" b="0"/>
                      <wp:wrapNone/>
                      <wp:docPr id="482" name="Frame48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46380" cy="175260"/>
                      <wp:effectExtent l="0" t="0" r="0" b="0"/>
                      <wp:wrapNone/>
                      <wp:docPr id="484" name="Frame48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66750" cy="175260"/>
                      <wp:effectExtent l="0" t="0" r="0" b="0"/>
                      <wp:wrapNone/>
                      <wp:docPr id="485" name="Frame484"/>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47980" cy="175260"/>
                      <wp:effectExtent l="0" t="0" r="0" b="0"/>
                      <wp:wrapNone/>
                      <wp:docPr id="487" name="Frame486"/>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74040" cy="175260"/>
                      <wp:effectExtent l="0" t="0" r="0" b="0"/>
                      <wp:wrapNone/>
                      <wp:docPr id="488" name="Frame48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9215" cy="175260"/>
                      <wp:effectExtent l="0" t="0" r="0" b="0"/>
                      <wp:wrapNone/>
                      <wp:docPr id="489" name="Frame4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2565" cy="175260"/>
                      <wp:effectExtent l="0" t="0" r="0" b="0"/>
                      <wp:wrapNone/>
                      <wp:docPr id="490" name="Frame48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32105" cy="175260"/>
                      <wp:effectExtent l="0" t="0" r="0" b="0"/>
                      <wp:wrapNone/>
                      <wp:docPr id="491" name="Frame49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29260" cy="175260"/>
                      <wp:effectExtent l="0" t="0" r="0" b="0"/>
                      <wp:wrapNone/>
                      <wp:docPr id="494" name="Frame4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00330" cy="175260"/>
                      <wp:effectExtent l="0" t="0" r="0" b="0"/>
                      <wp:wrapNone/>
                      <wp:docPr id="495" name="Frame494"/>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87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158" w:type="dxa"/>
            <w:tcBorders/>
            <w:vAlign w:val="center"/>
          </w:tcPr>
          <w:p>
            <w:pPr>
              <w:pStyle w:val="TableContents"/>
              <w:bidi w:val="0"/>
              <w:spacing w:before="0" w:after="1"/>
              <w:ind w:left="0" w:right="0" w:hanging="0"/>
              <w:jc w:val="left"/>
              <w:rPr/>
            </w:pPr>
            <w:r>
              <w:rPr/>
              <w:t>​</w:t>
            </w:r>
          </w:p>
        </w:tc>
      </w:tr>
      <w:tr>
        <w:trPr/>
        <w:tc>
          <w:tcPr>
            <w:tcW w:w="30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in 1 Year or Less</w:t>
            </w:r>
          </w:p>
        </w:tc>
        <w:tc>
          <w:tcPr>
            <w:tcW w:w="326" w:type="dxa"/>
            <w:tcBorders/>
            <w:vAlign w:val="center"/>
          </w:tcPr>
          <w:p>
            <w:pPr>
              <w:pStyle w:val="TableContents"/>
              <w:bidi w:val="0"/>
              <w:spacing w:before="0" w:after="1"/>
              <w:ind w:left="0" w:right="0" w:hanging="0"/>
              <w:jc w:val="left"/>
              <w:rPr/>
            </w:pPr>
            <w:r>
              <w:rPr/>
              <w:t>    </w:t>
            </w:r>
          </w:p>
        </w:tc>
        <w:tc>
          <w:tcPr>
            <w:tcW w:w="14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&gt; 1 Year through 5 Years</w:t>
            </w:r>
          </w:p>
        </w:tc>
        <w:tc>
          <w:tcPr>
            <w:tcW w:w="326" w:type="dxa"/>
            <w:tcBorders/>
            <w:vAlign w:val="center"/>
          </w:tcPr>
          <w:p>
            <w:pPr>
              <w:pStyle w:val="TableContents"/>
              <w:bidi w:val="0"/>
              <w:spacing w:before="0" w:after="1"/>
              <w:ind w:left="0" w:right="0" w:hanging="0"/>
              <w:jc w:val="left"/>
              <w:rPr/>
            </w:pPr>
            <w:r>
              <w:rPr/>
              <w:t>    </w:t>
            </w:r>
          </w:p>
        </w:tc>
        <w:tc>
          <w:tcPr>
            <w:tcW w:w="14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&gt; 5 Years through 10 Years</w:t>
            </w:r>
          </w:p>
        </w:tc>
        <w:tc>
          <w:tcPr>
            <w:tcW w:w="109" w:type="dxa"/>
            <w:tcBorders/>
            <w:vAlign w:val="center"/>
          </w:tcPr>
          <w:p>
            <w:pPr>
              <w:pStyle w:val="TableContents"/>
              <w:bidi w:val="0"/>
              <w:spacing w:before="0" w:after="1"/>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&gt; 10 Years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8" w:type="dxa"/>
            <w:tcBorders/>
            <w:vAlign w:val="center"/>
          </w:tcPr>
          <w:p>
            <w:pPr>
              <w:pStyle w:val="TableContents"/>
              <w:bidi w:val="0"/>
              <w:spacing w:before="0" w:after="1"/>
              <w:ind w:left="0" w:right="0" w:hanging="0"/>
              <w:jc w:val="left"/>
              <w:rPr/>
            </w:pPr>
            <w:r>
              <w:rPr/>
              <w:t>​</w:t>
            </w:r>
          </w:p>
        </w:tc>
      </w:tr>
      <w:tr>
        <w:trPr/>
        <w:tc>
          <w:tcPr>
            <w:tcW w:w="30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Fair value of investment securities available-for-sale: </w:t>
            </w:r>
          </w:p>
        </w:tc>
        <w:tc>
          <w:tcPr>
            <w:tcW w:w="109"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color w:val="FF0000"/>
              </w:rPr>
            </w:pPr>
            <w:r>
              <w:rPr>
                <w:color w:val="FF0000"/>
              </w:rPr>
              <w:t>​</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388" w:type="dxa"/>
            <w:tcBorders/>
            <w:vAlign w:val="center"/>
          </w:tcPr>
          <w:p>
            <w:pPr>
              <w:pStyle w:val="TableContents"/>
              <w:bidi w:val="0"/>
              <w:spacing w:before="0" w:after="1"/>
              <w:ind w:left="0" w:right="0" w:hanging="0"/>
              <w:jc w:val="left"/>
              <w:rPr>
                <w:color w:val="FF0000"/>
              </w:rPr>
            </w:pPr>
            <w:r>
              <w:rPr>
                <w:color w:val="FF0000"/>
              </w:rPr>
              <w:t>​</w:t>
            </w:r>
          </w:p>
        </w:tc>
        <w:tc>
          <w:tcPr>
            <w:tcW w:w="1050" w:type="dxa"/>
            <w:tcBorders/>
            <w:vAlign w:val="center"/>
          </w:tcPr>
          <w:p>
            <w:pPr>
              <w:pStyle w:val="TableContents"/>
              <w:bidi w:val="0"/>
              <w:spacing w:before="0" w:after="1"/>
              <w:ind w:left="0" w:right="0" w:hanging="0"/>
              <w:jc w:val="left"/>
              <w:rPr>
                <w:color w:val="FF0000"/>
              </w:rPr>
            </w:pPr>
            <w:r>
              <w:rPr>
                <w:color w:val="FF0000"/>
              </w:rPr>
              <w:t>​</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548" w:type="dxa"/>
            <w:tcBorders/>
            <w:vAlign w:val="center"/>
          </w:tcPr>
          <w:p>
            <w:pPr>
              <w:pStyle w:val="TableContents"/>
              <w:bidi w:val="0"/>
              <w:spacing w:before="0" w:after="1"/>
              <w:ind w:left="0" w:right="0" w:hanging="0"/>
              <w:jc w:val="left"/>
              <w:rPr>
                <w:color w:val="FF0000"/>
              </w:rPr>
            </w:pPr>
            <w:r>
              <w:rPr>
                <w:color w:val="FF0000"/>
              </w:rPr>
              <w:t>​</w:t>
            </w:r>
          </w:p>
        </w:tc>
        <w:tc>
          <w:tcPr>
            <w:tcW w:w="904"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color w:val="FF0000"/>
              </w:rPr>
            </w:pPr>
            <w:r>
              <w:rPr>
                <w:color w:val="FF0000"/>
              </w:rPr>
              <w:t>​</w:t>
            </w:r>
          </w:p>
        </w:tc>
        <w:tc>
          <w:tcPr>
            <w:tcW w:w="319" w:type="dxa"/>
            <w:tcBorders/>
            <w:vAlign w:val="center"/>
          </w:tcPr>
          <w:p>
            <w:pPr>
              <w:pStyle w:val="TableContents"/>
              <w:bidi w:val="0"/>
              <w:spacing w:before="0" w:after="1"/>
              <w:ind w:left="0" w:right="0" w:hanging="0"/>
              <w:jc w:val="left"/>
              <w:rPr>
                <w:color w:val="FF0000"/>
              </w:rPr>
            </w:pPr>
            <w:r>
              <w:rPr>
                <w:color w:val="FF0000"/>
              </w:rPr>
              <w:t>​</w:t>
            </w:r>
          </w:p>
        </w:tc>
        <w:tc>
          <w:tcPr>
            <w:tcW w:w="523" w:type="dxa"/>
            <w:tcBorders/>
            <w:vAlign w:val="center"/>
          </w:tcPr>
          <w:p>
            <w:pPr>
              <w:pStyle w:val="TableContents"/>
              <w:bidi w:val="0"/>
              <w:spacing w:before="0" w:after="1"/>
              <w:ind w:left="0" w:right="0" w:hanging="0"/>
              <w:jc w:val="left"/>
              <w:rPr>
                <w:color w:val="FF0000"/>
              </w:rPr>
            </w:pPr>
            <w:r>
              <w:rPr>
                <w:color w:val="FF0000"/>
              </w:rPr>
              <w:t>​</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vAlign w:val="center"/>
          </w:tcPr>
          <w:p>
            <w:pPr>
              <w:pStyle w:val="TableContents"/>
              <w:bidi w:val="0"/>
              <w:spacing w:before="0" w:after="1"/>
              <w:ind w:left="0" w:right="0" w:hanging="0"/>
              <w:jc w:val="left"/>
              <w:rPr>
                <w:color w:val="FF0000"/>
              </w:rPr>
            </w:pPr>
            <w:r>
              <w:rPr>
                <w:color w:val="FF0000"/>
              </w:rPr>
              <w:t>​</w:t>
            </w:r>
          </w:p>
        </w:tc>
        <w:tc>
          <w:tcPr>
            <w:tcW w:w="676" w:type="dxa"/>
            <w:tcBorders/>
            <w:vAlign w:val="center"/>
          </w:tcPr>
          <w:p>
            <w:pPr>
              <w:pStyle w:val="TableContents"/>
              <w:bidi w:val="0"/>
              <w:spacing w:before="0" w:after="1"/>
              <w:ind w:left="0" w:right="0" w:hanging="0"/>
              <w:jc w:val="left"/>
              <w:rPr>
                <w:color w:val="FF0000"/>
              </w:rPr>
            </w:pPr>
            <w:r>
              <w:rPr>
                <w:color w:val="FF0000"/>
              </w:rPr>
              <w:t>​</w:t>
            </w:r>
          </w:p>
        </w:tc>
        <w:tc>
          <w:tcPr>
            <w:tcW w:w="158" w:type="dxa"/>
            <w:tcBorders/>
            <w:vAlign w:val="center"/>
          </w:tcPr>
          <w:p>
            <w:pPr>
              <w:pStyle w:val="TableContents"/>
              <w:bidi w:val="0"/>
              <w:spacing w:before="0" w:after="1"/>
              <w:ind w:left="0" w:right="0" w:hanging="0"/>
              <w:jc w:val="left"/>
              <w:rPr/>
            </w:pPr>
            <w:r>
              <w:rPr/>
              <w:t>​</w:t>
            </w:r>
          </w:p>
        </w:tc>
      </w:tr>
      <w:tr>
        <w:trPr/>
        <w:tc>
          <w:tcPr>
            <w:tcW w:w="30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0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158" w:type="dxa"/>
            <w:tcBorders/>
            <w:vAlign w:val="center"/>
          </w:tcPr>
          <w:p>
            <w:pPr>
              <w:pStyle w:val="TableContents"/>
              <w:bidi w:val="0"/>
              <w:spacing w:before="0" w:after="1"/>
              <w:ind w:left="0" w:right="0" w:hanging="0"/>
              <w:jc w:val="left"/>
              <w:rPr/>
            </w:pPr>
            <w:r>
              <w:rPr/>
              <w:t>​</w:t>
            </w:r>
          </w:p>
        </w:tc>
      </w:tr>
      <w:tr>
        <w:trPr/>
        <w:tc>
          <w:tcPr>
            <w:tcW w:w="30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w:t>
            </w:r>
          </w:p>
        </w:tc>
        <w:tc>
          <w:tcPr>
            <w:tcW w:w="326" w:type="dxa"/>
            <w:tcBorders/>
            <w:shd w:fill="CCEEFF" w:val="clear"/>
            <w:vAlign w:val="center"/>
          </w:tcPr>
          <w:p>
            <w:pPr>
              <w:pStyle w:val="TableContents"/>
              <w:bidi w:val="0"/>
              <w:spacing w:before="0" w:after="1"/>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0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investment securities available-for-sale</w:t>
            </w:r>
          </w:p>
        </w:tc>
        <w:tc>
          <w:tcPr>
            <w:tcW w:w="109"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7,598</w:t>
            </w:r>
          </w:p>
        </w:tc>
        <w:tc>
          <w:tcPr>
            <w:tcW w:w="326" w:type="dxa"/>
            <w:tcBorders/>
            <w:vAlign w:val="center"/>
          </w:tcPr>
          <w:p>
            <w:pPr>
              <w:pStyle w:val="TableContents"/>
              <w:bidi w:val="0"/>
              <w:spacing w:before="0" w:after="1"/>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3,555</w:t>
            </w:r>
          </w:p>
        </w:tc>
        <w:tc>
          <w:tcPr>
            <w:tcW w:w="326" w:type="dxa"/>
            <w:tcBorders/>
            <w:vAlign w:val="center"/>
          </w:tcPr>
          <w:p>
            <w:pPr>
              <w:pStyle w:val="TableContents"/>
              <w:bidi w:val="0"/>
              <w:spacing w:before="0" w:after="1"/>
              <w:ind w:left="0" w:right="0" w:hanging="0"/>
              <w:jc w:val="left"/>
              <w:rPr/>
            </w:pPr>
            <w:r>
              <w:rPr/>
              <w:t>​</w:t>
            </w:r>
          </w:p>
        </w:tc>
        <w:tc>
          <w:tcPr>
            <w:tcW w:w="5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11,153</w:t>
            </w:r>
          </w:p>
        </w:tc>
        <w:tc>
          <w:tcPr>
            <w:tcW w:w="158" w:type="dxa"/>
            <w:tcBorders/>
            <w:vAlign w:val="center"/>
          </w:tcPr>
          <w:p>
            <w:pPr>
              <w:pStyle w:val="TableContents"/>
              <w:bidi w:val="0"/>
              <w:spacing w:before="0" w:after="1"/>
              <w:ind w:left="0" w:right="0" w:hanging="0"/>
              <w:jc w:val="left"/>
              <w:rPr/>
            </w:pPr>
            <w:r>
              <w:rPr/>
              <w:t>​</w:t>
            </w:r>
          </w:p>
        </w:tc>
      </w:tr>
      <w:tr>
        <w:trPr/>
        <w:tc>
          <w:tcPr>
            <w:tcW w:w="30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Amortized cost of investment securities available-for-sale</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7,595</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3,545</w:t>
            </w:r>
          </w:p>
        </w:tc>
        <w:tc>
          <w:tcPr>
            <w:tcW w:w="326" w:type="dxa"/>
            <w:tcBorders/>
            <w:shd w:fill="CCEEFF" w:val="clear"/>
            <w:vAlign w:val="center"/>
          </w:tcPr>
          <w:p>
            <w:pPr>
              <w:pStyle w:val="TableContents"/>
              <w:bidi w:val="0"/>
              <w:spacing w:before="0" w:after="1"/>
              <w:ind w:left="0" w:right="0" w:hanging="0"/>
              <w:jc w:val="left"/>
              <w:rPr/>
            </w:pPr>
            <w:r>
              <w:rPr/>
              <w:t>​</w:t>
            </w:r>
          </w:p>
        </w:tc>
        <w:tc>
          <w:tcPr>
            <w:tcW w:w="5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11,140</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0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debt securities portfolio had unaccreted discounts of $59 and $114 and had no remaining unamortized premiums as of December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Net Securities Gains or Losses and Securities Pledged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had no sales of debt securities during 2024 or 2022. During 2023, the Company had sales of debt securities totaling $2,336, resulting in a realized loss of $4. No securities were pledged during the years ended December 31, 2024, 2023 or 2022.</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No net gains or losses and no unrealized gains or losses were recognized on equity securities held during the years ended December 31, 2024, 2023 or 2022.   </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476" w:name="Tc_e5NIYTGgWUeR6uR4-aQJzg_15_12"/>
      <w:bookmarkStart w:id="1477" w:name="Tc_UgTbUz4X00KFKrPQDJDtOg_15_6"/>
      <w:bookmarkStart w:id="1478" w:name="Tc_0VNhoZmxbkedJGsP7jWwbA_15_0"/>
      <w:bookmarkStart w:id="1479" w:name="Tc_PTatB1qul0WVW3Soz_SIPw_14_9"/>
      <w:bookmarkStart w:id="1480" w:name="Tc_H_DZMlvFqkWSp9vhr5i28Q_14_6"/>
      <w:bookmarkStart w:id="1481" w:name="Tc_BJxcZqJi0U6lZYIXRqOZfQ_14_0"/>
      <w:bookmarkStart w:id="1482" w:name="Tc_zUxWf9N80E-WMzFij2hE9Q_13_12"/>
      <w:bookmarkStart w:id="1483" w:name="Tc_WYMnoTLOzkiPiVak1mwRAA_13_6"/>
      <w:bookmarkStart w:id="1484" w:name="Tc_7Idzpj_PH02au6m_o5gfDg_13_0"/>
      <w:bookmarkStart w:id="1485" w:name="Tc_W6mz4AxWJU2I0q9yZMO7AQ_12_12"/>
      <w:bookmarkStart w:id="1486" w:name="Tc_DDuxViIfjU6tK0ut_KmPHg_12_6"/>
      <w:bookmarkStart w:id="1487" w:name="Tc_V8kA6A8hj0WOxjJPoars-g_12_0"/>
      <w:bookmarkStart w:id="1488" w:name="Tc_9SAcJHCeYUWNvJdHQLgGpA_11_12"/>
      <w:bookmarkStart w:id="1489" w:name="Tc_yTdOSskGTEeDC9Ah9zzlew_11_11"/>
      <w:bookmarkStart w:id="1490" w:name="Tc_Bcah8QpsYE6tlMao8yUEKw_11_9"/>
      <w:bookmarkStart w:id="1491" w:name="Tc_vporAu0YG0SPWTDuAkz6yg_11_8"/>
      <w:bookmarkStart w:id="1492" w:name="Tc_vLyODe7izkeJHayaIXWTYA_11_5"/>
      <w:bookmarkStart w:id="1493" w:name="Tc_43oLrbE6ZUCzGR0N_DwsdQ_11_2"/>
      <w:bookmarkStart w:id="1494" w:name="Tc_5wkkMB87ukyp81NVijD84A_11_0"/>
      <w:bookmarkStart w:id="1495" w:name="Tc_QaPObNVtWEyqYUDBgMyO6A_10_11"/>
      <w:bookmarkStart w:id="1496" w:name="Tc_zCXbry2dUkutbHxtqk9BaA_10_8"/>
      <w:bookmarkStart w:id="1497" w:name="Tc_DgNF_J7L9kGqGIm6wiwYag_10_5"/>
      <w:bookmarkStart w:id="1498" w:name="Tc_8LG4tRIG7kmpMxqP0x-7vA_10_2"/>
      <w:bookmarkStart w:id="1499" w:name="Tc_ScS-ilRekEiaknVSb0YUAQ_10_0"/>
      <w:bookmarkStart w:id="1500" w:name="Tc_EYQQo1Ti3km51MBJx9yZZg_9_2"/>
      <w:bookmarkStart w:id="1501" w:name="Tc_jyOcoyROe0mWjIyayZEQhg_8_9"/>
      <w:bookmarkStart w:id="1502" w:name="Tc_2eEk89nl5EqEbO5DYZ7wnQ_8_6"/>
      <w:bookmarkStart w:id="1503" w:name="Tc_j5jkOtGJ90KwCGvi3u3dxw_8_0"/>
      <w:bookmarkStart w:id="1504" w:name="Tc_4Zsmtn9sg0eiLFhkR1F0jg_7_9"/>
      <w:bookmarkStart w:id="1505" w:name="Tc_Elk3-czuVk62C4WSX0c87g_7_6"/>
      <w:bookmarkStart w:id="1506" w:name="Tc_KwJAw7yHsE67KflEatlp0g_7_0"/>
      <w:bookmarkStart w:id="1507" w:name="Tc_lv1mdyv3y02-Y3L1fM4pgw_6_12"/>
      <w:bookmarkStart w:id="1508" w:name="Tc_i210CVA2j0iYB8KGFAkuiQ_6_6"/>
      <w:bookmarkStart w:id="1509" w:name="Tc_Wk0-7rG8ME-6scv3LUkJrg_6_0"/>
      <w:bookmarkStart w:id="1510" w:name="Tc_NeRZMKPZW0ytPIhVmFAcfw_5_12"/>
      <w:bookmarkStart w:id="1511" w:name="Tc_k_8vjAueQkmtUqpbUx79Jw_5_6"/>
      <w:bookmarkStart w:id="1512" w:name="Tc_ePeGyRSsd02sSDxpyzr64A_5_0"/>
      <w:bookmarkStart w:id="1513" w:name="Tc_MTc9tXQ6r0CEaE_5ub6kvA_4_12"/>
      <w:bookmarkStart w:id="1514" w:name="Tc_wUXsWF2w2UGKnjk5Xk2Rxg_4_6"/>
      <w:bookmarkStart w:id="1515" w:name="Tc_e7DzCAEUOE6H_7CuOT0XNg_4_0"/>
      <w:bookmarkStart w:id="1516" w:name="Tc_xs_QuFRsNkiQe7-qLabBkA_3_12"/>
      <w:bookmarkStart w:id="1517" w:name="Tc_tq7Stylrh0SAuZRccS_1sQ_3_11"/>
      <w:bookmarkStart w:id="1518" w:name="Tc_fv8-j7rSeE-8ywTiRZKQpQ_3_9"/>
      <w:bookmarkStart w:id="1519" w:name="Tc_-FH7ClizJUuX4GgqvPoFWw_3_8"/>
      <w:bookmarkStart w:id="1520" w:name="Tc_vDj7lgNCa0-FWdkEdXoGVg_3_5"/>
      <w:bookmarkStart w:id="1521" w:name="Tc_oYQxo9KUrkeA7rn5sepY6w_3_2"/>
      <w:bookmarkStart w:id="1522" w:name="Tc_hhhSVV1AgUy0jvxlzrTr-g_3_0"/>
      <w:bookmarkStart w:id="1523" w:name="Tc_q7oWfd9Npkyz7RkWzAVt4A_2_11"/>
      <w:bookmarkStart w:id="1524" w:name="Tc_-UjevXnjk0iGPrqDqjyZ1Q_2_8"/>
      <w:bookmarkStart w:id="1525" w:name="Tc_2F-AWe0ZK0iZs-X2DPwqCg_2_5"/>
      <w:bookmarkStart w:id="1526" w:name="Tc_gTL5E717Kk2IzG2YJBa9_g_2_2"/>
      <w:bookmarkStart w:id="1527" w:name="Tc_gcvlF7ZFmUCJiCjH2FnZkg_2_0"/>
      <w:bookmarkStart w:id="1528" w:name="Tc_MuTuj_eS8kCdnvGUsvKTkA_1_2"/>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r>
        <w:rPr>
          <w:rFonts w:ascii="Times New Roman;Times;serif" w:hAnsi="Times New Roman;Times;serif"/>
          <w:b/>
          <w:sz w:val="20"/>
        </w:rPr>
        <w:t>5</w:t>
      </w:r>
      <w:r>
        <w:rPr>
          <w:rFonts w:ascii="Times New Roman;Times;serif" w:hAnsi="Times New Roman;Times;serif"/>
          <w:b w:val="false"/>
          <w:sz w:val="20"/>
        </w:rPr>
        <w:t xml:space="preserve">. </w:t>
      </w:r>
      <w:r>
        <w:rPr>
          <w:rFonts w:ascii="Times New Roman;Times;serif" w:hAnsi="Times New Roman;Times;serif"/>
          <w:b/>
          <w:caps/>
          <w:sz w:val="20"/>
        </w:rPr>
        <w:t>Financial instruments and fair value measurements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Assets and Liabilities Measured at Fair Value on a Recurring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the Company’s fair value for its financial assets and liabilities measured at fair value on a recurring basis: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8"/>
        <w:gridCol w:w="109"/>
        <w:gridCol w:w="211"/>
        <w:gridCol w:w="781"/>
        <w:gridCol w:w="326"/>
        <w:gridCol w:w="508"/>
        <w:gridCol w:w="1884"/>
        <w:gridCol w:w="326"/>
        <w:gridCol w:w="465"/>
        <w:gridCol w:w="1259"/>
        <w:gridCol w:w="326"/>
        <w:gridCol w:w="392"/>
        <w:gridCol w:w="1350"/>
      </w:tblGrid>
      <w:tr>
        <w:trPr/>
        <w:tc>
          <w:tcPr>
            <w:tcW w:w="2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440180" cy="175260"/>
                      <wp:effectExtent l="0" t="0" r="0" b="0"/>
                      <wp:wrapNone/>
                      <wp:docPr id="496" name="Frame495"/>
                      <a:graphic xmlns:a="http://schemas.openxmlformats.org/drawingml/2006/main">
                        <a:graphicData uri="http://schemas.microsoft.com/office/word/2010/wordprocessingShape">
                          <wps:wsp>
                            <wps:cNvSpPr txBox="1"/>
                            <wps:spPr>
                              <a:xfrm>
                                <a:off x="0" y="0"/>
                                <a:ext cx="144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499" name="Frame4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322580" cy="175260"/>
                      <wp:effectExtent l="0" t="0" r="0" b="0"/>
                      <wp:wrapNone/>
                      <wp:docPr id="501" name="Frame500"/>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196340" cy="175260"/>
                      <wp:effectExtent l="0" t="0" r="0" b="0"/>
                      <wp:wrapNone/>
                      <wp:docPr id="502" name="Frame501"/>
                      <a:graphic xmlns:a="http://schemas.openxmlformats.org/drawingml/2006/main">
                        <a:graphicData uri="http://schemas.microsoft.com/office/word/2010/wordprocessingShape">
                          <wps:wsp>
                            <wps:cNvSpPr txBox="1"/>
                            <wps:spPr>
                              <a:xfrm>
                                <a:off x="0" y="0"/>
                                <a:ext cx="1196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3"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95275" cy="175260"/>
                      <wp:effectExtent l="0" t="0" r="0" b="0"/>
                      <wp:wrapNone/>
                      <wp:docPr id="504" name="Frame503"/>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99465" cy="175260"/>
                      <wp:effectExtent l="0" t="0" r="0" b="0"/>
                      <wp:wrapNone/>
                      <wp:docPr id="505" name="Frame504"/>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48920" cy="175260"/>
                      <wp:effectExtent l="0" t="0" r="0" b="0"/>
                      <wp:wrapNone/>
                      <wp:docPr id="507" name="Frame50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857250" cy="175260"/>
                      <wp:effectExtent l="0" t="0" r="0" b="0"/>
                      <wp:wrapNone/>
                      <wp:docPr id="508" name="Frame507"/>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26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2024</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3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7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276,374</w:t>
            </w:r>
          </w:p>
        </w:tc>
        <w:tc>
          <w:tcPr>
            <w:tcW w:w="32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276,374</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pPr>
            <w:r>
              <w:rPr/>
              <w:t>—</w:t>
            </w:r>
          </w:p>
        </w:tc>
      </w:tr>
      <w:tr>
        <w:trPr/>
        <w:tc>
          <w:tcPr>
            <w:tcW w:w="2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left"/>
              <w:rPr/>
            </w:pPr>
            <w:r>
              <w:rPr/>
              <w:t>​</w:t>
            </w:r>
          </w:p>
        </w:tc>
        <w:tc>
          <w:tcPr>
            <w:tcW w:w="1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pPr>
            <w:r>
              <w:rPr/>
              <w:t>—</w:t>
            </w:r>
          </w:p>
        </w:tc>
      </w:tr>
      <w:tr>
        <w:trPr/>
        <w:tc>
          <w:tcPr>
            <w:tcW w:w="2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left"/>
              <w:rPr/>
            </w:pPr>
            <w:r>
              <w:rPr/>
              <w:t>​</w:t>
            </w:r>
          </w:p>
        </w:tc>
        <w:tc>
          <w:tcPr>
            <w:tcW w:w="1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pPr>
            <w:r>
              <w:rPr/>
              <w:t>​</w:t>
            </w:r>
          </w:p>
        </w:tc>
        <w:tc>
          <w:tcPr>
            <w:tcW w:w="12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right"/>
              <w:rPr/>
            </w:pPr>
            <w:r>
              <w:rPr/>
              <w:t>—</w:t>
            </w:r>
          </w:p>
        </w:tc>
      </w:tr>
      <w:tr>
        <w:trPr/>
        <w:tc>
          <w:tcPr>
            <w:tcW w:w="2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32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left"/>
              <w:rPr/>
            </w:pPr>
            <w:r>
              <w:rPr/>
              <w:t>​</w:t>
            </w:r>
          </w:p>
        </w:tc>
        <w:tc>
          <w:tcPr>
            <w:tcW w:w="1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pPr>
            <w:r>
              <w:rPr/>
              <w:t>—</w:t>
            </w:r>
          </w:p>
        </w:tc>
      </w:tr>
      <w:tr>
        <w:trPr/>
        <w:tc>
          <w:tcPr>
            <w:tcW w:w="2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32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left"/>
              <w:rPr/>
            </w:pPr>
            <w:r>
              <w:rPr/>
              <w:t>​</w:t>
            </w:r>
          </w:p>
        </w:tc>
        <w:tc>
          <w:tcPr>
            <w:tcW w:w="1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pPr>
            <w:r>
              <w:rPr/>
              <w:t>​</w:t>
            </w:r>
          </w:p>
        </w:tc>
        <w:tc>
          <w:tcPr>
            <w:tcW w:w="12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r>
      <w:tr>
        <w:trPr/>
        <w:tc>
          <w:tcPr>
            <w:tcW w:w="2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32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left"/>
              <w:rPr/>
            </w:pPr>
            <w:r>
              <w:rPr/>
              <w:t>​</w:t>
            </w:r>
          </w:p>
        </w:tc>
        <w:tc>
          <w:tcPr>
            <w:tcW w:w="1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r>
      <w:tr>
        <w:trPr/>
        <w:tc>
          <w:tcPr>
            <w:tcW w:w="226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26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3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7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53,049</w:t>
            </w:r>
          </w:p>
        </w:tc>
        <w:tc>
          <w:tcPr>
            <w:tcW w:w="32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53,049</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pPr>
            <w:r>
              <w:rPr/>
              <w:t>—</w:t>
            </w:r>
          </w:p>
        </w:tc>
      </w:tr>
      <w:tr>
        <w:trPr/>
        <w:tc>
          <w:tcPr>
            <w:tcW w:w="2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7,168</w:t>
            </w:r>
          </w:p>
        </w:tc>
        <w:tc>
          <w:tcPr>
            <w:tcW w:w="32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left"/>
              <w:rPr/>
            </w:pPr>
            <w:r>
              <w:rPr/>
              <w:t>​</w:t>
            </w:r>
          </w:p>
        </w:tc>
        <w:tc>
          <w:tcPr>
            <w:tcW w:w="1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7,168</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pPr>
            <w:r>
              <w:rPr/>
              <w:t>—</w:t>
            </w:r>
          </w:p>
        </w:tc>
      </w:tr>
      <w:tr>
        <w:trPr/>
        <w:tc>
          <w:tcPr>
            <w:tcW w:w="2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w:t>
            </w:r>
          </w:p>
        </w:tc>
        <w:tc>
          <w:tcPr>
            <w:tcW w:w="32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left"/>
              <w:rPr/>
            </w:pPr>
            <w:r>
              <w:rPr/>
              <w:t>​</w:t>
            </w:r>
          </w:p>
        </w:tc>
        <w:tc>
          <w:tcPr>
            <w:tcW w:w="1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pPr>
            <w:r>
              <w:rPr/>
              <w:t>​</w:t>
            </w:r>
          </w:p>
        </w:tc>
        <w:tc>
          <w:tcPr>
            <w:tcW w:w="12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right"/>
              <w:rPr/>
            </w:pPr>
            <w:r>
              <w:rPr/>
              <w:t>—</w:t>
            </w:r>
          </w:p>
        </w:tc>
      </w:tr>
      <w:tr>
        <w:trPr/>
        <w:tc>
          <w:tcPr>
            <w:tcW w:w="22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Tellutax Contingent Consideration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left"/>
              <w:rPr/>
            </w:pPr>
            <w:r>
              <w:rPr/>
              <w:t>​</w:t>
            </w:r>
          </w:p>
        </w:tc>
        <w:tc>
          <w:tcPr>
            <w:tcW w:w="1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w:t>
            </w:r>
          </w:p>
        </w:tc>
        <w:tc>
          <w:tcPr>
            <w:tcW w:w="12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r>
      <w:tr>
        <w:trPr/>
        <w:tc>
          <w:tcPr>
            <w:tcW w:w="2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left"/>
              <w:rPr/>
            </w:pPr>
            <w:r>
              <w:rPr/>
              <w:t>​</w:t>
            </w:r>
          </w:p>
        </w:tc>
        <w:tc>
          <w:tcPr>
            <w:tcW w:w="1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pPr>
            <w:r>
              <w:rPr/>
              <w:t>​</w:t>
            </w:r>
          </w:p>
        </w:tc>
        <w:tc>
          <w:tcPr>
            <w:tcW w:w="12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investments in Money Market Funds, which are included in cash and cash equivalents on the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For the Commercial Paper, Corporate Bonds, and U.S. Treasury Securities, the Company believes that Level 2 designation is appropriate under ASC 820-10, </w:t>
      </w:r>
      <w:r>
        <w:rPr>
          <w:rFonts w:ascii="Times New Roman;Times;serif" w:hAnsi="Times New Roman;Times;serif"/>
          <w:i/>
          <w:sz w:val="20"/>
        </w:rPr>
        <w:t>Fair Value Measurements and Disclosures</w:t>
      </w:r>
      <w:r>
        <w:rPr>
          <w:rFonts w:ascii="Times New Roman;Times;serif" w:hAnsi="Times New Roman;Times;serif"/>
          <w:sz w:val="20"/>
        </w:rPr>
        <w:t xml:space="preserve">, as these securities are fixed income securities, none are exchange 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both"/>
        <w:rPr>
          <w:rFonts w:ascii="Times New Roman;Times;serif" w:hAnsi="Times New Roman;Times;serif"/>
          <w:sz w:val="20"/>
        </w:rPr>
      </w:pPr>
      <w:bookmarkStart w:id="1529" w:name="Tc_buHZjRtBnUy-KX-HbeLa7Q_13_0"/>
      <w:bookmarkStart w:id="1530" w:name="Tc__7CLXOZ4MkGFxwABYpQmZQ_12_10"/>
      <w:bookmarkStart w:id="1531" w:name="Tc_L0hjPhPeh0KaSDav8-j2ag_12_7"/>
      <w:bookmarkStart w:id="1532" w:name="Tc_yjVnUCbqfki2WRRgbzzz_Q_12_2"/>
      <w:bookmarkStart w:id="1533" w:name="Tc_4LvdH-7B5kuGY6vUHzDaUA_12_0"/>
      <w:bookmarkStart w:id="1534" w:name="Tc_Jef8KhwFDUuQe6GyBNZ7OQ_11_0"/>
      <w:bookmarkStart w:id="1535" w:name="Tc_bFCvtd8cG0ykai2W-R9NnQ_10_0"/>
      <w:bookmarkStart w:id="1536" w:name="Tc_9QSMr4dHHUeSj_ndjqEezQ_9_10"/>
      <w:bookmarkStart w:id="1537" w:name="Tc_yM5IRv3FgkCLDPROfNYTcw_9_7"/>
      <w:bookmarkStart w:id="1538" w:name="Tc_bzZO00kmCUy_kITSpkp0vA_9_2"/>
      <w:bookmarkStart w:id="1539" w:name="Tc_aEsm_QUqnEKEBUimi6Nqpg_9_0"/>
      <w:bookmarkStart w:id="1540" w:name="Tc__MxayYVsBE-pRQG7TgRONg_8_10"/>
      <w:bookmarkStart w:id="1541" w:name="Tc_BwAHN_zajkm9K2xUccp8KA_8_7"/>
      <w:bookmarkStart w:id="1542" w:name="Tc_ysFQru1KaEuzcGPlrVe6yg_8_2"/>
      <w:bookmarkStart w:id="1543" w:name="Tc_ZsksW0rjzUi--rNzcAjIUg_8_0"/>
      <w:bookmarkStart w:id="1544" w:name="Tc_m9EIs3igykOgC4NPcHoY_Q_7_10"/>
      <w:bookmarkStart w:id="1545" w:name="Tc_u2ltfNml8EaZO8TbKzhGxQ_7_7"/>
      <w:bookmarkStart w:id="1546" w:name="Tc_VhFaVAI9h0a5I7hOQX6uaQ_7_2"/>
      <w:bookmarkStart w:id="1547" w:name="Tc_3FIkWYxi60iVqN6ph0ehUg_6_10"/>
      <w:bookmarkStart w:id="1548" w:name="Tc_P_8tcRvaKUuPTxqjNfJCKQ_6_7"/>
      <w:bookmarkStart w:id="1549" w:name="Tc_aaUkIELwrkiU-BJhrkHghQ_6_2"/>
      <w:bookmarkStart w:id="1550" w:name="Tc_XgviuQYAIkSPXcES0rXSnQ_6_0"/>
      <w:bookmarkStart w:id="1551" w:name="Tc_353MeELkFUmcKYYxnT85fg_5_0"/>
      <w:bookmarkStart w:id="1552" w:name="Tc_A-RwMdfus0Wn25txGMSxGw_4_0"/>
      <w:bookmarkStart w:id="1553" w:name="Tc_MsuQddwcEUSEe3v8hoARSw_3_10"/>
      <w:bookmarkStart w:id="1554" w:name="Tc_XcieeqCAPkWtOqrjRpZMgg_3_7"/>
      <w:bookmarkStart w:id="1555" w:name="Tc_9xV68HylZUKyNmIaKGlI9w_3_2"/>
      <w:bookmarkStart w:id="1556" w:name="Tc_TKMfQgqqiUanLnfqge1tbg_3_0"/>
      <w:bookmarkStart w:id="1557" w:name="Tc_d2ZDkK6ZZkmT5zbInCZTwg_2_10"/>
      <w:bookmarkStart w:id="1558" w:name="Tc_XID7VSspeU2dOyp-jR37iA_2_7"/>
      <w:bookmarkStart w:id="1559" w:name="Tc_vMYG0l0miECRM-OpeALn5w_2_2"/>
      <w:bookmarkStart w:id="1560" w:name="Tc_x8tADOnf4E22_MpeascZmQ_2_0"/>
      <w:bookmarkStart w:id="1561" w:name="Tc_cvkyyhdFRUG9gS_qOsnvcA_1_10"/>
      <w:bookmarkStart w:id="1562" w:name="Tc_u8Sds0pV_kixbo8hVh5aKA_1_7"/>
      <w:bookmarkStart w:id="1563" w:name="Tc_r2iKjrBhGkSvDgcLjc3oZA_1_2"/>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r>
        <w:rPr>
          <w:rFonts w:ascii="Times New Roman;Times;serif" w:hAnsi="Times New Roman;Times;serif"/>
          <w:sz w:val="20"/>
        </w:rPr>
        <w:t>execution data, market consensus prepayment speeds, credit information, and the security’s terms and conditions, among other factors.</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ecosio Earn-outs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August 2024 ecosio acquisition, the sellers are entitled to three annual Earn-outs based on ecosio’s achievement of certain monthly software revenue targets measured over an aggregate of 12 months and paid within 90 days after the relevant measurement period. The fair values of the Cash Earn-outs and the Stock Earn-outs were measured on the Acquisition Date using a Monte Carlo simulation in a risk-neutral framework, calibrated to management’s revenue forecasts. Additional information on the Cash Earn-outs and the Stock Earn-outs is presented in the following table below.</w:t>
      </w:r>
    </w:p>
    <w:p>
      <w:pPr>
        <w:pStyle w:val="TextBody"/>
        <w:bidi w:val="0"/>
        <w:spacing w:before="0" w:after="0"/>
        <w:ind w:left="0" w:right="0" w:firstLine="360"/>
        <w:jc w:val="both"/>
        <w:rPr/>
      </w:pPr>
      <w:r>
        <w:rPr/>
        <w:t>​</w:t>
      </w:r>
    </w:p>
    <w:tbl>
      <w:tblPr>
        <w:tblW w:w="9234" w:type="dxa"/>
        <w:jc w:val="left"/>
        <w:tblInd w:w="0" w:type="dxa"/>
        <w:tblLayout w:type="fixed"/>
        <w:tblCellMar>
          <w:top w:w="0" w:type="dxa"/>
          <w:left w:w="0" w:type="dxa"/>
          <w:bottom w:w="0" w:type="dxa"/>
          <w:right w:w="0" w:type="dxa"/>
        </w:tblCellMar>
      </w:tblPr>
      <w:tblGrid>
        <w:gridCol w:w="4293"/>
        <w:gridCol w:w="120"/>
        <w:gridCol w:w="233"/>
        <w:gridCol w:w="746"/>
        <w:gridCol w:w="120"/>
        <w:gridCol w:w="120"/>
        <w:gridCol w:w="120"/>
        <w:gridCol w:w="394"/>
        <w:gridCol w:w="1262"/>
        <w:gridCol w:w="120"/>
        <w:gridCol w:w="384"/>
        <w:gridCol w:w="1322"/>
      </w:tblGrid>
      <w:tr>
        <w:trPr/>
        <w:tc>
          <w:tcPr>
            <w:tcW w:w="4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726055" cy="175260"/>
                      <wp:effectExtent l="0" t="0" r="0" b="0"/>
                      <wp:wrapNone/>
                      <wp:docPr id="509" name="Frame508"/>
                      <a:graphic xmlns:a="http://schemas.openxmlformats.org/drawingml/2006/main">
                        <a:graphicData uri="http://schemas.microsoft.com/office/word/2010/wordprocessingShape">
                          <wps:wsp>
                            <wps:cNvSpPr txBox="1"/>
                            <wps:spPr>
                              <a:xfrm>
                                <a:off x="0" y="0"/>
                                <a:ext cx="272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76200" cy="175260"/>
                      <wp:effectExtent l="0" t="0" r="0" b="0"/>
                      <wp:wrapNone/>
                      <wp:docPr id="510" name="Frame509"/>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47955" cy="175260"/>
                      <wp:effectExtent l="0" t="0" r="0" b="0"/>
                      <wp:wrapNone/>
                      <wp:docPr id="511" name="Frame51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73710" cy="175260"/>
                      <wp:effectExtent l="0" t="0" r="0" b="0"/>
                      <wp:wrapNone/>
                      <wp:docPr id="512" name="Frame511"/>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76200" cy="175260"/>
                      <wp:effectExtent l="0" t="0" r="0" b="0"/>
                      <wp:wrapNone/>
                      <wp:docPr id="513" name="Frame512"/>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6200" cy="175260"/>
                      <wp:effectExtent l="0" t="0" r="0" b="0"/>
                      <wp:wrapNone/>
                      <wp:docPr id="514" name="Frame513"/>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76200" cy="175260"/>
                      <wp:effectExtent l="0" t="0" r="0" b="0"/>
                      <wp:wrapNone/>
                      <wp:docPr id="515" name="Frame514"/>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50190" cy="175260"/>
                      <wp:effectExtent l="0" t="0" r="0" b="0"/>
                      <wp:wrapNone/>
                      <wp:docPr id="516" name="Frame515"/>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801370" cy="175260"/>
                      <wp:effectExtent l="0" t="0" r="0" b="0"/>
                      <wp:wrapNone/>
                      <wp:docPr id="517" name="Frame516"/>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76200" cy="175260"/>
                      <wp:effectExtent l="0" t="0" r="0" b="0"/>
                      <wp:wrapNone/>
                      <wp:docPr id="518" name="Frame517"/>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43840" cy="175260"/>
                      <wp:effectExtent l="0" t="0" r="0" b="0"/>
                      <wp:wrapNone/>
                      <wp:docPr id="519" name="Frame518"/>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839470" cy="175260"/>
                      <wp:effectExtent l="0" t="0" r="0" b="0"/>
                      <wp:wrapNone/>
                      <wp:docPr id="520" name="Frame519"/>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3" w:type="dxa"/>
            <w:tcBorders/>
            <w:shd w:fill="FFFFFF" w:val="clear"/>
            <w:vAlign w:val="center"/>
          </w:tcPr>
          <w:p>
            <w:pPr>
              <w:pStyle w:val="TableContents"/>
              <w:bidi w:val="0"/>
              <w:spacing w:before="0" w:after="1"/>
              <w:ind w:left="0" w:right="0" w:hanging="0"/>
              <w:jc w:val="center"/>
              <w:rPr/>
            </w:pPr>
            <w:r>
              <w:rPr/>
              <w:t>​</w:t>
            </w:r>
          </w:p>
        </w:tc>
        <w:tc>
          <w:tcPr>
            <w:tcW w:w="120" w:type="dxa"/>
            <w:tcBorders/>
            <w:shd w:fill="FFFFFF" w:val="clear"/>
            <w:vAlign w:val="center"/>
          </w:tcPr>
          <w:p>
            <w:pPr>
              <w:pStyle w:val="TableContents"/>
              <w:bidi w:val="0"/>
              <w:spacing w:before="0" w:after="1"/>
              <w:ind w:left="0" w:right="0" w:hanging="0"/>
              <w:jc w:val="left"/>
              <w:rPr/>
            </w:pPr>
            <w:r>
              <w:rPr/>
              <w:t>​</w:t>
            </w:r>
          </w:p>
        </w:tc>
        <w:tc>
          <w:tcPr>
            <w:tcW w:w="979"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0" w:type="dxa"/>
            <w:tcBorders/>
            <w:shd w:fill="FFFFFF" w:val="clear"/>
            <w:vAlign w:val="center"/>
          </w:tcPr>
          <w:p>
            <w:pPr>
              <w:pStyle w:val="TableContents"/>
              <w:bidi w:val="0"/>
              <w:spacing w:before="0" w:after="1"/>
              <w:ind w:left="0" w:right="0" w:hanging="0"/>
              <w:jc w:val="left"/>
              <w:rPr/>
            </w:pPr>
            <w:r>
              <w:rPr/>
              <w:t>​</w:t>
            </w:r>
          </w:p>
        </w:tc>
        <w:tc>
          <w:tcPr>
            <w:tcW w:w="120" w:type="dxa"/>
            <w:tcBorders/>
            <w:shd w:fill="FFFFFF" w:val="clear"/>
            <w:vAlign w:val="center"/>
          </w:tcPr>
          <w:p>
            <w:pPr>
              <w:pStyle w:val="TableContents"/>
              <w:bidi w:val="0"/>
              <w:spacing w:before="0" w:after="1"/>
              <w:ind w:left="0" w:right="0" w:hanging="0"/>
              <w:jc w:val="left"/>
              <w:rPr/>
            </w:pPr>
            <w:r>
              <w:rPr/>
              <w:t>​</w:t>
            </w:r>
          </w:p>
        </w:tc>
        <w:tc>
          <w:tcPr>
            <w:tcW w:w="120" w:type="dxa"/>
            <w:tcBorders/>
            <w:shd w:fill="FFFFFF" w:val="clear"/>
            <w:vAlign w:val="center"/>
          </w:tcPr>
          <w:p>
            <w:pPr>
              <w:pStyle w:val="TableContents"/>
              <w:bidi w:val="0"/>
              <w:spacing w:before="0" w:after="1"/>
              <w:ind w:left="0" w:right="0" w:hanging="0"/>
              <w:jc w:val="left"/>
              <w:rPr/>
            </w:pPr>
            <w:r>
              <w:rPr/>
              <w:t>​</w:t>
            </w:r>
          </w:p>
        </w:tc>
        <w:tc>
          <w:tcPr>
            <w:tcW w:w="1656"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0" w:type="dxa"/>
            <w:tcBorders/>
            <w:shd w:fill="FFFFFF" w:val="clear"/>
            <w:vAlign w:val="center"/>
          </w:tcPr>
          <w:p>
            <w:pPr>
              <w:pStyle w:val="TableContents"/>
              <w:bidi w:val="0"/>
              <w:spacing w:before="0" w:after="1"/>
              <w:ind w:left="0" w:right="0" w:hanging="0"/>
              <w:jc w:val="center"/>
              <w:rPr/>
            </w:pPr>
            <w:r>
              <w:rPr/>
              <w:t>​</w:t>
            </w:r>
          </w:p>
        </w:tc>
        <w:tc>
          <w:tcPr>
            <w:tcW w:w="1706"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293"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Cash Earn-outs/ Period </w:t>
            </w:r>
          </w:p>
        </w:tc>
        <w:tc>
          <w:tcPr>
            <w:tcW w:w="120" w:type="dxa"/>
            <w:tcBorders/>
            <w:shd w:fill="FFFFFF" w:val="clear"/>
            <w:vAlign w:val="center"/>
          </w:tcPr>
          <w:p>
            <w:pPr>
              <w:pStyle w:val="TableContents"/>
              <w:bidi w:val="0"/>
              <w:spacing w:before="0" w:after="1"/>
              <w:ind w:left="0" w:right="0" w:hanging="0"/>
              <w:jc w:val="left"/>
              <w:rPr/>
            </w:pPr>
            <w:r>
              <w:rPr/>
              <w:t>​</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Payout </w:t>
            </w:r>
          </w:p>
        </w:tc>
        <w:tc>
          <w:tcPr>
            <w:tcW w:w="120" w:type="dxa"/>
            <w:tcBorders/>
            <w:shd w:fill="FFFFFF" w:val="clear"/>
            <w:vAlign w:val="center"/>
          </w:tcPr>
          <w:p>
            <w:pPr>
              <w:pStyle w:val="TableContents"/>
              <w:bidi w:val="0"/>
              <w:spacing w:before="0" w:after="1"/>
              <w:ind w:left="0" w:right="0" w:hanging="0"/>
              <w:jc w:val="left"/>
              <w:rPr/>
            </w:pPr>
            <w:r>
              <w:rPr/>
              <w:t>​</w:t>
            </w:r>
          </w:p>
        </w:tc>
        <w:tc>
          <w:tcPr>
            <w:tcW w:w="120" w:type="dxa"/>
            <w:tcBorders/>
            <w:shd w:fill="FFFFFF" w:val="clear"/>
            <w:vAlign w:val="center"/>
          </w:tcPr>
          <w:p>
            <w:pPr>
              <w:pStyle w:val="TableContents"/>
              <w:bidi w:val="0"/>
              <w:spacing w:before="0" w:after="1"/>
              <w:ind w:left="0" w:right="0" w:hanging="0"/>
              <w:jc w:val="left"/>
              <w:rPr/>
            </w:pPr>
            <w:r>
              <w:rPr/>
              <w:t>​</w:t>
            </w:r>
          </w:p>
        </w:tc>
        <w:tc>
          <w:tcPr>
            <w:tcW w:w="120" w:type="dxa"/>
            <w:tcBorders/>
            <w:shd w:fill="FFFFFF" w:val="clear"/>
            <w:vAlign w:val="center"/>
          </w:tcPr>
          <w:p>
            <w:pPr>
              <w:pStyle w:val="TableContents"/>
              <w:bidi w:val="0"/>
              <w:spacing w:before="0" w:after="1"/>
              <w:ind w:left="0" w:right="0" w:hanging="0"/>
              <w:jc w:val="left"/>
              <w:rPr/>
            </w:pPr>
            <w:r>
              <w:rPr/>
              <w:t>​</w:t>
            </w:r>
          </w:p>
        </w:tc>
        <w:tc>
          <w:tcPr>
            <w:tcW w:w="16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20" w:type="dxa"/>
            <w:tcBorders/>
            <w:shd w:fill="FFFFFF" w:val="clear"/>
            <w:vAlign w:val="center"/>
          </w:tcPr>
          <w:p>
            <w:pPr>
              <w:pStyle w:val="TableContents"/>
              <w:bidi w:val="0"/>
              <w:spacing w:before="0" w:after="1"/>
              <w:ind w:left="0" w:right="0" w:hanging="0"/>
              <w:jc w:val="center"/>
              <w:rPr/>
            </w:pPr>
            <w:r>
              <w:rPr/>
              <w:t>​</w:t>
            </w:r>
          </w:p>
        </w:tc>
        <w:tc>
          <w:tcPr>
            <w:tcW w:w="170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Acquisition Date</w:t>
            </w:r>
          </w:p>
        </w:tc>
      </w:tr>
      <w:tr>
        <w:trPr/>
        <w:tc>
          <w:tcPr>
            <w:tcW w:w="4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1 - December 1, 2024 - December 1, 2025</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19,600</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17,900</w:t>
            </w:r>
          </w:p>
        </w:tc>
        <w:tc>
          <w:tcPr>
            <w:tcW w:w="120" w:type="dxa"/>
            <w:tcBorders/>
            <w:shd w:fill="CCEEFF" w:val="clear"/>
            <w:vAlign w:val="center"/>
          </w:tcPr>
          <w:p>
            <w:pPr>
              <w:pStyle w:val="TableContents"/>
              <w:bidi w:val="0"/>
              <w:spacing w:before="0" w:after="1"/>
              <w:ind w:left="0" w:right="0" w:hanging="0"/>
              <w:jc w:val="center"/>
              <w:rPr/>
            </w:pPr>
            <w:r>
              <w:rPr/>
              <w:t>​</w:t>
            </w:r>
          </w:p>
        </w:tc>
        <w:tc>
          <w:tcPr>
            <w:tcW w:w="38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16,700</w:t>
            </w:r>
          </w:p>
        </w:tc>
      </w:tr>
      <w:tr>
        <w:trPr/>
        <w:tc>
          <w:tcPr>
            <w:tcW w:w="4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2 - December 1, 2025 - December 1, 2026</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center"/>
              <w:rPr/>
            </w:pPr>
            <w:r>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30,625</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center"/>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24,400</w:t>
            </w:r>
          </w:p>
        </w:tc>
        <w:tc>
          <w:tcPr>
            <w:tcW w:w="120" w:type="dxa"/>
            <w:tcBorders/>
            <w:vAlign w:val="center"/>
          </w:tcPr>
          <w:p>
            <w:pPr>
              <w:pStyle w:val="TableContents"/>
              <w:bidi w:val="0"/>
              <w:spacing w:before="0" w:after="1"/>
              <w:ind w:left="0" w:right="0" w:hanging="0"/>
              <w:jc w:val="center"/>
              <w:rPr/>
            </w:pPr>
            <w:r>
              <w:rPr/>
              <w:t>​</w:t>
            </w:r>
          </w:p>
        </w:tc>
        <w:tc>
          <w:tcPr>
            <w:tcW w:w="384" w:type="dxa"/>
            <w:tcBorders/>
            <w:vAlign w:val="center"/>
          </w:tcPr>
          <w:p>
            <w:pPr>
              <w:pStyle w:val="TableContents"/>
              <w:bidi w:val="0"/>
              <w:spacing w:before="0" w:after="1"/>
              <w:ind w:left="0" w:right="0" w:hanging="0"/>
              <w:jc w:val="center"/>
              <w:rPr/>
            </w:pPr>
            <w:r>
              <w:rPr/>
              <w:t>​</w:t>
            </w:r>
          </w:p>
        </w:tc>
        <w:tc>
          <w:tcPr>
            <w:tcW w:w="13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23,200</w:t>
            </w:r>
          </w:p>
        </w:tc>
      </w:tr>
      <w:tr>
        <w:trPr/>
        <w:tc>
          <w:tcPr>
            <w:tcW w:w="4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3 - December 1, 2026 - December 1, 2027</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44,130</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32,100</w:t>
            </w:r>
          </w:p>
        </w:tc>
        <w:tc>
          <w:tcPr>
            <w:tcW w:w="120" w:type="dxa"/>
            <w:tcBorders/>
            <w:shd w:fill="CCEEFF" w:val="clear"/>
            <w:vAlign w:val="center"/>
          </w:tcPr>
          <w:p>
            <w:pPr>
              <w:pStyle w:val="TableContents"/>
              <w:bidi w:val="0"/>
              <w:spacing w:before="0" w:after="1"/>
              <w:ind w:left="0" w:right="0" w:hanging="0"/>
              <w:jc w:val="center"/>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3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31,100</w:t>
            </w:r>
          </w:p>
        </w:tc>
      </w:tr>
      <w:tr>
        <w:trPr/>
        <w:tc>
          <w:tcPr>
            <w:tcW w:w="429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Cash Earn-outs</w:t>
            </w:r>
          </w:p>
        </w:tc>
        <w:tc>
          <w:tcPr>
            <w:tcW w:w="120"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94,355</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120" w:type="dxa"/>
            <w:tcBorders/>
            <w:vAlign w:val="center"/>
          </w:tcPr>
          <w:p>
            <w:pPr>
              <w:pStyle w:val="TableContents"/>
              <w:bidi w:val="0"/>
              <w:spacing w:before="0" w:after="1"/>
              <w:ind w:left="0" w:right="0" w:hanging="0"/>
              <w:jc w:val="center"/>
              <w:rPr/>
            </w:pPr>
            <w:r>
              <w:rPr/>
              <w:t>​</w:t>
            </w:r>
          </w:p>
        </w:tc>
        <w:tc>
          <w:tcPr>
            <w:tcW w:w="384"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71,000</w:t>
            </w:r>
          </w:p>
        </w:tc>
      </w:tr>
      <w:tr>
        <w:trPr/>
        <w:tc>
          <w:tcPr>
            <w:tcW w:w="4293" w:type="dxa"/>
            <w:tcBorders/>
            <w:vAlign w:val="center"/>
          </w:tcPr>
          <w:p>
            <w:pPr>
              <w:pStyle w:val="TableContents"/>
              <w:bidi w:val="0"/>
              <w:spacing w:before="0" w:after="1"/>
              <w:ind w:left="0" w:right="0" w:hanging="0"/>
              <w:jc w:val="center"/>
              <w:rPr/>
            </w:pPr>
            <w:r>
              <w:rPr/>
              <w:t>​</w:t>
            </w:r>
          </w:p>
        </w:tc>
        <w:tc>
          <w:tcPr>
            <w:tcW w:w="120" w:type="dxa"/>
            <w:tcBorders/>
            <w:vAlign w:val="center"/>
          </w:tcPr>
          <w:p>
            <w:pPr>
              <w:pStyle w:val="TableContents"/>
              <w:bidi w:val="0"/>
              <w:spacing w:before="0" w:after="1"/>
              <w:ind w:left="0" w:right="0" w:hanging="0"/>
              <w:jc w:val="left"/>
              <w:rPr/>
            </w:pPr>
            <w:r>
              <w:rPr/>
              <w:t>​</w:t>
            </w:r>
          </w:p>
        </w:tc>
        <w:tc>
          <w:tcPr>
            <w:tcW w:w="9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6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0" w:type="dxa"/>
            <w:tcBorders/>
            <w:vAlign w:val="center"/>
          </w:tcPr>
          <w:p>
            <w:pPr>
              <w:pStyle w:val="TableContents"/>
              <w:bidi w:val="0"/>
              <w:spacing w:before="0" w:after="1"/>
              <w:ind w:left="0" w:right="0" w:hanging="0"/>
              <w:jc w:val="center"/>
              <w:rPr/>
            </w:pPr>
            <w:r>
              <w:rPr/>
              <w:t>​</w:t>
            </w:r>
          </w:p>
        </w:tc>
        <w:tc>
          <w:tcPr>
            <w:tcW w:w="17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2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 Earn-outs/ Period</w:t>
            </w:r>
          </w:p>
        </w:tc>
        <w:tc>
          <w:tcPr>
            <w:tcW w:w="120" w:type="dxa"/>
            <w:tcBorders/>
            <w:vAlign w:val="center"/>
          </w:tcPr>
          <w:p>
            <w:pPr>
              <w:pStyle w:val="TableContents"/>
              <w:bidi w:val="0"/>
              <w:spacing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Payout </w:t>
            </w:r>
            <w:r>
              <w:rPr>
                <w:rFonts w:ascii="Times New Roman;Times;serif" w:hAnsi="Times New Roman;Times;serif"/>
                <w:b/>
                <w:sz w:val="12"/>
              </w:rPr>
              <w:t>(1)</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20" w:type="dxa"/>
            <w:tcBorders/>
            <w:vAlign w:val="center"/>
          </w:tcPr>
          <w:p>
            <w:pPr>
              <w:pStyle w:val="TableContents"/>
              <w:bidi w:val="0"/>
              <w:spacing w:before="0" w:after="1"/>
              <w:ind w:left="0" w:right="0" w:hanging="0"/>
              <w:jc w:val="center"/>
              <w:rPr/>
            </w:pPr>
            <w:r>
              <w:rPr/>
              <w:t>​</w:t>
            </w:r>
          </w:p>
        </w:tc>
        <w:tc>
          <w:tcPr>
            <w:tcW w:w="1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Acquisition Date</w:t>
            </w:r>
          </w:p>
        </w:tc>
      </w:tr>
      <w:tr>
        <w:trPr/>
        <w:tc>
          <w:tcPr>
            <w:tcW w:w="4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1 - December 1, 2024 - December 1, 2025</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17,200</w:t>
            </w:r>
          </w:p>
        </w:tc>
        <w:tc>
          <w:tcPr>
            <w:tcW w:w="120" w:type="dxa"/>
            <w:tcBorders/>
            <w:shd w:fill="CCEEFF" w:val="clear"/>
            <w:vAlign w:val="center"/>
          </w:tcPr>
          <w:p>
            <w:pPr>
              <w:pStyle w:val="TableContents"/>
              <w:bidi w:val="0"/>
              <w:spacing w:before="0" w:after="1"/>
              <w:ind w:left="0" w:right="0" w:hanging="0"/>
              <w:jc w:val="center"/>
              <w:rPr/>
            </w:pPr>
            <w:r>
              <w:rPr/>
              <w:t>​</w:t>
            </w:r>
          </w:p>
        </w:tc>
        <w:tc>
          <w:tcPr>
            <w:tcW w:w="38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12,200</w:t>
            </w:r>
          </w:p>
        </w:tc>
      </w:tr>
      <w:tr>
        <w:trPr/>
        <w:tc>
          <w:tcPr>
            <w:tcW w:w="4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2 - December 1, 2025 - December 1, 2026</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center"/>
              <w:rPr/>
            </w:pPr>
            <w:r>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center"/>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16,300</w:t>
            </w:r>
          </w:p>
        </w:tc>
        <w:tc>
          <w:tcPr>
            <w:tcW w:w="120" w:type="dxa"/>
            <w:tcBorders/>
            <w:vAlign w:val="center"/>
          </w:tcPr>
          <w:p>
            <w:pPr>
              <w:pStyle w:val="TableContents"/>
              <w:bidi w:val="0"/>
              <w:spacing w:before="0" w:after="1"/>
              <w:ind w:left="0" w:right="0" w:hanging="0"/>
              <w:jc w:val="center"/>
              <w:rPr/>
            </w:pPr>
            <w:r>
              <w:rPr/>
              <w:t>​</w:t>
            </w:r>
          </w:p>
        </w:tc>
        <w:tc>
          <w:tcPr>
            <w:tcW w:w="384" w:type="dxa"/>
            <w:tcBorders/>
            <w:vAlign w:val="center"/>
          </w:tcPr>
          <w:p>
            <w:pPr>
              <w:pStyle w:val="TableContents"/>
              <w:bidi w:val="0"/>
              <w:spacing w:before="0" w:after="1"/>
              <w:ind w:left="0" w:right="0" w:hanging="0"/>
              <w:jc w:val="center"/>
              <w:rPr/>
            </w:pPr>
            <w:r>
              <w:rPr/>
              <w:t>​</w:t>
            </w:r>
          </w:p>
        </w:tc>
        <w:tc>
          <w:tcPr>
            <w:tcW w:w="13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11,400</w:t>
            </w:r>
          </w:p>
        </w:tc>
      </w:tr>
      <w:tr>
        <w:trPr/>
        <w:tc>
          <w:tcPr>
            <w:tcW w:w="4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3 - December 1, 2026 - December 1, 2027</w:t>
            </w:r>
          </w:p>
        </w:tc>
        <w:tc>
          <w:tcPr>
            <w:tcW w:w="120"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11,000</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120"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14,600</w:t>
            </w:r>
          </w:p>
        </w:tc>
        <w:tc>
          <w:tcPr>
            <w:tcW w:w="120" w:type="dxa"/>
            <w:tcBorders/>
            <w:shd w:fill="CCEEFF" w:val="clear"/>
            <w:vAlign w:val="center"/>
          </w:tcPr>
          <w:p>
            <w:pPr>
              <w:pStyle w:val="TableContents"/>
              <w:bidi w:val="0"/>
              <w:spacing w:before="0" w:after="1"/>
              <w:ind w:left="0" w:right="0" w:hanging="0"/>
              <w:jc w:val="center"/>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3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10,400</w:t>
            </w:r>
          </w:p>
        </w:tc>
      </w:tr>
      <w:tr>
        <w:trPr/>
        <w:tc>
          <w:tcPr>
            <w:tcW w:w="429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 Earn-outs</w:t>
            </w:r>
          </w:p>
        </w:tc>
        <w:tc>
          <w:tcPr>
            <w:tcW w:w="120"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120" w:type="dxa"/>
            <w:tcBorders/>
            <w:vAlign w:val="center"/>
          </w:tcPr>
          <w:p>
            <w:pPr>
              <w:pStyle w:val="TableContents"/>
              <w:bidi w:val="0"/>
              <w:spacing w:before="0" w:after="1"/>
              <w:ind w:left="0" w:right="0" w:hanging="0"/>
              <w:jc w:val="center"/>
              <w:rPr/>
            </w:pPr>
            <w:r>
              <w:rPr/>
              <w:t>​</w:t>
            </w:r>
          </w:p>
        </w:tc>
        <w:tc>
          <w:tcPr>
            <w:tcW w:w="384"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34,000</w:t>
            </w:r>
          </w:p>
        </w:tc>
      </w:tr>
      <w:tr>
        <w:trPr/>
        <w:tc>
          <w:tcPr>
            <w:tcW w:w="9234" w:type="dxa"/>
            <w:gridSpan w:val="12"/>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Maximum payout based on Vertex's August 6, 2024 opening share price of $37.02, as referenced in the purchase agreement. </w:t>
            </w:r>
          </w:p>
        </w:tc>
      </w:tr>
      <w:tr>
        <w:trPr/>
        <w:tc>
          <w:tcPr>
            <w:tcW w:w="4293"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center"/>
              <w:rPr/>
            </w:pPr>
            <w:r>
              <w:rPr/>
              <w:t>​</w:t>
            </w:r>
          </w:p>
        </w:tc>
        <w:tc>
          <w:tcPr>
            <w:tcW w:w="746"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120"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center"/>
              <w:rPr/>
            </w:pPr>
            <w:r>
              <w:rPr/>
              <w:t>​</w:t>
            </w:r>
          </w:p>
        </w:tc>
        <w:tc>
          <w:tcPr>
            <w:tcW w:w="1262" w:type="dxa"/>
            <w:tcBorders/>
            <w:vAlign w:val="center"/>
          </w:tcPr>
          <w:p>
            <w:pPr>
              <w:pStyle w:val="TableContents"/>
              <w:bidi w:val="0"/>
              <w:spacing w:before="0" w:after="1"/>
              <w:ind w:left="0" w:right="0" w:hanging="0"/>
              <w:jc w:val="center"/>
              <w:rPr/>
            </w:pPr>
            <w:r>
              <w:rPr/>
              <w:t>​</w:t>
            </w:r>
          </w:p>
        </w:tc>
        <w:tc>
          <w:tcPr>
            <w:tcW w:w="120" w:type="dxa"/>
            <w:tcBorders/>
            <w:vAlign w:val="center"/>
          </w:tcPr>
          <w:p>
            <w:pPr>
              <w:pStyle w:val="TableContents"/>
              <w:bidi w:val="0"/>
              <w:spacing w:before="0" w:after="1"/>
              <w:ind w:left="0" w:right="0" w:hanging="0"/>
              <w:jc w:val="center"/>
              <w:rPr/>
            </w:pPr>
            <w:r>
              <w:rPr/>
              <w:t>​</w:t>
            </w:r>
          </w:p>
        </w:tc>
        <w:tc>
          <w:tcPr>
            <w:tcW w:w="384" w:type="dxa"/>
            <w:tcBorders/>
            <w:vAlign w:val="center"/>
          </w:tcPr>
          <w:p>
            <w:pPr>
              <w:pStyle w:val="TableContents"/>
              <w:bidi w:val="0"/>
              <w:spacing w:before="0" w:after="1"/>
              <w:ind w:left="0" w:right="0" w:hanging="0"/>
              <w:jc w:val="center"/>
              <w:rPr/>
            </w:pPr>
            <w:r>
              <w:rPr/>
              <w:t>​</w:t>
            </w:r>
          </w:p>
        </w:tc>
        <w:tc>
          <w:tcPr>
            <w:tcW w:w="1322"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These Earn-outs represent recurring fair value measurements with significant unobservable inputs, which management considers to be Level 3 measurements under the fair value hierarchy. The final payments may be adjusted depending on the actual amount, above or below the target. Both the Cash Earn-outs and the Stock Earn-outs are recorded at fair value and are included in purchase commitment and contingent consideration liabilities, net of current portion in the consolidated balance sheets. The Earn-outs will be revalued and adjusted quarterly until the end of the Earn-out periods, and any fair value adjustments will be recorded in the change in fair value of acquisition contingent earn-outs line of the consolidated statement of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Adjustments to the fair values of the Cash Earn-outs and the Stock Earn-outs of $3,400 and $14,100, respectively, were recorded in change in fair value of acquisition contingent earn-outs for the year ended December 31, 2024. At December 31, 2024, the Cash Earn-outs and the Stock Earn-outs of $17,900 and $17,200, respectively, are included in purchase commitment and contingent consideration liabilities, current in the consolidated balance sheets. At December 31, 2024, the Cash Earn-outs and the Stock Earn-outs of $56,500 and $30,900, respectively, are included in the purchase commitment and contingent consideration liabilities, net of current portion in the consolidated balance sheets.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sz w:val="20"/>
        </w:rPr>
      </w:pPr>
      <w:bookmarkStart w:id="1564" w:name="Tc_Wm-0l-lWSkqJ0A_sD3O34g_19_9"/>
      <w:bookmarkStart w:id="1565" w:name="Tc_4C5RScBcW02mOMXyq5v_Pw_18_12"/>
      <w:bookmarkStart w:id="1566" w:name="Tc_Hw9XwKnehU-nq6mHoBqPVA_18_9"/>
      <w:bookmarkStart w:id="1567" w:name="Tc_YHKiAAjPdUaoAieaLtKFyg_17_12"/>
      <w:bookmarkStart w:id="1568" w:name="Tc_n1tz6MDY0UOARWlmXG_QLg_17_9"/>
      <w:bookmarkStart w:id="1569" w:name="Tc_9t6U-UTCUEC98UHt61LuTA_17_6"/>
      <w:bookmarkStart w:id="1570" w:name="Tc_wy93i4oC50--XwVqWNN7EQ_17_2"/>
      <w:bookmarkStart w:id="1571" w:name="Tc_LOyhd47ltEummLE3MWryhQ_17_0"/>
      <w:bookmarkStart w:id="1572" w:name="Tc_rEtB9jXTfku2YYIaW5jysA_15_9"/>
      <w:bookmarkStart w:id="1573" w:name="Tc_gOiwgu-Mg0-tj9iMUH8YvA_14_12"/>
      <w:bookmarkStart w:id="1574" w:name="Tc_dUrVpBDNqUCkMGtQJ0R6kg_14_9"/>
      <w:bookmarkStart w:id="1575" w:name="Tc_paYOyaCcN0qpSknMZs553Q_13_12"/>
      <w:bookmarkStart w:id="1576" w:name="Tc_wR9E3t5YbEGO6Cz07o6qMA_13_9"/>
      <w:bookmarkStart w:id="1577" w:name="Tc_icye0Kib9U2CyqHr5Ra86w_13_6"/>
      <w:bookmarkStart w:id="1578" w:name="Tc_hOTmpTrZ-Uu-29UEwOIgow_13_2"/>
      <w:bookmarkStart w:id="1579" w:name="Tc_DL-cSd-Oo0iA-AP_9384FQ_13_0"/>
      <w:bookmarkStart w:id="1580" w:name="Tc_88DFc8vUt0uMLgW7h1qYGw_12_9"/>
      <w:bookmarkStart w:id="1581" w:name="Tc__u4rCTCxcUO7AdfYeSL9PA_12_6"/>
      <w:bookmarkStart w:id="1582" w:name="Tc_2hF5XLzTOkCGyrEhMrltHg_12_2"/>
      <w:bookmarkStart w:id="1583" w:name="Tc_4HJdNCOE-EKLqJScm0w-9Q_12_0"/>
      <w:bookmarkStart w:id="1584" w:name="Tc_wyZ4sAW0xU6QpIMY_IBmHg_11_2"/>
      <w:bookmarkStart w:id="1585" w:name="Tc_VwqqCV0xG0aacBoFrs1eFw_9_9"/>
      <w:bookmarkStart w:id="1586" w:name="Tc_kJ6ifqDDakOXPUGNfodrzw_8_12"/>
      <w:bookmarkStart w:id="1587" w:name="Tc_MMP-3lZ1Q0Obkq7iJ90K6A_8_9"/>
      <w:bookmarkStart w:id="1588" w:name="Tc_egbMLuZPW0ygYUUwT56bCw_7_12"/>
      <w:bookmarkStart w:id="1589" w:name="Tc_06zgc5ndx0qQ3UZdecLPzQ_7_9"/>
      <w:bookmarkStart w:id="1590" w:name="Tc_b644pBMvQ0mAMryN407cKg_7_6"/>
      <w:bookmarkStart w:id="1591" w:name="Tc_laLy0fiVYUuEef5pdIGqWg_7_2"/>
      <w:bookmarkStart w:id="1592" w:name="Tc_jM0tEXk7UkOu7cnd0t3WHg_7_0"/>
      <w:bookmarkStart w:id="1593" w:name="Tc_S74YwnxWYkW8NEnUZ6Sbdw_5_9"/>
      <w:bookmarkStart w:id="1594" w:name="Tc_7fQBa3W_vEuCFXDjEwYAMw_4_12"/>
      <w:bookmarkStart w:id="1595" w:name="Tc_fzKxsU7C_0qMdesGByU6oA_4_9"/>
      <w:bookmarkStart w:id="1596" w:name="Tc_XMPqCCYAb0-dZLbpDwsWWg_3_12"/>
      <w:bookmarkStart w:id="1597" w:name="Tc_N5W_4kMYnk2jNvQ4fvavdA_3_9"/>
      <w:bookmarkStart w:id="1598" w:name="Tc_sH7H29CWz0eb4mahBWMKRw_3_6"/>
      <w:bookmarkStart w:id="1599" w:name="Tc_WRs2YUvzhUWWokw8Jvclpg_3_2"/>
      <w:bookmarkStart w:id="1600" w:name="Tc_AvX7cWBlEUy7D5vEct-LEg_3_0"/>
      <w:bookmarkStart w:id="1601" w:name="Tc_b0Oo7y5rA0-vhd6JHeP5Rw_2_9"/>
      <w:bookmarkStart w:id="1602" w:name="Tc_5MdO2rcTfU-YnBd5JcPotg_2_6"/>
      <w:bookmarkStart w:id="1603" w:name="Tc_Qui7ocV3-UaOR1TKZCKgxw_2_2"/>
      <w:bookmarkStart w:id="1604" w:name="Tc_YpcCQyxNrEaw4D2pRv59lQ_2_0"/>
      <w:bookmarkStart w:id="1605" w:name="Tc_dw0lz7eZSk6TTKFNeB9agw_1_2"/>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r>
        <w:rPr>
          <w:rFonts w:ascii="Times New Roman;Times;serif" w:hAnsi="Times New Roman;Times;serif"/>
          <w:sz w:val="20"/>
        </w:rPr>
        <w:t>The fair values of the Cash Earn-outs and the Stock Earn-outs as of December 31, 2024 and the Acquisition Date, and unobservable inputs used for the Monte Carlo Simulation valuation, are shown in the tables below:</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655"/>
        <w:gridCol w:w="326"/>
        <w:gridCol w:w="211"/>
        <w:gridCol w:w="676"/>
        <w:gridCol w:w="326"/>
        <w:gridCol w:w="109"/>
        <w:gridCol w:w="1867"/>
        <w:gridCol w:w="326"/>
        <w:gridCol w:w="109"/>
        <w:gridCol w:w="1708"/>
        <w:gridCol w:w="109"/>
        <w:gridCol w:w="466"/>
        <w:gridCol w:w="317"/>
      </w:tblGrid>
      <w:tr>
        <w:trPr/>
        <w:tc>
          <w:tcPr>
            <w:tcW w:w="3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320925" cy="175260"/>
                      <wp:effectExtent l="0" t="0" r="0" b="0"/>
                      <wp:wrapNone/>
                      <wp:docPr id="521" name="Frame520"/>
                      <a:graphic xmlns:a="http://schemas.openxmlformats.org/drawingml/2006/main">
                        <a:graphicData uri="http://schemas.microsoft.com/office/word/2010/wordprocessingShape">
                          <wps:wsp>
                            <wps:cNvSpPr txBox="1"/>
                            <wps:spPr>
                              <a:xfrm>
                                <a:off x="0" y="0"/>
                                <a:ext cx="2320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29260" cy="175260"/>
                      <wp:effectExtent l="0" t="0" r="0" b="0"/>
                      <wp:wrapNone/>
                      <wp:docPr id="524" name="Frame5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26"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185545" cy="175260"/>
                      <wp:effectExtent l="0" t="0" r="0" b="0"/>
                      <wp:wrapNone/>
                      <wp:docPr id="527" name="Frame526"/>
                      <a:graphic xmlns:a="http://schemas.openxmlformats.org/drawingml/2006/main">
                        <a:graphicData uri="http://schemas.microsoft.com/office/word/2010/wordprocessingShape">
                          <wps:wsp>
                            <wps:cNvSpPr txBox="1"/>
                            <wps:spPr>
                              <a:xfrm>
                                <a:off x="0" y="0"/>
                                <a:ext cx="1185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9215" cy="175260"/>
                      <wp:effectExtent l="0" t="0" r="0" b="0"/>
                      <wp:wrapNone/>
                      <wp:docPr id="529"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084580" cy="175260"/>
                      <wp:effectExtent l="0" t="0" r="0" b="0"/>
                      <wp:wrapNone/>
                      <wp:docPr id="530" name="Frame529"/>
                      <a:graphic xmlns:a="http://schemas.openxmlformats.org/drawingml/2006/main">
                        <a:graphicData uri="http://schemas.microsoft.com/office/word/2010/wordprocessingShape">
                          <wps:wsp>
                            <wps:cNvSpPr txBox="1"/>
                            <wps:spPr>
                              <a:xfrm>
                                <a:off x="0" y="0"/>
                                <a:ext cx="1084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9215" cy="175260"/>
                      <wp:effectExtent l="0" t="0" r="0" b="0"/>
                      <wp:wrapNone/>
                      <wp:docPr id="531" name="Frame5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95910" cy="175260"/>
                      <wp:effectExtent l="0" t="0" r="0" b="0"/>
                      <wp:wrapNone/>
                      <wp:docPr id="532" name="Frame53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1295" cy="175260"/>
                      <wp:effectExtent l="0" t="0" r="0" b="0"/>
                      <wp:wrapNone/>
                      <wp:docPr id="533" name="Frame53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22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6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8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60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22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Acquisition Date</w:t>
            </w:r>
          </w:p>
        </w:tc>
      </w:tr>
      <w:tr>
        <w:trPr/>
        <w:tc>
          <w:tcPr>
            <w:tcW w:w="36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8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60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0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7"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 xml:space="preserve">Tellutax, LLC Contingent Consideration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2021 Tellutax, LLC (“Tellutax”) acquisition entitled the sellers to contingent consideration if sales targets are met during a period of time following the acquisition (the “Tellutax Contingent Consideration”). The estimated fair value of the Tellutax Contingent Consideration as of the acquisition date of January 25, 2021 was $2,200.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Tellutax Contingent Consideration was based on three potential earn-out payments determined by periodic revenue achievements over a thirty-month period. Such estimates represented recurring fair value measurements with significant unobservable inputs, which management considered to be Level 3 measurements under the Fair Value Hierarchy. The significant assumptions used in these calculations included forecasted results and the estimated likelihood for each performance scenario. The fair value of Tellutax Contingent Consideration was estimated using a Monte Carlo Simulation to compute the expected cash flows from earn-out payments specified in the purchase agreement. The earn-out payments had no maximum limit, but when certain targets were not met, there was no earn-out payment for the applicable measurement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Adjustments to the Tellutax Contingent Consideration fair value of $(2,575), $1,549, and $2,300 were recorded in other operating expense, net for the years ended December 31, 2024, 2023, and 2022, respectively. At December 31, 2024, the Tellutax Contingent Consideration balance was $0. At December 31, 2023, the Tellutax Contingent Consideration of $2,300 and $2,600 is included in purchase commitment and contingent consideration liabilities, current, and purchase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both"/>
        <w:rPr>
          <w:rFonts w:ascii="Times New Roman;Times;serif" w:hAnsi="Times New Roman;Times;serif"/>
          <w:sz w:val="20"/>
        </w:rPr>
      </w:pPr>
      <w:bookmarkStart w:id="1606" w:name="Tc_mEn7m6u_TUqnGM1M7eoosw_13_8"/>
      <w:bookmarkStart w:id="1607" w:name="Tc_zZouIFOZcU2nsGBbDfvMkA_13_5"/>
      <w:bookmarkStart w:id="1608" w:name="Tc_Ah0Dyl3f_0GTO7eTiBVjSw_13_3"/>
      <w:bookmarkStart w:id="1609" w:name="Tc_8tXpbir5FEiOdP3_qivAug_13_2"/>
      <w:bookmarkStart w:id="1610" w:name="Tc__hTIFrgUjk-KdNg-CrLALw_13_0"/>
      <w:bookmarkStart w:id="1611" w:name="Tc_ebwjcAxh50mRAdJj9KrfEw_12_9"/>
      <w:bookmarkStart w:id="1612" w:name="Tc_st6bnzwHskemo46heGVqaQ_12_6"/>
      <w:bookmarkStart w:id="1613" w:name="Tc_-z16gfRYIEmUlAdasiQ-nA_12_0"/>
      <w:bookmarkStart w:id="1614" w:name="Tc_W8GPC_B2jUmPeiWS2QEXjw_10_3"/>
      <w:bookmarkStart w:id="1615" w:name="Tc_QYH09hbkN0G7ygZ_o9w2QA_10_0"/>
      <w:bookmarkStart w:id="1616" w:name="Tc_9pUtmPbmmECfCES1B1hR3w_9_9"/>
      <w:bookmarkStart w:id="1617" w:name="Tc_2K44D7z2H0aBkY9YcGAwxw_9_6"/>
      <w:bookmarkStart w:id="1618" w:name="Tc_vS5DWMrib0mqn4GiBlPACw_9_0"/>
      <w:bookmarkStart w:id="1619" w:name="Tc_PWXk7lORh0KgQ3FxUdtjWQ_8_9"/>
      <w:bookmarkStart w:id="1620" w:name="Tc_2Kl5Bxs5X0i3FjVzAiy25g_8_6"/>
      <w:bookmarkStart w:id="1621" w:name="Tc_p-CBm47A2UWTtt6gHGscUg_8_0"/>
      <w:bookmarkStart w:id="1622" w:name="Tc_-48xSq6eYkignDRgs91RTA_7_9"/>
      <w:bookmarkStart w:id="1623" w:name="Tc_IQj-axCekEKOabkyi7YpBw_7_6"/>
      <w:bookmarkStart w:id="1624" w:name="Tc_ZW2YTIo4oUKUxkzfG1kW8g_6_9"/>
      <w:bookmarkStart w:id="1625" w:name="Tc_GXm-rLgJ60S20BioTcxiVw_6_6"/>
      <w:bookmarkStart w:id="1626" w:name="Tc_9RU1GH6QFUSafcpmlu-LWg_6_0"/>
      <w:bookmarkStart w:id="1627" w:name="Tc_E4ZRzVl7VU-SCIokPAogSQ_5_9"/>
      <w:bookmarkStart w:id="1628" w:name="Tc__RpaNrBC9k-KroS2Q3HN9g_5_6"/>
      <w:bookmarkStart w:id="1629" w:name="Tc_7uaJTRYdfkO5_NnaXxoVMQ_4_9"/>
      <w:bookmarkStart w:id="1630" w:name="Tc_YJ7gPaG0YU-klyRW9D6Cmw_4_8"/>
      <w:bookmarkStart w:id="1631" w:name="Tc_WzksNatCWUaMF_o6PNlQTA_4_6"/>
      <w:bookmarkStart w:id="1632" w:name="Tc_wwN6LXOP_kGRTYY1Z6QAnQ_4_5"/>
      <w:bookmarkStart w:id="1633" w:name="Tc_65MJ86eP90ynOvtX5Dl0jA_4_2"/>
      <w:bookmarkStart w:id="1634" w:name="Tc_kTOvwge7yEi38OYRl3qMxA_4_0"/>
      <w:bookmarkStart w:id="1635" w:name="Tc_hNAV8D6iGUWB1LOG1F2VJA_3_8"/>
      <w:bookmarkStart w:id="1636" w:name="Tc_tCT-w7ClG06qWYB41IaXRg_3_5"/>
      <w:bookmarkStart w:id="1637" w:name="Tc_9w6vdG9jJUqO8aoNBc3TKA_3_2"/>
      <w:bookmarkStart w:id="1638" w:name="Tc_w-pR8BGUq06qrk1D3KAD9w_2_8"/>
      <w:bookmarkStart w:id="1639" w:name="Tc_lWmcs00yS0Sg4NDCGOqp4A_2_5"/>
      <w:bookmarkStart w:id="1640" w:name="Tc_yP5NCYu3j0SXLSopa-pLXA_2_2"/>
      <w:bookmarkStart w:id="1641" w:name="Tc_Q-zIKz7Jh0i-lk0rgBxYZg_1_8"/>
      <w:bookmarkStart w:id="1642" w:name="Tc_ZU-y2UemskSJ5NBZDKtZ8Q_1_5"/>
      <w:bookmarkStart w:id="1643" w:name="Tc_5kcU18hsqUKfYdH_weOXxw_1_2"/>
      <w:bookmarkStart w:id="1644" w:name="Tc_9V-6Y02IDk-NwIAM5zttIw_5_9"/>
      <w:bookmarkStart w:id="1645" w:name="Tc_1vdTOaXGFkio03307c4hkg_4_12"/>
      <w:bookmarkStart w:id="1646" w:name="Tc_z7D1c_VfwEK3ZvzQRPdtYg_4_9"/>
      <w:bookmarkStart w:id="1647" w:name="Tc_vb0RyKZLl0yg_1EV-o_-UA_3_12"/>
      <w:bookmarkStart w:id="1648" w:name="Tc_GzfrIDpJakaHANImeTZmvA_3_9"/>
      <w:bookmarkStart w:id="1649" w:name="Tc_Pnf5iXXG5kGc3vPQdhdIdQ_3_6"/>
      <w:bookmarkStart w:id="1650" w:name="Tc_0aSPnp9t7EO44WKhG6adlw_3_2"/>
      <w:bookmarkStart w:id="1651" w:name="Tc_lZYY5s1LMkCwERUCgqfdug_3_0"/>
      <w:bookmarkStart w:id="1652" w:name="Tc_SW163aZR70ikRyYLRocBqg_2_9"/>
      <w:bookmarkStart w:id="1653" w:name="Tc_2dczCOhtMEyOGslMPsgZqA_2_6"/>
      <w:bookmarkStart w:id="1654" w:name="Tc_X_GpWBJ_-kOJDCuBjT1eTg_2_2"/>
      <w:bookmarkStart w:id="1655" w:name="Tc_zYIOD0b88U6KPFgOuKuMNQ_2_0"/>
      <w:bookmarkStart w:id="1656" w:name="Tc_S34oChzatUC6h4faeXWpwg_1_2"/>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r>
        <w:rPr>
          <w:rFonts w:ascii="Times New Roman;Times;serif" w:hAnsi="Times New Roman;Times;serif"/>
          <w:sz w:val="20"/>
        </w:rPr>
        <w:t xml:space="preserve">commitment and contingent consideration liabilities, net of current portion, respectively, in the consolidated balance sheets.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Tellutax Contingent Consideration fair value and unobservable inputs used for the Monte Carlo Simulation valuation were as follows:</w:t>
      </w:r>
    </w:p>
    <w:p>
      <w:pPr>
        <w:pStyle w:val="TextBody"/>
        <w:bidi w:val="0"/>
        <w:spacing w:before="0" w:after="240"/>
        <w:ind w:left="0" w:right="0" w:firstLine="360"/>
        <w:jc w:val="both"/>
        <w:rPr/>
      </w:pPr>
      <w:r>
        <w:rPr/>
        <w:t>​</w:t>
      </w:r>
    </w:p>
    <w:tbl>
      <w:tblPr>
        <w:tblW w:w="9965" w:type="dxa"/>
        <w:jc w:val="left"/>
        <w:tblInd w:w="0" w:type="dxa"/>
        <w:tblLayout w:type="fixed"/>
        <w:tblCellMar>
          <w:top w:w="0" w:type="dxa"/>
          <w:left w:w="0" w:type="dxa"/>
          <w:bottom w:w="0" w:type="dxa"/>
          <w:right w:w="0" w:type="dxa"/>
        </w:tblCellMar>
      </w:tblPr>
      <w:tblGrid>
        <w:gridCol w:w="2986"/>
        <w:gridCol w:w="326"/>
        <w:gridCol w:w="239"/>
        <w:gridCol w:w="646"/>
        <w:gridCol w:w="326"/>
        <w:gridCol w:w="109"/>
        <w:gridCol w:w="2086"/>
        <w:gridCol w:w="326"/>
        <w:gridCol w:w="109"/>
        <w:gridCol w:w="1921"/>
        <w:gridCol w:w="109"/>
        <w:gridCol w:w="466"/>
        <w:gridCol w:w="31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896110" cy="175260"/>
                      <wp:effectExtent l="0" t="0" r="0" b="0"/>
                      <wp:wrapNone/>
                      <wp:docPr id="534" name="Frame533"/>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51765" cy="175260"/>
                      <wp:effectExtent l="0" t="0" r="0" b="0"/>
                      <wp:wrapNone/>
                      <wp:docPr id="536" name="Frame53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10210" cy="175260"/>
                      <wp:effectExtent l="0" t="0" r="0" b="0"/>
                      <wp:wrapNone/>
                      <wp:docPr id="537" name="Frame53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24610" cy="175260"/>
                      <wp:effectExtent l="0" t="0" r="0" b="0"/>
                      <wp:wrapNone/>
                      <wp:docPr id="540" name="Frame539"/>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9215" cy="175260"/>
                      <wp:effectExtent l="0" t="0" r="0" b="0"/>
                      <wp:wrapNone/>
                      <wp:docPr id="542" name="Frame5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219835" cy="175260"/>
                      <wp:effectExtent l="0" t="0" r="0" b="0"/>
                      <wp:wrapNone/>
                      <wp:docPr id="543" name="Frame54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9215" cy="175260"/>
                      <wp:effectExtent l="0" t="0" r="0" b="0"/>
                      <wp:wrapNone/>
                      <wp:docPr id="544" name="Frame5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95910" cy="175260"/>
                      <wp:effectExtent l="0" t="0" r="0" b="0"/>
                      <wp:wrapNone/>
                      <wp:docPr id="545" name="Frame54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0660" cy="175260"/>
                      <wp:effectExtent l="0" t="0" r="0" b="0"/>
                      <wp:wrapNone/>
                      <wp:docPr id="546" name="Frame5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5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9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Liability</w:t>
            </w:r>
          </w:p>
        </w:tc>
        <w:tc>
          <w:tcPr>
            <w:tcW w:w="326" w:type="dxa"/>
            <w:tcBorders/>
            <w:vAlign w:val="center"/>
          </w:tcPr>
          <w:p>
            <w:pPr>
              <w:pStyle w:val="TableContents"/>
              <w:bidi w:val="0"/>
              <w:spacing w:before="0" w:after="1"/>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81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Tellutax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Beginning and ending balances in fair value of the Company’s Level 3 liabilities were as follows: </w:t>
      </w:r>
    </w:p>
    <w:p>
      <w:pPr>
        <w:pStyle w:val="TextBody"/>
        <w:bidi w:val="0"/>
        <w:spacing w:before="0" w:after="0"/>
        <w:ind w:left="0" w:right="0" w:hanging="0"/>
        <w:jc w:val="left"/>
        <w:rPr/>
      </w:pPr>
      <w:r>
        <w:rPr/>
        <w:t>​</w:t>
      </w:r>
    </w:p>
    <w:tbl>
      <w:tblPr>
        <w:tblW w:w="7904" w:type="dxa"/>
        <w:jc w:val="left"/>
        <w:tblInd w:w="0" w:type="dxa"/>
        <w:tblLayout w:type="fixed"/>
        <w:tblCellMar>
          <w:top w:w="0" w:type="dxa"/>
          <w:left w:w="0" w:type="dxa"/>
          <w:bottom w:w="0" w:type="dxa"/>
          <w:right w:w="0" w:type="dxa"/>
        </w:tblCellMar>
      </w:tblPr>
      <w:tblGrid>
        <w:gridCol w:w="2446"/>
        <w:gridCol w:w="109"/>
        <w:gridCol w:w="281"/>
        <w:gridCol w:w="845"/>
        <w:gridCol w:w="109"/>
        <w:gridCol w:w="469"/>
        <w:gridCol w:w="1511"/>
        <w:gridCol w:w="109"/>
        <w:gridCol w:w="425"/>
        <w:gridCol w:w="1600"/>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553210" cy="175260"/>
                      <wp:effectExtent l="0" t="0" r="0" b="0"/>
                      <wp:wrapNone/>
                      <wp:docPr id="547" name="Frame546"/>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48" name="Frame5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78435" cy="175260"/>
                      <wp:effectExtent l="0" t="0" r="0" b="0"/>
                      <wp:wrapNone/>
                      <wp:docPr id="549" name="Frame54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36575" cy="175260"/>
                      <wp:effectExtent l="0" t="0" r="0" b="0"/>
                      <wp:wrapNone/>
                      <wp:docPr id="550" name="Frame549"/>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9215" cy="175260"/>
                      <wp:effectExtent l="0" t="0" r="0" b="0"/>
                      <wp:wrapNone/>
                      <wp:docPr id="551" name="Frame5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97815" cy="175260"/>
                      <wp:effectExtent l="0" t="0" r="0" b="0"/>
                      <wp:wrapNone/>
                      <wp:docPr id="552" name="Frame551"/>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959485" cy="175260"/>
                      <wp:effectExtent l="0" t="0" r="0" b="0"/>
                      <wp:wrapNone/>
                      <wp:docPr id="553" name="Frame552"/>
                      <a:graphic xmlns:a="http://schemas.openxmlformats.org/drawingml/2006/main">
                        <a:graphicData uri="http://schemas.microsoft.com/office/word/2010/wordprocessingShape">
                          <wps:wsp>
                            <wps:cNvSpPr txBox="1"/>
                            <wps:spPr>
                              <a:xfrm>
                                <a:off x="0" y="0"/>
                                <a:ext cx="95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54" name="Frame5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69875" cy="175260"/>
                      <wp:effectExtent l="0" t="0" r="0" b="0"/>
                      <wp:wrapNone/>
                      <wp:docPr id="555" name="Frame554"/>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016000" cy="175260"/>
                      <wp:effectExtent l="0" t="0" r="0" b="0"/>
                      <wp:wrapNone/>
                      <wp:docPr id="556" name="Frame555"/>
                      <a:graphic xmlns:a="http://schemas.openxmlformats.org/drawingml/2006/main">
                        <a:graphicData uri="http://schemas.microsoft.com/office/word/2010/wordprocessingShape">
                          <wps:wsp>
                            <wps:cNvSpPr txBox="1"/>
                            <wps:spPr>
                              <a:xfrm>
                                <a:off x="0" y="0"/>
                                <a:ext cx="1016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Tellutax</w:t>
            </w:r>
          </w:p>
        </w:tc>
        <w:tc>
          <w:tcPr>
            <w:tcW w:w="109" w:type="dxa"/>
            <w:tcBorders/>
            <w:vAlign w:val="center"/>
          </w:tcPr>
          <w:p>
            <w:pPr>
              <w:pStyle w:val="TableContents"/>
              <w:bidi w:val="0"/>
              <w:spacing w:before="0" w:after="1"/>
              <w:ind w:left="0" w:right="0" w:hanging="0"/>
              <w:jc w:val="left"/>
              <w:rPr/>
            </w:pPr>
            <w:r>
              <w:rPr/>
              <w:t>​</w:t>
            </w:r>
          </w:p>
        </w:tc>
        <w:tc>
          <w:tcPr>
            <w:tcW w:w="19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ecosio </w:t>
            </w:r>
          </w:p>
        </w:tc>
        <w:tc>
          <w:tcPr>
            <w:tcW w:w="109" w:type="dxa"/>
            <w:tcBorders/>
            <w:vAlign w:val="center"/>
          </w:tcPr>
          <w:p>
            <w:pPr>
              <w:pStyle w:val="TableContents"/>
              <w:bidi w:val="0"/>
              <w:spacing w:before="0" w:after="1"/>
              <w:ind w:left="0" w:right="0" w:hanging="0"/>
              <w:jc w:val="center"/>
              <w:rPr/>
            </w:pPr>
            <w:r>
              <w:rPr/>
              <w:t>​</w:t>
            </w:r>
          </w:p>
        </w:tc>
        <w:tc>
          <w:tcPr>
            <w:tcW w:w="20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ecosio </w:t>
            </w:r>
          </w:p>
        </w:tc>
      </w:tr>
      <w:tr>
        <w:trPr/>
        <w:tc>
          <w:tcPr>
            <w:tcW w:w="24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w:t>
            </w:r>
          </w:p>
        </w:tc>
        <w:tc>
          <w:tcPr>
            <w:tcW w:w="109" w:type="dxa"/>
            <w:tcBorders/>
            <w:vAlign w:val="center"/>
          </w:tcPr>
          <w:p>
            <w:pPr>
              <w:pStyle w:val="TableContents"/>
              <w:bidi w:val="0"/>
              <w:spacing w:before="0" w:after="1"/>
              <w:ind w:left="0" w:right="0" w:hanging="0"/>
              <w:jc w:val="left"/>
              <w:rPr/>
            </w:pPr>
            <w:r>
              <w:rPr/>
              <w:t>​</w:t>
            </w:r>
          </w:p>
        </w:tc>
        <w:tc>
          <w:tcPr>
            <w:tcW w:w="19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 Consideration</w:t>
            </w:r>
          </w:p>
        </w:tc>
        <w:tc>
          <w:tcPr>
            <w:tcW w:w="109" w:type="dxa"/>
            <w:tcBorders/>
            <w:vAlign w:val="center"/>
          </w:tcPr>
          <w:p>
            <w:pPr>
              <w:pStyle w:val="TableContents"/>
              <w:bidi w:val="0"/>
              <w:spacing w:before="0" w:after="1"/>
              <w:ind w:left="0" w:right="0" w:hanging="0"/>
              <w:jc w:val="center"/>
              <w:rPr/>
            </w:pPr>
            <w:r>
              <w:rPr/>
              <w:t>​</w:t>
            </w:r>
          </w:p>
        </w:tc>
        <w:tc>
          <w:tcPr>
            <w:tcW w:w="20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 Consideration</w:t>
            </w:r>
          </w:p>
        </w:tc>
      </w:tr>
      <w:tr>
        <w:trPr/>
        <w:tc>
          <w:tcPr>
            <w:tcW w:w="24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Consideration</w:t>
            </w:r>
          </w:p>
        </w:tc>
        <w:tc>
          <w:tcPr>
            <w:tcW w:w="109" w:type="dxa"/>
            <w:tcBorders/>
            <w:vAlign w:val="center"/>
          </w:tcPr>
          <w:p>
            <w:pPr>
              <w:pStyle w:val="TableContents"/>
              <w:bidi w:val="0"/>
              <w:spacing w:before="0" w:after="1"/>
              <w:ind w:left="0" w:right="0" w:hanging="0"/>
              <w:jc w:val="left"/>
              <w:rPr/>
            </w:pPr>
            <w:r>
              <w:rPr/>
              <w:t>​</w:t>
            </w:r>
          </w:p>
        </w:tc>
        <w:tc>
          <w:tcPr>
            <w:tcW w:w="1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Earn-outs</w:t>
            </w:r>
          </w:p>
        </w:tc>
        <w:tc>
          <w:tcPr>
            <w:tcW w:w="109" w:type="dxa"/>
            <w:tcBorders/>
            <w:vAlign w:val="center"/>
          </w:tcPr>
          <w:p>
            <w:pPr>
              <w:pStyle w:val="TableContents"/>
              <w:bidi w:val="0"/>
              <w:spacing w:before="0" w:after="1"/>
              <w:ind w:left="0" w:right="0" w:hanging="0"/>
              <w:jc w:val="center"/>
              <w:rPr/>
            </w:pPr>
            <w:r>
              <w:rPr/>
              <w:t>​</w:t>
            </w:r>
          </w:p>
        </w:tc>
        <w:tc>
          <w:tcPr>
            <w:tcW w:w="2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Earn-outs</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2022</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600" w:type="dxa"/>
            <w:tcBorders/>
            <w:shd w:fill="CCEEFF" w:val="cle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109"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w:t>
            </w:r>
          </w:p>
        </w:tc>
        <w:tc>
          <w:tcPr>
            <w:tcW w:w="109" w:type="dxa"/>
            <w:tcBorders/>
            <w:vAlign w:val="center"/>
          </w:tcPr>
          <w:p>
            <w:pPr>
              <w:pStyle w:val="TableContents"/>
              <w:bidi w:val="0"/>
              <w:spacing w:before="0" w:after="1"/>
              <w:ind w:left="0" w:right="0" w:hanging="0"/>
              <w:jc w:val="right"/>
              <w:rPr/>
            </w:pPr>
            <w:r>
              <w:rPr/>
              <w:t>​</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w:t>
            </w:r>
          </w:p>
        </w:tc>
        <w:tc>
          <w:tcPr>
            <w:tcW w:w="109" w:type="dxa"/>
            <w:tcBorders/>
            <w:vAlign w:val="center"/>
          </w:tcPr>
          <w:p>
            <w:pPr>
              <w:pStyle w:val="TableContents"/>
              <w:bidi w:val="0"/>
              <w:spacing w:before="0" w:after="1"/>
              <w:ind w:left="0" w:right="0" w:hanging="0"/>
              <w:jc w:val="right"/>
              <w:rPr/>
            </w:pPr>
            <w:r>
              <w:rPr/>
              <w:t>​</w:t>
            </w:r>
          </w:p>
        </w:tc>
        <w:tc>
          <w:tcPr>
            <w:tcW w:w="469" w:type="dxa"/>
            <w:tcBorders/>
            <w:vAlign w:val="center"/>
          </w:tcPr>
          <w:p>
            <w:pPr>
              <w:pStyle w:val="TableContents"/>
              <w:bidi w:val="0"/>
              <w:spacing w:before="0" w:after="1"/>
              <w:ind w:left="0" w:right="0" w:hanging="0"/>
              <w:jc w:val="right"/>
              <w:rPr/>
            </w:pPr>
            <w:r>
              <w:rPr/>
              <w:t>​</w:t>
            </w:r>
          </w:p>
        </w:tc>
        <w:tc>
          <w:tcPr>
            <w:tcW w:w="1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right"/>
              <w:rPr/>
            </w:pPr>
            <w:r>
              <w:rPr/>
              <w:t>​</w:t>
            </w:r>
          </w:p>
        </w:tc>
        <w:tc>
          <w:tcPr>
            <w:tcW w:w="1600" w:type="dxa"/>
            <w:tcBorders/>
            <w:vAlign w:val="center"/>
          </w:tcPr>
          <w:p>
            <w:pPr>
              <w:pStyle w:val="TableContents"/>
              <w:bidi w:val="0"/>
              <w:spacing w:before="0" w:after="1"/>
              <w:ind w:left="0" w:right="0" w:hanging="0"/>
              <w:jc w:val="right"/>
              <w:rPr/>
            </w:pPr>
            <w:r>
              <w:rPr/>
              <w:t>—</w:t>
            </w:r>
          </w:p>
        </w:tc>
      </w:tr>
      <w:tr>
        <w:trPr/>
        <w:tc>
          <w:tcPr>
            <w:tcW w:w="24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109"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109" w:type="dxa"/>
            <w:tcBorders/>
            <w:vAlign w:val="center"/>
          </w:tcPr>
          <w:p>
            <w:pPr>
              <w:pStyle w:val="TableContents"/>
              <w:bidi w:val="0"/>
              <w:spacing w:before="0" w:after="1"/>
              <w:ind w:left="0" w:right="0" w:hanging="0"/>
              <w:jc w:val="right"/>
              <w:rPr/>
            </w:pPr>
            <w:r>
              <w:rPr/>
              <w:t>​</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acquisition (Note 3)</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1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71,000</w:t>
            </w:r>
          </w:p>
        </w:tc>
        <w:tc>
          <w:tcPr>
            <w:tcW w:w="109"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1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34,000</w:t>
            </w:r>
          </w:p>
        </w:tc>
      </w:tr>
      <w:tr>
        <w:trPr/>
        <w:tc>
          <w:tcPr>
            <w:tcW w:w="2446" w:type="dxa"/>
            <w:tcBorders/>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w:t>
            </w:r>
          </w:p>
        </w:tc>
        <w:tc>
          <w:tcPr>
            <w:tcW w:w="109" w:type="dxa"/>
            <w:tcBorders/>
            <w:vAlign w:val="center"/>
          </w:tcPr>
          <w:p>
            <w:pPr>
              <w:pStyle w:val="TableContents"/>
              <w:bidi w:val="0"/>
              <w:spacing w:before="0" w:after="1"/>
              <w:ind w:left="0" w:right="0" w:hanging="0"/>
              <w:jc w:val="right"/>
              <w:rPr/>
            </w:pPr>
            <w:r>
              <w:rPr/>
              <w:t>​</w:t>
            </w:r>
          </w:p>
        </w:tc>
        <w:tc>
          <w:tcPr>
            <w:tcW w:w="469" w:type="dxa"/>
            <w:tcBorders/>
            <w:vAlign w:val="center"/>
          </w:tcPr>
          <w:p>
            <w:pPr>
              <w:pStyle w:val="TableContents"/>
              <w:bidi w:val="0"/>
              <w:spacing w:before="0" w:after="1"/>
              <w:ind w:left="0" w:right="0" w:hanging="0"/>
              <w:jc w:val="left"/>
              <w:rPr/>
            </w:pPr>
            <w:r>
              <w:rPr/>
              <w:t>​</w:t>
            </w:r>
          </w:p>
        </w:tc>
        <w:tc>
          <w:tcPr>
            <w:tcW w:w="1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w:t>
            </w:r>
          </w:p>
        </w:tc>
        <w:tc>
          <w:tcPr>
            <w:tcW w:w="109"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14,100</w:t>
            </w:r>
          </w:p>
        </w:tc>
      </w:tr>
      <w:tr>
        <w:trPr/>
        <w:tc>
          <w:tcPr>
            <w:tcW w:w="24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w:t>
            </w:r>
          </w:p>
        </w:tc>
        <w:tc>
          <w:tcPr>
            <w:tcW w:w="109" w:type="dxa"/>
            <w:tcBorders/>
            <w:shd w:fill="CCEEFF" w:val="clear"/>
            <w:vAlign w:val="center"/>
          </w:tcPr>
          <w:p>
            <w:pPr>
              <w:pStyle w:val="TableContents"/>
              <w:bidi w:val="0"/>
              <w:spacing w:before="0" w:after="1"/>
              <w:ind w:left="0" w:right="0" w:hanging="0"/>
              <w:jc w:val="right"/>
              <w:rPr/>
            </w:pPr>
            <w:r>
              <w:rPr/>
              <w:t>​</w:t>
            </w:r>
          </w:p>
        </w:tc>
        <w:tc>
          <w:tcPr>
            <w:tcW w:w="4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109"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109" w:type="dxa"/>
            <w:tcBorders/>
            <w:vAlign w:val="center"/>
          </w:tcPr>
          <w:p>
            <w:pPr>
              <w:pStyle w:val="TableContents"/>
              <w:bidi w:val="0"/>
              <w:spacing w:before="0" w:after="1"/>
              <w:ind w:left="0" w:right="0" w:hanging="0"/>
              <w:jc w:val="left"/>
              <w:rPr/>
            </w:pPr>
            <w:r>
              <w:rPr/>
              <w:t>​</w:t>
            </w:r>
          </w:p>
        </w:tc>
        <w:tc>
          <w:tcPr>
            <w:tcW w:w="4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600"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48,100</w:t>
            </w:r>
          </w:p>
        </w:tc>
      </w:tr>
    </w:tbl>
    <w:p>
      <w:pPr>
        <w:pStyle w:val="TextBody"/>
        <w:bidi w:val="0"/>
        <w:spacing w:before="0" w:after="240"/>
        <w:ind w:left="0" w:right="0" w:firstLine="36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Assets and Liabilities for Which Fair Value is Only Disclosed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cash and cash equivalents and the carrying amount of funds held for customers were the same as their respective fair values and are considered Level 1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 of our bank debt approximates fair value as the variable rates on the debt approximate those commercially available in the market, and is considered a Level 3 measurement.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Non-recurring Fair Value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ecosio acquisition on August 30, 2024,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7, 2020, the Company acquired a 60% controlling interest in Systax, a provider of Brazilian transaction tax content and software. The Company had a contractual commitment to acquire the remaining equity interest from the original Systax Quotaholders incrementally through 2024. Purchase commitment payments for these incremental acquisition amounts were based on a multiple of Systax revenue and earnings before interest, depreciation, amortization, and income taxes (“EBITDA”) performance at the end of 2022 and 2023. Management determined these incremental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has fluctuated as a result of changes in foreign currency exchange rates and was reflected in purchase commitment and contingent consideration liabilities in the consolidated balance sheets, with such changes in exchange rates being reflected in other comprehensive loss or income in the consolidated statements of comprehensive loss. Adjustments to the settlement date value that arose as a result of remeasurement at each balance sheet were recorded as interest expense related to financing costs in the consolidated statements of comprehensive loss in the period the change was identified. The Company recorded increases in interest expense of $423, $4,020 and $990 during 2024, 2023, and 2022, respectively, associated with recording an increase in the settlement value.</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acquired an additional 5% equity interest of Systax during 2021 for $788, increasing the Company’s equity interest in Systax to 65%. The Company acquired an additional 15% equity interest of Systax through a Purchase Commitment Liability payment of $4,975 during 2023, increasing the Company’s equity interest in Systax to 80%.  During the year ended December 31, 2024, the Company paid $9,622 to acquire the remaining 20% equity interest of Systax, which increased the Company’s ownership percentage of Systax to 100%, and settled the outstanding Purchase Commitment Liability.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Purchase Commitment Liability at December 31, 2023 included in purchase commitment and contingent consideration liabilities, current, in the consolidated balance sheets was $9,601. The carrying amount approximated its respective fair value at December 31, 2023 and was considered a Level 3 non-recurring 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estimated the initial fair value of the Purchase Commitment Liability using a Monte Carlo Simulation, which the Company considers to be a Level 3 measurement. The significant assumptions used in the Monte Carlo Simulation include, among other variables, forecasted cash flow projections consistent with those used to support the overall purchase price, selection of comparable companies, asset volatility and discount rate determinations, and the total number of simulations to compute.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Derivative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may periodically enter into derivative contracts to reduce its exposure to foreign currency exchange rates. Historically the Company has not designated derivative contracts as hedges. The derivative contracts are typically designed to manage specific risks according to the Company’s strategies, which may change from time to time.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entered into a series of foreign currency forward contracts to reduce its exposure to adverse fluctuations in the Brazilian Real associated with a portion of the Purchase Commitment Liability. Such forward contracts, were not designated as a hedge, did not qualify for hedge accounting and were not material to the consolidated financial statements. During 2024, the forward currency contracts matured as the Company settled the outstanding Purchase Commitment Liability. These forward contacts were remeasured at fair value on a recurring basis and are included in other assets in the December 31, 2023 consolidated balance sheets, with changes in their estimated fair value recognized as interest expense in the consolidated statements of comprehensive loss. The Company’s fair value determinations were based on foreign currency exchange rates in active markets, which are considered to be Level 2 measurements within the Fair Value Hierarchy.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Convertible Senior Notes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NewRomanPSMT" w:hAnsi="TimesNewRomanPSMT"/>
          <w:sz w:val="20"/>
        </w:rPr>
        <w:t>At December 31, 2024 and 2023, the fair value of the</w:t>
      </w:r>
      <w:r>
        <w:rPr>
          <w:rFonts w:ascii="Times New Roman;Times;serif" w:hAnsi="Times New Roman;Times;serif"/>
          <w:sz w:val="20"/>
        </w:rPr>
        <w:t xml:space="preserve"> Notes </w:t>
      </w:r>
      <w:r>
        <w:rPr>
          <w:rFonts w:ascii="TimesNewRomanPSMT" w:hAnsi="TimesNewRomanPSMT"/>
          <w:sz w:val="20"/>
        </w:rPr>
        <w:t>were $539,494</w:t>
      </w:r>
      <w:r>
        <w:rPr>
          <w:rFonts w:ascii="Times New Roman;Times;serif" w:hAnsi="Times New Roman;Times;serif"/>
          <w:sz w:val="20"/>
        </w:rPr>
        <w:t xml:space="preserve"> </w:t>
      </w:r>
      <w:r>
        <w:rPr>
          <w:rFonts w:ascii="TimesNewRomanPSMT" w:hAnsi="TimesNewRomanPSMT"/>
          <w:sz w:val="20"/>
        </w:rPr>
        <w:t xml:space="preserve">and $0, respectively. The fair value was determined based on the quoted price of the Notes in an over-the-counter market on the last trading day of the reporting period and has been classified as Level 2 in the Fair Value Hierarchy. </w:t>
      </w:r>
      <w:r>
        <w:rPr>
          <w:rFonts w:ascii="Times New Roman;Times;serif" w:hAnsi="Times New Roman;Times;serif"/>
          <w:sz w:val="20"/>
        </w:rPr>
        <w:t>For further information on the Notes, refer to Note 10, “Debt.”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657" w:name="Tc_5FL_3-xbKkmJ2DrtJGpHPw_7_5"/>
      <w:bookmarkStart w:id="1658" w:name="Tc_BXs0qEmzpk2HcombWo5X5A_7_2"/>
      <w:bookmarkStart w:id="1659" w:name="Tc_0eHXo1ZEbUS7C25ePLekmQ_7_0"/>
      <w:bookmarkStart w:id="1660" w:name="Tc_4qLufXtwD06bz464IKwJOQ_6_0"/>
      <w:bookmarkStart w:id="1661" w:name="Tc_ayWBxATNnk-ioG0R59T0_A_5_0"/>
      <w:bookmarkStart w:id="1662" w:name="Tc_bF7e8HQB10iKLBsuLBIF_A_4_0"/>
      <w:bookmarkStart w:id="1663" w:name="Tc_W3laY0_bRUWMfSb66s4POg_3_5"/>
      <w:bookmarkStart w:id="1664" w:name="Tc_-X09XQHtAE-zfhX5_2LRDA_3_2"/>
      <w:bookmarkStart w:id="1665" w:name="Tc_8by9s4KowUSDx3s0MePC4g_3_0"/>
      <w:bookmarkStart w:id="1666" w:name="Tc_O2juLMlu-ES1JkAqVLAG9Q_2_5"/>
      <w:bookmarkStart w:id="1667" w:name="Tc_UV3ZkESsLUyOc9sVGVVt-A_2_2"/>
      <w:bookmarkStart w:id="1668" w:name="Tc_CoQJYXeeiUytBmJNV_W8aw_1_2"/>
      <w:bookmarkStart w:id="1669" w:name="Tc_5VUt5WiXsEOwK4DNZOBsyA_13_5"/>
      <w:bookmarkStart w:id="1670" w:name="Tc_uBcmiioPHEG3pe_f8Kg0GQ_13_2"/>
      <w:bookmarkStart w:id="1671" w:name="Tc_4La87zB1G0eB80QQxbzYxA_13_0"/>
      <w:bookmarkStart w:id="1672" w:name="Tc_aURAknQ5D0mnKV9EZnRz2g_12_0"/>
      <w:bookmarkStart w:id="1673" w:name="Tc_vwxGmx0TkU-wmNC9iNE-cw_11_0"/>
      <w:bookmarkStart w:id="1674" w:name="Tc_i9IeuowJokaKHtypmR48fw_10_0"/>
      <w:bookmarkStart w:id="1675" w:name="Tc_TuX0hBiLlkeC8yXXjX8rhw_9_0"/>
      <w:bookmarkStart w:id="1676" w:name="Tc_ZAsN-l2vJUmTzFChYMRMsg_8_0"/>
      <w:bookmarkStart w:id="1677" w:name="Tc_CvyZXEuEbE-vvBc66KbiSg_7_0"/>
      <w:bookmarkStart w:id="1678" w:name="Tc_2A1bEic-bkmOjIjx4N5egg_6_0"/>
      <w:bookmarkStart w:id="1679" w:name="Tc_XVZoONPTF0SGyMZH9Y4wsA_5_0"/>
      <w:bookmarkStart w:id="1680" w:name="Tc_lLViQ49Nn0-1HTbNF21r-w_4_0"/>
      <w:bookmarkStart w:id="1681" w:name="Tc_zBegKGXyuE-jYo7xoyuNQw_3_5"/>
      <w:bookmarkStart w:id="1682" w:name="Tc_v_Tv9bL_cU-Y2KKawEUiFQ_3_2"/>
      <w:bookmarkStart w:id="1683" w:name="Tc_ff27Vchcgke9pzXUmwepZA_3_0"/>
      <w:bookmarkStart w:id="1684" w:name="Tc_U2fTUIWu0kmLbxk3Wg4o4Q_2_5"/>
      <w:bookmarkStart w:id="1685" w:name="Tc_xgSOaEZmtE-503LxXlBq-Q_2_2"/>
      <w:bookmarkStart w:id="1686" w:name="Tc_HYpufXy13EOaa_3NQffgVA_1_2"/>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r>
        <w:rPr>
          <w:rFonts w:ascii="Times New Roman;Times;serif" w:hAnsi="Times New Roman;Times;serif"/>
          <w:b/>
          <w:sz w:val="20"/>
        </w:rPr>
        <w:t xml:space="preserve">6. PROPERTY AND EQUIPMENT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p>
    <w:p>
      <w:pPr>
        <w:pStyle w:val="TextBody"/>
        <w:bidi w:val="0"/>
        <w:spacing w:before="0" w:after="0"/>
        <w:ind w:left="0" w:right="0" w:hanging="0"/>
        <w:jc w:val="left"/>
        <w:rPr/>
      </w:pPr>
      <w:r>
        <w:rPr/>
        <w:t>​</w:t>
      </w:r>
    </w:p>
    <w:tbl>
      <w:tblPr>
        <w:tblW w:w="6583" w:type="dxa"/>
        <w:jc w:val="left"/>
        <w:tblInd w:w="0" w:type="dxa"/>
        <w:tblLayout w:type="fixed"/>
        <w:tblCellMar>
          <w:top w:w="0" w:type="dxa"/>
          <w:left w:w="0" w:type="dxa"/>
          <w:bottom w:w="0" w:type="dxa"/>
          <w:right w:w="0" w:type="dxa"/>
        </w:tblCellMar>
      </w:tblPr>
      <w:tblGrid>
        <w:gridCol w:w="4096"/>
        <w:gridCol w:w="109"/>
        <w:gridCol w:w="211"/>
        <w:gridCol w:w="901"/>
        <w:gridCol w:w="109"/>
        <w:gridCol w:w="211"/>
        <w:gridCol w:w="94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600960" cy="175260"/>
                      <wp:effectExtent l="0" t="0" r="0" b="0"/>
                      <wp:wrapNone/>
                      <wp:docPr id="557" name="Frame556"/>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9215" cy="175260"/>
                      <wp:effectExtent l="0" t="0" r="0" b="0"/>
                      <wp:wrapNone/>
                      <wp:docPr id="558" name="Frame5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572135" cy="175260"/>
                      <wp:effectExtent l="0" t="0" r="0" b="0"/>
                      <wp:wrapNone/>
                      <wp:docPr id="560" name="Frame55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9215" cy="175260"/>
                      <wp:effectExtent l="0" t="0" r="0" b="0"/>
                      <wp:wrapNone/>
                      <wp:docPr id="561" name="Frame5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00710" cy="175260"/>
                      <wp:effectExtent l="0" t="0" r="0" b="0"/>
                      <wp:wrapNone/>
                      <wp:docPr id="563" name="Frame56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20,662</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22,012</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Cloud-based customer solutions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142,302</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Internal systems and tools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39,430</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7,669</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28,883</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263,648</w:t>
            </w:r>
          </w:p>
        </w:tc>
      </w:tr>
      <w:tr>
        <w:trPr/>
        <w:tc>
          <w:tcPr>
            <w:tcW w:w="4096" w:type="dxa"/>
            <w:tcBorders/>
            <w:vAlign w:val="center"/>
          </w:tcPr>
          <w:p>
            <w:pPr>
              <w:pStyle w:val="TableContents"/>
              <w:bidi w:val="0"/>
              <w:spacing w:lineRule="auto" w:line="240" w:before="0" w:after="1"/>
              <w:ind w:left="0" w:right="0" w:hanging="0"/>
              <w:jc w:val="both"/>
              <w:rPr>
                <w:rFonts w:ascii="Times New Roman;Times;serif" w:hAnsi="Times New Roman;Times;serif"/>
                <w:sz w:val="20"/>
              </w:rPr>
            </w:pPr>
            <w:r>
              <w:rPr>
                <w:rFonts w:ascii="Times New Roman;Times;serif" w:hAnsi="Times New Roman;Times;serif"/>
                <w:sz w:val="20"/>
              </w:rPr>
              <w:t xml:space="preserve">Less accumulated depreciation and amortization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(204,113)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(162,914)</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100,734</w:t>
            </w:r>
          </w:p>
        </w:tc>
      </w:tr>
      <w:tr>
        <w:trPr/>
        <w:tc>
          <w:tcPr>
            <w:tcW w:w="40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property and equipment, excluding all internal-use software developed and finance leases, was $4,394, $5,847, and $6,445 for the years ended December 31, 2024, 2023, and 2022, respectively. Depreciation for property and equipment, excluding internal-use software developed for cloud-based customer solutions, is reflected in depreciation and amortization in the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lease amortization was $78, $610, and $1,082 for the years ended December 31, 2024, 2023, and 2022, respectively. Finance lease amortization is included in depreciation and amortization in the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Assets under finance leases of $172, and $297, net of accumulated amortization of $97 and $190, at December 31, 2024 and 2023, respectively, are included in property and equipment in the consolidated balance sheets.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developed are as follows:</w:t>
      </w:r>
    </w:p>
    <w:p>
      <w:pPr>
        <w:pStyle w:val="TextBody"/>
        <w:bidi w:val="0"/>
        <w:spacing w:before="0" w:after="0"/>
        <w:ind w:left="0" w:right="0" w:hanging="0"/>
        <w:jc w:val="left"/>
        <w:rPr/>
      </w:pPr>
      <w:r>
        <w:rPr/>
        <w:t>​</w:t>
      </w:r>
    </w:p>
    <w:tbl>
      <w:tblPr>
        <w:tblW w:w="7888" w:type="dxa"/>
        <w:jc w:val="left"/>
        <w:tblInd w:w="0" w:type="dxa"/>
        <w:tblLayout w:type="fixed"/>
        <w:tblCellMar>
          <w:top w:w="0" w:type="dxa"/>
          <w:left w:w="0" w:type="dxa"/>
          <w:bottom w:w="0" w:type="dxa"/>
          <w:right w:w="0" w:type="dxa"/>
        </w:tblCellMar>
      </w:tblPr>
      <w:tblGrid>
        <w:gridCol w:w="5401"/>
        <w:gridCol w:w="109"/>
        <w:gridCol w:w="211"/>
        <w:gridCol w:w="901"/>
        <w:gridCol w:w="109"/>
        <w:gridCol w:w="211"/>
        <w:gridCol w:w="94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429635" cy="175260"/>
                      <wp:effectExtent l="0" t="0" r="0" b="0"/>
                      <wp:wrapNone/>
                      <wp:docPr id="564" name="Frame563"/>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9215" cy="175260"/>
                      <wp:effectExtent l="0" t="0" r="0" b="0"/>
                      <wp:wrapNone/>
                      <wp:docPr id="565" name="Frame5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33985" cy="175260"/>
                      <wp:effectExtent l="0" t="0" r="0" b="0"/>
                      <wp:wrapNone/>
                      <wp:docPr id="566"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72135" cy="175260"/>
                      <wp:effectExtent l="0" t="0" r="0" b="0"/>
                      <wp:wrapNone/>
                      <wp:docPr id="567" name="Frame5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9215" cy="175260"/>
                      <wp:effectExtent l="0" t="0" r="0" b="0"/>
                      <wp:wrapNone/>
                      <wp:docPr id="568" name="Frame5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33985" cy="175260"/>
                      <wp:effectExtent l="0" t="0" r="0" b="0"/>
                      <wp:wrapNone/>
                      <wp:docPr id="569" name="Frame5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00710" cy="175260"/>
                      <wp:effectExtent l="0" t="0" r="0" b="0"/>
                      <wp:wrapNone/>
                      <wp:docPr id="570" name="Frame56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181,732</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(121,646)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 of accumulated depreciation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60,086</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88,969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sz w:val="20"/>
        </w:rPr>
      </w:pPr>
      <w:bookmarkStart w:id="1687" w:name="Tc_u66qXifqiE-CRVhBxWtzIQ_7_5"/>
      <w:bookmarkStart w:id="1688" w:name="Tc_NwA45d6UgEazjO62oxHMKA_7_2"/>
      <w:bookmarkStart w:id="1689" w:name="Tc_E_YxIrzZIkaedvqQydwWiA_7_0"/>
      <w:bookmarkStart w:id="1690" w:name="Tc_A-6QqCcbukWM21tsx1MDZQ_6_3"/>
      <w:bookmarkStart w:id="1691" w:name="Tc_m5IAv2CURkeQLUHCsCkaeQ_6_0"/>
      <w:bookmarkStart w:id="1692" w:name="Tc_M_j8dvITy0aFTRqu3rGnPg_5_0"/>
      <w:bookmarkStart w:id="1693" w:name="Tc_bFccpinvIkSKNUynNEZmNQ_4_0"/>
      <w:bookmarkStart w:id="1694" w:name="Tc_So2ntuWAmESM3SbnF5wALw_3_0"/>
      <w:bookmarkStart w:id="1695" w:name="Tc_lga49IgWHkmtXmB1ZVlWdg_2_2"/>
      <w:bookmarkStart w:id="1696" w:name="Tc_yYJ1z8xAp0qZbBftovuX3Q_2_0"/>
      <w:bookmarkStart w:id="1697" w:name="Tc_dvuRzkfhmEuIMDMgdpynWw_1_5"/>
      <w:bookmarkStart w:id="1698" w:name="Tc_FKCvCxPp5k2D-VwzA-tmOg_1_2"/>
      <w:bookmarkStart w:id="1699" w:name="Tc_Tq9xBvde40qLTrFTa8khaA_1_0"/>
      <w:bookmarkStart w:id="1700" w:name="Tc_zd52zwzWcEO5fHGN_p-ciQ_5_8"/>
      <w:bookmarkStart w:id="1701" w:name="Tc_yLOCJcPLzEmJF5RnUKtGqA_5_5"/>
      <w:bookmarkStart w:id="1702" w:name="Tc_TvnRTUP8sUaL7Mq1UXmghg_5_2"/>
      <w:bookmarkStart w:id="1703" w:name="Tc_fAjO8Gvu10qeI7ziyMpuhw_5_0"/>
      <w:bookmarkStart w:id="1704" w:name="Tc_5Ng8Do7YTUuKb9Z7t9SE4g_4_0"/>
      <w:bookmarkStart w:id="1705" w:name="Tc_iV2cB1kdoEeocWf0MZx2LA_3_8"/>
      <w:bookmarkStart w:id="1706" w:name="Tc_WzVc_gRYUk2i1fyD4oRh2A_3_5"/>
      <w:bookmarkStart w:id="1707" w:name="Tc_rc9IfGcwu0yw-t62lpfeYw_3_2"/>
      <w:bookmarkStart w:id="1708" w:name="Tc_H3GY4ZPnOkOn1Ig7Ho4yuw_3_0"/>
      <w:bookmarkStart w:id="1709" w:name="Tc_Y9VE45oMHUajJr_KtCg_8w_2_8"/>
      <w:bookmarkStart w:id="1710" w:name="Tc_KoqXamVvs0CIBULyAL3BeQ_2_5"/>
      <w:bookmarkStart w:id="1711" w:name="Tc_4IaSgM-xN0KaWgrFLH1phQ_2_2"/>
      <w:bookmarkStart w:id="1712" w:name="Tc_kcLUkcvXwE6h-ICzrkOeTA_1_3"/>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r>
        <w:rPr>
          <w:rFonts w:ascii="Times New Roman;Times;serif" w:hAnsi="Times New Roman;Times;serif"/>
          <w:sz w:val="20"/>
        </w:rPr>
        <w:t xml:space="preserve">Amounts included in property and equipment additions related to capitalized internal-use software on the consolidated statements of cash flows are as follows: </w:t>
      </w:r>
    </w:p>
    <w:p>
      <w:pPr>
        <w:pStyle w:val="TextBody"/>
        <w:bidi w:val="0"/>
        <w:spacing w:before="0" w:after="0"/>
        <w:ind w:left="0" w:right="0" w:hanging="0"/>
        <w:jc w:val="left"/>
        <w:rPr/>
      </w:pPr>
      <w:r>
        <w:rPr/>
        <w:t>​</w:t>
      </w:r>
    </w:p>
    <w:tbl>
      <w:tblPr>
        <w:tblW w:w="6485" w:type="dxa"/>
        <w:jc w:val="left"/>
        <w:tblInd w:w="0" w:type="dxa"/>
        <w:tblLayout w:type="fixed"/>
        <w:tblCellMar>
          <w:top w:w="0" w:type="dxa"/>
          <w:left w:w="0" w:type="dxa"/>
          <w:bottom w:w="0" w:type="dxa"/>
          <w:right w:w="0" w:type="dxa"/>
        </w:tblCellMar>
      </w:tblPr>
      <w:tblGrid>
        <w:gridCol w:w="2731"/>
        <w:gridCol w:w="326"/>
        <w:gridCol w:w="211"/>
        <w:gridCol w:w="676"/>
        <w:gridCol w:w="326"/>
        <w:gridCol w:w="211"/>
        <w:gridCol w:w="676"/>
        <w:gridCol w:w="326"/>
        <w:gridCol w:w="211"/>
        <w:gridCol w:w="79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734185" cy="175260"/>
                      <wp:effectExtent l="0" t="0" r="0" b="0"/>
                      <wp:wrapNone/>
                      <wp:docPr id="571" name="Frame57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2"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33985" cy="175260"/>
                      <wp:effectExtent l="0" t="0" r="0" b="0"/>
                      <wp:wrapNone/>
                      <wp:docPr id="573" name="Frame5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29260" cy="175260"/>
                      <wp:effectExtent l="0" t="0" r="0" b="0"/>
                      <wp:wrapNone/>
                      <wp:docPr id="574" name="Frame5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5"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33985" cy="175260"/>
                      <wp:effectExtent l="0" t="0" r="0" b="0"/>
                      <wp:wrapNone/>
                      <wp:docPr id="576" name="Frame5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29260" cy="175260"/>
                      <wp:effectExtent l="0" t="0" r="0" b="0"/>
                      <wp:wrapNone/>
                      <wp:docPr id="577" name="Frame5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8"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3985" cy="175260"/>
                      <wp:effectExtent l="0" t="0" r="0" b="0"/>
                      <wp:wrapNone/>
                      <wp:docPr id="579" name="Frame5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02285" cy="175260"/>
                      <wp:effectExtent l="0" t="0" r="0" b="0"/>
                      <wp:wrapNone/>
                      <wp:docPr id="580" name="Frame57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45,374</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29,496</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28,918</w:t>
            </w:r>
          </w:p>
        </w:tc>
      </w:tr>
      <w:tr>
        <w:trPr/>
        <w:tc>
          <w:tcPr>
            <w:tcW w:w="27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13,356</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64,398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42,274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In-process internal-use software developed is not depreciated until it is available for its intended use. Depreciation expense for internal-use software developed for cloud-based customer solutions for the years ended December 31, 2024, 2023, and 2022, was $35,312, $34,592, and $27,682, respectively, and is included in cost of revenues, software subscriptions in the consolidated statements of comprehensive loss. Developed technology for cloud-based customer solutions with an acquisition date fair value of $63,800 was recorded in connection with the ecosio acquisition and is reflected in property and equipment, net, in the consolidated balance sheets at December 31, 2024. Depreciation expense related to this developed technology was $2,962 for the year ended December 31, 2024</w:t>
      </w:r>
      <w:r>
        <w:rPr>
          <w:rFonts w:ascii="Times New Roman;Times;serif" w:hAnsi="Times New Roman;Times;serif"/>
          <w:sz w:val="20"/>
          <w:shd w:fill="FFFFFF" w:val="clear"/>
        </w:rPr>
        <w:t xml:space="preserve">, and is reflected in </w:t>
      </w:r>
      <w:r>
        <w:rPr>
          <w:rFonts w:ascii="Times New Roman;Times;serif" w:hAnsi="Times New Roman;Times;serif"/>
          <w:sz w:val="20"/>
        </w:rPr>
        <w:t xml:space="preserve">cost of revenues - software subscriptions in the consolidated statement of comprehensive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expense for internal-use software developed for internal systems and tools for the years ended December 31, 2024, 2023, and 2022 was $16,481, $8,745, and $4,913, respectively, and is included in depreciation and amortization in the consolidated statements of comprehensive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Amortization expense of internal-use software developed, excluding in-process internal-use software not yet available for its intended use at December 31, 2024 is as follows for all future years:</w:t>
      </w:r>
    </w:p>
    <w:p>
      <w:pPr>
        <w:pStyle w:val="TextBody"/>
        <w:bidi w:val="0"/>
        <w:spacing w:before="0" w:after="0"/>
        <w:ind w:left="0" w:right="0" w:hanging="0"/>
        <w:jc w:val="left"/>
        <w:rPr/>
      </w:pPr>
      <w:r>
        <w:rPr/>
        <w:t>​</w:t>
      </w:r>
    </w:p>
    <w:tbl>
      <w:tblPr>
        <w:tblW w:w="5588" w:type="dxa"/>
        <w:jc w:val="left"/>
        <w:tblInd w:w="0" w:type="dxa"/>
        <w:tblLayout w:type="fixed"/>
        <w:tblCellMar>
          <w:top w:w="0" w:type="dxa"/>
          <w:left w:w="0" w:type="dxa"/>
          <w:bottom w:w="0" w:type="dxa"/>
          <w:right w:w="0" w:type="dxa"/>
        </w:tblCellMar>
      </w:tblPr>
      <w:tblGrid>
        <w:gridCol w:w="2071"/>
        <w:gridCol w:w="326"/>
        <w:gridCol w:w="310"/>
        <w:gridCol w:w="995"/>
        <w:gridCol w:w="326"/>
        <w:gridCol w:w="297"/>
        <w:gridCol w:w="1263"/>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15085" cy="175260"/>
                      <wp:effectExtent l="0" t="0" r="0" b="0"/>
                      <wp:wrapNone/>
                      <wp:docPr id="581" name="Frame580"/>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2"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96850" cy="175260"/>
                      <wp:effectExtent l="0" t="0" r="0" b="0"/>
                      <wp:wrapNone/>
                      <wp:docPr id="583" name="Frame58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31825" cy="175260"/>
                      <wp:effectExtent l="0" t="0" r="0" b="0"/>
                      <wp:wrapNone/>
                      <wp:docPr id="584" name="Frame583"/>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5" name="Frame5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88595" cy="175260"/>
                      <wp:effectExtent l="0" t="0" r="0" b="0"/>
                      <wp:wrapNone/>
                      <wp:docPr id="586" name="Frame58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802005" cy="175260"/>
                      <wp:effectExtent l="0" t="0" r="0" b="0"/>
                      <wp:wrapNone/>
                      <wp:docPr id="587" name="Frame586"/>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Internal Systems</w:t>
              <w:br/>
              <w:t>and Tools</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Cloud-Based</w:t>
              <w:br/>
              <w:t>Customer Solutions</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33,764</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24,864</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8,570</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22,854</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34,706</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103,751</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left"/>
        <w:rPr>
          <w:rFonts w:ascii="Times New Roman;Times;serif" w:hAnsi="Times New Roman;Times;serif"/>
          <w:b/>
          <w:sz w:val="20"/>
        </w:rPr>
      </w:pPr>
      <w:bookmarkStart w:id="1713" w:name="Tc_9weDNmAqB0yFOZ5-yV76wg_7_2"/>
      <w:bookmarkStart w:id="1714" w:name="Tc_1BPS5IX_yE6ZXnXEtLiSIA_7_0"/>
      <w:bookmarkStart w:id="1715" w:name="Tc_Cz9VOxq11US_rWZ9uJvNIA_6_3"/>
      <w:bookmarkStart w:id="1716" w:name="Tc_YWYCy1DdVEWNkg6A40huZQ_6_0"/>
      <w:bookmarkStart w:id="1717" w:name="Tc_I8MZk8ODX0C-vH5KcxNz7A_5_3"/>
      <w:bookmarkStart w:id="1718" w:name="Tc_tiH9M_gRkUiRE92QQPI9cw_5_0"/>
      <w:bookmarkStart w:id="1719" w:name="Tc_kWkAf7rgpk2HJ9y7Nmo0Fw_4_0"/>
      <w:bookmarkStart w:id="1720" w:name="Tc_8rmPPIkCb0enFbZdE-ROkg_3_0"/>
      <w:bookmarkStart w:id="1721" w:name="Tc_Fl41iiTolk6FIDUD7wzEFQ_2_2"/>
      <w:bookmarkStart w:id="1722" w:name="Tc_G-9CsaNPDkeCumIvaLgE0g_2_0"/>
      <w:bookmarkStart w:id="1723" w:name="Tc_Nx_PatCYjEK3GyRQm7QwIg_1_0"/>
      <w:bookmarkStart w:id="1724" w:name="Tc_QeJuenXUbk6wJ0trCGnasg_7_4"/>
      <w:bookmarkStart w:id="1725" w:name="Tc_PTbF8KczHEWhIOMBZejY0w_7_1"/>
      <w:bookmarkStart w:id="1726" w:name="Tc_jtizxwATo06ZYm3ZDS_lrw_7_0"/>
      <w:bookmarkStart w:id="1727" w:name="Tc_7x1wXo0SpEy5SVEPI4BFfg_6_0"/>
      <w:bookmarkStart w:id="1728" w:name="Tc_F4CLSjRKukeI-IQgpvCckA_5_0"/>
      <w:bookmarkStart w:id="1729" w:name="Tc_2Z7juWi0nEyFMuchClgivQ_4_0"/>
      <w:bookmarkStart w:id="1730" w:name="Tc_D04Cpm9ORkayA5jzrFWaGQ_3_4"/>
      <w:bookmarkStart w:id="1731" w:name="Tc_Tfzt3fm66k69NuaQaMSGbg_3_1"/>
      <w:bookmarkStart w:id="1732" w:name="Tc_wr9xZYTzL0Os8at6zWp0Fw_3_0"/>
      <w:bookmarkStart w:id="1733" w:name="Tc_hq1b_wf8M0id-KNmiUm6CQ_2_4"/>
      <w:bookmarkStart w:id="1734" w:name="Tc_b5gmY2o1SE6sJbuvWUjLAw_2_1"/>
      <w:bookmarkStart w:id="1735" w:name="Tc_-aGwnnSL5ES_L43zBthpyQ_1_1"/>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r>
        <w:rPr>
          <w:rFonts w:ascii="Times New Roman;Times;serif" w:hAnsi="Times New Roman;Times;serif"/>
          <w:b/>
          <w:i w:val="false"/>
          <w:caps w:val="false"/>
          <w:smallCaps w:val="false"/>
          <w:sz w:val="20"/>
        </w:rPr>
        <w:t>7.</w:t>
      </w:r>
      <w:r>
        <w:rPr>
          <w:rFonts w:ascii="Times New Roman;Times;serif" w:hAnsi="Times New Roman;Times;serif"/>
          <w:b/>
          <w:sz w:val="20"/>
        </w:rPr>
        <w:t>CAPITALIZED SOFTWARE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Capitalized software includes acquired software and direct labor and related expenses for software developed for sale for new products and enhancements to existing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major components of capitalized software are as follows: </w:t>
      </w:r>
    </w:p>
    <w:p>
      <w:pPr>
        <w:pStyle w:val="TextBody"/>
        <w:bidi w:val="0"/>
        <w:spacing w:before="0" w:after="0"/>
        <w:ind w:left="0" w:right="0" w:hanging="0"/>
        <w:jc w:val="left"/>
        <w:rPr/>
      </w:pPr>
      <w:r>
        <w:rPr/>
        <w:t>​</w:t>
      </w:r>
    </w:p>
    <w:tbl>
      <w:tblPr>
        <w:tblW w:w="6759" w:type="dxa"/>
        <w:jc w:val="left"/>
        <w:tblInd w:w="0" w:type="dxa"/>
        <w:tblLayout w:type="fixed"/>
        <w:tblCellMar>
          <w:top w:w="0" w:type="dxa"/>
          <w:left w:w="0" w:type="dxa"/>
          <w:bottom w:w="0" w:type="dxa"/>
          <w:right w:w="0" w:type="dxa"/>
        </w:tblCellMar>
      </w:tblPr>
      <w:tblGrid>
        <w:gridCol w:w="4486"/>
        <w:gridCol w:w="211"/>
        <w:gridCol w:w="901"/>
        <w:gridCol w:w="109"/>
        <w:gridCol w:w="211"/>
        <w:gridCol w:w="841"/>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848610" cy="175260"/>
                      <wp:effectExtent l="0" t="0" r="0" b="0"/>
                      <wp:wrapNone/>
                      <wp:docPr id="588" name="Frame58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33985" cy="175260"/>
                      <wp:effectExtent l="0" t="0" r="0" b="0"/>
                      <wp:wrapNone/>
                      <wp:docPr id="589"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72135" cy="175260"/>
                      <wp:effectExtent l="0" t="0" r="0" b="0"/>
                      <wp:wrapNone/>
                      <wp:docPr id="590" name="Frame58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9215" cy="175260"/>
                      <wp:effectExtent l="0" t="0" r="0" b="0"/>
                      <wp:wrapNone/>
                      <wp:docPr id="591" name="Frame5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34035" cy="175260"/>
                      <wp:effectExtent l="0" t="0" r="0" b="0"/>
                      <wp:wrapNone/>
                      <wp:docPr id="593" name="Frame59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1"/>
              <w:ind w:left="0" w:right="0" w:hanging="0"/>
              <w:jc w:val="left"/>
              <w:rPr/>
            </w:pPr>
            <w:r>
              <w:rPr/>
              <w:t>​</w:t>
            </w:r>
          </w:p>
        </w:tc>
        <w:tc>
          <w:tcPr>
            <w:tcW w:w="22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8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115,152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(81,410)</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 of accumulated depreciation</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33,742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5,029</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38,771</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Software development costs capitalized for the years ended December 31, 2024, 2023, and 2022, excluding acquisitions, were $21,344, $18,972, and $14,888, respectively. Capitalized software amortization expense, including amortization of acquired technology, for the years ended December 31, 2024, 2023, and 2022 was $23,765, $19,213, and $17,018, respectively, and is included in cost of revenues, software subscriptions in the consolidated statements of comprehensive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In-process capitalized software at December 31, 2024 was not available for general release to customers as of the balance sheet date and therefore not included in the table below. Amortization expense of capitalized software available for general release to customers as of December 31, 2024 is as follows for all future years:</w:t>
      </w:r>
    </w:p>
    <w:p>
      <w:pPr>
        <w:pStyle w:val="TextBody"/>
        <w:bidi w:val="0"/>
        <w:spacing w:before="0" w:after="0"/>
        <w:ind w:left="0" w:right="0" w:hanging="0"/>
        <w:jc w:val="left"/>
        <w:rPr/>
      </w:pPr>
      <w:r>
        <w:rPr/>
        <w:t>​</w:t>
      </w:r>
    </w:p>
    <w:tbl>
      <w:tblPr>
        <w:tblW w:w="3399" w:type="dxa"/>
        <w:jc w:val="left"/>
        <w:tblInd w:w="0" w:type="dxa"/>
        <w:tblLayout w:type="fixed"/>
        <w:tblCellMar>
          <w:top w:w="0" w:type="dxa"/>
          <w:left w:w="0" w:type="dxa"/>
          <w:bottom w:w="0" w:type="dxa"/>
          <w:right w:w="0" w:type="dxa"/>
        </w:tblCellMar>
      </w:tblPr>
      <w:tblGrid>
        <w:gridCol w:w="2071"/>
        <w:gridCol w:w="326"/>
        <w:gridCol w:w="211"/>
        <w:gridCol w:w="79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15085" cy="175260"/>
                      <wp:effectExtent l="0" t="0" r="0" b="0"/>
                      <wp:wrapNone/>
                      <wp:docPr id="594" name="Frame59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5" name="Frame5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6" name="Frame5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02285" cy="175260"/>
                      <wp:effectExtent l="0" t="0" r="0" b="0"/>
                      <wp:wrapNone/>
                      <wp:docPr id="597" name="Frame59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12,350</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3,877</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35,387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 xml:space="preserve">LEASES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leases office space, IT equipment and office equipment. The Company’s leases have remaining terms of up to 4 years.</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sz w:val="20"/>
        </w:rPr>
      </w:pPr>
      <w:bookmarkStart w:id="1736" w:name="Tc_5sL8ZP1V102O5minrAdgmA_9_4"/>
      <w:bookmarkStart w:id="1737" w:name="Tc_7oLMZ8PVwUy4b5gKYyM7vw_9_2"/>
      <w:bookmarkStart w:id="1738" w:name="Tc_zfizEMWCZU2upluyCY7vcQ_9_0"/>
      <w:bookmarkStart w:id="1739" w:name="Tc_3ZwwlaN_X0ScbwZGaBB8GA_8_4"/>
      <w:bookmarkStart w:id="1740" w:name="Tc_rm-gYQmEc0Oz8UoGLzmWAg_8_2"/>
      <w:bookmarkStart w:id="1741" w:name="Tc_bAgZZ7s39U2WBb4ScZ7xgw_8_0"/>
      <w:bookmarkStart w:id="1742" w:name="Tc_qMrozRclBkKNQzjtExy5rQ_7_0"/>
      <w:bookmarkStart w:id="1743" w:name="Tc_POTlZltDrECO2jRTGskDdg_5_0"/>
      <w:bookmarkStart w:id="1744" w:name="Tc_BQiZGv3cRE6jgmrg0-AT0Q_4_0"/>
      <w:bookmarkStart w:id="1745" w:name="Tc_ygP7Zm8M5UaAL-3obb6D3Q_3_0"/>
      <w:bookmarkStart w:id="1746" w:name="Tc_nK7Je4E4bUSsLY_fNOSWaw_2_3"/>
      <w:bookmarkStart w:id="1747" w:name="Tc_EqQGWaYqbEybvEaHJ57zkw_2_1"/>
      <w:bookmarkStart w:id="1748" w:name="Tc_eP8wMuvVeEimyFzu6nFmoA_1_1"/>
      <w:bookmarkStart w:id="1749" w:name="Tc_7hNcG8RbAE6R3lzANNVO8A_9_7"/>
      <w:bookmarkStart w:id="1750" w:name="Tc_O6Y7KCYrzkSdOqF6Wv2y-w_9_4"/>
      <w:bookmarkStart w:id="1751" w:name="Tc_aijKVkO5CUKCIfg582IrJg_9_1"/>
      <w:bookmarkStart w:id="1752" w:name="Tc_uCcwlYtvc0S_ZczJtxx9_g_9_0"/>
      <w:bookmarkStart w:id="1753" w:name="Tc_t-GhSw9qK0-2I_IS1AyOww_8_0"/>
      <w:bookmarkStart w:id="1754" w:name="Tc_BNyVMmzQkUWQmFkCVgov2g_7_0"/>
      <w:bookmarkStart w:id="1755" w:name="Tc_jKQ-XMDNnUOfMmuIrzHlTA_6_0"/>
      <w:bookmarkStart w:id="1756" w:name="Tc_APYkZ03RGES2XepIiF1LLQ_4_7"/>
      <w:bookmarkStart w:id="1757" w:name="Tc_PQhzYlo3_k6sWU4WXNDgYg_4_4"/>
      <w:bookmarkStart w:id="1758" w:name="Tc_2Kas0XD75E68EY2wPRr7Qg_4_1"/>
      <w:bookmarkStart w:id="1759" w:name="Tc_bEPkZbDnIUKkYznHQ2WzJg_4_0"/>
      <w:bookmarkStart w:id="1760" w:name="Tc_9qZEWglOfEqZQNpt34rVZg_2_7"/>
      <w:bookmarkStart w:id="1761" w:name="Tc_p2PsB7q77Uu5MHpaa4yaBA_2_4"/>
      <w:bookmarkStart w:id="1762" w:name="Tc_mPlBTXZJBUuSdirtxSJN2Q_2_1"/>
      <w:bookmarkStart w:id="1763" w:name="Tc_wo8Yu3OrEUOJik_PNm7cdA_1_1"/>
      <w:bookmarkStart w:id="1764" w:name="Tc_dKuUaPe-50WfcoWSD1O6HQ_17_7"/>
      <w:bookmarkStart w:id="1765" w:name="Tc_e4a0mNAtcUihXqRoqb19GQ_17_4"/>
      <w:bookmarkStart w:id="1766" w:name="Tc_SBBbB8ROokSN9zqj6GSdoA_17_0"/>
      <w:bookmarkStart w:id="1767" w:name="Tc_S8z6HqUBX0apWrLW2d__Xg_16_0"/>
      <w:bookmarkStart w:id="1768" w:name="Tc_JBzyyMdNAEi4CF9bFdux7w_15_2"/>
      <w:bookmarkStart w:id="1769" w:name="Tc_SxN2yFM8EUikZJqRbCea0A_15_0"/>
      <w:bookmarkStart w:id="1770" w:name="Tc_mBlR-cj95Ei0WVdNhvbvgw_14_7"/>
      <w:bookmarkStart w:id="1771" w:name="Tc_piZ6jB6SAUeSx4VbSYESWQ_14_4"/>
      <w:bookmarkStart w:id="1772" w:name="Tc_cIr0xsI0t0icsm4z1ZP4WA_14_2"/>
      <w:bookmarkStart w:id="1773" w:name="Tc_tDUrTvk0kE2MXwHCxndpqA_14_0"/>
      <w:bookmarkStart w:id="1774" w:name="Tc_oMKlIZMaIEaWrlauCNhYVA_13_0"/>
      <w:bookmarkStart w:id="1775" w:name="Tc_Hp5oJyiCt06Zbct2BkEtgA_12_7"/>
      <w:bookmarkStart w:id="1776" w:name="Tc_5FMBPgrClkW0CStmjxHG9Q_12_4"/>
      <w:bookmarkStart w:id="1777" w:name="Tc_9-NY2SuijE6LHEm1aarWcg_12_0"/>
      <w:bookmarkStart w:id="1778" w:name="Tc_4t9CCM18S0WbzpEymWFnfA_11_2"/>
      <w:bookmarkStart w:id="1779" w:name="Tc_HayNzZ_2uE-fiZxq1INRXg_11_0"/>
      <w:bookmarkStart w:id="1780" w:name="Tc_eyEiqPA0-kGSkDUbNYT4CA_10_7"/>
      <w:bookmarkStart w:id="1781" w:name="Tc_qgntrJ852Uq_ZxBqEEqpBg_10_4"/>
      <w:bookmarkStart w:id="1782" w:name="Tc_-qb_SfnOckuTWOR4OkqzzQ_10_2"/>
      <w:bookmarkStart w:id="1783" w:name="Tc_S8MdP5BiiUSbOq9Ge_2mbQ_10_0"/>
      <w:bookmarkStart w:id="1784" w:name="Tc_ZLkv6uevl0CpIVPY_4AroA_9_0"/>
      <w:bookmarkStart w:id="1785" w:name="Tc_cS715_YsjEaB4QfcuFo_0w_8_0"/>
      <w:bookmarkStart w:id="1786" w:name="Tc_YQcKggLxOkmk-tYRgmPYqA_6_7"/>
      <w:bookmarkStart w:id="1787" w:name="Tc_UscW0rR1wUOdmCLQk5IZDw_6_4"/>
      <w:bookmarkStart w:id="1788" w:name="Tc_EsRVtzcn1Uy-1QFlxI4WqA_6_0"/>
      <w:bookmarkStart w:id="1789" w:name="Tc_EJDTsafZL0umtx7sfylKWA_5_0"/>
      <w:bookmarkStart w:id="1790" w:name="Tc_B9N2DUB1jEGg5hg3R2sgug_4_7"/>
      <w:bookmarkStart w:id="1791" w:name="Tc_EZ1oqxzgX0ObbYYa_t0V9A_4_4"/>
      <w:bookmarkStart w:id="1792" w:name="Tc_oewaCjvwGUG3sXc62ZDfHA_4_2"/>
      <w:bookmarkStart w:id="1793" w:name="Tc_-Wv0nI5320CA_6Y8CRcELg_4_0"/>
      <w:bookmarkStart w:id="1794" w:name="Tc_awF5Z2dRxEa5O95XXZzIdQ_3_0"/>
      <w:bookmarkStart w:id="1795" w:name="Tc_c44hX0zy0U6ygCaz39BY9g_2_7"/>
      <w:bookmarkStart w:id="1796" w:name="Tc_l8SjjZPYmkKGdXXR6_8BqA_2_4"/>
      <w:bookmarkStart w:id="1797" w:name="Tc_vZGmlKNXEEiyfyhuZucr_w_2_2"/>
      <w:bookmarkStart w:id="1798" w:name="Tc_hFLyoTKTrE2GA5FbEI7NFA_1_4"/>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r>
        <w:rPr>
          <w:rFonts w:ascii="Times New Roman;Times;serif" w:hAnsi="Times New Roman;Times;serif"/>
          <w:sz w:val="20"/>
        </w:rPr>
        <w:t xml:space="preserve">The following table sets forth the Company’s lease assets and liabilities and their balance sheet location as follows: </w:t>
      </w:r>
    </w:p>
    <w:p>
      <w:pPr>
        <w:pStyle w:val="TextBody"/>
        <w:bidi w:val="0"/>
        <w:spacing w:before="0" w:after="0"/>
        <w:ind w:left="0" w:right="0" w:hanging="0"/>
        <w:jc w:val="left"/>
        <w:rPr/>
      </w:pPr>
      <w:r>
        <w:rPr/>
        <w:t>​</w:t>
      </w:r>
    </w:p>
    <w:tbl>
      <w:tblPr>
        <w:tblW w:w="9537" w:type="dxa"/>
        <w:jc w:val="left"/>
        <w:tblInd w:w="0" w:type="dxa"/>
        <w:tblLayout w:type="fixed"/>
        <w:tblCellMar>
          <w:top w:w="0" w:type="dxa"/>
          <w:left w:w="0" w:type="dxa"/>
          <w:bottom w:w="0" w:type="dxa"/>
          <w:right w:w="0" w:type="dxa"/>
        </w:tblCellMar>
      </w:tblPr>
      <w:tblGrid>
        <w:gridCol w:w="2881"/>
        <w:gridCol w:w="326"/>
        <w:gridCol w:w="4006"/>
        <w:gridCol w:w="109"/>
        <w:gridCol w:w="211"/>
        <w:gridCol w:w="676"/>
        <w:gridCol w:w="326"/>
        <w:gridCol w:w="211"/>
        <w:gridCol w:w="791"/>
      </w:tblGrid>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9215" cy="175260"/>
                      <wp:effectExtent l="0" t="0" r="0" b="0"/>
                      <wp:wrapNone/>
                      <wp:docPr id="599" name="Frame5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33985" cy="175260"/>
                      <wp:effectExtent l="0" t="0" r="0" b="0"/>
                      <wp:wrapNone/>
                      <wp:docPr id="600" name="Frame5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429260" cy="175260"/>
                      <wp:effectExtent l="0" t="0" r="0" b="0"/>
                      <wp:wrapNone/>
                      <wp:docPr id="601" name="Frame6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2" name="Frame6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3" name="Frame6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02285" cy="175260"/>
                      <wp:effectExtent l="0" t="0" r="0" b="0"/>
                      <wp:wrapNone/>
                      <wp:docPr id="604" name="Frame60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4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400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87"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2" w:type="dxa"/>
            <w:gridSpan w:val="2"/>
            <w:tcBorders/>
            <w:shd w:fill="CCEEFF" w:val="clear"/>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right-of-use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14,605</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4006"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(Note 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assets</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14,712</w:t>
            </w:r>
          </w:p>
        </w:tc>
      </w:tr>
      <w:tr>
        <w:trPr/>
        <w:tc>
          <w:tcPr>
            <w:tcW w:w="2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1"/>
              <w:ind w:left="0" w:right="0" w:hanging="0"/>
              <w:jc w:val="left"/>
              <w:rPr/>
            </w:pPr>
            <w:r>
              <w:rPr/>
              <w:t>​</w:t>
            </w:r>
          </w:p>
        </w:tc>
        <w:tc>
          <w:tcPr>
            <w:tcW w:w="400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Current portion of operating lease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3,717</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0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Current portion of finance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lease liabilities</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3,791</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400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liabilities, net of current portion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16,567</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0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Finance lease liabilities, net of current portion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lease liabilities</w:t>
            </w:r>
          </w:p>
        </w:tc>
        <w:tc>
          <w:tcPr>
            <w:tcW w:w="326" w:type="dxa"/>
            <w:tcBorders/>
            <w:vAlign w:val="center"/>
          </w:tcPr>
          <w:p>
            <w:pPr>
              <w:pStyle w:val="TableContents"/>
              <w:bidi w:val="0"/>
              <w:spacing w:before="0" w:after="1"/>
              <w:ind w:left="0" w:right="0" w:hanging="0"/>
              <w:jc w:val="left"/>
              <w:rPr/>
            </w:pPr>
            <w:r>
              <w:rPr/>
              <w:t>​</w:t>
            </w:r>
          </w:p>
        </w:tc>
        <w:tc>
          <w:tcPr>
            <w:tcW w:w="40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16,618</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00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20,409</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major components of lease cost are as follows: </w:t>
      </w:r>
    </w:p>
    <w:p>
      <w:pPr>
        <w:pStyle w:val="TextBody"/>
        <w:bidi w:val="0"/>
        <w:spacing w:before="0" w:after="0"/>
        <w:ind w:left="0" w:right="0" w:hanging="0"/>
        <w:jc w:val="left"/>
        <w:rPr/>
      </w:pPr>
      <w:r>
        <w:rPr/>
        <w:t>​</w:t>
      </w:r>
    </w:p>
    <w:tbl>
      <w:tblPr>
        <w:tblW w:w="5050" w:type="dxa"/>
        <w:jc w:val="left"/>
        <w:tblInd w:w="0" w:type="dxa"/>
        <w:tblLayout w:type="fixed"/>
        <w:tblCellMar>
          <w:top w:w="0" w:type="dxa"/>
          <w:left w:w="0" w:type="dxa"/>
          <w:bottom w:w="0" w:type="dxa"/>
          <w:right w:w="0" w:type="dxa"/>
        </w:tblCellMar>
      </w:tblPr>
      <w:tblGrid>
        <w:gridCol w:w="2371"/>
        <w:gridCol w:w="211"/>
        <w:gridCol w:w="571"/>
        <w:gridCol w:w="109"/>
        <w:gridCol w:w="211"/>
        <w:gridCol w:w="571"/>
        <w:gridCol w:w="109"/>
        <w:gridCol w:w="211"/>
        <w:gridCol w:w="686"/>
      </w:tblGrid>
      <w:tr>
        <w:trPr/>
        <w:tc>
          <w:tcPr>
            <w:tcW w:w="23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3985" cy="175260"/>
                      <wp:effectExtent l="0" t="0" r="0" b="0"/>
                      <wp:wrapNone/>
                      <wp:docPr id="605" name="Frame6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62585" cy="175260"/>
                      <wp:effectExtent l="0" t="0" r="0" b="0"/>
                      <wp:wrapNone/>
                      <wp:docPr id="606" name="Frame6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9215" cy="175260"/>
                      <wp:effectExtent l="0" t="0" r="0" b="0"/>
                      <wp:wrapNone/>
                      <wp:docPr id="607" name="Frame6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33985" cy="175260"/>
                      <wp:effectExtent l="0" t="0" r="0" b="0"/>
                      <wp:wrapNone/>
                      <wp:docPr id="608" name="Frame6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362585" cy="175260"/>
                      <wp:effectExtent l="0" t="0" r="0" b="0"/>
                      <wp:wrapNone/>
                      <wp:docPr id="609" name="Frame6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9215" cy="175260"/>
                      <wp:effectExtent l="0" t="0" r="0" b="0"/>
                      <wp:wrapNone/>
                      <wp:docPr id="610" name="Frame6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33985" cy="175260"/>
                      <wp:effectExtent l="0" t="0" r="0" b="0"/>
                      <wp:wrapNone/>
                      <wp:docPr id="611" name="Frame6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435610" cy="175260"/>
                      <wp:effectExtent l="0" t="0" r="0" b="0"/>
                      <wp:wrapNone/>
                      <wp:docPr id="612" name="Frame61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267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371"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71"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97" w:type="dxa"/>
            <w:gridSpan w:val="2"/>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3,714</w:t>
            </w:r>
          </w:p>
        </w:tc>
      </w:tr>
      <w:tr>
        <w:trPr/>
        <w:tc>
          <w:tcPr>
            <w:tcW w:w="23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lease assets</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5,007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weighted-average term and discount rate for leases are as follows:</w:t>
      </w:r>
    </w:p>
    <w:p>
      <w:pPr>
        <w:pStyle w:val="TextBody"/>
        <w:bidi w:val="0"/>
        <w:spacing w:before="0" w:after="240"/>
        <w:ind w:left="0" w:right="0" w:firstLine="360"/>
        <w:jc w:val="both"/>
        <w:rPr/>
      </w:pPr>
      <w:r>
        <w:rPr/>
        <w:t>​</w:t>
      </w:r>
    </w:p>
    <w:tbl>
      <w:tblPr>
        <w:tblW w:w="5851" w:type="dxa"/>
        <w:jc w:val="left"/>
        <w:tblInd w:w="0" w:type="dxa"/>
        <w:tblLayout w:type="fixed"/>
        <w:tblCellMar>
          <w:top w:w="0" w:type="dxa"/>
          <w:left w:w="0" w:type="dxa"/>
          <w:bottom w:w="0" w:type="dxa"/>
          <w:right w:w="0" w:type="dxa"/>
        </w:tblCellMar>
      </w:tblPr>
      <w:tblGrid>
        <w:gridCol w:w="3976"/>
        <w:gridCol w:w="604"/>
        <w:gridCol w:w="351"/>
        <w:gridCol w:w="604"/>
        <w:gridCol w:w="31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524760" cy="175260"/>
                      <wp:effectExtent l="0" t="0" r="0" b="0"/>
                      <wp:wrapNone/>
                      <wp:docPr id="613" name="Frame612"/>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383540" cy="175260"/>
                      <wp:effectExtent l="0" t="0" r="0" b="0"/>
                      <wp:wrapNone/>
                      <wp:docPr id="614" name="Frame61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22885" cy="175260"/>
                      <wp:effectExtent l="0" t="0" r="0" b="0"/>
                      <wp:wrapNone/>
                      <wp:docPr id="615" name="Frame614"/>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383540" cy="175260"/>
                      <wp:effectExtent l="0" t="0" r="0" b="0"/>
                      <wp:wrapNone/>
                      <wp:docPr id="616" name="Frame61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00660" cy="175260"/>
                      <wp:effectExtent l="0" t="0" r="0" b="0"/>
                      <wp:wrapNone/>
                      <wp:docPr id="617" name="Frame6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1"/>
              <w:ind w:left="0" w:right="0" w:hanging="0"/>
              <w:jc w:val="center"/>
              <w:rPr/>
            </w:pPr>
            <w:r>
              <w:rPr/>
              <w:t>​</w:t>
            </w:r>
          </w:p>
        </w:tc>
        <w:tc>
          <w:tcPr>
            <w:tcW w:w="15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before="0" w:after="1"/>
              <w:ind w:left="0" w:right="0" w:hanging="0"/>
              <w:jc w:val="left"/>
              <w:rPr/>
            </w:pPr>
            <w:r>
              <w:rPr/>
              <w:t>​</w:t>
            </w:r>
          </w:p>
        </w:tc>
      </w:tr>
      <w:tr>
        <w:trPr/>
        <w:tc>
          <w:tcPr>
            <w:tcW w:w="3976" w:type="dxa"/>
            <w:tcBorders/>
            <w:vAlign w:val="center"/>
          </w:tcPr>
          <w:p>
            <w:pPr>
              <w:pStyle w:val="TableContents"/>
              <w:bidi w:val="0"/>
              <w:spacing w:before="0" w:after="1"/>
              <w:ind w:left="0" w:right="0" w:hanging="0"/>
              <w:jc w:val="center"/>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1" w:type="dxa"/>
            <w:tcBorders/>
            <w:vAlign w:val="center"/>
          </w:tcPr>
          <w:p>
            <w:pPr>
              <w:pStyle w:val="TableContents"/>
              <w:bidi w:val="0"/>
              <w:spacing w:before="0" w:after="1"/>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(years):</w:t>
            </w:r>
          </w:p>
        </w:tc>
        <w:tc>
          <w:tcPr>
            <w:tcW w:w="604"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51"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51"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51"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604" w:type="dxa"/>
            <w:tcBorders/>
            <w:vAlign w:val="center"/>
          </w:tcPr>
          <w:p>
            <w:pPr>
              <w:pStyle w:val="TableContents"/>
              <w:bidi w:val="0"/>
              <w:spacing w:before="0" w:after="1"/>
              <w:ind w:left="0" w:right="0" w:hanging="0"/>
              <w:jc w:val="right"/>
              <w:rPr/>
            </w:pPr>
            <w:r>
              <w:rPr/>
              <w:t>​</w:t>
            </w:r>
          </w:p>
        </w:tc>
        <w:tc>
          <w:tcPr>
            <w:tcW w:w="351"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righ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pPr>
      <w:bookmarkStart w:id="1799" w:name="Tc_SdMUQQQRxkyq_bCLLAZNrw_10_5"/>
      <w:bookmarkStart w:id="1800" w:name="Tc_2JYe-ExKAUmYyg21wHtgtA_10_2"/>
      <w:bookmarkStart w:id="1801" w:name="Tc_tqj44yPWgUeu_AS71e7aIQ_10_0"/>
      <w:bookmarkStart w:id="1802" w:name="Tc_cK-L-ESCRkuspZJOIaRIew_9_0"/>
      <w:bookmarkStart w:id="1803" w:name="Tc_lZkmpFJ5ZEq4ypdzD9DdDg_8_0"/>
      <w:bookmarkStart w:id="1804" w:name="Tc_Di3nbUf2QEC2HBTGsPIOzw_7_6"/>
      <w:bookmarkStart w:id="1805" w:name="Tc_QTPXFVHXF0iFqyTN1k0aJA_7_3"/>
      <w:bookmarkStart w:id="1806" w:name="Tc_Ch3UayZ94UGfyLbXZwfjTQ_7_0"/>
      <w:bookmarkStart w:id="1807" w:name="Tc_C4dVa4pKWEi2WhfkzFNXdA_6_6"/>
      <w:bookmarkStart w:id="1808" w:name="Tc_Do-XJ_Xo3U6MnccaPhVc-A_6_3"/>
      <w:bookmarkStart w:id="1809" w:name="Tc_yqU-mdydXUiFcN73hflsYA_6_0"/>
      <w:bookmarkStart w:id="1810" w:name="Tc_w_jJ5-2lGkGR4LMu0gFMWQ_5_6"/>
      <w:bookmarkStart w:id="1811" w:name="Tc_Evlg1d7WgUmDupoBpO4iiQ_5_0"/>
      <w:bookmarkStart w:id="1812" w:name="Tc_1I5xXe6j10CLJxaRKeF7qg_4_6"/>
      <w:bookmarkStart w:id="1813" w:name="Tc_mjzgJCdjP0WaUZhpUTMTOA_4_0"/>
      <w:bookmarkStart w:id="1814" w:name="Tc_2FwTsMend0mEINSYlfWapQ_3_0"/>
      <w:bookmarkStart w:id="1815" w:name="Tc_FuDJ_PA9B0SvulpAl-3_-A_2_5"/>
      <w:bookmarkStart w:id="1816" w:name="Tc_cOxd9EQ97Uy8IbFFQvxIAg_2_2"/>
      <w:bookmarkStart w:id="1817" w:name="Tc_qjnkVkki00WghWQ5RgJ9lQ_2_0"/>
      <w:bookmarkStart w:id="1818" w:name="Tc__W0VMxOFz0yA32haH3vKeA_1_5"/>
      <w:bookmarkStart w:id="1819" w:name="Tc_REWkzZWcXkG-GvCFTfeVUw_1_2"/>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r>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Lease liability maturities for the next five years and thereafter are as follows as of December 31, 2024:</w:t>
      </w:r>
    </w:p>
    <w:p>
      <w:pPr>
        <w:pStyle w:val="TextBody"/>
        <w:bidi w:val="0"/>
        <w:spacing w:before="0" w:after="240"/>
        <w:ind w:left="0" w:right="0" w:firstLine="360"/>
        <w:jc w:val="both"/>
        <w:rPr/>
      </w:pPr>
      <w:r>
        <w:rPr/>
        <w:t>​</w:t>
      </w:r>
    </w:p>
    <w:tbl>
      <w:tblPr>
        <w:tblW w:w="5933" w:type="dxa"/>
        <w:jc w:val="left"/>
        <w:tblInd w:w="0" w:type="dxa"/>
        <w:tblLayout w:type="fixed"/>
        <w:tblCellMar>
          <w:top w:w="0" w:type="dxa"/>
          <w:left w:w="0" w:type="dxa"/>
          <w:bottom w:w="0" w:type="dxa"/>
          <w:right w:w="0" w:type="dxa"/>
        </w:tblCellMar>
      </w:tblPr>
      <w:tblGrid>
        <w:gridCol w:w="2686"/>
        <w:gridCol w:w="326"/>
        <w:gridCol w:w="324"/>
        <w:gridCol w:w="1041"/>
        <w:gridCol w:w="326"/>
        <w:gridCol w:w="402"/>
        <w:gridCol w:w="828"/>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705610" cy="175260"/>
                      <wp:effectExtent l="0" t="0" r="0" b="0"/>
                      <wp:wrapNone/>
                      <wp:docPr id="618" name="Frame61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7010" cy="175260"/>
                      <wp:effectExtent l="0" t="0" r="0" b="0"/>
                      <wp:wrapNone/>
                      <wp:docPr id="619" name="Frame6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05740" cy="175260"/>
                      <wp:effectExtent l="0" t="0" r="0" b="0"/>
                      <wp:wrapNone/>
                      <wp:docPr id="620" name="Frame61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61035" cy="175260"/>
                      <wp:effectExtent l="0" t="0" r="0" b="0"/>
                      <wp:wrapNone/>
                      <wp:docPr id="621" name="Frame620"/>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622"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55270" cy="175260"/>
                      <wp:effectExtent l="0" t="0" r="0" b="0"/>
                      <wp:wrapNone/>
                      <wp:docPr id="623" name="Frame622"/>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25780" cy="175260"/>
                      <wp:effectExtent l="0" t="0" r="0" b="0"/>
                      <wp:wrapNone/>
                      <wp:docPr id="624" name="Frame623"/>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1"/>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4,340</w:t>
            </w:r>
          </w:p>
        </w:tc>
        <w:tc>
          <w:tcPr>
            <w:tcW w:w="32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right"/>
              <w:rPr/>
            </w:pPr>
            <w:r>
              <w:rPr/>
              <w:t>​</w:t>
            </w:r>
          </w:p>
        </w:tc>
        <w:tc>
          <w:tcPr>
            <w:tcW w:w="324"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4,766</w:t>
            </w:r>
          </w:p>
        </w:tc>
        <w:tc>
          <w:tcPr>
            <w:tcW w:w="32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righ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w:t>
            </w:r>
          </w:p>
        </w:tc>
        <w:tc>
          <w:tcPr>
            <w:tcW w:w="32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pPr>
            <w:r>
              <w:rPr/>
              <w:t>—</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right"/>
              <w:rPr/>
            </w:pPr>
            <w:r>
              <w:rPr/>
              <w:t>​</w:t>
            </w:r>
          </w:p>
        </w:tc>
        <w:tc>
          <w:tcPr>
            <w:tcW w:w="324"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3,482</w:t>
            </w:r>
          </w:p>
        </w:tc>
        <w:tc>
          <w:tcPr>
            <w:tcW w:w="32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righ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0" w:hanging="0"/>
              <w:jc w:val="right"/>
              <w:rPr/>
            </w:pPr>
            <w:r>
              <w:rPr/>
              <w:t>—</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righ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17,326</w:t>
            </w:r>
          </w:p>
        </w:tc>
        <w:tc>
          <w:tcPr>
            <w:tcW w:w="32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326"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16,580</w:t>
            </w:r>
          </w:p>
        </w:tc>
        <w:tc>
          <w:tcPr>
            <w:tcW w:w="326"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820" w:name="Tc_Z7jip0QW-kuhgAv-Zv6_qg_5_5"/>
      <w:bookmarkStart w:id="1821" w:name="Tc_YqD5Xb155kqRqFjSAOs8pg_5_2"/>
      <w:bookmarkStart w:id="1822" w:name="Tc_LmpxM-EjVU6p52SC4-qv-g_5_0"/>
      <w:bookmarkStart w:id="1823" w:name="Tc_BiG9n24NYE-qWLCYSgjI8w_4_0"/>
      <w:bookmarkStart w:id="1824" w:name="Tc_cKsMr2LeNkyhChkE_nP03Q_3_5"/>
      <w:bookmarkStart w:id="1825" w:name="Tc_FIQdi9ePO0mPoex72c9Gpg_3_2"/>
      <w:bookmarkStart w:id="1826" w:name="Tc_t5N64LERUE63HLQqm7nmpQ_3_0"/>
      <w:bookmarkStart w:id="1827" w:name="Tc_THtaqFKqqE6YjKBQTzgqeA_2_5"/>
      <w:bookmarkStart w:id="1828" w:name="Tc_b2-h7JijGkal_hJsDeyXYQ_2_2"/>
      <w:bookmarkStart w:id="1829" w:name="Tc_B5CTOpcCEkCWu-gN3QWjuA_1_2"/>
      <w:bookmarkEnd w:id="1820"/>
      <w:bookmarkEnd w:id="1821"/>
      <w:bookmarkEnd w:id="1822"/>
      <w:bookmarkEnd w:id="1823"/>
      <w:bookmarkEnd w:id="1824"/>
      <w:bookmarkEnd w:id="1825"/>
      <w:bookmarkEnd w:id="1826"/>
      <w:bookmarkEnd w:id="1827"/>
      <w:bookmarkEnd w:id="1828"/>
      <w:bookmarkEnd w:id="1829"/>
      <w:r>
        <w:rPr>
          <w:rFonts w:ascii="Times New Roman;Times;serif" w:hAnsi="Times New Roman;Times;serif"/>
          <w:b/>
          <w:i w:val="false"/>
          <w:caps w:val="false"/>
          <w:smallCaps w:val="false"/>
          <w:sz w:val="20"/>
        </w:rPr>
        <w:t>9.</w:t>
      </w:r>
      <w:r>
        <w:rPr>
          <w:rFonts w:ascii="Times New Roman;Times;serif" w:hAnsi="Times New Roman;Times;serif"/>
          <w:b/>
          <w:sz w:val="20"/>
        </w:rPr>
        <w:t>GOODWILL AND OTHER INTANGIBLE ASSETS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Goodwill and other intangible assets are as follows for the periods presented:</w:t>
      </w:r>
    </w:p>
    <w:p>
      <w:pPr>
        <w:pStyle w:val="TextBody"/>
        <w:bidi w:val="0"/>
        <w:spacing w:before="0" w:after="0"/>
        <w:ind w:left="0" w:right="0" w:hanging="0"/>
        <w:jc w:val="left"/>
        <w:rPr/>
      </w:pPr>
      <w:r>
        <w:rPr/>
        <w:t>​</w:t>
      </w:r>
    </w:p>
    <w:tbl>
      <w:tblPr>
        <w:tblW w:w="4628" w:type="dxa"/>
        <w:jc w:val="left"/>
        <w:tblInd w:w="0" w:type="dxa"/>
        <w:tblLayout w:type="fixed"/>
        <w:tblCellMar>
          <w:top w:w="0" w:type="dxa"/>
          <w:left w:w="0" w:type="dxa"/>
          <w:bottom w:w="0" w:type="dxa"/>
          <w:right w:w="0" w:type="dxa"/>
        </w:tblCellMar>
      </w:tblPr>
      <w:tblGrid>
        <w:gridCol w:w="2311"/>
        <w:gridCol w:w="109"/>
        <w:gridCol w:w="211"/>
        <w:gridCol w:w="781"/>
        <w:gridCol w:w="109"/>
        <w:gridCol w:w="211"/>
        <w:gridCol w:w="89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467485" cy="175260"/>
                      <wp:effectExtent l="0" t="0" r="0" b="0"/>
                      <wp:wrapNone/>
                      <wp:docPr id="625" name="Frame62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33985" cy="175260"/>
                      <wp:effectExtent l="0" t="0" r="0" b="0"/>
                      <wp:wrapNone/>
                      <wp:docPr id="627" name="Frame6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95935" cy="175260"/>
                      <wp:effectExtent l="0" t="0" r="0" b="0"/>
                      <wp:wrapNone/>
                      <wp:docPr id="628" name="Frame6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9215" cy="175260"/>
                      <wp:effectExtent l="0" t="0" r="0" b="0"/>
                      <wp:wrapNone/>
                      <wp:docPr id="629" name="Frame6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33985" cy="175260"/>
                      <wp:effectExtent l="0" t="0" r="0" b="0"/>
                      <wp:wrapNone/>
                      <wp:docPr id="630" name="Frame6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68960" cy="175260"/>
                      <wp:effectExtent l="0" t="0" r="0" b="0"/>
                      <wp:wrapNone/>
                      <wp:docPr id="631" name="Frame63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257,842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260,238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432" w:right="0" w:hanging="0"/>
        <w:jc w:val="both"/>
        <w:rPr>
          <w:rFonts w:ascii="Times New Roman;Times;serif" w:hAnsi="Times New Roman;Times;serif"/>
          <w:sz w:val="20"/>
        </w:rPr>
      </w:pPr>
      <w:bookmarkStart w:id="1830" w:name="Tc_RRLhnymeB0GJ6sxzmvqH7g_7_2"/>
      <w:bookmarkStart w:id="1831" w:name="Tc_ctX6Ddf_Xk2aF45ozjSomg_7_0"/>
      <w:bookmarkStart w:id="1832" w:name="Tc_zMMMVdJDV0et4hAVxIvnvg_6_3"/>
      <w:bookmarkStart w:id="1833" w:name="Tc_XZfqXq6WzkOum8BWbPgVGg_6_0"/>
      <w:bookmarkStart w:id="1834" w:name="Tc_4Mo2eX1id0SviJg6awEYtg_5_3"/>
      <w:bookmarkStart w:id="1835" w:name="Tc_1xykU_7KSEicB2paT-x4Wg_5_0"/>
      <w:bookmarkStart w:id="1836" w:name="Tc_hihRyEVL302qnU2EMtiiMg_4_0"/>
      <w:bookmarkStart w:id="1837" w:name="Tc_1X4Duzsi3k2FCssxI3b01g_3_0"/>
      <w:bookmarkStart w:id="1838" w:name="Tc_GQT97v1QekW1RBUqqLqoYQ_2_2"/>
      <w:bookmarkStart w:id="1839" w:name="Tc_efBjROetm0KN-vRnNG2xJg_2_0"/>
      <w:bookmarkStart w:id="1840" w:name="Tc_kHKqUhSFF0ufvyiW2Ng8ZA_1_0"/>
      <w:bookmarkStart w:id="1841" w:name="Tc_EEhSh5fug0mV9SfxD-t4fg_15_0"/>
      <w:bookmarkStart w:id="1842" w:name="Tc_FotlbMFRl0SwRAK8jSQZ-A_14_0"/>
      <w:bookmarkStart w:id="1843" w:name="Tc_HPb1qP6IfUWqETxSyoEU0Q_13_11"/>
      <w:bookmarkStart w:id="1844" w:name="Tc_kxtPH6gO7Ey_PHehIk0Jcg_13_8"/>
      <w:bookmarkStart w:id="1845" w:name="Tc_52aMRXIdVUePQAB301ZE6A_13_5"/>
      <w:bookmarkStart w:id="1846" w:name="Tc_2tmFCJgGoU-PUWMeFwZ2tQ_13_0"/>
      <w:bookmarkStart w:id="1847" w:name="Tc_6_KmP8Y4JEGS7RuiKIc7Vw_12_12"/>
      <w:bookmarkStart w:id="1848" w:name="Tc_LJtcXHIZgE6dqnxLtbWwOw_12_8"/>
      <w:bookmarkStart w:id="1849" w:name="Tc_M0756vbI2UmM7WBQ6Uq8dA_12_5"/>
      <w:bookmarkStart w:id="1850" w:name="Tc_z_tJx2ZSoUCZCxN43-WV9Q_12_0"/>
      <w:bookmarkStart w:id="1851" w:name="Tc_Hc4W7wxGh0C5ISOT5VIhUw_9_11"/>
      <w:bookmarkStart w:id="1852" w:name="Tc_L6TPecAbCEO5Ha3I4b85fg_9_8"/>
      <w:bookmarkStart w:id="1853" w:name="Tc_SirI6HJ2RkCGm_6gVB_j_w_9_5"/>
      <w:bookmarkStart w:id="1854" w:name="Tc_uyqEB4xtLEWB9cVNAW6Lew_9_2"/>
      <w:bookmarkStart w:id="1855" w:name="Tc_DoP7wpBpPECQWedCWcjy8Q_9_0"/>
      <w:bookmarkStart w:id="1856" w:name="Tc_24aq4WnhDkSruFSYx1riqQ_8_0"/>
      <w:bookmarkStart w:id="1857" w:name="Tc_3vPMgbAnf0KxVzNaDki_vA_7_0"/>
      <w:bookmarkStart w:id="1858" w:name="Tc_K2UyWFN110eV_FdaUanzFg_6_11"/>
      <w:bookmarkStart w:id="1859" w:name="Tc_MYprh4Im8E-olf5IyzMVQw_6_8"/>
      <w:bookmarkStart w:id="1860" w:name="Tc_m5KXCWYW9kGUSacxtoKBnw_6_5"/>
      <w:bookmarkStart w:id="1861" w:name="Tc_NaTBI5ZVgkia0Q2ba3LcAg_6_2"/>
      <w:bookmarkStart w:id="1862" w:name="Tc_ofG-VEFPW0SlbeW78msRyw_6_0"/>
      <w:bookmarkStart w:id="1863" w:name="Tc_GMUbLUVeGECPnZ-c6YJVZA_5_12"/>
      <w:bookmarkStart w:id="1864" w:name="Tc_MjpkTDeRSU6oGn0mHtypJQ_5_9"/>
      <w:bookmarkStart w:id="1865" w:name="Tc_6iUns_Lm4U21gcWsSsjoqA_5_6"/>
      <w:bookmarkStart w:id="1866" w:name="Tc_tM1GA4y41Eam1IJR5VYzNw_5_3"/>
      <w:bookmarkStart w:id="1867" w:name="Tc_3IEHExYWUkeUeTYLc4Q9vg_4_9"/>
      <w:bookmarkStart w:id="1868" w:name="Tc_nUTrx4_hSEKdGu1oRghKkA_4_2"/>
      <w:bookmarkStart w:id="1869" w:name="Tc_tt3z00F1kU-r7bt_5YYKVg_2_0"/>
      <w:bookmarkStart w:id="1870" w:name="Tc_yo4X9uA1JUyVdwpOEphkfg_1_12"/>
      <w:bookmarkStart w:id="1871" w:name="Tc_o3RaejPdxU2OPKpYl9scGQ_1_9"/>
      <w:bookmarkStart w:id="1872" w:name="Tc_BG8pR9BTU0qce0rXeWVdgg_8_5"/>
      <w:bookmarkStart w:id="1873" w:name="Tc_0kKzSl-65EqfGNJuX4qGYw_8_2"/>
      <w:bookmarkStart w:id="1874" w:name="Tc_nARXQZ-NOUyOxWTpNIVC7w_8_0"/>
      <w:bookmarkStart w:id="1875" w:name="Tc_RL7MiiurOE2c5IZ6K2tm-w_7_6"/>
      <w:bookmarkStart w:id="1876" w:name="Tc_NExV_GbNgU6ERifMfxQhSQ_7_3"/>
      <w:bookmarkStart w:id="1877" w:name="Tc_-fGJI1JTBEyv5JgVglAt0Q_7_0"/>
      <w:bookmarkStart w:id="1878" w:name="Tc_QHJAMT7aHUSgadjJvaR7jA_6_0"/>
      <w:bookmarkStart w:id="1879" w:name="Tc_LBXVcE2K6E6PlVtFRrWcpw_5_0"/>
      <w:bookmarkStart w:id="1880" w:name="Tc_4utc2T_mDUuA5nuo_UYkRg_4_6"/>
      <w:bookmarkStart w:id="1881" w:name="Tc_oljv4NoMB0SYPetvtRrsTw_4_0"/>
      <w:bookmarkStart w:id="1882" w:name="Tc_i-v1JIYfHUeHgrNLlCsfzA_3_5"/>
      <w:bookmarkStart w:id="1883" w:name="Tc_MB1A2dVcgkq05QzAmPfitQ_3_2"/>
      <w:bookmarkStart w:id="1884" w:name="Tc_Fq3yMMPD9EK0-ifyoYrk9g_3_0"/>
      <w:bookmarkStart w:id="1885" w:name="Tc_9F9oVez7YkyNkQgwcxhmxQ_2_6"/>
      <w:bookmarkStart w:id="1886" w:name="Tc_jItvuLB7Q0-QVV96ENGDMw_2_3"/>
      <w:bookmarkStart w:id="1887" w:name="Tc_BjD1XgUKNEyB4kz_4nblog_1_2"/>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r>
        <w:rPr>
          <w:rFonts w:ascii="Times New Roman;Times;serif" w:hAnsi="Times New Roman;Times;serif"/>
          <w:sz w:val="20"/>
        </w:rPr>
        <w:t>The changes in the carrying amount of goodwill are as follows for the periods presented:</w:t>
      </w:r>
    </w:p>
    <w:p>
      <w:pPr>
        <w:pStyle w:val="TextBody"/>
        <w:bidi w:val="0"/>
        <w:spacing w:before="0" w:after="0"/>
        <w:ind w:left="0" w:right="0" w:hanging="0"/>
        <w:jc w:val="left"/>
        <w:rPr/>
      </w:pPr>
      <w:r>
        <w:rPr/>
        <w:t>​</w:t>
      </w:r>
    </w:p>
    <w:tbl>
      <w:tblPr>
        <w:tblW w:w="5768" w:type="dxa"/>
        <w:jc w:val="left"/>
        <w:tblInd w:w="0" w:type="dxa"/>
        <w:tblLayout w:type="fixed"/>
        <w:tblCellMar>
          <w:top w:w="0" w:type="dxa"/>
          <w:left w:w="0" w:type="dxa"/>
          <w:bottom w:w="0" w:type="dxa"/>
          <w:right w:w="0" w:type="dxa"/>
        </w:tblCellMar>
      </w:tblPr>
      <w:tblGrid>
        <w:gridCol w:w="3436"/>
        <w:gridCol w:w="109"/>
        <w:gridCol w:w="211"/>
        <w:gridCol w:w="796"/>
        <w:gridCol w:w="109"/>
        <w:gridCol w:w="211"/>
        <w:gridCol w:w="89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81860" cy="175260"/>
                      <wp:effectExtent l="0" t="0" r="0" b="0"/>
                      <wp:wrapNone/>
                      <wp:docPr id="632" name="Frame631"/>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9215" cy="175260"/>
                      <wp:effectExtent l="0" t="0" r="0" b="0"/>
                      <wp:wrapNone/>
                      <wp:docPr id="633"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33985" cy="175260"/>
                      <wp:effectExtent l="0" t="0" r="0" b="0"/>
                      <wp:wrapNone/>
                      <wp:docPr id="634" name="Frame6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505460" cy="175260"/>
                      <wp:effectExtent l="0" t="0" r="0" b="0"/>
                      <wp:wrapNone/>
                      <wp:docPr id="635" name="Frame6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9215" cy="175260"/>
                      <wp:effectExtent l="0" t="0" r="0" b="0"/>
                      <wp:wrapNone/>
                      <wp:docPr id="636"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33985" cy="175260"/>
                      <wp:effectExtent l="0" t="0" r="0" b="0"/>
                      <wp:wrapNone/>
                      <wp:docPr id="637" name="Frame6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568960" cy="175260"/>
                      <wp:effectExtent l="0" t="0" r="0" b="0"/>
                      <wp:wrapNone/>
                      <wp:docPr id="638" name="Frame63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Balance, January 1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251,842</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acquisition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119,668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gross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357,823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257,842</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357,823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257,842</w:t>
            </w:r>
          </w:p>
        </w:tc>
      </w:tr>
    </w:tbl>
    <w:p>
      <w:pPr>
        <w:pStyle w:val="TextBody"/>
        <w:bidi w:val="0"/>
        <w:spacing w:before="0" w:after="240"/>
        <w:ind w:left="432"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recorded other intangible assets of $5,950 during the year ended December 31, 2024 in connection with the ecosio acquisition. Amortization expense related to these intangible assets was $644 for the year ended December 31, 2024, and is reflected in selli</w:t>
      </w:r>
      <w:r>
        <w:rPr>
          <w:rFonts w:ascii="Times New Roman;Times;serif" w:hAnsi="Times New Roman;Times;serif"/>
          <w:sz w:val="20"/>
        </w:rPr>
        <w:t>ng and m</w:t>
      </w:r>
      <w:r>
        <w:rPr>
          <w:rFonts w:ascii="Times New Roman;Times;serif" w:hAnsi="Times New Roman;Times;serif"/>
          <w:sz w:val="20"/>
          <w:shd w:fill="FFFFFF" w:val="clear"/>
        </w:rPr>
        <w:t xml:space="preserve">arketing expense in the consolidated statement of net loss. </w:t>
      </w:r>
      <w:r>
        <w:rPr>
          <w:rFonts w:ascii="Times New Roman;Times;serif" w:hAnsi="Times New Roman;Times;serif"/>
          <w:sz w:val="20"/>
        </w:rPr>
        <w:t>The Company also recognized various amortizable other intangible assets in connection with previous acquisitions, including customer relationships, technology, and tradenames. The following tables provide additional information for our other intangible assets, which are individually not material to the consolidated financial statements: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010"/>
        <w:gridCol w:w="109"/>
        <w:gridCol w:w="211"/>
        <w:gridCol w:w="1370"/>
        <w:gridCol w:w="326"/>
        <w:gridCol w:w="248"/>
        <w:gridCol w:w="2019"/>
        <w:gridCol w:w="326"/>
        <w:gridCol w:w="211"/>
        <w:gridCol w:w="1370"/>
        <w:gridCol w:w="109"/>
        <w:gridCol w:w="211"/>
        <w:gridCol w:w="1685"/>
      </w:tblGrid>
      <w:tr>
        <w:trPr/>
        <w:tc>
          <w:tcPr>
            <w:tcW w:w="2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276350" cy="175260"/>
                      <wp:effectExtent l="0" t="0" r="0" b="0"/>
                      <wp:wrapNone/>
                      <wp:docPr id="639" name="Frame638"/>
                      <a:graphic xmlns:a="http://schemas.openxmlformats.org/drawingml/2006/main">
                        <a:graphicData uri="http://schemas.microsoft.com/office/word/2010/wordprocessingShape">
                          <wps:wsp>
                            <wps:cNvSpPr txBox="1"/>
                            <wps:spPr>
                              <a:xfrm>
                                <a:off x="0" y="0"/>
                                <a:ext cx="1276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9215" cy="175260"/>
                      <wp:effectExtent l="0" t="0" r="0" b="0"/>
                      <wp:wrapNone/>
                      <wp:docPr id="640" name="Frame6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3985" cy="175260"/>
                      <wp:effectExtent l="0" t="0" r="0" b="0"/>
                      <wp:wrapNone/>
                      <wp:docPr id="641" name="Frame6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869950" cy="175260"/>
                      <wp:effectExtent l="0" t="0" r="0" b="0"/>
                      <wp:wrapNone/>
                      <wp:docPr id="642" name="Frame641"/>
                      <a:graphic xmlns:a="http://schemas.openxmlformats.org/drawingml/2006/main">
                        <a:graphicData uri="http://schemas.microsoft.com/office/word/2010/wordprocessingShape">
                          <wps:wsp>
                            <wps:cNvSpPr txBox="1"/>
                            <wps:spPr>
                              <a:xfrm>
                                <a:off x="0" y="0"/>
                                <a:ext cx="869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07010" cy="175260"/>
                      <wp:effectExtent l="0" t="0" r="0" b="0"/>
                      <wp:wrapNone/>
                      <wp:docPr id="643"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57480" cy="175260"/>
                      <wp:effectExtent l="0" t="0" r="0" b="0"/>
                      <wp:wrapNone/>
                      <wp:docPr id="644" name="Frame64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282065" cy="175260"/>
                      <wp:effectExtent l="0" t="0" r="0" b="0"/>
                      <wp:wrapNone/>
                      <wp:docPr id="645" name="Frame644"/>
                      <a:graphic xmlns:a="http://schemas.openxmlformats.org/drawingml/2006/main">
                        <a:graphicData uri="http://schemas.microsoft.com/office/word/2010/wordprocessingShape">
                          <wps:wsp>
                            <wps:cNvSpPr txBox="1"/>
                            <wps:spPr>
                              <a:xfrm>
                                <a:off x="0" y="0"/>
                                <a:ext cx="1282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7010" cy="175260"/>
                      <wp:effectExtent l="0" t="0" r="0" b="0"/>
                      <wp:wrapNone/>
                      <wp:docPr id="646" name="Frame6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33985" cy="175260"/>
                      <wp:effectExtent l="0" t="0" r="0" b="0"/>
                      <wp:wrapNone/>
                      <wp:docPr id="647" name="Frame6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869950" cy="175260"/>
                      <wp:effectExtent l="0" t="0" r="0" b="0"/>
                      <wp:wrapNone/>
                      <wp:docPr id="648" name="Frame647"/>
                      <a:graphic xmlns:a="http://schemas.openxmlformats.org/drawingml/2006/main">
                        <a:graphicData uri="http://schemas.microsoft.com/office/word/2010/wordprocessingShape">
                          <wps:wsp>
                            <wps:cNvSpPr txBox="1"/>
                            <wps:spPr>
                              <a:xfrm>
                                <a:off x="0" y="0"/>
                                <a:ext cx="869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9215" cy="175260"/>
                      <wp:effectExtent l="0" t="0" r="0" b="0"/>
                      <wp:wrapNone/>
                      <wp:docPr id="649" name="Frame6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3985" cy="175260"/>
                      <wp:effectExtent l="0" t="0" r="0" b="0"/>
                      <wp:wrapNone/>
                      <wp:docPr id="650" name="Frame6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069975" cy="175260"/>
                      <wp:effectExtent l="0" t="0" r="0" b="0"/>
                      <wp:wrapNone/>
                      <wp:docPr id="651" name="Frame650"/>
                      <a:graphic xmlns:a="http://schemas.openxmlformats.org/drawingml/2006/main">
                        <a:graphicData uri="http://schemas.microsoft.com/office/word/2010/wordprocessingShape">
                          <wps:wsp>
                            <wps:cNvSpPr txBox="1"/>
                            <wps:spPr>
                              <a:xfrm>
                                <a:off x="0" y="0"/>
                                <a:ext cx="1069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0"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96" w:type="dxa"/>
            <w:gridSpan w:val="2"/>
            <w:tcBorders/>
            <w:vAlign w:val="center"/>
          </w:tcPr>
          <w:p>
            <w:pPr>
              <w:pStyle w:val="TableContents"/>
              <w:bidi w:val="0"/>
              <w:spacing w:before="0" w:after="1"/>
              <w:ind w:left="0" w:right="0" w:hanging="0"/>
              <w:jc w:val="center"/>
              <w:rPr/>
            </w:pPr>
            <w:r>
              <w:rPr/>
              <w:t>​</w:t>
            </w:r>
          </w:p>
        </w:tc>
        <w:tc>
          <w:tcPr>
            <w:tcW w:w="248" w:type="dxa"/>
            <w:tcBorders/>
            <w:vAlign w:val="center"/>
          </w:tcPr>
          <w:p>
            <w:pPr>
              <w:pStyle w:val="TableContents"/>
              <w:bidi w:val="0"/>
              <w:spacing w:before="0" w:after="1"/>
              <w:ind w:left="0" w:right="0" w:hanging="0"/>
              <w:jc w:val="left"/>
              <w:rPr/>
            </w:pPr>
            <w:r>
              <w:rPr/>
              <w:t>​</w:t>
            </w:r>
          </w:p>
        </w:tc>
        <w:tc>
          <w:tcPr>
            <w:tcW w:w="201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4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11" w:type="dxa"/>
            <w:tcBorders/>
            <w:vAlign w:val="center"/>
          </w:tcPr>
          <w:p>
            <w:pPr>
              <w:pStyle w:val="TableContents"/>
              <w:bidi w:val="0"/>
              <w:spacing w:before="0" w:after="1"/>
              <w:ind w:left="0" w:right="0" w:hanging="0"/>
              <w:jc w:val="right"/>
              <w:rPr/>
            </w:pPr>
            <w:r>
              <w:rPr/>
              <w:t>​</w:t>
            </w:r>
          </w:p>
        </w:tc>
        <w:tc>
          <w:tcPr>
            <w:tcW w:w="16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00" w:type="dxa"/>
            <w:gridSpan w:val="4"/>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amortization period (years)</w:t>
            </w:r>
          </w:p>
        </w:tc>
        <w:tc>
          <w:tcPr>
            <w:tcW w:w="326" w:type="dxa"/>
            <w:tcBorders/>
            <w:shd w:fill="CCEEFF" w:val="clear"/>
            <w:vAlign w:val="center"/>
          </w:tcPr>
          <w:p>
            <w:pPr>
              <w:pStyle w:val="TableContents"/>
              <w:bidi w:val="0"/>
              <w:spacing w:before="0" w:after="1"/>
              <w:ind w:left="0" w:right="0" w:hanging="0"/>
              <w:jc w:val="center"/>
              <w:rPr/>
            </w:pPr>
            <w:r>
              <w:rPr/>
              <w:t>​</w:t>
            </w:r>
          </w:p>
        </w:tc>
        <w:tc>
          <w:tcPr>
            <w:tcW w:w="248" w:type="dxa"/>
            <w:tcBorders/>
            <w:shd w:fill="CCEEFF" w:val="clear"/>
            <w:vAlign w:val="center"/>
          </w:tcPr>
          <w:p>
            <w:pPr>
              <w:pStyle w:val="TableContents"/>
              <w:bidi w:val="0"/>
              <w:spacing w:before="0" w:after="1"/>
              <w:ind w:left="0" w:right="0" w:hanging="0"/>
              <w:jc w:val="center"/>
              <w:rPr/>
            </w:pPr>
            <w:r>
              <w:rPr/>
              <w:t>​</w:t>
            </w:r>
          </w:p>
        </w:tc>
        <w:tc>
          <w:tcPr>
            <w:tcW w:w="20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0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48" w:type="dxa"/>
            <w:tcBorders/>
            <w:vAlign w:val="center"/>
          </w:tcPr>
          <w:p>
            <w:pPr>
              <w:pStyle w:val="TableContents"/>
              <w:bidi w:val="0"/>
              <w:spacing w:before="0" w:after="1"/>
              <w:ind w:left="0" w:right="0" w:hanging="0"/>
              <w:jc w:val="center"/>
              <w:rPr/>
            </w:pPr>
            <w:r>
              <w:rPr/>
              <w:t>​</w:t>
            </w:r>
          </w:p>
        </w:tc>
        <w:tc>
          <w:tcPr>
            <w:tcW w:w="20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85" w:type="dxa"/>
            <w:tcBorders/>
            <w:vAlign w:val="center"/>
          </w:tcPr>
          <w:p>
            <w:pPr>
              <w:pStyle w:val="TableContents"/>
              <w:bidi w:val="0"/>
              <w:spacing w:before="0" w:after="1"/>
              <w:ind w:left="0" w:right="0" w:hanging="0"/>
              <w:jc w:val="center"/>
              <w:rPr/>
            </w:pPr>
            <w:r>
              <w:rPr/>
              <w:t>​</w:t>
            </w:r>
          </w:p>
        </w:tc>
      </w:tr>
      <w:tr>
        <w:trPr/>
        <w:tc>
          <w:tcPr>
            <w:tcW w:w="2010"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41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37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2023 </w:t>
            </w:r>
          </w:p>
        </w:tc>
      </w:tr>
      <w:tr>
        <w:trPr/>
        <w:tc>
          <w:tcPr>
            <w:tcW w:w="20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1"/>
              <w:ind w:left="0" w:right="0" w:hanging="0"/>
              <w:jc w:val="center"/>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1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Amortization </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Amortization </w:t>
            </w:r>
          </w:p>
        </w:tc>
      </w:tr>
      <w:tr>
        <w:trPr/>
        <w:tc>
          <w:tcPr>
            <w:tcW w:w="20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12,276</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6,385</w:t>
            </w:r>
          </w:p>
        </w:tc>
      </w:tr>
      <w:tr>
        <w:trPr/>
        <w:tc>
          <w:tcPr>
            <w:tcW w:w="20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 and tradenames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2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w:t>
            </w:r>
          </w:p>
        </w:tc>
      </w:tr>
      <w:tr>
        <w:trPr/>
        <w:tc>
          <w:tcPr>
            <w:tcW w:w="20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Developed technology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20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15,818</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10,960</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8,564</w:t>
            </w:r>
          </w:p>
        </w:tc>
      </w:tr>
      <w:tr>
        <w:trPr/>
        <w:tc>
          <w:tcPr>
            <w:tcW w:w="2010"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20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85" w:type="dxa"/>
            <w:tcBorders/>
            <w:vAlign w:val="center"/>
          </w:tcPr>
          <w:p>
            <w:pPr>
              <w:pStyle w:val="TableContents"/>
              <w:bidi w:val="0"/>
              <w:spacing w:before="0" w:after="1"/>
              <w:ind w:left="0" w:right="0" w:hanging="0"/>
              <w:jc w:val="right"/>
              <w:rPr/>
            </w:pPr>
            <w:r>
              <w:rPr/>
              <w:t>​</w:t>
            </w:r>
          </w:p>
        </w:tc>
      </w:tr>
      <w:tr>
        <w:trPr/>
        <w:tc>
          <w:tcPr>
            <w:tcW w:w="2010"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20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85" w:type="dxa"/>
            <w:tcBorders/>
            <w:vAlign w:val="center"/>
          </w:tcPr>
          <w:p>
            <w:pPr>
              <w:pStyle w:val="TableContents"/>
              <w:bidi w:val="0"/>
              <w:spacing w:before="0" w:after="1"/>
              <w:ind w:left="0" w:right="0" w:hanging="0"/>
              <w:jc w:val="right"/>
              <w:rPr/>
            </w:pPr>
            <w:r>
              <w:rPr/>
              <w:t>​</w:t>
            </w:r>
          </w:p>
        </w:tc>
      </w:tr>
      <w:tr>
        <w:trPr/>
        <w:tc>
          <w:tcPr>
            <w:tcW w:w="201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For the year ended December 31,  </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8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326" w:type="dxa"/>
            <w:tcBorders/>
            <w:vAlign w:val="center"/>
          </w:tcPr>
          <w:p>
            <w:pPr>
              <w:pStyle w:val="TableContents"/>
              <w:bidi w:val="0"/>
              <w:spacing w:before="0" w:after="1"/>
              <w:ind w:left="0" w:right="0" w:hanging="0"/>
              <w:jc w:val="left"/>
              <w:rPr/>
            </w:pPr>
            <w:r>
              <w:rPr/>
              <w:t>​</w:t>
            </w:r>
          </w:p>
        </w:tc>
        <w:tc>
          <w:tcPr>
            <w:tcW w:w="15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6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Expense</w:t>
            </w:r>
          </w:p>
        </w:tc>
      </w:tr>
      <w:tr>
        <w:trPr/>
        <w:tc>
          <w:tcPr>
            <w:tcW w:w="20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2,703</w:t>
            </w:r>
          </w:p>
        </w:tc>
      </w:tr>
      <w:tr>
        <w:trPr/>
        <w:tc>
          <w:tcPr>
            <w:tcW w:w="20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2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3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w:t>
            </w:r>
          </w:p>
        </w:tc>
      </w:tr>
      <w:tr>
        <w:trPr/>
        <w:tc>
          <w:tcPr>
            <w:tcW w:w="20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2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685"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4,013</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estimated future amortization of intangible assets over their remaining estimated useful lives:</w:t>
      </w:r>
    </w:p>
    <w:p>
      <w:pPr>
        <w:pStyle w:val="TextBody"/>
        <w:bidi w:val="0"/>
        <w:spacing w:before="0" w:after="240"/>
        <w:ind w:left="432" w:right="0" w:hanging="0"/>
        <w:jc w:val="both"/>
        <w:rPr/>
      </w:pPr>
      <w:r>
        <w:rPr/>
        <w:t>​</w:t>
      </w:r>
    </w:p>
    <w:tbl>
      <w:tblPr>
        <w:tblW w:w="3294" w:type="dxa"/>
        <w:jc w:val="left"/>
        <w:tblInd w:w="0" w:type="dxa"/>
        <w:tblLayout w:type="fixed"/>
        <w:tblCellMar>
          <w:top w:w="0" w:type="dxa"/>
          <w:left w:w="0" w:type="dxa"/>
          <w:bottom w:w="0" w:type="dxa"/>
          <w:right w:w="0" w:type="dxa"/>
        </w:tblCellMar>
      </w:tblPr>
      <w:tblGrid>
        <w:gridCol w:w="2071"/>
        <w:gridCol w:w="326"/>
        <w:gridCol w:w="211"/>
        <w:gridCol w:w="6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315085" cy="175260"/>
                      <wp:effectExtent l="0" t="0" r="0" b="0"/>
                      <wp:wrapNone/>
                      <wp:docPr id="652" name="Frame65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3"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54" name="Frame6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35610" cy="175260"/>
                      <wp:effectExtent l="0" t="0" r="0" b="0"/>
                      <wp:wrapNone/>
                      <wp:docPr id="655" name="Frame65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    </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5,198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 xml:space="preserve">DEBT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Credit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31, 2020, the Company entered into a credit agreement (the “Previous Credit Agreement”) with a bank consisting of a $175,000 term loan (the “Previous Term Loan”) and a $100,000 committed line of credit (the “Previous Line of Credit”).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8, 2022, the Company entered into the Second Amendment to Credit Agreement (the “Second Amendment”), with a banking syndicate, which amended the Previous Credit Agreement, providing for, among other modifications, (i) a new term loan in the aggregate amount of $50,000 (the “Term Loan”); (ii) an extension of the maturity date of the revolving facility (the “Line of Credit”) from March 2025 to March 2027; (iii) an increase in the Line of Credit commitment from $100,000 to $200,000; (iv) the Company’s option to select an applicable interest rate at either the bank base rate plus an applicable margin (the “New Base Rate Option”) or Secured Overnight Financing Rate (“SOFR”) plus an applicable margin (the “SOFR Option”); (v) modifications to the financial covenant performance levels which determine applicable margins; and (vi) modifications to certain covenants and events of default. Net proceeds from the Term Loan were used to fund ongoing working capital, capital expenditures, permitted distributions, permitted acquisitions, and general corporate purposes of the Company and its subsidiaries. </w:t>
      </w:r>
    </w:p>
    <w:p>
      <w:pPr>
        <w:pStyle w:val="TextBody"/>
        <w:bidi w:val="0"/>
        <w:spacing w:lineRule="auto" w:line="302" w:before="0" w:after="0"/>
        <w:ind w:left="60" w:right="59" w:firstLine="300"/>
        <w:jc w:val="both"/>
        <w:rPr>
          <w:rFonts w:ascii="Times New Roman;Times;serif" w:hAnsi="Times New Roman;Times;serif"/>
          <w:sz w:val="20"/>
        </w:rPr>
      </w:pPr>
      <w:r>
        <w:rPr>
          <w:rFonts w:ascii="Times New Roman;Times;serif" w:hAnsi="Times New Roman;Times;serif"/>
          <w:sz w:val="20"/>
        </w:rPr>
        <w:t>The Company paid $983 in financing costs in connection with the Second Amendment during 2022, which are amortizing over the remaining term of the Credit Agreement. The Company wrote off $370 in deferred financing fees pertaining to the Previous Credit Agreement associated with a bank exiting the Second Amendment. The remaining balance of deferred financing costs of $277 pertaining to the remaining bank associated with the Previous Credit Agreement are amortizing over the remaining term of the Credit Agreement. The portion of the deferred financing costs associated with the Line of Credit is reflected in other assets in the consolidated balance sheets at December 31, 2024 and 2023. The portion of the deferred financing costs associated with the Term Loan is reflected as a reduction of the Term Loan in the consolidated balance sheets at December 31, 2023.</w:t>
      </w:r>
    </w:p>
    <w:p>
      <w:pPr>
        <w:pStyle w:val="TextBody"/>
        <w:bidi w:val="0"/>
        <w:spacing w:lineRule="auto" w:line="302" w:before="0" w:after="0"/>
        <w:ind w:left="60" w:right="59" w:firstLine="300"/>
        <w:jc w:val="both"/>
        <w:rPr/>
      </w:pPr>
      <w:r>
        <w:rPr/>
        <w:t>​</w:t>
      </w:r>
    </w:p>
    <w:p>
      <w:pPr>
        <w:pStyle w:val="TextBody"/>
        <w:bidi w:val="0"/>
        <w:spacing w:lineRule="auto" w:line="302" w:before="0" w:after="0"/>
        <w:ind w:left="60" w:right="59" w:firstLine="300"/>
        <w:jc w:val="both"/>
        <w:rPr>
          <w:rFonts w:ascii="Times New Roman;Times;serif" w:hAnsi="Times New Roman;Times;serif"/>
          <w:sz w:val="20"/>
        </w:rPr>
      </w:pPr>
      <w:r>
        <w:rPr>
          <w:rFonts w:ascii="Times New Roman;Times;serif" w:hAnsi="Times New Roman;Times;serif"/>
          <w:sz w:val="20"/>
        </w:rPr>
        <w:t>On December 12, 2023, the Company entered into the Third Amendment to Credit Agreement (the “Third Amendment” and collectively with the Previous Credit Agreement and the Second Amendment, the “Credit Agreement”), with the existing banking syndicate, which provided funding for a proposed acquisition. On January 14, 2024, the Company withdrew its public tender offer related to the proposed acquisition. Certain provisions under the Third Amendment expired on April 30, 2024. The majority of the provisions provided by the Third Amendment were contingent upon the completion of the proposed acquisition, and therefore, immediately reverted to the terms of the Second Amendment due to the withdrawal of the public tender offer.</w:t>
      </w:r>
    </w:p>
    <w:p>
      <w:pPr>
        <w:pStyle w:val="TextBody"/>
        <w:bidi w:val="0"/>
        <w:spacing w:lineRule="auto" w:line="302" w:before="0" w:after="0"/>
        <w:ind w:left="60" w:right="59" w:firstLine="300"/>
        <w:jc w:val="both"/>
        <w:rPr/>
      </w:pPr>
      <w:r>
        <w:rPr/>
        <w:t>​</w:t>
      </w:r>
    </w:p>
    <w:p>
      <w:pPr>
        <w:pStyle w:val="TextBody"/>
        <w:bidi w:val="0"/>
        <w:spacing w:lineRule="auto" w:line="302" w:before="0" w:after="0"/>
        <w:ind w:left="60" w:right="59" w:firstLine="300"/>
        <w:jc w:val="both"/>
        <w:rPr>
          <w:rFonts w:ascii="Times New Roman;Times;serif" w:hAnsi="Times New Roman;Times;serif"/>
          <w:sz w:val="20"/>
        </w:rPr>
      </w:pPr>
      <w:r>
        <w:rPr>
          <w:rFonts w:ascii="Times New Roman;Times;serif" w:hAnsi="Times New Roman;Times;serif"/>
          <w:sz w:val="20"/>
        </w:rPr>
        <w:t>The Company incurred $1,112 in financing costs in connection with the Third Amendment during 2023, which are amortizing over the remaining term of the Credit Agreement. The portion of the deferred financing costs associated with the Line of Credit are reflected in other assets in the consolidated balance sheets at December 31, 2024. The portion of the deferred financing costs associated with the Line of Credit and the Term Loan are reflected in other assets, and as a reduction of the Term Loan, respectively, in the consolidated balance sheets at December 31, 2023.</w:t>
      </w:r>
    </w:p>
    <w:p>
      <w:pPr>
        <w:pStyle w:val="TextBody"/>
        <w:bidi w:val="0"/>
        <w:spacing w:lineRule="auto" w:line="302" w:before="0" w:after="0"/>
        <w:ind w:left="60" w:right="59" w:firstLine="300"/>
        <w:jc w:val="both"/>
        <w:rPr/>
      </w:pPr>
      <w:r>
        <w:rPr/>
        <w:t>​</w:t>
      </w:r>
    </w:p>
    <w:p>
      <w:pPr>
        <w:pStyle w:val="TextBody"/>
        <w:bidi w:val="0"/>
        <w:spacing w:lineRule="auto" w:line="302" w:before="0" w:after="0"/>
        <w:ind w:left="60" w:right="59" w:firstLine="300"/>
        <w:jc w:val="both"/>
        <w:rPr>
          <w:rFonts w:ascii="Times New Roman;Times;serif" w:hAnsi="Times New Roman;Times;serif"/>
          <w:sz w:val="20"/>
        </w:rPr>
      </w:pPr>
      <w:r>
        <w:rPr>
          <w:rFonts w:ascii="Times New Roman;Times;serif" w:hAnsi="Times New Roman;Times;serif"/>
          <w:sz w:val="20"/>
        </w:rPr>
        <w:t xml:space="preserve">On April 19, 2024, the Company entered into the Fourth Amendment to the Credit Agreement (the “Fourth Amendment”) with a banking syndicate, which provided for, among other things, amendments to certain definitions. </w:t>
      </w:r>
    </w:p>
    <w:p>
      <w:pPr>
        <w:pStyle w:val="TextBody"/>
        <w:bidi w:val="0"/>
        <w:spacing w:lineRule="auto" w:line="302" w:before="0" w:after="0"/>
        <w:ind w:left="60" w:right="59" w:firstLine="30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4, 2024, the Company entered into a Fifth Amendment to the Credit Agreement (the “Fifth Amendment”), with a banking syndicate, which provided for, among other modifications, an increase in the Line of Credit commitment from $200,000 to $300,000 and an extension of the maturity date to November 4, 2029.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incurred $1,167 in financing costs in connection with the Fifth Amendment during 2024, which are amortizing over the term of the Credit Agreement. The portion of the deferred financing costs associated with the Line of Credit are reflected in other assets in the consolidated balance sheets at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Outstanding borrowings under the Credit Agreement are collateralized by nearly all of the assets of the Company and contain financial and operating covenants. The Company was in compliance with these covenants at December 31, 2024 and 2023. The Credit Agreement also limits the declaration or payment of certain dividends, not to exceed, from and after the Credit Agreement closing date, the greater of (i) $15,000 and (ii) 15% of Consolidated EBITDA (as defined in the Credit Agreement) for the most recently ended test period.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Line of Credit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Line of Credit expires in March 2029. The Company is required to pay a quarterly fee on the difference between the $300,000 allowed maximum borrowings and the unpaid principal balance outstanding under the Line of Credit at the applicable rate. At December 31, 2024, the New Base Rate Option and SOFR Option applicable to the Line of Credit borrowings were 8.00% and 5.99%, respectively. There were no outstanding borrowings under the Line of Credit at December 31, 2024 or 2023.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Term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10, 2024, the Company repaid the outstanding Term Loan balance of $46,332, which included $82 of interest. The Company also wrote off $276 in deferred financing fees pertaining to the Term Loan. The Term Loan required quarterly principal payments over five years, with a balloon payment due on March 8, 2027. The interest rate on the Term Loan was 6.46% at December 31, 2023, as the Company selected the SOFR Option. Outstanding borrowings under the Term Loan were $46,875 at December 31, 2023 and are reported in current portion of long-term debt and long-term debt, net of current portion, in the consolidated balance sheets.</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Indenture and Notes </w:t>
      </w:r>
    </w:p>
    <w:p>
      <w:pPr>
        <w:pStyle w:val="TextBody"/>
        <w:bidi w:val="0"/>
        <w:spacing w:before="0" w:after="0"/>
        <w:ind w:left="0" w:right="0" w:firstLine="36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April 26, 2024, the Company closed its offering of $345,000 aggregate principal amount of 0.750% Convertible Senior Notes due 2029 (the “Notes”) to qualified institutional buyers in accordance with Rule 144A under the Securities Act of 1933, as amended. The Notes were issued pursuant to, and are governed by, an indenture (the “Indenture”) between the Company and U.S. Bank Trust Company, National Association, as trustee. The Notes, issued on April 26, 2024, include an additional $45,000 aggregate principal amount of Notes, issued pursuant to the full exercise by the initial purchasers of the Notes of their option to purchase additional Notes.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Notes are the senior, unsecured obligations of the Company and are (i) ranked equal in right of payment with the Company’s senior unsecured indebtedness, (ii) senior in right of payment to the Company’s indebtedness that is expressly subordinated to the Notes, (iii) effectively subordinated to the Company’s senior secured indebtedness, to the extent of the value of the collateral securing that indebtedness, and (iv) structurally subordinated to all indebtedness and other liabilities, including trade payables, and (to the extent the Company is not a holder thereof) preferred equity, if any, of the Company’s subsidiaries.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Notes bear interest at a rate of 0.750% per annum on the principal amount thereof, payable semi-annually in arrears on May 1 and November 1 of each year, beginning on November 1, 2024. The Notes will mature on May 1, 2029 (the “maturity date”), unless earlier repurchased, redeemed or converted in accordance with their terms. On November 1, 2028, and thereafter, holders may convert their Notes anytime at their election, until the close of business on the second scheduled trading day immediately before the maturity date. Before November 1, 2028, holders have the right to convert their Notes only upon the occurrence of the following events: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hanging="0"/>
        <w:jc w:val="both"/>
        <w:rPr/>
      </w:pPr>
      <w:bookmarkStart w:id="1888" w:name="_Hlk169945479"/>
      <w:bookmarkEnd w:id="1888"/>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any calendar quarter after June 30, 2024 if the closing price of the Company's common stock for at least 20</w:t>
            </w:r>
            <w:r>
              <w:rPr>
                <w:caps w:val="false"/>
                <w:smallCaps w:val="false"/>
              </w:rPr>
              <w:t xml:space="preserve"> </w:t>
            </w:r>
            <w:r>
              <w:rPr>
                <w:rFonts w:ascii="Times New Roman;Times;serif" w:hAnsi="Times New Roman;Times;serif"/>
                <w:b w:val="false"/>
                <w:i w:val="false"/>
                <w:caps w:val="false"/>
                <w:smallCaps w:val="false"/>
                <w:sz w:val="20"/>
              </w:rPr>
              <w:t>trading days in a period of 30</w:t>
            </w:r>
            <w:r>
              <w:rPr>
                <w:caps w:val="false"/>
                <w:smallCaps w:val="false"/>
              </w:rPr>
              <w:t xml:space="preserve"> </w:t>
            </w:r>
            <w:r>
              <w:rPr>
                <w:rFonts w:ascii="Times New Roman;Times;serif" w:hAnsi="Times New Roman;Times;serif"/>
                <w:b w:val="false"/>
                <w:i w:val="false"/>
                <w:caps w:val="false"/>
                <w:smallCaps w:val="false"/>
                <w:sz w:val="20"/>
              </w:rPr>
              <w:t>consecutive trading days ending on and including the last trading day of the preceding calendar quarter is more than 130%</w:t>
            </w:r>
            <w:r>
              <w:rPr>
                <w:caps w:val="false"/>
                <w:smallCaps w:val="false"/>
              </w:rPr>
              <w:t xml:space="preserve"> </w:t>
            </w:r>
            <w:r>
              <w:rPr>
                <w:rFonts w:ascii="Times New Roman;Times;serif" w:hAnsi="Times New Roman;Times;serif"/>
                <w:b w:val="false"/>
                <w:i w:val="false"/>
                <w:caps w:val="false"/>
                <w:smallCaps w:val="false"/>
                <w:sz w:val="20"/>
              </w:rPr>
              <w:t xml:space="preserve">of the then applicable conversion price (effectively $47.21) for the Notes per share of common stock.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five</w:t>
            </w:r>
            <w:r>
              <w:rPr>
                <w:caps w:val="false"/>
                <w:smallCaps w:val="false"/>
              </w:rPr>
              <w:t xml:space="preserve"> </w:t>
            </w:r>
            <w:r>
              <w:rPr>
                <w:rFonts w:ascii="Times New Roman;Times;serif" w:hAnsi="Times New Roman;Times;serif"/>
                <w:b w:val="false"/>
                <w:i w:val="false"/>
                <w:caps w:val="false"/>
                <w:smallCaps w:val="false"/>
                <w:sz w:val="20"/>
              </w:rPr>
              <w:t>business days immediately after any ten</w:t>
            </w:r>
            <w:r>
              <w:rPr>
                <w:caps w:val="false"/>
                <w:smallCaps w:val="false"/>
              </w:rPr>
              <w:t xml:space="preserve"> </w:t>
            </w:r>
            <w:r>
              <w:rPr>
                <w:rFonts w:ascii="Times New Roman;Times;serif" w:hAnsi="Times New Roman;Times;serif"/>
                <w:b w:val="false"/>
                <w:i w:val="false"/>
                <w:caps w:val="false"/>
                <w:smallCaps w:val="false"/>
                <w:sz w:val="20"/>
              </w:rPr>
              <w:t>consecutive trading day period in which the trading price per $1,000 principal amount of Notes, as determined following a request by a holder of Notes, for each day of that period was less than 98%</w:t>
            </w:r>
            <w:r>
              <w:rPr>
                <w:caps w:val="false"/>
                <w:smallCaps w:val="false"/>
              </w:rPr>
              <w:t xml:space="preserve"> </w:t>
            </w:r>
            <w:r>
              <w:rPr>
                <w:rFonts w:ascii="Times New Roman;Times;serif" w:hAnsi="Times New Roman;Times;serif"/>
                <w:b w:val="false"/>
                <w:i w:val="false"/>
                <w:caps w:val="false"/>
                <w:smallCaps w:val="false"/>
                <w:sz w:val="20"/>
              </w:rPr>
              <w:t>of the product of the closing price of the Company’s common stock and the then applicable conversion 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calls any or all of the Notes for redemption, holders may convert all or any portion of their notes at any time prior to the close of business on the scheduled trading day prior to the redemption date, even if the Notes are not otherwise convertible at such time. </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distributions to holders of the Company’s common stock are made or specified corporate events occur.</w:t>
            </w:r>
          </w:p>
        </w:tc>
      </w:tr>
    </w:tbl>
    <w:p>
      <w:pPr>
        <w:pStyle w:val="TextBody"/>
        <w:bidi w:val="0"/>
        <w:spacing w:lineRule="auto" w:line="300" w:before="0" w:after="0"/>
        <w:ind w:left="980" w:right="0" w:hanging="0"/>
        <w:jc w:val="both"/>
        <w:rPr/>
      </w:pPr>
      <w:r>
        <w:rPr/>
        <w:t>​</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2024, the last reported sale price of the Company’s Class A common stock for at least 20 trading days during the 30 consecutive trading days ending on, and including, December 31, 2024, was greater than or equal to 130% of the conversion price of the Notes on each applicable trading day. Therefore, the Notes are convertible at the option of the holders of the Notes during the first quarter of 2025.</w:t>
      </w:r>
    </w:p>
    <w:p>
      <w:pPr>
        <w:pStyle w:val="TextBody"/>
        <w:bidi w:val="0"/>
        <w:spacing w:lineRule="auto" w:line="300" w:before="0" w:after="240"/>
        <w:ind w:left="1340" w:right="0" w:hanging="0"/>
        <w:jc w:val="both"/>
        <w:rPr/>
      </w:pPr>
      <w:r>
        <w:rPr/>
        <w:t>​</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a holder converts upon a make-whole fundamental change (as defined in the Indenture) or Company redemption, the holder may be eligible to receive a make-whole premium through an increase to the conversion rate. </w:t>
      </w:r>
    </w:p>
    <w:p>
      <w:pPr>
        <w:pStyle w:val="TextBody"/>
        <w:bidi w:val="0"/>
        <w:spacing w:lineRule="auto" w:line="300"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Upon conversion, the Company will pay or deliver, as applicable, cash, shares of Class A common stock or a combination of cash and shares of Class A common stock at the Company’s election. The initial conversion rate for the Notes is 27.5315 shares of Class A common stock per $1,000 principal amount of Notes, which represents an initial conversion price of approximately $36.32 per share of Class A common stock and is subject to adjustment upon the occurrence of certain specified events as set forth in the Indenture. </w:t>
      </w:r>
    </w:p>
    <w:p>
      <w:pPr>
        <w:pStyle w:val="TextBody"/>
        <w:bidi w:val="0"/>
        <w:spacing w:before="0" w:after="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net proceeds from the offering of the Notes were $333,716, after deducting the initial purchasers’ discount and commissions, and other transaction and offering expenses. The Company used $42,366 of the net proceeds from this offering to fund the cost of the Capped Call Transactions (as defined below) and intends to use the remainder for working capital or other general corporate expenses, which may include capital expenditures, potential acquisitions, and strategic transactions.</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Capped Call Transactions</w:t>
      </w:r>
    </w:p>
    <w:p>
      <w:pPr>
        <w:pStyle w:val="TextBody"/>
        <w:bidi w:val="0"/>
        <w:spacing w:before="0" w:after="0"/>
        <w:ind w:left="0" w:right="0" w:hanging="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pricing of the Notes on April 23, 2024, the Company entered into privately negotiated capped call transactions (the “Base Capped Calls”) with certain financial institutions (together, the “Option Counterparties”). In connection with the exercise of the option to purchase the additional Notes in full, the Company entered into additional capped call transactions with the Option Counterparties (together, the “Additional Capped Call Transactions” and, together with the Base Capped Call Transactions, the “Capped Call Transactions”).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cap price of the Capped Call Transactions will initially be $55.88 per share of Class A common stock, and is subject to certain adjustments under the terms of the Capped Call Transactions. The Capped Call Transactions are expected generally to reduce the potential dilution to the Class A common stock upon any conversion of the Notes and/or to offset any cash payments the Company is required to make in excess of the principal amount of the converted Notes, as the case may be, upon any conversion of the Notes. The Capped Call Transactions cover, subject to anti-dilution adjustments substantially similar to those applicable to the Notes, approximately 12,348 shares of the Company’s common stock.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00"/>
        <w:ind w:left="0" w:right="0" w:hanging="0"/>
        <w:jc w:val="both"/>
        <w:rPr>
          <w:rFonts w:ascii="Times New Roman;Times;serif" w:hAnsi="Times New Roman;Times;serif"/>
          <w:sz w:val="20"/>
        </w:rPr>
      </w:pPr>
      <w:bookmarkStart w:id="1889" w:name="Tc_lnhsvER1TECAafm6g_Alvw_7_2"/>
      <w:bookmarkStart w:id="1890" w:name="Tc_HDLVEGshykyz5GiXq4lByw_7_0"/>
      <w:bookmarkStart w:id="1891" w:name="Tc_pqPxUj_0ekSxNeS1fxIKDg_6_0"/>
      <w:bookmarkStart w:id="1892" w:name="Tc_8M9rQhr38EeBTJvmRPVqpA_5_3"/>
      <w:bookmarkStart w:id="1893" w:name="Tc_FideYPtZ3026vSyEL2V3xw_5_0"/>
      <w:bookmarkStart w:id="1894" w:name="Tc_8hqPm60fCkaGHqJMPhG-ig_4_3"/>
      <w:bookmarkStart w:id="1895" w:name="Tc_ncBDyKDOEEimrfsK7ng4vw_4_0"/>
      <w:bookmarkStart w:id="1896" w:name="Tc_xCAzXQm-MkOrjgR0u8zREA_3_3"/>
      <w:bookmarkStart w:id="1897" w:name="Tc_3aCScOBcTEaTCUKWvY0YRA_3_0"/>
      <w:bookmarkStart w:id="1898" w:name="Tc_rwvonVWX60ubEiRRXsO2rg_2_3"/>
      <w:bookmarkStart w:id="1899" w:name="Tc_NgHvTMIjKkiNFywon1RL8g_2_2"/>
      <w:bookmarkStart w:id="1900" w:name="Tc_YimUQ_MJWE2wNwEjc0tKWA_2_0"/>
      <w:bookmarkStart w:id="1901" w:name="Tc_ChZb_4F31EyZWRXGeNTBCQ_1_0"/>
      <w:bookmarkStart w:id="1902" w:name="Tc_CH-WkQUcckSLrHaKkSMW6Q_5_7"/>
      <w:bookmarkStart w:id="1903" w:name="Tc_BKh7uRihWU-L9lhGG7oqMg_5_6"/>
      <w:bookmarkStart w:id="1904" w:name="Tc_E1fZi_YqcUG5wniRHuln_A_5_3"/>
      <w:bookmarkStart w:id="1905" w:name="Tc_JExmUS82T0uZTvt8kmprYg_5_0"/>
      <w:bookmarkStart w:id="1906" w:name="Tc_id2x5gqQq0-Ma1wtw02HLQ_4_7"/>
      <w:bookmarkStart w:id="1907" w:name="Tc_waG06CbSHECU6x1Hr5kWKg_4_0"/>
      <w:bookmarkStart w:id="1908" w:name="Tc_847Gn1MQpEyk1CZsGmUrYA_3_7"/>
      <w:bookmarkStart w:id="1909" w:name="Tc_8ME1ZBuhHUKkrnkYOT8rSg_3_6"/>
      <w:bookmarkStart w:id="1910" w:name="Tc_2_9P2TOurUOdZEtVSDYwIg_3_3"/>
      <w:bookmarkStart w:id="1911" w:name="Tc_mvJgusPddUK7a1-fLIG3KA_3_0"/>
      <w:bookmarkStart w:id="1912" w:name="Tc_0ldk4YSZK0a4J2xJtqLmYA_2_7"/>
      <w:bookmarkStart w:id="1913" w:name="Tc_3xcEQ6PDuUGX9lFN3CY0lQ_2_4"/>
      <w:bookmarkStart w:id="1914" w:name="Tc_m99eJPrlT06yO1InRgjBEA_1_3"/>
      <w:bookmarkStart w:id="1915" w:name="Tc_4cbSWUnAkE6QlU686kcXvw_11_16"/>
      <w:bookmarkStart w:id="1916" w:name="Tc_XvS4pGhaQkWFq1ZI8EzYrw_11_13"/>
      <w:bookmarkStart w:id="1917" w:name="Tc_cQgmbJcK-0qVpVckj-ct9w_11_10"/>
      <w:bookmarkStart w:id="1918" w:name="Tc_FS4SFAevGUGEggDha8x4Kw_11_7"/>
      <w:bookmarkStart w:id="1919" w:name="Tc_icotwVfxtUeRdryyYORA4A_11_4"/>
      <w:bookmarkStart w:id="1920" w:name="Tc_-q3z_3kF_kS9rp12AXtmXA_11_1"/>
      <w:bookmarkStart w:id="1921" w:name="Tc_3NJX3jMrrUCGb2CxJalhOA_11_0"/>
      <w:bookmarkStart w:id="1922" w:name="Tc_vURY414DJEeEEAc5mAWdzw_10_17"/>
      <w:bookmarkStart w:id="1923" w:name="Tc_2I7a5B4HlEmb-cWZqzXCeQ_10_14"/>
      <w:bookmarkStart w:id="1924" w:name="Tc_jfU_WPY-h02awGH5TVtWkw_10_11"/>
      <w:bookmarkStart w:id="1925" w:name="Tc_E878YLXBHkCrtdj3qXyR-A_10_0"/>
      <w:bookmarkStart w:id="1926" w:name="Tc_viorXeKKTUuzy9z-i7L8Lg_8_8"/>
      <w:bookmarkStart w:id="1927" w:name="Tc_KM0dnNLzTEy2HENAIVG7OQ_8_5"/>
      <w:bookmarkStart w:id="1928" w:name="Tc_QSqsU69-Z0mqVF6eUBg5Kw_8_2"/>
      <w:bookmarkStart w:id="1929" w:name="Tc_-9xjZChxzEGc0uyNpk7fzA_8_0"/>
      <w:bookmarkStart w:id="1930" w:name="Tc_C19D9oRngEmxbrXvCAIkZg_7_8"/>
      <w:bookmarkStart w:id="1931" w:name="Tc_tzx0hGHO1k2NkUCeR5waQg_7_5"/>
      <w:bookmarkStart w:id="1932" w:name="Tc_DJyr1uaoB0KsNwq3tb3qnQ_7_2"/>
      <w:bookmarkStart w:id="1933" w:name="Tc_6232a9D0ZUuqb8BN717YQA_7_0"/>
      <w:bookmarkStart w:id="1934" w:name="Tc_VYN-Jg-uaUexqfCs6_nR-Q_5_14"/>
      <w:bookmarkStart w:id="1935" w:name="Tc_mkWBvFegHkaecmKKVxyy5w_5_8"/>
      <w:bookmarkStart w:id="1936" w:name="Tc_JuY2NQJvwk-ruwJzoh7lGw_5_5"/>
      <w:bookmarkStart w:id="1937" w:name="Tc_g4MU3qxmx0mWf9n-E2Fcvw_5_2"/>
      <w:bookmarkStart w:id="1938" w:name="Tc_-v6-cNvP-kS4wQDbiGeUZA_5_0"/>
      <w:bookmarkStart w:id="1939" w:name="Tc_SRW5ZTNj90y0Gj6UEiYzsg_4_16"/>
      <w:bookmarkStart w:id="1940" w:name="Tc_mNY8oOsbIkieDMrSonFk1A_4_14"/>
      <w:bookmarkStart w:id="1941" w:name="Tc_dTUU2162WECbficFlrbFvA_4_13"/>
      <w:bookmarkStart w:id="1942" w:name="Tc_zU_tLs6zTkyd9DSboeuQ1A_4_10"/>
      <w:bookmarkStart w:id="1943" w:name="Tc_u1qYpIH5-0exxHKZ1pscSw_4_8"/>
      <w:bookmarkStart w:id="1944" w:name="Tc_VDXfz4BS00OCq5E5VxlXJQ_4_7"/>
      <w:bookmarkStart w:id="1945" w:name="Tc_b3n8eNDh1EOPK8xMHOA6dw_4_5"/>
      <w:bookmarkStart w:id="1946" w:name="Tc_U9RO7QbdbUSkC7Fz_LpzKA_4_4"/>
      <w:bookmarkStart w:id="1947" w:name="Tc_cxz4BlFDrEK20vxy6jsEcA_4_2"/>
      <w:bookmarkStart w:id="1948" w:name="Tc_qnGtmFXaR0SRIJZCEf310g_4_1"/>
      <w:bookmarkStart w:id="1949" w:name="Tc_qyNYvP388UGpsGxVjEUYXA_4_0"/>
      <w:bookmarkStart w:id="1950" w:name="Tc_tyBrbbWfKEGwEkVJfldIow_2_17"/>
      <w:bookmarkStart w:id="1951" w:name="Tc_24Ze8uhHA0mFT-OOSOrAcA_2_14"/>
      <w:bookmarkStart w:id="1952" w:name="Tc_GYm6NjKfD0GvtTrA5XP7zg_2_11"/>
      <w:bookmarkStart w:id="1953" w:name="Tc__X1l83tsjEKBeVQCjPeDlg_2_8"/>
      <w:bookmarkStart w:id="1954" w:name="Tc_haNsdfZ-GEKEXhhDcmH7mA_2_5"/>
      <w:bookmarkStart w:id="1955" w:name="Tc_bEQsTpbVZEGloNDRE0Yu6g_2_2"/>
      <w:bookmarkStart w:id="1956" w:name="Tc_KtIwMXWhCkuWn0_POe2l3g_1_10"/>
      <w:bookmarkStart w:id="1957" w:name="Tc_aw4flL93hE6p5-7flVHBwQ_1_1"/>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r>
        <w:rPr>
          <w:rFonts w:ascii="Times New Roman;Times;serif" w:hAnsi="Times New Roman;Times;serif"/>
          <w:sz w:val="20"/>
        </w:rPr>
        <w:t xml:space="preserve">cost of the Capped Call Transactions was $42,366, which was included in additional paid-in capital, net of tax, in the consolidated balance sheets, with no remeasurement in subsequent periods as it meets the conditions for equity classification.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indebtedness at December 31, 2024 and 2023 was as follows:</w:t>
      </w:r>
    </w:p>
    <w:p>
      <w:pPr>
        <w:pStyle w:val="TextBody"/>
        <w:bidi w:val="0"/>
        <w:spacing w:lineRule="atLeast" w:line="142"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604"/>
        <w:gridCol w:w="211"/>
        <w:gridCol w:w="933"/>
        <w:gridCol w:w="109"/>
        <w:gridCol w:w="211"/>
        <w:gridCol w:w="1375"/>
        <w:gridCol w:w="109"/>
        <w:gridCol w:w="211"/>
        <w:gridCol w:w="1011"/>
        <w:gridCol w:w="109"/>
        <w:gridCol w:w="326"/>
        <w:gridCol w:w="921"/>
        <w:gridCol w:w="109"/>
        <w:gridCol w:w="211"/>
        <w:gridCol w:w="1375"/>
        <w:gridCol w:w="109"/>
        <w:gridCol w:w="211"/>
        <w:gridCol w:w="1060"/>
      </w:tblGrid>
      <w:tr>
        <w:trPr/>
        <w:tc>
          <w:tcPr>
            <w:tcW w:w="1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018540" cy="175260"/>
                      <wp:effectExtent l="0" t="0" r="0" b="0"/>
                      <wp:wrapNone/>
                      <wp:docPr id="656" name="Frame655"/>
                      <a:graphic xmlns:a="http://schemas.openxmlformats.org/drawingml/2006/main">
                        <a:graphicData uri="http://schemas.microsoft.com/office/word/2010/wordprocessingShape">
                          <wps:wsp>
                            <wps:cNvSpPr txBox="1"/>
                            <wps:spPr>
                              <a:xfrm>
                                <a:off x="0" y="0"/>
                                <a:ext cx="1018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7" name="Frame6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92455" cy="175260"/>
                      <wp:effectExtent l="0" t="0" r="0" b="0"/>
                      <wp:wrapNone/>
                      <wp:docPr id="658" name="Frame65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9215" cy="175260"/>
                      <wp:effectExtent l="0" t="0" r="0" b="0"/>
                      <wp:wrapNone/>
                      <wp:docPr id="659" name="Frame6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33985" cy="175260"/>
                      <wp:effectExtent l="0" t="0" r="0" b="0"/>
                      <wp:wrapNone/>
                      <wp:docPr id="660" name="Frame6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873125" cy="175260"/>
                      <wp:effectExtent l="0" t="0" r="0" b="0"/>
                      <wp:wrapNone/>
                      <wp:docPr id="661" name="Frame660"/>
                      <a:graphic xmlns:a="http://schemas.openxmlformats.org/drawingml/2006/main">
                        <a:graphicData uri="http://schemas.microsoft.com/office/word/2010/wordprocessingShape">
                          <wps:wsp>
                            <wps:cNvSpPr txBox="1"/>
                            <wps:spPr>
                              <a:xfrm>
                                <a:off x="0" y="0"/>
                                <a:ext cx="873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175260"/>
                      <wp:effectExtent l="0" t="0" r="0" b="0"/>
                      <wp:wrapNone/>
                      <wp:docPr id="662" name="Frame6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33985" cy="175260"/>
                      <wp:effectExtent l="0" t="0" r="0" b="0"/>
                      <wp:wrapNone/>
                      <wp:docPr id="663" name="Frame6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1985" cy="175260"/>
                      <wp:effectExtent l="0" t="0" r="0" b="0"/>
                      <wp:wrapNone/>
                      <wp:docPr id="664" name="Frame663"/>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9215" cy="175260"/>
                      <wp:effectExtent l="0" t="0" r="0" b="0"/>
                      <wp:wrapNone/>
                      <wp:docPr id="665" name="Frame6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6" name="Frame6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584835" cy="175260"/>
                      <wp:effectExtent l="0" t="0" r="0" b="0"/>
                      <wp:wrapNone/>
                      <wp:docPr id="667" name="Frame666"/>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9215" cy="175260"/>
                      <wp:effectExtent l="0" t="0" r="0" b="0"/>
                      <wp:wrapNone/>
                      <wp:docPr id="668" name="Frame6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33985" cy="175260"/>
                      <wp:effectExtent l="0" t="0" r="0" b="0"/>
                      <wp:wrapNone/>
                      <wp:docPr id="669" name="Frame6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873125" cy="175260"/>
                      <wp:effectExtent l="0" t="0" r="0" b="0"/>
                      <wp:wrapNone/>
                      <wp:docPr id="670" name="Frame669"/>
                      <a:graphic xmlns:a="http://schemas.openxmlformats.org/drawingml/2006/main">
                        <a:graphicData uri="http://schemas.microsoft.com/office/word/2010/wordprocessingShape">
                          <wps:wsp>
                            <wps:cNvSpPr txBox="1"/>
                            <wps:spPr>
                              <a:xfrm>
                                <a:off x="0" y="0"/>
                                <a:ext cx="873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9215" cy="175260"/>
                      <wp:effectExtent l="0" t="0" r="0" b="0"/>
                      <wp:wrapNone/>
                      <wp:docPr id="671" name="Frame6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33985" cy="175260"/>
                      <wp:effectExtent l="0" t="0" r="0" b="0"/>
                      <wp:wrapNone/>
                      <wp:docPr id="672" name="Frame6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73100" cy="175260"/>
                      <wp:effectExtent l="0" t="0" r="0" b="0"/>
                      <wp:wrapNone/>
                      <wp:docPr id="673" name="Frame672"/>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4" w:type="dxa"/>
            <w:tcBorders/>
            <w:vAlign w:val="center"/>
          </w:tcPr>
          <w:p>
            <w:pPr>
              <w:pStyle w:val="TableContents"/>
              <w:bidi w:val="0"/>
              <w:spacing w:before="0" w:after="1"/>
              <w:ind w:left="0" w:right="0" w:hanging="0"/>
              <w:jc w:val="left"/>
              <w:rPr/>
            </w:pPr>
            <w:r>
              <w:rPr/>
              <w:t>​</w:t>
            </w:r>
          </w:p>
        </w:tc>
        <w:tc>
          <w:tcPr>
            <w:tcW w:w="417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109" w:type="dxa"/>
            <w:tcBorders/>
            <w:vAlign w:val="center"/>
          </w:tcPr>
          <w:p>
            <w:pPr>
              <w:pStyle w:val="TableContents"/>
              <w:bidi w:val="0"/>
              <w:spacing w:before="0" w:after="1"/>
              <w:ind w:left="0" w:right="0" w:hanging="0"/>
              <w:jc w:val="left"/>
              <w:rPr/>
            </w:pPr>
            <w:r>
              <w:rPr/>
              <w:t>​</w:t>
            </w:r>
          </w:p>
        </w:tc>
        <w:tc>
          <w:tcPr>
            <w:tcW w:w="43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1604"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7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Discounts and Deferred Financing Costs </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7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Discounts and Deferred Financing Costs </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604"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60" w:type="dxa"/>
            <w:tcBorders/>
            <w:vAlign w:val="center"/>
          </w:tcPr>
          <w:p>
            <w:pPr>
              <w:pStyle w:val="TableContents"/>
              <w:bidi w:val="0"/>
              <w:spacing w:before="0" w:after="1"/>
              <w:ind w:left="0" w:right="0" w:hanging="0"/>
              <w:jc w:val="left"/>
              <w:rPr/>
            </w:pPr>
            <w:r>
              <w:rPr/>
              <w:t>​</w:t>
            </w:r>
          </w:p>
        </w:tc>
      </w:tr>
      <w:tr>
        <w:trPr/>
        <w:tc>
          <w:tcPr>
            <w:tcW w:w="16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16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1604"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16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Term Loan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44,375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44,059</w:t>
            </w:r>
          </w:p>
        </w:tc>
      </w:tr>
      <w:tr>
        <w:trPr/>
        <w:tc>
          <w:tcPr>
            <w:tcW w:w="16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net of current portion</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44,059</w:t>
            </w:r>
          </w:p>
        </w:tc>
      </w:tr>
      <w:tr>
        <w:trPr/>
        <w:tc>
          <w:tcPr>
            <w:tcW w:w="1604"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r>
      <w:tr>
        <w:trPr/>
        <w:tc>
          <w:tcPr>
            <w:tcW w:w="16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senior notes, non-current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335,220</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6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r>
              <w:rPr>
                <w:rFonts w:ascii="Times New Roman;Times;serif" w:hAnsi="Times New Roman;Times;serif"/>
                <w:color w:val="FF0000"/>
                <w:sz w:val="20"/>
              </w:rPr>
              <w:t xml:space="preserve">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335,220</w:t>
            </w:r>
          </w:p>
        </w:tc>
        <w:tc>
          <w:tcPr>
            <w:tcW w:w="109"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46,875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46,559</w:t>
            </w:r>
          </w:p>
        </w:tc>
      </w:tr>
    </w:tbl>
    <w:p>
      <w:pPr>
        <w:pStyle w:val="TextBody"/>
        <w:bidi w:val="0"/>
        <w:spacing w:before="0" w:after="240"/>
        <w:ind w:left="0" w:right="0" w:hanging="0"/>
        <w:jc w:val="both"/>
        <w:rPr/>
      </w:pPr>
      <w:r>
        <w:rPr/>
        <w:t>​</w:t>
      </w:r>
    </w:p>
    <w:p>
      <w:pPr>
        <w:pStyle w:val="TextBody"/>
        <w:bidi w:val="0"/>
        <w:spacing w:before="0" w:after="0"/>
        <w:ind w:left="58" w:right="58" w:firstLine="324"/>
        <w:jc w:val="both"/>
        <w:rPr>
          <w:rFonts w:ascii="Times New Roman;Times;serif" w:hAnsi="Times New Roman;Times;serif"/>
          <w:sz w:val="20"/>
        </w:rPr>
      </w:pPr>
      <w:r>
        <w:rPr>
          <w:rFonts w:ascii="Times New Roman;Times;serif" w:hAnsi="Times New Roman;Times;serif"/>
          <w:sz w:val="20"/>
        </w:rPr>
        <w:t xml:space="preserve">Our interest expense related to the Notes is as follows: </w:t>
      </w:r>
    </w:p>
    <w:p>
      <w:pPr>
        <w:pStyle w:val="TextBody"/>
        <w:bidi w:val="0"/>
        <w:spacing w:before="0" w:after="0"/>
        <w:ind w:left="0" w:right="0" w:hanging="0"/>
        <w:jc w:val="left"/>
        <w:rPr/>
      </w:pPr>
      <w:r>
        <w:rPr/>
        <w:t>​</w:t>
      </w:r>
    </w:p>
    <w:tbl>
      <w:tblPr>
        <w:tblW w:w="6912" w:type="dxa"/>
        <w:jc w:val="left"/>
        <w:tblInd w:w="0" w:type="dxa"/>
        <w:tblLayout w:type="fixed"/>
        <w:tblCellMar>
          <w:top w:w="0" w:type="dxa"/>
          <w:left w:w="0" w:type="dxa"/>
          <w:bottom w:w="0" w:type="dxa"/>
          <w:right w:w="0" w:type="dxa"/>
        </w:tblCellMar>
      </w:tblPr>
      <w:tblGrid>
        <w:gridCol w:w="3976"/>
        <w:gridCol w:w="109"/>
        <w:gridCol w:w="109"/>
        <w:gridCol w:w="345"/>
        <w:gridCol w:w="934"/>
        <w:gridCol w:w="178"/>
        <w:gridCol w:w="345"/>
        <w:gridCol w:w="762"/>
        <w:gridCol w:w="1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524760" cy="175260"/>
                      <wp:effectExtent l="0" t="0" r="0" b="0"/>
                      <wp:wrapNone/>
                      <wp:docPr id="674" name="Frame673"/>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9215" cy="175260"/>
                      <wp:effectExtent l="0" t="0" r="0" b="0"/>
                      <wp:wrapNone/>
                      <wp:docPr id="675" name="Frame6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9215" cy="175260"/>
                      <wp:effectExtent l="0" t="0" r="0" b="0"/>
                      <wp:wrapNone/>
                      <wp:docPr id="676" name="Frame6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075" cy="175260"/>
                      <wp:effectExtent l="0" t="0" r="0" b="0"/>
                      <wp:wrapNone/>
                      <wp:docPr id="677" name="Frame67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593090" cy="175260"/>
                      <wp:effectExtent l="0" t="0" r="0" b="0"/>
                      <wp:wrapNone/>
                      <wp:docPr id="678" name="Frame677"/>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13030" cy="175260"/>
                      <wp:effectExtent l="0" t="0" r="0" b="0"/>
                      <wp:wrapNone/>
                      <wp:docPr id="679" name="Frame678"/>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075" cy="175260"/>
                      <wp:effectExtent l="0" t="0" r="0" b="0"/>
                      <wp:wrapNone/>
                      <wp:docPr id="680" name="Frame67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483870" cy="175260"/>
                      <wp:effectExtent l="0" t="0" r="0" b="0"/>
                      <wp:wrapNone/>
                      <wp:docPr id="681" name="Frame68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97790" cy="175260"/>
                      <wp:effectExtent l="0" t="0" r="0" b="0"/>
                      <wp:wrapNone/>
                      <wp:docPr id="682" name="Frame6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December 31, </w:t>
            </w:r>
          </w:p>
        </w:tc>
        <w:tc>
          <w:tcPr>
            <w:tcW w:w="154" w:type="dxa"/>
            <w:tcBorders/>
            <w:vAlign w:val="center"/>
          </w:tcPr>
          <w:p>
            <w:pPr>
              <w:pStyle w:val="TableContents"/>
              <w:bidi w:val="0"/>
              <w:spacing w:before="0" w:after="1"/>
              <w:ind w:left="0" w:right="0" w:hanging="0"/>
              <w:jc w:val="left"/>
              <w:rPr/>
            </w:pPr>
            <w:r>
              <w:rPr/>
              <w:t>​</w:t>
            </w:r>
          </w:p>
        </w:tc>
      </w:tr>
      <w:tr>
        <w:trPr/>
        <w:tc>
          <w:tcPr>
            <w:tcW w:w="3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78" w:type="dxa"/>
            <w:tcBorders/>
            <w:vAlign w:val="center"/>
          </w:tcPr>
          <w:p>
            <w:pPr>
              <w:pStyle w:val="TableContents"/>
              <w:bidi w:val="0"/>
              <w:spacing w:before="0" w:after="1"/>
              <w:ind w:left="0" w:right="0" w:hanging="0"/>
              <w:jc w:val="center"/>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1"/>
              <w:ind w:left="0" w:right="0" w:hanging="0"/>
              <w:jc w:val="lef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178"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issuance costs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c>
          <w:tcPr>
            <w:tcW w:w="178" w:type="dxa"/>
            <w:tcBorders/>
            <w:vAlign w:val="center"/>
          </w:tcPr>
          <w:p>
            <w:pPr>
              <w:pStyle w:val="TableContents"/>
              <w:bidi w:val="0"/>
              <w:spacing w:before="0" w:after="1"/>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 convertible senior Notes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c>
          <w:tcPr>
            <w:tcW w:w="178"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Principal debt maturities under the Credit Agreement and Notes for the next five years and thereafter are as follows as of December 31, 2024:</w:t>
      </w:r>
    </w:p>
    <w:p>
      <w:pPr>
        <w:pStyle w:val="TextBody"/>
        <w:bidi w:val="0"/>
        <w:spacing w:before="0" w:after="0"/>
        <w:ind w:left="0" w:right="0" w:hanging="0"/>
        <w:jc w:val="left"/>
        <w:rPr/>
      </w:pPr>
      <w:r>
        <w:rPr/>
        <w:t>​</w:t>
      </w:r>
    </w:p>
    <w:tbl>
      <w:tblPr>
        <w:tblW w:w="4007" w:type="dxa"/>
        <w:jc w:val="left"/>
        <w:tblInd w:w="0" w:type="dxa"/>
        <w:tblLayout w:type="fixed"/>
        <w:tblCellMar>
          <w:top w:w="0" w:type="dxa"/>
          <w:left w:w="0" w:type="dxa"/>
          <w:bottom w:w="0" w:type="dxa"/>
          <w:right w:w="0" w:type="dxa"/>
        </w:tblCellMar>
      </w:tblPr>
      <w:tblGrid>
        <w:gridCol w:w="2791"/>
        <w:gridCol w:w="109"/>
        <w:gridCol w:w="211"/>
        <w:gridCol w:w="89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772285" cy="175260"/>
                      <wp:effectExtent l="0" t="0" r="0" b="0"/>
                      <wp:wrapNone/>
                      <wp:docPr id="683" name="Frame682"/>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9215" cy="175260"/>
                      <wp:effectExtent l="0" t="0" r="0" b="0"/>
                      <wp:wrapNone/>
                      <wp:docPr id="684" name="Frame6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133985" cy="175260"/>
                      <wp:effectExtent l="0" t="0" r="0" b="0"/>
                      <wp:wrapNone/>
                      <wp:docPr id="685" name="Frame6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568960" cy="175260"/>
                      <wp:effectExtent l="0" t="0" r="0" b="0"/>
                      <wp:wrapNone/>
                      <wp:docPr id="686" name="Frame68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96"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345,000</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 of financing costs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345,000</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STOCKHOLDERS’ EQUITY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2024, the Company issued 2,455 shares of Class A common stock (“Class A”) related to the exercise of options, net of 267 shares returned to the Company in lieu of payment of the exercise price and taxes due on these exercises. The Company issued 846 shares of Class A in 2024 in connection with the vesting of RSUs, net of 499 shares returned to the Company in lieu of payment of taxes due on the vesting of these awards. The Company issued 84 shares of Class A in 2024 in connection with the vesting of RSAs, net of 7 shares returned to the Company in lieu of payment of taxes due on the vesting of these awards. The Company also issued 116 shares in connection with the ESPP Plan in 2024. During 2024, stockholders exchanged 6,180 shares of Class B common stock (“Class B”) for an equivalent number of shares of Class 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2023, the Company issued 2,468 shares of Class A related to the exercise of options, net of 314 shares returned to the Company in lieu of payment of the exercise price and taxes due on these exercises. The Company issued 511 shares of Class A in 2023 in connection with the vesting of RSUs, net of 285 shares returned to the Company in lieu of payment of taxes due on the vesting of these awards. The Company issued 198 shares of Class A in 2023 in connection with the vesting of RSAs, net of 7 shares returned to the Company in lieu of payment of taxes due on the vesting of these awards. The Company also issued 152 shares in connection with the ESPP Plan in 2023. During 2023, stockholders exchanged 7,646 shares of Class B for an equivalent number of shares of Class 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2022, the Company issued 800 shares of Class A related to the exercise of options, net of 91 shares returned to the Company in lieu of payment of the exercise price and taxes due on these exercises. The Company issued 48 shares of Class A in 2022 in connection with the vesting of RSUs, net of 20 shares returned to the Company in lieu of payment of taxes due on the vesting of these awards. The Company issued 173 shares of Class A in 2022 in connection with the vesting of RSAs, net of 15 shares returned to the Company in lieu of payment of taxes due on the vesting of these awards. The Company also issued 207 shares in connection with the ESPP Plan in 2022. During 2022, stockholders exchanged 6,500 shares of Class B for an equivalent number of shares of Class A.</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Tax Sharing Agreement Payments </w:t>
      </w:r>
    </w:p>
    <w:p>
      <w:pPr>
        <w:pStyle w:val="TextBody"/>
        <w:bidi w:val="0"/>
        <w:spacing w:lineRule="auto" w:line="307"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revocation of the Company’s S-Corporation election effective July 27, 2020, the Company entered into an agreement with the S-Corporation stockholders pursuant to which the Company indemnified them for unpaid income tax liabilities and may be required to make future payments in material amounts to them attributable to incremental income taxes resulting from an adjustment to S-Corporation related taxable income that arises after the effective date of the S Election revocation (the “Tax Sharing Agreement”). All obligations of the Company under the Tax Sharing Agreement are satisfied by adjustments of additional paid in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No payments were required under the Tax Sharing Agreement in 2024 or 2023. On March 15, 2022, the Company distributed $536 to the former S-Corporation shareholders under the Tax Sharing Agreement to settle the Company’s obligation for income taxes related to the allocation of taxable income to the S-Corporation short tax period ended July 26, 2020. </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left"/>
        <w:rPr>
          <w:rFonts w:ascii="Times New Roman;Times;serif" w:hAnsi="Times New Roman;Times;serif"/>
          <w:b/>
          <w:sz w:val="20"/>
        </w:rPr>
      </w:pPr>
      <w:bookmarkStart w:id="1958" w:name="Tc_zmIzzsFPQEynAiSzebb8OA_9_0"/>
      <w:bookmarkStart w:id="1959" w:name="Tc_WenjRBRG5UW9gbtHg7GEPQ_8_5"/>
      <w:bookmarkStart w:id="1960" w:name="Tc_GRFYbn4LAEG61CI6dtefkA_8_3"/>
      <w:bookmarkStart w:id="1961" w:name="Tc_MLN-OuyXLUqwxPVq89FQGA_8_0"/>
      <w:bookmarkStart w:id="1962" w:name="Tc_BPPD0dO3n0aSvFO1HlIBuA_7_0"/>
      <w:bookmarkStart w:id="1963" w:name="Tc_8oonu5lUCECRDlu4jrq8wQ_6_0"/>
      <w:bookmarkStart w:id="1964" w:name="Tc_iujjsP99BUSMPv7CwpbmzA_5_0"/>
      <w:bookmarkStart w:id="1965" w:name="Tc_bYKme8qdt0atN3q4psBhIQ_4_0"/>
      <w:bookmarkStart w:id="1966" w:name="Tc_dRQery8WzkewkPbXIx1H4g_3_0"/>
      <w:bookmarkStart w:id="1967" w:name="Tc_m86ly-JqL0KkRFDdXqzPgg_2_5"/>
      <w:bookmarkStart w:id="1968" w:name="Tc_d3JqVVYNTkSNZYIlpaW5WQ_2_3"/>
      <w:bookmarkStart w:id="1969" w:name="Tc_zGEIVvY4U0u-Jl3OM17mjg_2_1"/>
      <w:bookmarkStart w:id="1970" w:name="Tc_NlrzxwnfBEKHRn3aL9dw3w_1_1"/>
      <w:bookmarkStart w:id="1971" w:name="Tc_BFUgTmLb50-QB2exoSW7KA_20_0"/>
      <w:bookmarkStart w:id="1972" w:name="Tc_OOQM8r3l8U61hPm-oF0Rjw_19_16"/>
      <w:bookmarkStart w:id="1973" w:name="Tc_cMmqtZXZ0UCzLgZjaeXnAg_19_13"/>
      <w:bookmarkStart w:id="1974" w:name="Tc_4nj5OjPcNEyMmyBj3kaovQ_19_10"/>
      <w:bookmarkStart w:id="1975" w:name="Tc_ZfY8aWKgcUqOH_h5yvIyYg_19_7"/>
      <w:bookmarkStart w:id="1976" w:name="Tc_oeTF8SnH3UOKzjMldHzJEA_19_4"/>
      <w:bookmarkStart w:id="1977" w:name="Tc_r3W6AjBQRUygA59dj5YC7A_19_1"/>
      <w:bookmarkStart w:id="1978" w:name="Tc_hGsEGqu5OUWr_AWtBm4z-A_19_0"/>
      <w:bookmarkStart w:id="1979" w:name="Tc_CtiC4wxDSkKLyg1moa8LjA_18_0"/>
      <w:bookmarkStart w:id="1980" w:name="Tc_GxEVYLnmPEykJqLhsORa4g_17_17"/>
      <w:bookmarkStart w:id="1981" w:name="Tc_VCPf9xQhhkCR4lgjnjwjHg_17_14"/>
      <w:bookmarkStart w:id="1982" w:name="Tc_-imsqVBi3EGvd26IefY6jw_17_11"/>
      <w:bookmarkStart w:id="1983" w:name="Tc_OdCUUe0SkkqcUnBabUdF5w_17_8"/>
      <w:bookmarkStart w:id="1984" w:name="Tc_6UFtigE1R0Co8LC-FmKN1w_17_5"/>
      <w:bookmarkStart w:id="1985" w:name="Tc_py-gLvSpkUuNHAhyJ41PPQ_17_2"/>
      <w:bookmarkStart w:id="1986" w:name="Tc_LfvOgtfXt0SJ_XKQaAloNg_17_0"/>
      <w:bookmarkStart w:id="1987" w:name="Tc_dc0KQrnIBE6KioXPYCPOTQ_16_0"/>
      <w:bookmarkStart w:id="1988" w:name="Tc_74GNqmLWP0u_6crZuPbUIA_15_0"/>
      <w:bookmarkStart w:id="1989" w:name="Tc_P4ezbnAUB0KXJLuAi8_L2g_14_16"/>
      <w:bookmarkStart w:id="1990" w:name="Tc_VF0cqZPUu0O3DjzewUSArA_14_13"/>
      <w:bookmarkStart w:id="1991" w:name="Tc_7AcHx_Yp1UC-djHnsGu0cw_14_10"/>
      <w:bookmarkStart w:id="1992" w:name="Tc_o7bzekLTrEu4tGwD0ZwI-g_14_7"/>
      <w:bookmarkStart w:id="1993" w:name="Tc_B51FWUEzAECfmyeowiT4iw_14_4"/>
      <w:bookmarkStart w:id="1994" w:name="Tc_F230TWHGtEauusRYj72GrQ_14_1"/>
      <w:bookmarkStart w:id="1995" w:name="Tc_TsflmrY5mUa4FzSOe5Fs2g_14_0"/>
      <w:bookmarkStart w:id="1996" w:name="Tc_7Acp2lnV5Uu9TbLcagZquA_13_16"/>
      <w:bookmarkStart w:id="1997" w:name="Tc_ivegPHtkbE6Zc0vfW8w0KQ_13_13"/>
      <w:bookmarkStart w:id="1998" w:name="Tc_C8FMUlkUkEaPSuh_85vu0w_13_10"/>
      <w:bookmarkStart w:id="1999" w:name="Tc_RlqLoGz5bketFYqzZ6MiLQ_13_7"/>
      <w:bookmarkStart w:id="2000" w:name="Tc_YnAAW3bQFUKrMrdmplecmA_13_4"/>
      <w:bookmarkStart w:id="2001" w:name="Tc_0G5qBWmR8E2P2pKeDnE-Gg_13_1"/>
      <w:bookmarkStart w:id="2002" w:name="Tc_T6o6kQnR3k-S4xO54HxUqA_13_0"/>
      <w:bookmarkStart w:id="2003" w:name="Tc_5YRAxyozSECRy0K30KQGWw_12_0"/>
      <w:bookmarkStart w:id="2004" w:name="Tc_wr29JsE1v0yXxEIBxcefvQ_11_0"/>
      <w:bookmarkStart w:id="2005" w:name="Tc_c6_ioOSQwUyoQ98Th4EGQg_9_16"/>
      <w:bookmarkStart w:id="2006" w:name="Tc_PXpq_nMhvUm3oF7H4R-VZA_9_13"/>
      <w:bookmarkStart w:id="2007" w:name="Tc_5zZdNSGA0kiFu6ScIL8YSA_9_10"/>
      <w:bookmarkStart w:id="2008" w:name="Tc_5bDWL-gLz0aiNkbJFQcrEQ_9_7"/>
      <w:bookmarkStart w:id="2009" w:name="Tc_Bgh7VvX18kuPFfz58CAJfg_9_4"/>
      <w:bookmarkStart w:id="2010" w:name="Tc_O4uE6GNnIEmQJJv_-35e8A_9_1"/>
      <w:bookmarkStart w:id="2011" w:name="Tc_gLxETTf3P0iDxwccUjykrw_9_0"/>
      <w:bookmarkStart w:id="2012" w:name="Tc_sFpKnX-byk-4Bh7hocm52Q_8_0"/>
      <w:bookmarkStart w:id="2013" w:name="Tc_2yZRX6hQ-0CGi53y9osOVw_7_0"/>
      <w:bookmarkStart w:id="2014" w:name="Tc_ekdxI33T-EuNbDC8y7WGDA_6_16"/>
      <w:bookmarkStart w:id="2015" w:name="Tc_jrdQqm1bR0yaxas4xzHK4w_6_13"/>
      <w:bookmarkStart w:id="2016" w:name="Tc_DyzmHMAH6kqk5vOuTJqjdQ_6_10"/>
      <w:bookmarkStart w:id="2017" w:name="Tc_zUpzpEP__EOBm6S2TsXGcw_6_7"/>
      <w:bookmarkStart w:id="2018" w:name="Tc_12qk3lQ_yEq-NlmCVvwfoA_6_4"/>
      <w:bookmarkStart w:id="2019" w:name="Tc_LNrhlYwpY0CuSq49_u0vPw_6_1"/>
      <w:bookmarkStart w:id="2020" w:name="Tc_fnjTxc5JQ0GBzg2SJ4g10A_6_0"/>
      <w:bookmarkStart w:id="2021" w:name="Tc_FmlNIbNO9UmLAbh_OPw9IQ_5_0"/>
      <w:bookmarkStart w:id="2022" w:name="Tc_S0df7b-LMU2QA004__oMEw_4_0"/>
      <w:bookmarkStart w:id="2023" w:name="Tc_uXPo_a2H1U6xNEG0DOjHqg_3_17"/>
      <w:bookmarkStart w:id="2024" w:name="Tc_We6M_jHUMkSIXpgnoTzSLA_3_14"/>
      <w:bookmarkStart w:id="2025" w:name="Tc_JGoMrnQ19E-qA_xtsYM83w_3_11"/>
      <w:bookmarkStart w:id="2026" w:name="Tc_lplsZlzgSkOiijZDcp7VKA_3_8"/>
      <w:bookmarkStart w:id="2027" w:name="Tc_8iiR9qTqRECrFZZgAlBy2Q_3_5"/>
      <w:bookmarkStart w:id="2028" w:name="Tc_H7vBffMdpUiU1FqSXt6CRw_3_2"/>
      <w:bookmarkStart w:id="2029" w:name="Tc_n9lHhymIwUGTvnh1OdX2AA_2_14"/>
      <w:bookmarkStart w:id="2030" w:name="Tc_ZZkBMN8i8k-3hQph7FkseA_2_8"/>
      <w:bookmarkStart w:id="2031" w:name="Tc_BYGiUQl18U688KwCSGf9_Q_2_2"/>
      <w:bookmarkStart w:id="2032" w:name="Tc_sEBMnTi2Y0OQB-QhI5dC6g_1_2"/>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r>
        <w:rPr>
          <w:rFonts w:ascii="Times New Roman;Times;serif" w:hAnsi="Times New Roman;Times;serif"/>
          <w:b/>
          <w:i w:val="false"/>
          <w:caps w:val="false"/>
          <w:smallCaps w:val="false"/>
          <w:sz w:val="20"/>
        </w:rPr>
        <w:t>12.</w:t>
      </w:r>
      <w:r>
        <w:rPr>
          <w:rFonts w:ascii="Times New Roman;Times;serif" w:hAnsi="Times New Roman;Times;serif"/>
          <w:b/>
          <w:sz w:val="20"/>
        </w:rPr>
        <w:t>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tables below illustrate the calculation of basic and diluted net loss per common share for the Class A and Class B for the periods reflected below. </w:t>
      </w:r>
    </w:p>
    <w:p>
      <w:pPr>
        <w:pStyle w:val="TextBody"/>
        <w:bidi w:val="0"/>
        <w:spacing w:before="0" w:after="240"/>
        <w:ind w:left="0" w:right="0" w:firstLine="360"/>
        <w:jc w:val="both"/>
        <w:rPr/>
      </w:pPr>
      <w:r>
        <w:rPr/>
        <w:t>​</w:t>
      </w:r>
    </w:p>
    <w:tbl>
      <w:tblPr>
        <w:tblW w:w="9678" w:type="dxa"/>
        <w:jc w:val="left"/>
        <w:tblInd w:w="0" w:type="dxa"/>
        <w:tblLayout w:type="fixed"/>
        <w:tblCellMar>
          <w:top w:w="0" w:type="dxa"/>
          <w:left w:w="0" w:type="dxa"/>
          <w:bottom w:w="0" w:type="dxa"/>
          <w:right w:w="0" w:type="dxa"/>
        </w:tblCellMar>
      </w:tblPr>
      <w:tblGrid>
        <w:gridCol w:w="3811"/>
        <w:gridCol w:w="196"/>
        <w:gridCol w:w="721"/>
        <w:gridCol w:w="109"/>
        <w:gridCol w:w="196"/>
        <w:gridCol w:w="721"/>
        <w:gridCol w:w="109"/>
        <w:gridCol w:w="196"/>
        <w:gridCol w:w="646"/>
        <w:gridCol w:w="109"/>
        <w:gridCol w:w="196"/>
        <w:gridCol w:w="676"/>
        <w:gridCol w:w="109"/>
        <w:gridCol w:w="196"/>
        <w:gridCol w:w="646"/>
        <w:gridCol w:w="109"/>
        <w:gridCol w:w="196"/>
        <w:gridCol w:w="73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419985" cy="175260"/>
                      <wp:effectExtent l="0" t="0" r="0" b="0"/>
                      <wp:wrapNone/>
                      <wp:docPr id="687" name="Frame68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124460" cy="175260"/>
                      <wp:effectExtent l="0" t="0" r="0" b="0"/>
                      <wp:wrapNone/>
                      <wp:docPr id="688" name="Frame6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457835" cy="175260"/>
                      <wp:effectExtent l="0" t="0" r="0" b="0"/>
                      <wp:wrapNone/>
                      <wp:docPr id="689" name="Frame68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69215" cy="175260"/>
                      <wp:effectExtent l="0" t="0" r="0" b="0"/>
                      <wp:wrapNone/>
                      <wp:docPr id="690" name="Frame6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24460" cy="175260"/>
                      <wp:effectExtent l="0" t="0" r="0" b="0"/>
                      <wp:wrapNone/>
                      <wp:docPr id="691" name="Frame6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457835" cy="175260"/>
                      <wp:effectExtent l="0" t="0" r="0" b="0"/>
                      <wp:wrapNone/>
                      <wp:docPr id="692" name="Frame69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9215" cy="175260"/>
                      <wp:effectExtent l="0" t="0" r="0" b="0"/>
                      <wp:wrapNone/>
                      <wp:docPr id="693" name="Frame6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24460" cy="175260"/>
                      <wp:effectExtent l="0" t="0" r="0" b="0"/>
                      <wp:wrapNone/>
                      <wp:docPr id="694" name="Frame6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410210" cy="175260"/>
                      <wp:effectExtent l="0" t="0" r="0" b="0"/>
                      <wp:wrapNone/>
                      <wp:docPr id="695" name="Frame69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9215" cy="175260"/>
                      <wp:effectExtent l="0" t="0" r="0" b="0"/>
                      <wp:wrapNone/>
                      <wp:docPr id="696" name="Frame6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24460" cy="175260"/>
                      <wp:effectExtent l="0" t="0" r="0" b="0"/>
                      <wp:wrapNone/>
                      <wp:docPr id="697" name="Frame6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429260" cy="175260"/>
                      <wp:effectExtent l="0" t="0" r="0" b="0"/>
                      <wp:wrapNone/>
                      <wp:docPr id="698" name="Frame6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9215" cy="175260"/>
                      <wp:effectExtent l="0" t="0" r="0" b="0"/>
                      <wp:wrapNone/>
                      <wp:docPr id="699" name="Frame6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24460" cy="175260"/>
                      <wp:effectExtent l="0" t="0" r="0" b="0"/>
                      <wp:wrapNone/>
                      <wp:docPr id="700" name="Frame6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410210" cy="175260"/>
                      <wp:effectExtent l="0" t="0" r="0" b="0"/>
                      <wp:wrapNone/>
                      <wp:docPr id="701" name="Frame70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9215" cy="175260"/>
                      <wp:effectExtent l="0" t="0" r="0" b="0"/>
                      <wp:wrapNone/>
                      <wp:docPr id="702" name="Frame7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24460" cy="175260"/>
                      <wp:effectExtent l="0" t="0" r="0" b="0"/>
                      <wp:wrapNone/>
                      <wp:docPr id="703" name="Frame7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467360" cy="175260"/>
                      <wp:effectExtent l="0" t="0" r="0" b="0"/>
                      <wp:wrapNone/>
                      <wp:docPr id="704" name="Frame70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81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4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2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8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1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net loss per share:</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Allocation of net loss </w:t>
            </w:r>
            <w:r>
              <w:rPr>
                <w:rFonts w:ascii="Times New Roman;Times;serif" w:hAnsi="Times New Roman;Times;serif"/>
                <w:sz w:val="14"/>
              </w:rPr>
              <w:t>(1)</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(30,755)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(8,372)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(8,533)</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19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shares used in per share computation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64,724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90,586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54,753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45,864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103,781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net loss per share:</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(0.09)</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(0.09)</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(0.08)</w:t>
            </w:r>
          </w:p>
        </w:tc>
      </w:tr>
      <w:tr>
        <w:trPr/>
        <w:tc>
          <w:tcPr>
            <w:tcW w:w="38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Diluted net loss per share:</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Allocation of net loss </w:t>
            </w:r>
            <w:r>
              <w:rPr>
                <w:rFonts w:ascii="Times New Roman;Times;serif" w:hAnsi="Times New Roman;Times;serif"/>
                <w:sz w:val="14"/>
              </w:rPr>
              <w:t>(1)</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(8,372)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(8,533)</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net loss used in per diluted computation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(30,755)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(8,372)</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(8,533)</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19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Number shares used in basic per share computation </w:t>
            </w:r>
          </w:p>
        </w:tc>
        <w:tc>
          <w:tcPr>
            <w:tcW w:w="19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64,724</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90,586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54,753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97,106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45,864</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103,781</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common stock equivalents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shares used in per share computation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64,724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90,586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54,753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45,864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103,781</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Dilutive net loss per share:</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(0.08)</w:t>
            </w:r>
          </w:p>
        </w:tc>
      </w:tr>
      <w:tr>
        <w:trPr/>
        <w:tc>
          <w:tcPr>
            <w:tcW w:w="9678" w:type="dxa"/>
            <w:gridSpan w:val="18"/>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Allocation of net loss is based on the percentages of shares outstanding.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weighted-average outstanding shares of common stock equivalents by award type were excluded from the computation of diluted net loss per share attributable to Class A stockholders, as the impact of including them would have been anti-dilutive.</w:t>
      </w:r>
    </w:p>
    <w:p>
      <w:pPr>
        <w:pStyle w:val="TextBody"/>
        <w:bidi w:val="0"/>
        <w:spacing w:before="0" w:after="0"/>
        <w:ind w:left="0" w:right="0" w:hanging="0"/>
        <w:jc w:val="left"/>
        <w:rPr/>
      </w:pPr>
      <w:r>
        <w:rPr/>
        <w:t>​</w:t>
      </w:r>
    </w:p>
    <w:tbl>
      <w:tblPr>
        <w:tblW w:w="6269" w:type="dxa"/>
        <w:jc w:val="left"/>
        <w:tblInd w:w="0" w:type="dxa"/>
        <w:tblLayout w:type="fixed"/>
        <w:tblCellMar>
          <w:top w:w="0" w:type="dxa"/>
          <w:left w:w="0" w:type="dxa"/>
          <w:bottom w:w="0" w:type="dxa"/>
          <w:right w:w="0" w:type="dxa"/>
        </w:tblCellMar>
      </w:tblPr>
      <w:tblGrid>
        <w:gridCol w:w="3661"/>
        <w:gridCol w:w="679"/>
        <w:gridCol w:w="129"/>
        <w:gridCol w:w="679"/>
        <w:gridCol w:w="388"/>
        <w:gridCol w:w="733"/>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324735" cy="175260"/>
                      <wp:effectExtent l="0" t="0" r="0" b="0"/>
                      <wp:wrapNone/>
                      <wp:docPr id="705" name="Frame704"/>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431165" cy="175260"/>
                      <wp:effectExtent l="0" t="0" r="0" b="0"/>
                      <wp:wrapNone/>
                      <wp:docPr id="706" name="Frame705"/>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81915" cy="175260"/>
                      <wp:effectExtent l="0" t="0" r="0" b="0"/>
                      <wp:wrapNone/>
                      <wp:docPr id="707" name="Frame706"/>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431165" cy="175260"/>
                      <wp:effectExtent l="0" t="0" r="0" b="0"/>
                      <wp:wrapNone/>
                      <wp:docPr id="708" name="Frame707"/>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46380" cy="175260"/>
                      <wp:effectExtent l="0" t="0" r="0" b="0"/>
                      <wp:wrapNone/>
                      <wp:docPr id="709" name="Frame70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465455" cy="175260"/>
                      <wp:effectExtent l="0" t="0" r="0" b="0"/>
                      <wp:wrapNone/>
                      <wp:docPr id="710" name="Frame709"/>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26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December 31, </w:t>
            </w:r>
          </w:p>
        </w:tc>
      </w:tr>
      <w:tr>
        <w:trPr/>
        <w:tc>
          <w:tcPr>
            <w:tcW w:w="3661" w:type="dxa"/>
            <w:tcBorders/>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9" w:type="dxa"/>
            <w:tcBorders/>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8"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r>
              <w:rPr>
                <w:rFonts w:ascii="Times New Roman;Times;serif" w:hAnsi="Times New Roman;Times;serif"/>
                <w:sz w:val="15"/>
              </w:rPr>
              <w:t>(1)</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w:t>
            </w:r>
          </w:p>
        </w:tc>
        <w:tc>
          <w:tcPr>
            <w:tcW w:w="129" w:type="dxa"/>
            <w:tcBorders/>
            <w:shd w:fill="CCEEFF" w:val="clear"/>
            <w:vAlign w:val="center"/>
          </w:tcPr>
          <w:p>
            <w:pPr>
              <w:pStyle w:val="TableContents"/>
              <w:bidi w:val="0"/>
              <w:spacing w:before="0" w:after="0"/>
              <w:ind w:left="0" w:right="0" w:hanging="0"/>
              <w:jc w:val="left"/>
              <w:rPr/>
            </w:pPr>
            <w:r>
              <w:rPr/>
              <w:t>​</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6,892</w:t>
            </w:r>
          </w:p>
        </w:tc>
        <w:tc>
          <w:tcPr>
            <w:tcW w:w="388" w:type="dxa"/>
            <w:tcBorders/>
            <w:shd w:fill="CCEEFF" w:val="clear"/>
            <w:vAlign w:val="center"/>
          </w:tcPr>
          <w:p>
            <w:pPr>
              <w:pStyle w:val="TableContents"/>
              <w:bidi w:val="0"/>
              <w:spacing w:before="0" w:after="0"/>
              <w:ind w:left="0" w:right="0" w:hanging="0"/>
              <w:jc w:val="left"/>
              <w:rPr/>
            </w:pPr>
            <w:r>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8,222</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Out-of-the Money Stock Options</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29" w:type="dxa"/>
            <w:tcBorders/>
            <w:vAlign w:val="center"/>
          </w:tcPr>
          <w:p>
            <w:pPr>
              <w:pStyle w:val="TableContents"/>
              <w:bidi w:val="0"/>
              <w:spacing w:before="0" w:after="0"/>
              <w:ind w:left="0" w:right="0" w:hanging="0"/>
              <w:jc w:val="left"/>
              <w:rPr/>
            </w:pPr>
            <w:r>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88" w:type="dxa"/>
            <w:tcBorders/>
            <w:vAlign w:val="center"/>
          </w:tcPr>
          <w:p>
            <w:pPr>
              <w:pStyle w:val="TableContents"/>
              <w:bidi w:val="0"/>
              <w:spacing w:before="0" w:after="0"/>
              <w:ind w:left="0" w:right="0" w:hanging="0"/>
              <w:jc w:val="left"/>
              <w:rPr/>
            </w:pPr>
            <w:r>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29" w:type="dxa"/>
            <w:tcBorders/>
            <w:shd w:fill="CCEEFF" w:val="clear"/>
            <w:vAlign w:val="center"/>
          </w:tcPr>
          <w:p>
            <w:pPr>
              <w:pStyle w:val="TableContents"/>
              <w:bidi w:val="0"/>
              <w:spacing w:before="0" w:after="0"/>
              <w:ind w:left="0" w:right="0" w:hanging="0"/>
              <w:jc w:val="left"/>
              <w:rPr/>
            </w:pPr>
            <w:r>
              <w:rPr/>
              <w:t>​</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88" w:type="dxa"/>
            <w:tcBorders/>
            <w:shd w:fill="CCEEFF" w:val="clear"/>
            <w:vAlign w:val="center"/>
          </w:tcPr>
          <w:p>
            <w:pPr>
              <w:pStyle w:val="TableContents"/>
              <w:bidi w:val="0"/>
              <w:spacing w:before="0" w:after="0"/>
              <w:ind w:left="0" w:right="0" w:hanging="0"/>
              <w:jc w:val="left"/>
              <w:rPr/>
            </w:pPr>
            <w:r>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w:t>
            </w:r>
          </w:p>
        </w:tc>
        <w:tc>
          <w:tcPr>
            <w:tcW w:w="129" w:type="dxa"/>
            <w:tcBorders/>
            <w:vAlign w:val="center"/>
          </w:tcPr>
          <w:p>
            <w:pPr>
              <w:pStyle w:val="TableContents"/>
              <w:bidi w:val="0"/>
              <w:spacing w:before="0" w:after="0"/>
              <w:ind w:left="0" w:right="0" w:hanging="0"/>
              <w:jc w:val="left"/>
              <w:rPr/>
            </w:pPr>
            <w:r>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3,910</w:t>
            </w:r>
          </w:p>
        </w:tc>
        <w:tc>
          <w:tcPr>
            <w:tcW w:w="388" w:type="dxa"/>
            <w:tcBorders/>
            <w:vAlign w:val="center"/>
          </w:tcPr>
          <w:p>
            <w:pPr>
              <w:pStyle w:val="TableContents"/>
              <w:bidi w:val="0"/>
              <w:spacing w:before="0" w:after="0"/>
              <w:ind w:left="0" w:right="0" w:hanging="0"/>
              <w:jc w:val="left"/>
              <w:rPr/>
            </w:pPr>
            <w:r>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29" w:type="dxa"/>
            <w:tcBorders/>
            <w:shd w:fill="CCEEFF" w:val="clear"/>
            <w:vAlign w:val="center"/>
          </w:tcPr>
          <w:p>
            <w:pPr>
              <w:pStyle w:val="TableContents"/>
              <w:bidi w:val="0"/>
              <w:spacing w:before="0" w:after="0"/>
              <w:ind w:left="0" w:right="0" w:hanging="0"/>
              <w:jc w:val="left"/>
              <w:rPr/>
            </w:pPr>
            <w:r>
              <w:rPr/>
              <w:t>​</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88" w:type="dxa"/>
            <w:tcBorders/>
            <w:shd w:fill="CCEEFF" w:val="clear"/>
            <w:vAlign w:val="center"/>
          </w:tcPr>
          <w:p>
            <w:pPr>
              <w:pStyle w:val="TableContents"/>
              <w:bidi w:val="0"/>
              <w:spacing w:before="0" w:after="0"/>
              <w:ind w:left="0" w:right="0" w:hanging="0"/>
              <w:jc w:val="left"/>
              <w:rPr/>
            </w:pPr>
            <w:r>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Senior Notes</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w:t>
            </w:r>
          </w:p>
        </w:tc>
        <w:tc>
          <w:tcPr>
            <w:tcW w:w="129" w:type="dxa"/>
            <w:tcBorders/>
            <w:vAlign w:val="center"/>
          </w:tcPr>
          <w:p>
            <w:pPr>
              <w:pStyle w:val="TableContents"/>
              <w:bidi w:val="0"/>
              <w:spacing w:before="0" w:after="0"/>
              <w:ind w:left="0" w:right="0" w:hanging="0"/>
              <w:jc w:val="left"/>
              <w:rPr/>
            </w:pPr>
            <w:r>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Total excludes out-of-the money stock options.</w:t>
            </w:r>
          </w:p>
        </w:tc>
        <w:tc>
          <w:tcPr>
            <w:tcW w:w="67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 xml:space="preserve">EMPLOYEE BENEFIT AND DEFERRED COMPENSATION PLANS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maintains a 401(k) plan that covers eligible employees. The Company matches up to 6% of eligible compensation during the period in which an eligible participant contributes to the plan. Matching 401(k) contributions were $12,641, $11,285, and $10,056 for the years ended December 31, 2024, 2023, and 2022,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Long-Term Rewards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had a long-term reward (“LTR”) compensation plan for certain key employees related to growth in certain financial measures over a three-year measurement period (the “Reward Performance Period’), subject to the terms of the plan. After December 31, 2020, no new awards were granted under the LTR plan as future long-term awards will only be made under the 2020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Eligible LTR plan participants received an individual target award opportunity for a new three-year Reward Performance Period (i.e., target award grant made in 2019 is for years 2019 through 2021). Compensation earned for growth in the financial measures over each Reward Performance Period is paid in cash in the year following the end of the respective Reward Performance Period, assuming the minimum net income target was achieved in the final year of the Reward Performance Period. Estimated compensation is recorded during each year of a Reward Performance Period. At December 31, 2022, the Company had one open Reward Performance Period, which was paid in 2023.</w:t>
      </w:r>
      <w:r>
        <w:rPr>
          <w:rFonts w:ascii="Times New Roman;Times;serif" w:hAnsi="Times New Roman;Times;serif"/>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There was no compensation expense associated with the LTR plan for the years ended December 31, 2024 and 2023. Compensation expense associated with the LTR plan was $892 for the year ended December 31, 2022. Amounts paid in 2023 and 2022 for the LTR plan were $2,237, and $4,023, respectively. </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 xml:space="preserve">Stock-Based Award Plans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2020 Incentive Award Plan (the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and other cash compensation. The ESPP provides eligible employees with rights during each six-month ESPP offering period to purchase shares of the Company’s Class A at the ESPP discount through payroll deductions. Amounts withheld or received from participants are reflected in accrued salaries and benefits in the consolidated balance sheets until such shares are purchased. Amounts withheld from participants for the offering periods ending May 31, 2025 and 2024 aggregated $496 and $371 as of December 31, 2024 and 2023, respectively.</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2020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Upon commencement of the 2020 Plan, an aggregate of 16,500 shares of our Class A were available for issuance. The number of shares available for issuance are increased annually on January 1 of each calendar year beginning in 2021 and ending in and including 2030, equal to the lesser of (i) 4% of the shares of Class A and Class B outstanding on the final day of the immediately preceding calendar year and (ii) a smaller number of shares as determined by the Board. No more than 3,000 shares of Class A may be issued under the 2020 Plan upon the exercise of incentive stock options. Shares available under the 2020 Plan may consist of authorized but unissued shares, shares purchased on the open market, or treasury shares. If an award under the 2020 Plan expires, lapses, or is terminated, exchanged for cash, surrendered, repurchased, or canceled without having been fully exercised or forfeited, any unused shares subject to the award will again be available for new grants under the 2020 Plan. Awards granted under the 2020 Plan in substitution for any options or other stock or stock-based awards granted by an entity before the entity’s merger or consolidation with or acquisition by the Company of the entity’s property or stock will not reduce the shares available for grant under the 2020 Plan but will count against the maximum number of shares that may be issued upon the exercise of incentive stock options.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20,663 shares of our Class A were available for issuance under the 2020 Plan. No incentive stock options that would be subject to the 3,000 Class A share limit were issued or outstanding under the 2020 Plan at December 31,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Awards issued under the 2020 Plan vest based on service criteria established by the Board. The Company has elected to account for forfeitures as they occur rather than estimate forfeitures at date of grant.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hanging="0"/>
        <w:jc w:val="left"/>
        <w:rPr/>
      </w:pPr>
      <w:bookmarkStart w:id="2033" w:name="Tc_JzNo3JPpp0Wq0y_jQAHGvw_16_0"/>
      <w:bookmarkStart w:id="2034" w:name="Tc_eElnKGtSLUyZ-uo2365-jg_6_8"/>
      <w:bookmarkStart w:id="2035" w:name="Tc_auwwPImj1k-2fdWygEBW8Q_6_4"/>
      <w:bookmarkStart w:id="2036" w:name="Tc_KpIR_l5kg06x2kkGGZwOdw_6_0"/>
      <w:bookmarkStart w:id="2037" w:name="Tc_WdMJbplJtE2R61PJZDYwzw_5_8"/>
      <w:bookmarkStart w:id="2038" w:name="Tc_Ikby9RvM4UqniIow7M9FCQ_5_6"/>
      <w:bookmarkStart w:id="2039" w:name="Tc_soVvcxHCpE-MzfKIF609zA_5_4"/>
      <w:bookmarkStart w:id="2040" w:name="Tc_J6Wk5ncsP0OgN3j5G11LNA_5_2"/>
      <w:bookmarkStart w:id="2041" w:name="Tc_nMn-RO_S30CngCnmB6EbpA_5_0"/>
      <w:bookmarkStart w:id="2042" w:name="Tc_b-su7p4qiky01f0YzzmS7A_4_8"/>
      <w:bookmarkStart w:id="2043" w:name="Tc_SOihHi9XbEeIf81AxHUTAg_4_4"/>
      <w:bookmarkStart w:id="2044" w:name="Tc_uw5QFl9K5E-dparlhqAKNg_3_8"/>
      <w:bookmarkStart w:id="2045" w:name="Tc_wPzE1bTjV0u9iK73Mlb6VA_3_4"/>
      <w:bookmarkStart w:id="2046" w:name="Tc_ssbFLzQ3dUutkrxf9f5KpA_2_6"/>
      <w:bookmarkStart w:id="2047" w:name="Tc_F1ArXQ2wpUeZh-NDO7nUAw_2_2"/>
      <w:bookmarkStart w:id="2048" w:name="Tc_vbJwyMTsN0GROB25Q3mEpw_9_9"/>
      <w:bookmarkStart w:id="2049" w:name="Tc_Qnys7WQccUeqXPKhbAktIw_9_4"/>
      <w:bookmarkStart w:id="2050" w:name="Tc_-7g0s_jbkEOUceb2sonyhw_9_0"/>
      <w:bookmarkStart w:id="2051" w:name="Tc_QDSEyYoHW0mPpv7YLbS36A_8_9"/>
      <w:bookmarkStart w:id="2052" w:name="Tc_I3Y40sqUM0iO7rxdFzJN7Q_8_4"/>
      <w:bookmarkStart w:id="2053" w:name="Tc_ROUd2Cc7d0Cflik0ZcF_kg_8_0"/>
      <w:bookmarkStart w:id="2054" w:name="Tc_Xf_1KVWnz02kEr5GYpfT6w_7_4"/>
      <w:bookmarkStart w:id="2055" w:name="Tc_aciZo-3SNkeYKaLl0WFYsg_7_0"/>
      <w:bookmarkStart w:id="2056" w:name="Tc_pVv_UbgvKU2O7BMGFjnm-A_6_9"/>
      <w:bookmarkStart w:id="2057" w:name="Tc_Bs5UJTQGoEeeKpNMm1TIMQ_6_4"/>
      <w:bookmarkStart w:id="2058" w:name="Tc_wwv_E72jIE6ENGPeDKF05w_6_0"/>
      <w:bookmarkStart w:id="2059" w:name="Tc_JyesXrjrqEGAt6PZ4pHxIQ_5_9"/>
      <w:bookmarkStart w:id="2060" w:name="Tc_eZ6391-h_EyocCazQsdUCQ_5_7"/>
      <w:bookmarkStart w:id="2061" w:name="Tc_QAYBLWi6QU-dZDlGInB4eg_5_5"/>
      <w:bookmarkStart w:id="2062" w:name="Tc_lt9W3dOuvkmFmYkbN4lb1Q_5_2"/>
      <w:bookmarkStart w:id="2063" w:name="Tc_JZJt3FgLS0ayxatgfy5o2Q_5_0"/>
      <w:bookmarkStart w:id="2064" w:name="Tc_R32E91Tcv0-jQvK6XzHVlg_4_9"/>
      <w:bookmarkStart w:id="2065" w:name="Tc_qyNN_kLWPU2bAOmkQGPTjQ_4_7"/>
      <w:bookmarkStart w:id="2066" w:name="Tc_YDxEDlNW0U61IE69KBrLIw_4_5"/>
      <w:bookmarkStart w:id="2067" w:name="Tc_kXNpqfEszkmE7AV9GhIemg_3_9"/>
      <w:bookmarkStart w:id="2068" w:name="Tc_ZjIaarA1UUOJunzHQvVIRQ_3_7"/>
      <w:bookmarkStart w:id="2069" w:name="Tc_6DNgdhD6PUSOyvkH_DyIAw_3_5"/>
      <w:bookmarkStart w:id="2070" w:name="Tc_g8TVsAaK7U-PKzzQOygV8w_2_7"/>
      <w:bookmarkStart w:id="2071" w:name="Tc_zK7h6LowLUK7bF4xgsk6Qw_2_5"/>
      <w:bookmarkStart w:id="2072" w:name="Tc_i_3VaywKIkK7ZANJ7URxkA_1_7"/>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r>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Options under 2020 Plan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activity for options outstanding under the 2020 Plan: </w:t>
      </w:r>
    </w:p>
    <w:p>
      <w:pPr>
        <w:pStyle w:val="TextBody"/>
        <w:bidi w:val="0"/>
        <w:spacing w:before="0" w:after="0"/>
        <w:ind w:left="0" w:right="0" w:hanging="0"/>
        <w:jc w:val="left"/>
        <w:rPr/>
      </w:pPr>
      <w:r>
        <w:rPr/>
        <w:t>​</w:t>
      </w:r>
    </w:p>
    <w:tbl>
      <w:tblPr>
        <w:tblW w:w="8747" w:type="dxa"/>
        <w:jc w:val="left"/>
        <w:tblInd w:w="0" w:type="dxa"/>
        <w:tblLayout w:type="fixed"/>
        <w:tblCellMar>
          <w:top w:w="0" w:type="dxa"/>
          <w:left w:w="0" w:type="dxa"/>
          <w:bottom w:w="0" w:type="dxa"/>
          <w:right w:w="0" w:type="dxa"/>
        </w:tblCellMar>
      </w:tblPr>
      <w:tblGrid>
        <w:gridCol w:w="4441"/>
        <w:gridCol w:w="146"/>
        <w:gridCol w:w="691"/>
        <w:gridCol w:w="109"/>
        <w:gridCol w:w="211"/>
        <w:gridCol w:w="796"/>
        <w:gridCol w:w="146"/>
        <w:gridCol w:w="991"/>
        <w:gridCol w:w="109"/>
        <w:gridCol w:w="211"/>
        <w:gridCol w:w="896"/>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820035" cy="175260"/>
                      <wp:effectExtent l="0" t="0" r="0" b="0"/>
                      <wp:wrapNone/>
                      <wp:docPr id="711" name="Frame710"/>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92710" cy="175260"/>
                      <wp:effectExtent l="0" t="0" r="0" b="0"/>
                      <wp:wrapNone/>
                      <wp:docPr id="712" name="Frame7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438785" cy="175260"/>
                      <wp:effectExtent l="0" t="0" r="0" b="0"/>
                      <wp:wrapNone/>
                      <wp:docPr id="713" name="Frame7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9215" cy="175260"/>
                      <wp:effectExtent l="0" t="0" r="0" b="0"/>
                      <wp:wrapNone/>
                      <wp:docPr id="714" name="Frame7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33985" cy="175260"/>
                      <wp:effectExtent l="0" t="0" r="0" b="0"/>
                      <wp:wrapNone/>
                      <wp:docPr id="715" name="Frame7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505460" cy="175260"/>
                      <wp:effectExtent l="0" t="0" r="0" b="0"/>
                      <wp:wrapNone/>
                      <wp:docPr id="716" name="Frame7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92710" cy="175260"/>
                      <wp:effectExtent l="0" t="0" r="0" b="0"/>
                      <wp:wrapNone/>
                      <wp:docPr id="717" name="Frame7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629285" cy="175260"/>
                      <wp:effectExtent l="0" t="0" r="0" b="0"/>
                      <wp:wrapNone/>
                      <wp:docPr id="718" name="Frame71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9215" cy="175260"/>
                      <wp:effectExtent l="0" t="0" r="0" b="0"/>
                      <wp:wrapNone/>
                      <wp:docPr id="719" name="Frame7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33985" cy="175260"/>
                      <wp:effectExtent l="0" t="0" r="0" b="0"/>
                      <wp:wrapNone/>
                      <wp:docPr id="720" name="Frame7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568960" cy="175260"/>
                      <wp:effectExtent l="0" t="0" r="0" b="0"/>
                      <wp:wrapNone/>
                      <wp:docPr id="721" name="Frame72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44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pPr>
            <w:r>
              <w:rPr/>
              <w:t>​</w:t>
            </w:r>
          </w:p>
        </w:tc>
      </w:tr>
      <w:tr>
        <w:trPr/>
        <w:tc>
          <w:tcPr>
            <w:tcW w:w="44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4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2020 Plan Option Activity</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righ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1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124,327</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outstanding at December 31, 2024</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137,857</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exercisable at December 31, 2024</w:t>
            </w:r>
          </w:p>
        </w:tc>
        <w:tc>
          <w:tcPr>
            <w:tcW w:w="1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117,670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detail of options outstanding, vested and exercisable under the 2020 Plan as of December 31, 2024 is as follows:</w:t>
      </w:r>
    </w:p>
    <w:p>
      <w:pPr>
        <w:pStyle w:val="TextBody"/>
        <w:bidi w:val="0"/>
        <w:spacing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3466"/>
        <w:gridCol w:w="326"/>
        <w:gridCol w:w="571"/>
        <w:gridCol w:w="326"/>
        <w:gridCol w:w="976"/>
        <w:gridCol w:w="326"/>
        <w:gridCol w:w="723"/>
        <w:gridCol w:w="413"/>
        <w:gridCol w:w="1294"/>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200910" cy="175260"/>
                      <wp:effectExtent l="0" t="0" r="0" b="0"/>
                      <wp:wrapNone/>
                      <wp:docPr id="722" name="Frame72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07010" cy="175260"/>
                      <wp:effectExtent l="0" t="0" r="0" b="0"/>
                      <wp:wrapNone/>
                      <wp:docPr id="723" name="Frame7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362585" cy="175260"/>
                      <wp:effectExtent l="0" t="0" r="0" b="0"/>
                      <wp:wrapNone/>
                      <wp:docPr id="724" name="Frame7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07010" cy="175260"/>
                      <wp:effectExtent l="0" t="0" r="0" b="0"/>
                      <wp:wrapNone/>
                      <wp:docPr id="725" name="Frame7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619760" cy="175260"/>
                      <wp:effectExtent l="0" t="0" r="0" b="0"/>
                      <wp:wrapNone/>
                      <wp:docPr id="726" name="Frame72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07010" cy="175260"/>
                      <wp:effectExtent l="0" t="0" r="0" b="0"/>
                      <wp:wrapNone/>
                      <wp:docPr id="727" name="Frame7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459105" cy="175260"/>
                      <wp:effectExtent l="0" t="0" r="0" b="0"/>
                      <wp:wrapNone/>
                      <wp:docPr id="728" name="Frame727"/>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62255" cy="175260"/>
                      <wp:effectExtent l="0" t="0" r="0" b="0"/>
                      <wp:wrapNone/>
                      <wp:docPr id="729" name="Frame728"/>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821690" cy="175260"/>
                      <wp:effectExtent l="0" t="0" r="0" b="0"/>
                      <wp:wrapNone/>
                      <wp:docPr id="730" name="Frame729"/>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24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Exercise Prices</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13" w:type="dxa"/>
            <w:tcBorders/>
            <w:vAlign w:val="center"/>
          </w:tcPr>
          <w:p>
            <w:pPr>
              <w:pStyle w:val="TableContents"/>
              <w:bidi w:val="0"/>
              <w:spacing w:before="0" w:after="0"/>
              <w:ind w:left="0" w:right="0" w:hanging="0"/>
              <w:jc w:val="left"/>
              <w:rPr/>
            </w:pPr>
            <w:r>
              <w:rPr/>
              <w:t>​</w:t>
            </w:r>
          </w:p>
        </w:tc>
        <w:tc>
          <w:tcPr>
            <w:tcW w:w="12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$0.15 to $0.71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$2.50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$3.17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$3.73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$4.70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$18.47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$18.96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$19.00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$32.16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*These options have indefinite contractual lives.</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intends all options granted to be exercisable at a price per share not less than the per share fair market value of the Company’s Class A underlying the options on the date of grant. Compensation expense to participants under the 2020 Plan is measured based on the grant date fair value of the awards and recognized in the consolidated statements of comprehensive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No options were issued during 2024, 2023 or 2022. At December 31, 2024, $595 of unrecognized compensation expense associated with the options is expected to be recognized over a weighted average period of approximately 0.7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360" w:right="0" w:hanging="0"/>
        <w:jc w:val="left"/>
        <w:rPr>
          <w:rFonts w:ascii="Times New Roman;Times;serif" w:hAnsi="Times New Roman;Times;serif"/>
          <w:b/>
          <w:sz w:val="20"/>
        </w:rPr>
      </w:pPr>
      <w:bookmarkStart w:id="2073" w:name="Tc_iAWG30qF9ESfrAEfVERjAA_10_4"/>
      <w:bookmarkStart w:id="2074" w:name="Tc_KuulI73dQkOF8Nnr5jNflg_10_0"/>
      <w:bookmarkStart w:id="2075" w:name="Tc_VCzvhCZTO0mIgW9AIpJGaw_9_0"/>
      <w:bookmarkStart w:id="2076" w:name="Tc_EIyV0STn_UGzLwuNHWPMhw_8_0"/>
      <w:bookmarkStart w:id="2077" w:name="Tc_8wsjCbJrakeyLliIjjmMew_7_0"/>
      <w:bookmarkStart w:id="2078" w:name="Tc__wpmvKDWOk-a6q4C6BXc8g_6_4"/>
      <w:bookmarkStart w:id="2079" w:name="Tc_Jw-H1o08JUKiEfGquYbcIA_6_0"/>
      <w:bookmarkStart w:id="2080" w:name="Tc_i7h6MpIT30GNjRjYJ_EEwQ_5_4"/>
      <w:bookmarkStart w:id="2081" w:name="Tc_HpoJm797x0WaKne4nnrI7A_5_2"/>
      <w:bookmarkStart w:id="2082" w:name="Tc_9FoHCoERdU2YUk3fPaOVrw_4_4"/>
      <w:bookmarkStart w:id="2083" w:name="Tc_78BynzLlzkebGjwZP3F_iw_3_4"/>
      <w:bookmarkStart w:id="2084" w:name="Tc_omYWEgR5MEq6aK4o2dMd6A_2_4"/>
      <w:bookmarkEnd w:id="2073"/>
      <w:bookmarkEnd w:id="2074"/>
      <w:bookmarkEnd w:id="2075"/>
      <w:bookmarkEnd w:id="2076"/>
      <w:bookmarkEnd w:id="2077"/>
      <w:bookmarkEnd w:id="2078"/>
      <w:bookmarkEnd w:id="2079"/>
      <w:bookmarkEnd w:id="2080"/>
      <w:bookmarkEnd w:id="2081"/>
      <w:bookmarkEnd w:id="2082"/>
      <w:bookmarkEnd w:id="2083"/>
      <w:bookmarkEnd w:id="2084"/>
      <w:r>
        <w:rPr>
          <w:rFonts w:ascii="Times New Roman;Times;serif" w:hAnsi="Times New Roman;Times;serif"/>
          <w:b w:val="false"/>
          <w:i/>
          <w:sz w:val="20"/>
        </w:rPr>
        <w:t>Restricted Stock Units</w:t>
      </w:r>
      <w:r>
        <w:rPr>
          <w:rFonts w:ascii="Times New Roman;Times;serif" w:hAnsi="Times New Roman;Times;serif"/>
          <w:b/>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year ended December 31, 2024:</w:t>
      </w:r>
    </w:p>
    <w:p>
      <w:pPr>
        <w:pStyle w:val="TextBody"/>
        <w:bidi w:val="0"/>
        <w:spacing w:before="0" w:after="0"/>
        <w:ind w:left="0" w:right="0" w:hanging="0"/>
        <w:jc w:val="left"/>
        <w:rPr/>
      </w:pPr>
      <w:r>
        <w:rPr/>
        <w:t>​</w:t>
      </w:r>
    </w:p>
    <w:tbl>
      <w:tblPr>
        <w:tblW w:w="5635" w:type="dxa"/>
        <w:jc w:val="left"/>
        <w:tblInd w:w="0" w:type="dxa"/>
        <w:tblLayout w:type="fixed"/>
        <w:tblCellMar>
          <w:top w:w="0" w:type="dxa"/>
          <w:left w:w="0" w:type="dxa"/>
          <w:bottom w:w="0" w:type="dxa"/>
          <w:right w:w="0" w:type="dxa"/>
        </w:tblCellMar>
      </w:tblPr>
      <w:tblGrid>
        <w:gridCol w:w="2941"/>
        <w:gridCol w:w="326"/>
        <w:gridCol w:w="691"/>
        <w:gridCol w:w="326"/>
        <w:gridCol w:w="343"/>
        <w:gridCol w:w="1008"/>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867535" cy="175260"/>
                      <wp:effectExtent l="0" t="0" r="0" b="0"/>
                      <wp:wrapNone/>
                      <wp:docPr id="731" name="Frame73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07010" cy="175260"/>
                      <wp:effectExtent l="0" t="0" r="0" b="0"/>
                      <wp:wrapNone/>
                      <wp:docPr id="732" name="Frame7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438785" cy="175260"/>
                      <wp:effectExtent l="0" t="0" r="0" b="0"/>
                      <wp:wrapNone/>
                      <wp:docPr id="733" name="Frame7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07010" cy="175260"/>
                      <wp:effectExtent l="0" t="0" r="0" b="0"/>
                      <wp:wrapNone/>
                      <wp:docPr id="734" name="Frame7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17805" cy="175260"/>
                      <wp:effectExtent l="0" t="0" r="0" b="0"/>
                      <wp:wrapNone/>
                      <wp:docPr id="735" name="Frame73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640080" cy="175260"/>
                      <wp:effectExtent l="0" t="0" r="0" b="0"/>
                      <wp:wrapNone/>
                      <wp:docPr id="736" name="Frame735"/>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w:t>
            </w:r>
          </w:p>
        </w:tc>
      </w:tr>
      <w:tr>
        <w:trPr/>
        <w:tc>
          <w:tcPr>
            <w:tcW w:w="29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r>
      <w:tr>
        <w:trPr/>
        <w:tc>
          <w:tcPr>
            <w:tcW w:w="29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RSUs is measured based on the fair value of the Company’s underlying common stock on the date of grant. Compensation cost will be recognized on a straight-line basis in the consolidated statements of comprehensive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At December 31, 2024, $54,191 of unrecognized compensation cost for RSUs is expected to be recognized over a weighted average period of approximately 2.4 years.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val="false"/>
          <w:i/>
          <w:sz w:val="20"/>
        </w:rPr>
        <w:t>Performance Stock Units</w:t>
      </w:r>
      <w:r>
        <w:rPr>
          <w:rFonts w:ascii="Times New Roman;Times;serif" w:hAnsi="Times New Roman;Times;serif"/>
          <w:b/>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ecosio acquisition, current and newly hired employees of ecosio have or may receive RSUs that vest upon continuing service and performance conditions (“Performance Stock Units” or “PSUs”).</w:t>
      </w:r>
      <w:r>
        <w:rPr>
          <w:rFonts w:ascii="Times New Roman;Times;serif" w:hAnsi="Times New Roman;Times;serif"/>
          <w:sz w:val="20"/>
          <w:shd w:fill="FFFFFF" w:val="clear"/>
        </w:rPr>
        <w:t xml:space="preserve"> These performance conditions are based upon ecosio’s monthly software revenues meeting specified annual targets over a three-year period. The annual targets are based on a range of performance targets in which grantees may earn a prorated portion of the base number of awards granted up to 100%. For further information on the ecosio acquisition, refer to Note 3, “</w:t>
      </w:r>
      <w:r>
        <w:rPr>
          <w:rFonts w:ascii="Times New Roman;Times;serif" w:hAnsi="Times New Roman;Times;serif"/>
          <w:sz w:val="20"/>
        </w:rPr>
        <w:t>Acquisitions</w:t>
      </w:r>
      <w:r>
        <w:rPr>
          <w:rFonts w:ascii="Times New Roman;Times;serif" w:hAnsi="Times New Roman;Times;serif"/>
          <w:sz w:val="20"/>
          <w:shd w:fill="FFFFFF" w:val="clear"/>
        </w:rPr>
        <w:t>.”</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17, 2024, t</w:t>
      </w:r>
      <w:r>
        <w:rPr>
          <w:rFonts w:ascii="Times New Roman;Times;serif" w:hAnsi="Times New Roman;Times;serif"/>
          <w:sz w:val="20"/>
          <w:shd w:fill="FFFFFF" w:val="clear"/>
        </w:rPr>
        <w:t>he</w:t>
      </w:r>
      <w:r>
        <w:rPr>
          <w:rFonts w:ascii="Times New Roman;Times;serif" w:hAnsi="Times New Roman;Times;serif"/>
          <w:sz w:val="20"/>
        </w:rPr>
        <w:t xml:space="preserve"> Company granted 192 PSUs to ecosio employees. The fair value for PSUs is calculated based on the closing stock price on the date of grant. Assuming all conditions are met, the maximum amount of compensation expense that can be recognized by the Company for these awards is $10,259.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stock-compensation expense associated with the awards will be accounted for as compensation expense over the vesting periods based on the Company’s assessment of probability of achievement of the targets. If the required conditions are not met, no compensation cost is recognized and any previously recognized compensation cost is reversed</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0"/>
          <w:shd w:fill="FFFFFF" w:val="clear"/>
        </w:rPr>
        <w:t xml:space="preserve">As of December 31, 2024, the Company determined that it is probable that the performance target for the first annual measurement period would be achieved and has recorded $285 in stock-based compensation expense for the year ended December 31, 2024. No compensation expense has been recorded in connection with the second or </w:t>
      </w:r>
      <w:r>
        <w:rPr>
          <w:rFonts w:ascii="Times New Roman;Times;serif" w:hAnsi="Times New Roman;Times;serif"/>
          <w:b w:val="false"/>
          <w:i w:val="false"/>
          <w:caps w:val="false"/>
          <w:smallCaps w:val="false"/>
          <w:sz w:val="20"/>
          <w:shd w:fill="FFFFFF" w:val="clear"/>
        </w:rPr>
        <w:t>third</w:t>
      </w:r>
      <w:r>
        <w:rPr>
          <w:rFonts w:ascii="Times New Roman;Times;serif" w:hAnsi="Times New Roman;Times;serif"/>
          <w:sz w:val="20"/>
          <w:shd w:fill="FFFFFF" w:val="clear"/>
        </w:rPr>
        <w:t xml:space="preserve"> annual targets as the Company has not yet deemed it probable that the performance targets will be achieved.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firstLine="360"/>
        <w:jc w:val="both"/>
        <w:rPr/>
      </w:pPr>
      <w:bookmarkStart w:id="2085" w:name="Tc_rXBL_hqxF0e5dHhuV95bcA_9_4"/>
      <w:bookmarkStart w:id="2086" w:name="Tc_3tTr59oRF02ciLSOlNhpwA_9_0"/>
      <w:bookmarkStart w:id="2087" w:name="Tc_QhhiFaC7DE6ZFODrFGqXVA_8_0"/>
      <w:bookmarkStart w:id="2088" w:name="Tc_cZ-kx0-FgEGs9VAoUZnWBw_7_0"/>
      <w:bookmarkStart w:id="2089" w:name="Tc_9kcFkcqxz0esxJisz39tCg_6_4"/>
      <w:bookmarkStart w:id="2090" w:name="Tc_ebnvvkpX9Uq7fMAHptanlQ_6_0"/>
      <w:bookmarkStart w:id="2091" w:name="Tc_PZOC7QBRYEqOQe0VDtvOWg_5_4"/>
      <w:bookmarkStart w:id="2092" w:name="Tc_KlxIAkfipEeGY5KLN-GTnA_5_2"/>
      <w:bookmarkStart w:id="2093" w:name="Tc_Tv2Zs1ZDYUCxpvteR7XyaA_4_4"/>
      <w:bookmarkStart w:id="2094" w:name="Tc_Wm-y-dUESU6OywwqM9YZow_3_4"/>
      <w:bookmarkStart w:id="2095" w:name="Tc_fIJ49sEhnEGBt4w4MSmXDQ_2_4"/>
      <w:bookmarkStart w:id="2096" w:name="Tc_fGJOA8Gn1EWcgwWafmhG6w_6_4"/>
      <w:bookmarkStart w:id="2097" w:name="Tc_eEOpOR7XFUyt_DeMpZDW5w_6_0"/>
      <w:bookmarkStart w:id="2098" w:name="Tc_A_kMm6_aBE-mXf49ZrmY0Q_5_0"/>
      <w:bookmarkStart w:id="2099" w:name="Tc_MA67AzolnkyLpcXLUTaVrA_4_5"/>
      <w:bookmarkStart w:id="2100" w:name="Tc_WPo_FxWkrkeF7oXoq76CQQ_4_4"/>
      <w:bookmarkStart w:id="2101" w:name="Tc_8cdGDmgjSkqH2VHPqlH-Vw_4_2"/>
      <w:bookmarkStart w:id="2102" w:name="Tc_Qdw6L_JiIEWhO8mYkoIj7w_4_0"/>
      <w:bookmarkStart w:id="2103" w:name="Tc_jPY-UAw2NUKjmXLli0khaw_3_4"/>
      <w:bookmarkStart w:id="2104" w:name="Tc_cvjpTpXFmEC6_Ib20CRcgw_3_2"/>
      <w:bookmarkStart w:id="2105" w:name="Tc_lHt1nBtRVEGvS-_xZ2tZbQ_2_4"/>
      <w:bookmarkStart w:id="2106" w:name="Tc_9W3ZWEMFDkCvdDmsr-Cr0Q_1_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December 31, 2024, a maximum of $9,974 of unrecognized compensation cost for PSUs, pending achievement of targets, may be recognized over a weighted average period of approximately 2.9 years.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PSU activity for the year ended December 31, 2024:</w:t>
      </w:r>
    </w:p>
    <w:p>
      <w:pPr>
        <w:pStyle w:val="TextBody"/>
        <w:bidi w:val="0"/>
        <w:spacing w:before="0" w:after="0"/>
        <w:ind w:left="0" w:right="0" w:hanging="0"/>
        <w:jc w:val="left"/>
        <w:rPr/>
      </w:pPr>
      <w:r>
        <w:rPr/>
        <w:t>​</w:t>
      </w:r>
    </w:p>
    <w:tbl>
      <w:tblPr>
        <w:tblW w:w="4991" w:type="dxa"/>
        <w:jc w:val="left"/>
        <w:tblInd w:w="0" w:type="dxa"/>
        <w:tblLayout w:type="fixed"/>
        <w:tblCellMar>
          <w:top w:w="0" w:type="dxa"/>
          <w:left w:w="0" w:type="dxa"/>
          <w:bottom w:w="0" w:type="dxa"/>
          <w:right w:w="0" w:type="dxa"/>
        </w:tblCellMar>
      </w:tblPr>
      <w:tblGrid>
        <w:gridCol w:w="2941"/>
        <w:gridCol w:w="109"/>
        <w:gridCol w:w="481"/>
        <w:gridCol w:w="109"/>
        <w:gridCol w:w="317"/>
        <w:gridCol w:w="1034"/>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867535" cy="175260"/>
                      <wp:effectExtent l="0" t="0" r="0" b="0"/>
                      <wp:wrapNone/>
                      <wp:docPr id="737" name="Frame73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69215" cy="175260"/>
                      <wp:effectExtent l="0" t="0" r="0" b="0"/>
                      <wp:wrapNone/>
                      <wp:docPr id="738" name="Frame7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305435" cy="175260"/>
                      <wp:effectExtent l="0" t="0" r="0" b="0"/>
                      <wp:wrapNone/>
                      <wp:docPr id="739" name="Frame73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69215" cy="175260"/>
                      <wp:effectExtent l="0" t="0" r="0" b="0"/>
                      <wp:wrapNone/>
                      <wp:docPr id="740" name="Frame7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1295" cy="175260"/>
                      <wp:effectExtent l="0" t="0" r="0" b="0"/>
                      <wp:wrapNone/>
                      <wp:docPr id="741" name="Frame74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56590" cy="175260"/>
                      <wp:effectExtent l="0" t="0" r="0" b="0"/>
                      <wp:wrapNone/>
                      <wp:docPr id="742" name="Frame741"/>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53.46</w:t>
            </w:r>
          </w:p>
        </w:tc>
      </w:tr>
    </w:tbl>
    <w:p>
      <w:pPr>
        <w:pStyle w:val="TextBody"/>
        <w:bidi w:val="0"/>
        <w:spacing w:before="0" w:after="0"/>
        <w:ind w:left="0" w:right="0" w:hanging="0"/>
        <w:jc w:val="both"/>
        <w:rPr>
          <w:color w:val="FF0000"/>
        </w:rPr>
      </w:pPr>
      <w:r>
        <w:rPr>
          <w:color w:val="FF0000"/>
        </w:rPr>
        <w:t>​</w:t>
      </w:r>
    </w:p>
    <w:p>
      <w:pPr>
        <w:pStyle w:val="TextBody"/>
        <w:bidi w:val="0"/>
        <w:spacing w:before="0" w:after="0"/>
        <w:ind w:left="0" w:right="0" w:firstLine="360"/>
        <w:jc w:val="both"/>
        <w:rPr>
          <w:color w:val="FF0000"/>
        </w:rPr>
      </w:pPr>
      <w:r>
        <w:rPr>
          <w:color w:val="FF0000"/>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Restricted Stock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RSA activity for the year ended December 31, 2024:</w:t>
      </w:r>
    </w:p>
    <w:p>
      <w:pPr>
        <w:pStyle w:val="TextBody"/>
        <w:bidi w:val="0"/>
        <w:spacing w:before="0" w:after="0"/>
        <w:ind w:left="0" w:right="0" w:hanging="0"/>
        <w:jc w:val="left"/>
        <w:rPr/>
      </w:pPr>
      <w:r>
        <w:rPr/>
        <w:t>​</w:t>
      </w:r>
    </w:p>
    <w:tbl>
      <w:tblPr>
        <w:tblW w:w="5208" w:type="dxa"/>
        <w:jc w:val="left"/>
        <w:tblInd w:w="0" w:type="dxa"/>
        <w:tblLayout w:type="fixed"/>
        <w:tblCellMar>
          <w:top w:w="0" w:type="dxa"/>
          <w:left w:w="0" w:type="dxa"/>
          <w:bottom w:w="0" w:type="dxa"/>
          <w:right w:w="0" w:type="dxa"/>
        </w:tblCellMar>
      </w:tblPr>
      <w:tblGrid>
        <w:gridCol w:w="2941"/>
        <w:gridCol w:w="326"/>
        <w:gridCol w:w="481"/>
        <w:gridCol w:w="109"/>
        <w:gridCol w:w="317"/>
        <w:gridCol w:w="1034"/>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867535" cy="175260"/>
                      <wp:effectExtent l="0" t="0" r="0" b="0"/>
                      <wp:wrapNone/>
                      <wp:docPr id="743" name="Frame742"/>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4" name="Frame7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305435" cy="175260"/>
                      <wp:effectExtent l="0" t="0" r="0" b="0"/>
                      <wp:wrapNone/>
                      <wp:docPr id="745" name="Frame74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69215" cy="175260"/>
                      <wp:effectExtent l="0" t="0" r="0" b="0"/>
                      <wp:wrapNone/>
                      <wp:docPr id="746" name="Frame7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01295" cy="175260"/>
                      <wp:effectExtent l="0" t="0" r="0" b="0"/>
                      <wp:wrapNone/>
                      <wp:docPr id="747" name="Frame74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656590" cy="175260"/>
                      <wp:effectExtent l="0" t="0" r="0" b="0"/>
                      <wp:wrapNone/>
                      <wp:docPr id="748" name="Frame747"/>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center"/>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26" w:type="dxa"/>
            <w:tcBorders/>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35.06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RSAs is measured based on the fair value of the Company’s underlying common stock on the date of grant. Compensation cost will be recognized on a straight-line basis in the consolidated statements of comprehensive loss over the period during which the participants are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At December 31, 2024, $532 of unrecognized compensation cost for RSAs is expected to be recognized over a weighted average period of approximately 0.5 years.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Employee Stock Purchase Plan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permits participants to purchase Class A primarily through payroll deductions of up to a specified percentage of their eligible compensation. The maximum number of shares that may be purchased by a participant during any offering period is determined by the plan administrator in advance of each offering period.</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total of 1,000 shares of Class A were initially reserved for issuance under the ESPP. The number of shares available for issuance under the ESPP increases annually on January 1 of each calendar year beginning in 2021 and ending in and including 2030, by an amount equal to the lesser of (i) 1% of the shares of Class A and Class B outstanding on the final day of the immediately preceding calendar year and (ii) such smaller number of shares as is determined by the Board, provided that no more than 16,000 shares of Class A may be issued. The ESPP is administered by a committee of the Board. As of December 31, 2024, there were 6,335 shares available for issuance under the ESPP.</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first trading day of each offering period, each participant will automatically be granted an option to purchase shares of Class A. The option will expire at the end of the applicable offering period and will be exercised at that time to the extent of the payroll deductions accumulated or contributions made during such offering period. The purchase price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shd w:fill="FFFFFF" w:val="clear"/>
        <w:bidi w:val="0"/>
        <w:spacing w:before="0" w:after="240"/>
        <w:ind w:left="0" w:right="0" w:hanging="0"/>
        <w:jc w:val="both"/>
        <w:rPr>
          <w:rFonts w:ascii="Times New Roman;Times;serif" w:hAnsi="Times New Roman;Times;serif"/>
          <w:sz w:val="20"/>
        </w:rPr>
      </w:pPr>
      <w:bookmarkStart w:id="2107" w:name="Tc_OqTAxoAbsUyFN401hUxddQ_9_7"/>
      <w:bookmarkStart w:id="2108" w:name="Tc_UCSjEYJD9kGedBA66Eb-gw_9_4"/>
      <w:bookmarkStart w:id="2109" w:name="Tc_tYRiLeZDr0eRXkXTl2Dxng_9_1"/>
      <w:bookmarkStart w:id="2110" w:name="Tc_ZXP87TkG5kS6R-BMaXTvhw_9_0"/>
      <w:bookmarkStart w:id="2111" w:name="Tc_3nrNpARm8E-1fPXzK5uFsw_8_0"/>
      <w:bookmarkStart w:id="2112" w:name="Tc_oUDVb0I_T0i33Epms1rGMQ_7_8"/>
      <w:bookmarkStart w:id="2113" w:name="Tc_J-aUPpGrR0aqSJMgH7haCA_7_5"/>
      <w:bookmarkStart w:id="2114" w:name="Tc_dWmxAF1jkEaNNQT5kZJbkA_7_0"/>
      <w:bookmarkStart w:id="2115" w:name="Tc_xEc4UjnFUUCFKlhddlGTCg_6_0"/>
      <w:bookmarkStart w:id="2116" w:name="Tc_4b2pgrKzdU6be6pdsKFcNQ_5_0"/>
      <w:bookmarkStart w:id="2117" w:name="Tc_U0YEG5ENAkCbHpWtw3UnLw_4_7"/>
      <w:bookmarkStart w:id="2118" w:name="Tc_cEcukYie802toWkcrcT3-g_4_4"/>
      <w:bookmarkStart w:id="2119" w:name="Tc_1m08viTWq0iFyXy8J4tWxg_4_1"/>
      <w:bookmarkStart w:id="2120" w:name="Tc_mCOw9Inu4Ees0dIft42_ag_4_0"/>
      <w:bookmarkStart w:id="2121" w:name="Tc_hdLHnaMZ5Umvx2w8KiIUDw_3_0"/>
      <w:bookmarkStart w:id="2122" w:name="Tc_chX7bM8Mzk6hWuhiz3nKHQ_2_7"/>
      <w:bookmarkStart w:id="2123" w:name="Tc_QyoHJ4TJtk6TOif9IjVtUQ_2_4"/>
      <w:bookmarkStart w:id="2124" w:name="Tc_7lx35sx1Ok-374LMIjVIDQ_2_1"/>
      <w:bookmarkStart w:id="2125" w:name="Tc_5Wdtx85nckaSyAbgy5JAaw_1_1"/>
      <w:bookmarkStart w:id="2126" w:name="Tc_6rnEj1ah2UK3gv82i95uwg_7_15"/>
      <w:bookmarkStart w:id="2127" w:name="Tc_3SGtohp4pEygnpHta1mmng_7_12"/>
      <w:bookmarkStart w:id="2128" w:name="Tc_dJvIEnC5SE6F4dk4IqYCuw_7_9"/>
      <w:bookmarkStart w:id="2129" w:name="Tc_adnk3oj61UW_CeaEH51w5A_7_6"/>
      <w:bookmarkStart w:id="2130" w:name="Tc_1qz7uva9XEuXSHc1ESarcA_7_3"/>
      <w:bookmarkStart w:id="2131" w:name="Tc_-voNFiMcT0-Xixdvvdwgbw_7_0"/>
      <w:bookmarkStart w:id="2132" w:name="Tc_ByE6pLoL4kanBDxQD1r5HA_6_15"/>
      <w:bookmarkStart w:id="2133" w:name="Tc__MuTmoJoAkK2M60pn7VuRg_6_14"/>
      <w:bookmarkStart w:id="2134" w:name="Tc_zuo-T6aCTUGwKWcvtrzuEQ_6_12"/>
      <w:bookmarkStart w:id="2135" w:name="Tc_tDaaIMVI5kiZdq3VrGjz1Q_6_11"/>
      <w:bookmarkStart w:id="2136" w:name="Tc_IrDedFiHLUqQHdF7eGPTHQ_6_9"/>
      <w:bookmarkStart w:id="2137" w:name="Tc_zTSFwAp870iJhcbA6VJcJg_6_8"/>
      <w:bookmarkStart w:id="2138" w:name="Tc_BFe7DaEU60aPbGQ3K__ICA_6_6"/>
      <w:bookmarkStart w:id="2139" w:name="Tc_8jxwSYEoXUSyEvIpnFZkvw_6_5"/>
      <w:bookmarkStart w:id="2140" w:name="Tc_8Zd1M4lf-UKcwav_U5qiiQ_6_3"/>
      <w:bookmarkStart w:id="2141" w:name="Tc_YdBJkRodnEqgWYJ3g8gDpQ_6_2"/>
      <w:bookmarkStart w:id="2142" w:name="Tc_YjaZ6XGXd0mvbLEgeLPQiw_6_0"/>
      <w:bookmarkStart w:id="2143" w:name="Tc_-xkT8ii_CUiGd1T7CXFbPg_5_0"/>
      <w:bookmarkStart w:id="2144" w:name="Tc_1pa-YHrItESCiqKO1AGqZg_4_15"/>
      <w:bookmarkStart w:id="2145" w:name="Tc_ohmLW6_K0EapDuB1QzoJHg_4_12"/>
      <w:bookmarkStart w:id="2146" w:name="Tc_EL7TDBzxQUyWQA5Noll9Sw_4_9"/>
      <w:bookmarkStart w:id="2147" w:name="Tc_2LcfUK1JpUuO4-ZUO8aD4w_4_6"/>
      <w:bookmarkStart w:id="2148" w:name="Tc_fIq_HTux90CHy8VPyP1zrA_4_3"/>
      <w:bookmarkStart w:id="2149" w:name="Tc_o987MgEHWU6BjyB5o4dFPw_4_0"/>
      <w:bookmarkStart w:id="2150" w:name="Tc_LYyXXNoqUEeKqVhFlmeaFQ_3_13"/>
      <w:bookmarkStart w:id="2151" w:name="Tc_CKLQC2KJfUCoJWBNJuDIPA_3_10"/>
      <w:bookmarkStart w:id="2152" w:name="Tc_NWNT_Uh8lE2IfcslmobbXA_3_7"/>
      <w:bookmarkStart w:id="2153" w:name="Tc_ki7RAhNVFkaBq6KK1q9xgg_3_4"/>
      <w:bookmarkStart w:id="2154" w:name="Tc_K9tyTKiS10Kb6iep6HeaBQ_3_1"/>
      <w:bookmarkStart w:id="2155" w:name="Tc_8AGjpzNFi0SF1J3CSxyvog_3_0"/>
      <w:bookmarkStart w:id="2156" w:name="Tc_J7jVgDjAHECHLqabu2RvRQ_2_13"/>
      <w:bookmarkStart w:id="2157" w:name="Tc__zUPi2-NkUe3oJ3jIbc_1w_2_10"/>
      <w:bookmarkStart w:id="2158" w:name="Tc_a5bUrBUUh0uK_jCiSVU3nw_2_7"/>
      <w:bookmarkStart w:id="2159" w:name="Tc_AR4prXsKCkmLqiZCF1FQAQ_2_4"/>
      <w:bookmarkStart w:id="2160" w:name="Tc_BJ5kvKUEH0yApDwUhHQLBw_2_1"/>
      <w:bookmarkStart w:id="2161" w:name="Tc_dciRhMoS-0GC5fLyvIZFIQ_1_1"/>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r>
        <w:rPr>
          <w:rFonts w:ascii="Times New Roman;Times;serif" w:hAnsi="Times New Roman;Times;serif"/>
          <w:sz w:val="20"/>
        </w:rPr>
        <w:t>the shares, in the absence of a contrary designation, is 85% of the lower of the fair value of the Class A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If a participant withdraws from the plan during an offering period, the participant cannot rejoin until the next offering period. Participation ends automatically upon a participant's termination of employment.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and 2023, there was approximately $423 and $375, respectively, of unrecognized ESPP stock-based compensation cost that is expected to be recognized on a straight-line basis over the remaining term of the offering periods ending on May 31, 2025 and 2024,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ESPP purchase rights for the offering periods is comprised of the value of the 15% ESPP discount and the value associated with the call or put over the respective ESPP offering period. ESPP offering periods reflected in the December 31, 2024, financial statements include the periods noted below in the table. The value of the call or put was estimated using the Black-Scholes model with the following assumptions:</w:t>
      </w:r>
    </w:p>
    <w:p>
      <w:pPr>
        <w:pStyle w:val="TextBody"/>
        <w:bidi w:val="0"/>
        <w:spacing w:before="0" w:after="0"/>
        <w:ind w:left="0" w:right="0" w:hanging="0"/>
        <w:jc w:val="left"/>
        <w:rPr/>
      </w:pPr>
      <w:r>
        <w:rPr/>
        <w:t>​</w:t>
      </w:r>
    </w:p>
    <w:tbl>
      <w:tblPr>
        <w:tblW w:w="8856" w:type="dxa"/>
        <w:jc w:val="left"/>
        <w:tblInd w:w="0" w:type="dxa"/>
        <w:tblLayout w:type="fixed"/>
        <w:tblCellMar>
          <w:top w:w="0" w:type="dxa"/>
          <w:left w:w="0" w:type="dxa"/>
          <w:bottom w:w="0" w:type="dxa"/>
          <w:right w:w="0" w:type="dxa"/>
        </w:tblCellMar>
      </w:tblPr>
      <w:tblGrid>
        <w:gridCol w:w="2971"/>
        <w:gridCol w:w="222"/>
        <w:gridCol w:w="603"/>
        <w:gridCol w:w="316"/>
        <w:gridCol w:w="247"/>
        <w:gridCol w:w="668"/>
        <w:gridCol w:w="316"/>
        <w:gridCol w:w="222"/>
        <w:gridCol w:w="603"/>
        <w:gridCol w:w="316"/>
        <w:gridCol w:w="247"/>
        <w:gridCol w:w="668"/>
        <w:gridCol w:w="316"/>
        <w:gridCol w:w="222"/>
        <w:gridCol w:w="603"/>
        <w:gridCol w:w="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1886585" cy="175260"/>
                      <wp:effectExtent l="0" t="0" r="0" b="0"/>
                      <wp:wrapNone/>
                      <wp:docPr id="749" name="Frame748"/>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40970" cy="175260"/>
                      <wp:effectExtent l="0" t="0" r="0" b="0"/>
                      <wp:wrapNone/>
                      <wp:docPr id="750" name="Frame74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382905" cy="175260"/>
                      <wp:effectExtent l="0" t="0" r="0" b="0"/>
                      <wp:wrapNone/>
                      <wp:docPr id="751" name="Frame750"/>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00660" cy="175260"/>
                      <wp:effectExtent l="0" t="0" r="0" b="0"/>
                      <wp:wrapNone/>
                      <wp:docPr id="752" name="Frame7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56845" cy="175260"/>
                      <wp:effectExtent l="0" t="0" r="0" b="0"/>
                      <wp:wrapNone/>
                      <wp:docPr id="753" name="Frame75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424180" cy="175260"/>
                      <wp:effectExtent l="0" t="0" r="0" b="0"/>
                      <wp:wrapNone/>
                      <wp:docPr id="754" name="Frame753"/>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00660" cy="175260"/>
                      <wp:effectExtent l="0" t="0" r="0" b="0"/>
                      <wp:wrapNone/>
                      <wp:docPr id="755" name="Frame7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40970" cy="175260"/>
                      <wp:effectExtent l="0" t="0" r="0" b="0"/>
                      <wp:wrapNone/>
                      <wp:docPr id="756" name="Frame75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382905" cy="175260"/>
                      <wp:effectExtent l="0" t="0" r="0" b="0"/>
                      <wp:wrapNone/>
                      <wp:docPr id="757" name="Frame756"/>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00660" cy="175260"/>
                      <wp:effectExtent l="0" t="0" r="0" b="0"/>
                      <wp:wrapNone/>
                      <wp:docPr id="758" name="Frame7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56845" cy="175260"/>
                      <wp:effectExtent l="0" t="0" r="0" b="0"/>
                      <wp:wrapNone/>
                      <wp:docPr id="759" name="Frame75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424180" cy="175260"/>
                      <wp:effectExtent l="0" t="0" r="0" b="0"/>
                      <wp:wrapNone/>
                      <wp:docPr id="760" name="Frame759"/>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00660" cy="175260"/>
                      <wp:effectExtent l="0" t="0" r="0" b="0"/>
                      <wp:wrapNone/>
                      <wp:docPr id="761" name="Frame7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40970" cy="175260"/>
                      <wp:effectExtent l="0" t="0" r="0" b="0"/>
                      <wp:wrapNone/>
                      <wp:docPr id="762" name="Frame76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382905" cy="175260"/>
                      <wp:effectExtent l="0" t="0" r="0" b="0"/>
                      <wp:wrapNone/>
                      <wp:docPr id="763" name="Frame762"/>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00660" cy="175260"/>
                      <wp:effectExtent l="0" t="0" r="0" b="0"/>
                      <wp:wrapNone/>
                      <wp:docPr id="764" name="Frame7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5885"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Offering Period Ending</w:t>
            </w:r>
          </w:p>
        </w:tc>
      </w:tr>
      <w:tr>
        <w:trPr/>
        <w:tc>
          <w:tcPr>
            <w:tcW w:w="2971" w:type="dxa"/>
            <w:tcBorders/>
            <w:vAlign w:val="center"/>
          </w:tcPr>
          <w:p>
            <w:pPr>
              <w:pStyle w:val="TableContents"/>
              <w:bidi w:val="0"/>
              <w:spacing w:before="0" w:after="1"/>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5/31/2025</w:t>
            </w:r>
          </w:p>
        </w:tc>
        <w:tc>
          <w:tcPr>
            <w:tcW w:w="316" w:type="dxa"/>
            <w:tcBorders/>
            <w:vAlign w:val="center"/>
          </w:tcPr>
          <w:p>
            <w:pPr>
              <w:pStyle w:val="TableContents"/>
              <w:bidi w:val="0"/>
              <w:spacing w:before="0" w:after="1"/>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11/30/2024</w:t>
            </w:r>
          </w:p>
        </w:tc>
        <w:tc>
          <w:tcPr>
            <w:tcW w:w="316" w:type="dxa"/>
            <w:tcBorders/>
            <w:vAlign w:val="center"/>
          </w:tcPr>
          <w:p>
            <w:pPr>
              <w:pStyle w:val="TableContents"/>
              <w:bidi w:val="0"/>
              <w:spacing w:before="0" w:after="1"/>
              <w:ind w:left="0" w:right="0" w:hanging="0"/>
              <w:jc w:val="center"/>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5/31/2024</w:t>
            </w:r>
          </w:p>
        </w:tc>
        <w:tc>
          <w:tcPr>
            <w:tcW w:w="316" w:type="dxa"/>
            <w:tcBorders/>
            <w:vAlign w:val="center"/>
          </w:tcPr>
          <w:p>
            <w:pPr>
              <w:pStyle w:val="TableContents"/>
              <w:bidi w:val="0"/>
              <w:spacing w:before="0" w:after="1"/>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11/30/2023</w:t>
            </w:r>
          </w:p>
        </w:tc>
        <w:tc>
          <w:tcPr>
            <w:tcW w:w="316" w:type="dxa"/>
            <w:tcBorders/>
            <w:vAlign w:val="center"/>
          </w:tcPr>
          <w:p>
            <w:pPr>
              <w:pStyle w:val="TableContents"/>
              <w:bidi w:val="0"/>
              <w:spacing w:before="0" w:after="1"/>
              <w:ind w:left="0" w:right="0" w:hanging="0"/>
              <w:jc w:val="center"/>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5/31/2023</w:t>
            </w:r>
          </w:p>
        </w:tc>
        <w:tc>
          <w:tcPr>
            <w:tcW w:w="316" w:type="dxa"/>
            <w:tcBorders/>
            <w:vAlign w:val="center"/>
          </w:tcPr>
          <w:p>
            <w:pPr>
              <w:pStyle w:val="TableContents"/>
              <w:bidi w:val="0"/>
              <w:spacing w:before="0" w:after="1"/>
              <w:ind w:left="0" w:right="0" w:hanging="0"/>
              <w:jc w:val="center"/>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market value of common stock</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54.64</w:t>
            </w:r>
          </w:p>
        </w:tc>
        <w:tc>
          <w:tcPr>
            <w:tcW w:w="31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w:t>
            </w:r>
          </w:p>
        </w:tc>
        <w:tc>
          <w:tcPr>
            <w:tcW w:w="31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27.82</w:t>
            </w:r>
          </w:p>
        </w:tc>
        <w:tc>
          <w:tcPr>
            <w:tcW w:w="31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21.76</w:t>
            </w:r>
          </w:p>
        </w:tc>
        <w:tc>
          <w:tcPr>
            <w:tcW w:w="31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1"/>
              <w:ind w:left="0" w:right="0" w:hanging="0"/>
              <w:jc w:val="left"/>
              <w:rPr/>
            </w:pPr>
            <w:r>
              <w:rPr/>
              <w:t> </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cost related to incentive awards, net of forfeitures, as follows:</w:t>
      </w:r>
    </w:p>
    <w:p>
      <w:pPr>
        <w:pStyle w:val="TextBody"/>
        <w:bidi w:val="0"/>
        <w:spacing w:before="0" w:after="0"/>
        <w:ind w:left="0" w:right="0" w:hanging="0"/>
        <w:jc w:val="left"/>
        <w:rPr/>
      </w:pPr>
      <w:r>
        <w:rPr/>
        <w:t>​</w:t>
      </w:r>
    </w:p>
    <w:tbl>
      <w:tblPr>
        <w:tblW w:w="6879" w:type="dxa"/>
        <w:jc w:val="left"/>
        <w:tblInd w:w="0" w:type="dxa"/>
        <w:tblLayout w:type="fixed"/>
        <w:tblCellMar>
          <w:top w:w="0" w:type="dxa"/>
          <w:left w:w="0" w:type="dxa"/>
          <w:bottom w:w="0" w:type="dxa"/>
          <w:right w:w="0" w:type="dxa"/>
        </w:tblCellMar>
      </w:tblPr>
      <w:tblGrid>
        <w:gridCol w:w="3451"/>
        <w:gridCol w:w="211"/>
        <w:gridCol w:w="676"/>
        <w:gridCol w:w="326"/>
        <w:gridCol w:w="211"/>
        <w:gridCol w:w="676"/>
        <w:gridCol w:w="326"/>
        <w:gridCol w:w="211"/>
        <w:gridCol w:w="79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2191385" cy="175260"/>
                      <wp:effectExtent l="0" t="0" r="0" b="0"/>
                      <wp:wrapNone/>
                      <wp:docPr id="765" name="Frame76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133985" cy="175260"/>
                      <wp:effectExtent l="0" t="0" r="0" b="0"/>
                      <wp:wrapNone/>
                      <wp:docPr id="766" name="Frame7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429260" cy="175260"/>
                      <wp:effectExtent l="0" t="0" r="0" b="0"/>
                      <wp:wrapNone/>
                      <wp:docPr id="767" name="Frame7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07010" cy="175260"/>
                      <wp:effectExtent l="0" t="0" r="0" b="0"/>
                      <wp:wrapNone/>
                      <wp:docPr id="768" name="Frame7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133985" cy="175260"/>
                      <wp:effectExtent l="0" t="0" r="0" b="0"/>
                      <wp:wrapNone/>
                      <wp:docPr id="769" name="Frame7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429260" cy="175260"/>
                      <wp:effectExtent l="0" t="0" r="0" b="0"/>
                      <wp:wrapNone/>
                      <wp:docPr id="770" name="Frame7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07010" cy="175260"/>
                      <wp:effectExtent l="0" t="0" r="0" b="0"/>
                      <wp:wrapNone/>
                      <wp:docPr id="771" name="Frame7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133985" cy="175260"/>
                      <wp:effectExtent l="0" t="0" r="0" b="0"/>
                      <wp:wrapNone/>
                      <wp:docPr id="772" name="Frame7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502285" cy="175260"/>
                      <wp:effectExtent l="0" t="0" r="0" b="0"/>
                      <wp:wrapNone/>
                      <wp:docPr id="773" name="Frame77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45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19,729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0"/>
        <w:ind w:left="0" w:right="0" w:firstLine="360"/>
        <w:jc w:val="both"/>
        <w:rPr>
          <w:rFonts w:ascii="Times New Roman;Times;serif" w:hAnsi="Times New Roman;Times;serif"/>
          <w:sz w:val="20"/>
        </w:rPr>
      </w:pPr>
      <w:bookmarkStart w:id="2162" w:name="Tc_p9SNRZ55BkSGCp47UmVqOg_9_7"/>
      <w:bookmarkStart w:id="2163" w:name="Tc_TTavfdKBckiotqU7laHyLQ_9_4"/>
      <w:bookmarkStart w:id="2164" w:name="Tc_yKa0Pg5sEkSH3z6KeeGzJQ_9_1"/>
      <w:bookmarkStart w:id="2165" w:name="Tc_1k06MSjs8E6-ngMlukRRnA_9_0"/>
      <w:bookmarkStart w:id="2166" w:name="Tc_SfMl2kp-LE-Jq4tmfh7-rw_8_0"/>
      <w:bookmarkStart w:id="2167" w:name="Tc_ea5hGPOXnkadoeG5zPnjMA_7_0"/>
      <w:bookmarkStart w:id="2168" w:name="Tc_90sBmG1gDESTZXjTnddRng_6_0"/>
      <w:bookmarkStart w:id="2169" w:name="Tc_XgpoqAVy1UyHJ3AZoXd_xw_5_0"/>
      <w:bookmarkStart w:id="2170" w:name="Tc_N1NrF2HWTE-TbVBXkAs5Kw_4_7"/>
      <w:bookmarkStart w:id="2171" w:name="Tc_Q_3cHJRAz06P0nKHyRYCGQ_4_4"/>
      <w:bookmarkStart w:id="2172" w:name="Tc_DIpdLcGROEq_QSgqqY-lZw_4_1"/>
      <w:bookmarkStart w:id="2173" w:name="Tc_xop4xuA7a0OFJyc92kb1qg_4_0"/>
      <w:bookmarkStart w:id="2174" w:name="Tc_cktq5ssHn0OEgxYImIqktQ_3_0"/>
      <w:bookmarkStart w:id="2175" w:name="Tc_oRrzFNVtW0mLu2k8dCGcdQ_2_7"/>
      <w:bookmarkStart w:id="2176" w:name="Tc_hbFSJIobTEm96PiPeQufwA_2_4"/>
      <w:bookmarkStart w:id="2177" w:name="Tc_Vpoo7wM-BEOd2jXdeC5LAA_2_1"/>
      <w:bookmarkStart w:id="2178" w:name="Tc_LrmqCaiSjUiyBDX9N_L98Q_1_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r>
        <w:rPr>
          <w:rFonts w:ascii="Times New Roman;Times;serif" w:hAnsi="Times New Roman;Times;serif"/>
          <w:sz w:val="20"/>
        </w:rPr>
        <w:t xml:space="preserve">The Company recognized stock-based compensation cost in the consolidated statements of comprehensive loss as follows: </w:t>
      </w:r>
    </w:p>
    <w:p>
      <w:pPr>
        <w:pStyle w:val="TextBody"/>
        <w:bidi w:val="0"/>
        <w:spacing w:before="0" w:after="0"/>
        <w:ind w:left="0" w:right="0" w:hanging="0"/>
        <w:jc w:val="left"/>
        <w:rPr/>
      </w:pPr>
      <w:r>
        <w:rPr/>
        <w:t>​</w:t>
      </w:r>
    </w:p>
    <w:tbl>
      <w:tblPr>
        <w:tblW w:w="6879" w:type="dxa"/>
        <w:jc w:val="left"/>
        <w:tblInd w:w="0" w:type="dxa"/>
        <w:tblLayout w:type="fixed"/>
        <w:tblCellMar>
          <w:top w:w="0" w:type="dxa"/>
          <w:left w:w="0" w:type="dxa"/>
          <w:bottom w:w="0" w:type="dxa"/>
          <w:right w:w="0" w:type="dxa"/>
        </w:tblCellMar>
      </w:tblPr>
      <w:tblGrid>
        <w:gridCol w:w="3451"/>
        <w:gridCol w:w="211"/>
        <w:gridCol w:w="676"/>
        <w:gridCol w:w="326"/>
        <w:gridCol w:w="211"/>
        <w:gridCol w:w="676"/>
        <w:gridCol w:w="326"/>
        <w:gridCol w:w="211"/>
        <w:gridCol w:w="79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191385" cy="175260"/>
                      <wp:effectExtent l="0" t="0" r="0" b="0"/>
                      <wp:wrapNone/>
                      <wp:docPr id="774" name="Frame77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33985" cy="175260"/>
                      <wp:effectExtent l="0" t="0" r="0" b="0"/>
                      <wp:wrapNone/>
                      <wp:docPr id="775" name="Frame7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429260" cy="175260"/>
                      <wp:effectExtent l="0" t="0" r="0" b="0"/>
                      <wp:wrapNone/>
                      <wp:docPr id="776" name="Frame7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07010" cy="175260"/>
                      <wp:effectExtent l="0" t="0" r="0" b="0"/>
                      <wp:wrapNone/>
                      <wp:docPr id="777" name="Frame7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33985" cy="175260"/>
                      <wp:effectExtent l="0" t="0" r="0" b="0"/>
                      <wp:wrapNone/>
                      <wp:docPr id="778" name="Frame7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429260" cy="175260"/>
                      <wp:effectExtent l="0" t="0" r="0" b="0"/>
                      <wp:wrapNone/>
                      <wp:docPr id="779" name="Frame7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07010" cy="175260"/>
                      <wp:effectExtent l="0" t="0" r="0" b="0"/>
                      <wp:wrapNone/>
                      <wp:docPr id="780" name="Frame7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33985" cy="175260"/>
                      <wp:effectExtent l="0" t="0" r="0" b="0"/>
                      <wp:wrapNone/>
                      <wp:docPr id="781" name="Frame7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502285" cy="175260"/>
                      <wp:effectExtent l="0" t="0" r="0" b="0"/>
                      <wp:wrapNone/>
                      <wp:docPr id="782" name="Frame78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45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19,729</w:t>
            </w:r>
          </w:p>
        </w:tc>
      </w:tr>
    </w:tbl>
    <w:p>
      <w:pPr>
        <w:pStyle w:val="TextBody"/>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total recognized tax benefit related to the stock-based compensation expense for the years ended December 31, 2024, 2023, and 2022 was $33,739, $16,541, and $3,324, respectively. The tax benefit from stock options exercised during the years ended December 31, 2024, 2023, and 2022 was $25,306, $13,079, and $2,710,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RELATED PARTIES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termination of the Company’s S-corporation status and our establishment of a new capital structure, which both occurred in July 2020, the Company entered into the Third Amended and Restated Stockholders' Agreement (the “Stockholders’ Agreement”) with the Class B shareholders. The Stockholders’ Agreement entitles these individuals to require the Company to register shares held by them for sale (the “Selling Shareholder Registrations”). The Stockholders’ Agreement requires the Company to pay the expenses relating to Selling Shareholder Registrations and to indemnify the parties participating in these offerings against liabilities that may arise from the offering process. No offering costs related to the sale of shares associated with the Selling Shareholder Registration were incurred during the years ended December 31, 2024 or 2023. For the year ended December 31, 2022, the Company incurred $688 in offering costs related to the sale of shares associated with the Selling Shareholder Registration.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COMMITMENTS AND CONTINGENCIES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consolidated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b/>
          <w:sz w:val="20"/>
        </w:rPr>
      </w:pPr>
      <w:bookmarkStart w:id="2179" w:name="Tc_qt_FMuz0hEaek4iBv3M4yg_6_1"/>
      <w:bookmarkStart w:id="2180" w:name="Tc_OyKPqqTTTEO7xQMWurUbYQ_5_2"/>
      <w:bookmarkStart w:id="2181" w:name="Tc_3wUTu1Tmt0OWKKtmSffO0g_5_0"/>
      <w:bookmarkStart w:id="2182" w:name="Tc_VdN5ATJAnEu4hFmMTanXJA_4_0"/>
      <w:bookmarkStart w:id="2183" w:name="Tc_c1_jhOpI4kqy7oxJaMVu3Q_3_0"/>
      <w:bookmarkStart w:id="2184" w:name="Tc_ExPqfnlASEajlfM0XZjaKw_2_0"/>
      <w:bookmarkStart w:id="2185" w:name="Tc_yWlCMymHrkqf8Y0woQJeAw_1_1"/>
      <w:bookmarkStart w:id="2186" w:name="Tc_OOFDYaAbqkOxOfL_4CFq0Q_1_0"/>
      <w:bookmarkEnd w:id="2179"/>
      <w:bookmarkEnd w:id="2180"/>
      <w:bookmarkEnd w:id="2181"/>
      <w:bookmarkEnd w:id="2182"/>
      <w:bookmarkEnd w:id="2183"/>
      <w:bookmarkEnd w:id="2184"/>
      <w:bookmarkEnd w:id="2185"/>
      <w:bookmarkEnd w:id="2186"/>
      <w:r>
        <w:rPr>
          <w:rFonts w:ascii="Times New Roman;Times;serif" w:hAnsi="Times New Roman;Times;serif"/>
          <w:b/>
          <w:sz w:val="20"/>
        </w:rPr>
        <w:t>Purchase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ordinary course of business, the Company enters into non-cancelable agreements with third-party providers, primarily for subscriptions and the use of cloud services. Future minimum payments as of December 31, 2024 are summarized in the table below:</w:t>
      </w:r>
    </w:p>
    <w:p>
      <w:pPr>
        <w:pStyle w:val="TextBody"/>
        <w:bidi w:val="0"/>
        <w:spacing w:before="0" w:after="0"/>
        <w:ind w:left="0" w:right="0" w:hanging="0"/>
        <w:jc w:val="left"/>
        <w:rPr/>
      </w:pPr>
      <w:r>
        <w:rPr/>
        <w:t>​</w:t>
      </w:r>
    </w:p>
    <w:tbl>
      <w:tblPr>
        <w:tblW w:w="1543" w:type="dxa"/>
        <w:jc w:val="left"/>
        <w:tblInd w:w="0" w:type="dxa"/>
        <w:tblLayout w:type="fixed"/>
        <w:tblCellMar>
          <w:top w:w="0" w:type="dxa"/>
          <w:left w:w="0" w:type="dxa"/>
          <w:bottom w:w="0" w:type="dxa"/>
          <w:right w:w="0" w:type="dxa"/>
        </w:tblCellMar>
      </w:tblPr>
      <w:tblGrid>
        <w:gridCol w:w="541"/>
        <w:gridCol w:w="211"/>
        <w:gridCol w:w="79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343535" cy="175260"/>
                      <wp:effectExtent l="0" t="0" r="0" b="0"/>
                      <wp:wrapNone/>
                      <wp:docPr id="783" name="Frame78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133985" cy="175260"/>
                      <wp:effectExtent l="0" t="0" r="0" b="0"/>
                      <wp:wrapNone/>
                      <wp:docPr id="784" name="Frame7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502285" cy="175260"/>
                      <wp:effectExtent l="0" t="0" r="0" b="0"/>
                      <wp:wrapNone/>
                      <wp:docPr id="785" name="Frame78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14,352</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5,928</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4,067</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4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27,423</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16. SEGMENT DISCLOSURES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its business as one operating segment. Operating segments are defined as components of an enterprise that separate financial information is evaluated regularly by the chief operating decision maker (“CODM”) in deciding how to allocate resources and assess performance. The Company’s CODM, the Chief Executive Officer, reviews financial information regularly at the consolidated level. Net income (loss) and adjusted earnings before interest, taxes, depreciation, and amortization (“Adjusted EBITDA”), a non-GAAP measure, are both used as metrics to evaluate performance of the business in deciding whether to reinvest profits into software development, acquisitions or into other areas of the Company. The Company believes that Adjusted EBITDA is a useful supplemental measure to evaluate overall operating performance as it measures business performance by focusing on cash related results and it is an important metric to lenders under the Company’s Credit Agreement. The most directly comparable GAAP measure to Adjusted EBITDA is net income (loss).</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CODM monitors forecasted versus actual net income (loss) and Adjusted EBITDA results for the purpose of determining the general health of the Company and assessing the performance of the Company as compared to management’s expectations.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sz w:val="20"/>
        </w:rPr>
      </w:pPr>
      <w:bookmarkStart w:id="2187" w:name="Tc_er4osMI-skuqo827m6bqyw_33_0"/>
      <w:bookmarkStart w:id="2188" w:name="Tc_HS2TKaN0C0Cr2FYQrUquxg_32_0"/>
      <w:bookmarkStart w:id="2189" w:name="Tc_EWHRSZ5iP02vizxZNUj6-Q_31_0"/>
      <w:bookmarkStart w:id="2190" w:name="Tc_iMce3A01HUG5t7MUwzRXfQ_29_7"/>
      <w:bookmarkStart w:id="2191" w:name="Tc_smmdAQ0ai0qpsfQBwMrUWA_29_4"/>
      <w:bookmarkStart w:id="2192" w:name="Tc_BEsjjw8RIE6LsjaoZZGlRQ_29_1"/>
      <w:bookmarkStart w:id="2193" w:name="Tc_m0IEOSDg3U2rQAdaF3RuLg_29_0"/>
      <w:bookmarkStart w:id="2194" w:name="Tc_T-0VgiBmsUqU6VF3H26Q1Q_28_0"/>
      <w:bookmarkStart w:id="2195" w:name="Tc_Djv12P9BC0-ab1CHw7wpng_27_8"/>
      <w:bookmarkStart w:id="2196" w:name="Tc_8okZ_e9F9Ee1oVbk7gL2LA_27_5"/>
      <w:bookmarkStart w:id="2197" w:name="Tc_3k_Qb07aZECmxpWO6gYU6g_27_0"/>
      <w:bookmarkStart w:id="2198" w:name="Tc_bxmW8JrhJUmxt8mM3Tloqw_26_5"/>
      <w:bookmarkStart w:id="2199" w:name="Tc_ja_ygQSTqU2JGxzQjwrsIw_26_2"/>
      <w:bookmarkStart w:id="2200" w:name="Tc_I41jLNWtSU6JgzUxkmHwDQ_26_0"/>
      <w:bookmarkStart w:id="2201" w:name="Tc_AtLF1gm8ukWKtF-alFyDjg_25_0"/>
      <w:bookmarkStart w:id="2202" w:name="Tc_f4DdXQLNfkWON7E-ifEMHA_24_0"/>
      <w:bookmarkStart w:id="2203" w:name="Tc_u4kaLvdv3k-6OwI_8HUzjg_23_0"/>
      <w:bookmarkStart w:id="2204" w:name="Tc_ZY0w5GNtnUy6U0FBLKQNyg_22_8"/>
      <w:bookmarkStart w:id="2205" w:name="Tc_y1bIW-i8c0CufvwcUkeXoQ_22_0"/>
      <w:bookmarkStart w:id="2206" w:name="Tc_4YOU8aMQgUyZFnKWGw-aSA_21_0"/>
      <w:bookmarkStart w:id="2207" w:name="Tc_aJEi3p7Y9E-rR0ei8CR2Jg_20_0"/>
      <w:bookmarkStart w:id="2208" w:name="Tc_2x_MHTLHA0uqPTbjvxIMDA_19_0"/>
      <w:bookmarkStart w:id="2209" w:name="Tc_MbirxvVtkkSspJMo3mpSwQ_18_0"/>
      <w:bookmarkStart w:id="2210" w:name="Tc_onIkFrFwjEyvYrDpT3BsxQ_17_0"/>
      <w:bookmarkStart w:id="2211" w:name="Tc_eVpEZgLwdEKPBD-tG6m4Xg_16_0"/>
      <w:bookmarkStart w:id="2212" w:name="Tc_hcdD76--6USkX8Z2RG2vSQ_15_7"/>
      <w:bookmarkStart w:id="2213" w:name="Tc_IDJixp1t5keTsuiQDcxcUw_15_4"/>
      <w:bookmarkStart w:id="2214" w:name="Tc_iyay0C1TcUiGimelkF29CA_15_1"/>
      <w:bookmarkStart w:id="2215" w:name="Tc_R_Is6VmUr02UEQnKcy9jSw_15_0"/>
      <w:bookmarkStart w:id="2216" w:name="Tc_2tIUc8SMxEaUQvqj_NPTKQ_14_0"/>
      <w:bookmarkStart w:id="2217" w:name="Tc_4DStF9PE6EWRyGd1cnoYWA_13_0"/>
      <w:bookmarkStart w:id="2218" w:name="Tc_WnvY_oToQ0KVzYD9MFa-_w_12_0"/>
      <w:bookmarkStart w:id="2219" w:name="Tc_Eicz-LJ7gE-Te5zmVJ2bSw_11_8"/>
      <w:bookmarkStart w:id="2220" w:name="Tc_1VDOTNpQ_U6BqPF0QO4ybA_11_5"/>
      <w:bookmarkStart w:id="2221" w:name="Tc_TRmZ5mhvZUK-nGwFqxi68g_11_0"/>
      <w:bookmarkStart w:id="2222" w:name="Tc_vr23e4SotEm66iQckST2tQ_10_0"/>
      <w:bookmarkStart w:id="2223" w:name="Tc_5y5PzATtLkqbil4TJAb6Wg_9_0"/>
      <w:bookmarkStart w:id="2224" w:name="Tc_vm-IjAMEhUSXpukBeC0_uw_8_0"/>
      <w:bookmarkStart w:id="2225" w:name="Tc_X2fQ8U-t_0OsOUw6QvpHFQ_7_0"/>
      <w:bookmarkStart w:id="2226" w:name="Tc_q697Z4S6RE2IIfnFX4xAzw_6_0"/>
      <w:bookmarkStart w:id="2227" w:name="Tc_a0FHeVKtAUu6ECe1MH_hZA_5_0"/>
      <w:bookmarkStart w:id="2228" w:name="Tc_frLMTKQG-UCmn7Ja5HHz1g_4_0"/>
      <w:bookmarkStart w:id="2229" w:name="Tc_zs9rH8GiakebGiAXzIt33g_3_7"/>
      <w:bookmarkStart w:id="2230" w:name="Tc_LMbHmbQLXESmN3Jxy9xwxA_3_4"/>
      <w:bookmarkStart w:id="2231" w:name="Tc_LgKnNBDzY0OJZcFcBYMhtQ_3_1"/>
      <w:bookmarkStart w:id="2232" w:name="Tc_ZNDtpBrtPk2-F8e-fHhxlw_3_0"/>
      <w:bookmarkStart w:id="2233" w:name="Tc_XNgL2OQCg0q9936t4K2aSw_2_8"/>
      <w:bookmarkStart w:id="2234" w:name="Tc_RrFhniTle0enAjQLCAULuA_2_5"/>
      <w:bookmarkStart w:id="2235" w:name="Tc_pq4Jwj6VdkWVY6sNCleofw_2_2"/>
      <w:bookmarkStart w:id="2236" w:name="Tc_6dzCK39CQ0mrdVDmWGBM5Q_1_1"/>
      <w:bookmarkStart w:id="2237" w:name="_bde3fb49_04bf_469d_a719_f3ca0ab80ca3"/>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r>
        <w:rPr>
          <w:rFonts w:ascii="Times New Roman;Times;serif" w:hAnsi="Times New Roman;Times;serif"/>
          <w:sz w:val="20"/>
        </w:rPr>
        <w:t xml:space="preserve">The following significant expense categories and measures of segment income (loss) are regularly reported to the CODM for the Company’s single segment: </w:t>
      </w:r>
    </w:p>
    <w:tbl>
      <w:tblPr>
        <w:tblW w:w="10205" w:type="dxa"/>
        <w:jc w:val="left"/>
        <w:tblInd w:w="0" w:type="dxa"/>
        <w:tblLayout w:type="fixed"/>
        <w:tblCellMar>
          <w:top w:w="0" w:type="dxa"/>
          <w:left w:w="0" w:type="dxa"/>
          <w:bottom w:w="0" w:type="dxa"/>
          <w:right w:w="0" w:type="dxa"/>
        </w:tblCellMar>
      </w:tblPr>
      <w:tblGrid>
        <w:gridCol w:w="6159"/>
        <w:gridCol w:w="261"/>
        <w:gridCol w:w="978"/>
        <w:gridCol w:w="134"/>
        <w:gridCol w:w="261"/>
        <w:gridCol w:w="978"/>
        <w:gridCol w:w="134"/>
        <w:gridCol w:w="261"/>
        <w:gridCol w:w="1039"/>
      </w:tblGrid>
      <w:tr>
        <w:trPr/>
        <w:tc>
          <w:tcPr>
            <w:tcW w:w="6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3910965" cy="175260"/>
                      <wp:effectExtent l="0" t="0" r="0" b="0"/>
                      <wp:wrapNone/>
                      <wp:docPr id="786" name="Frame785"/>
                      <a:graphic xmlns:a="http://schemas.openxmlformats.org/drawingml/2006/main">
                        <a:graphicData uri="http://schemas.microsoft.com/office/word/2010/wordprocessingShape">
                          <wps:wsp>
                            <wps:cNvSpPr txBox="1"/>
                            <wps:spPr>
                              <a:xfrm>
                                <a:off x="0" y="0"/>
                                <a:ext cx="391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65735" cy="175260"/>
                      <wp:effectExtent l="0" t="0" r="0" b="0"/>
                      <wp:wrapNone/>
                      <wp:docPr id="787" name="Frame78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621030" cy="175260"/>
                      <wp:effectExtent l="0" t="0" r="0" b="0"/>
                      <wp:wrapNone/>
                      <wp:docPr id="788" name="Frame787"/>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85090" cy="175260"/>
                      <wp:effectExtent l="0" t="0" r="0" b="0"/>
                      <wp:wrapNone/>
                      <wp:docPr id="789" name="Frame788"/>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65735" cy="175260"/>
                      <wp:effectExtent l="0" t="0" r="0" b="0"/>
                      <wp:wrapNone/>
                      <wp:docPr id="790" name="Frame78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621030" cy="175260"/>
                      <wp:effectExtent l="0" t="0" r="0" b="0"/>
                      <wp:wrapNone/>
                      <wp:docPr id="791" name="Frame790"/>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85090" cy="175260"/>
                      <wp:effectExtent l="0" t="0" r="0" b="0"/>
                      <wp:wrapNone/>
                      <wp:docPr id="792" name="Frame791"/>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165735" cy="175260"/>
                      <wp:effectExtent l="0" t="0" r="0" b="0"/>
                      <wp:wrapNone/>
                      <wp:docPr id="793" name="Frame79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659765" cy="175260"/>
                      <wp:effectExtent l="0" t="0" r="0" b="0"/>
                      <wp:wrapNone/>
                      <wp:docPr id="794" name="Frame793"/>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9" w:type="dxa"/>
            <w:tcBorders/>
            <w:vAlign w:val="center"/>
          </w:tcPr>
          <w:p>
            <w:pPr>
              <w:pStyle w:val="TableContents"/>
              <w:bidi w:val="0"/>
              <w:spacing w:before="0" w:after="0"/>
              <w:ind w:left="0" w:right="0" w:hanging="0"/>
              <w:jc w:val="left"/>
              <w:rPr/>
            </w:pPr>
            <w:r>
              <w:rPr/>
              <w:t>​</w:t>
            </w:r>
          </w:p>
        </w:tc>
        <w:tc>
          <w:tcPr>
            <w:tcW w:w="40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615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4" w:type="dxa"/>
            <w:tcBorders/>
            <w:vAlign w:val="center"/>
          </w:tcPr>
          <w:p>
            <w:pPr>
              <w:pStyle w:val="TableContents"/>
              <w:bidi w:val="0"/>
              <w:spacing w:before="0" w:after="0"/>
              <w:ind w:left="0" w:right="0" w:hanging="0"/>
              <w:jc w:val="center"/>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4" w:type="dxa"/>
            <w:tcBorders/>
            <w:vAlign w:val="center"/>
          </w:tcPr>
          <w:p>
            <w:pPr>
              <w:pStyle w:val="TableContents"/>
              <w:bidi w:val="0"/>
              <w:spacing w:before="0" w:after="0"/>
              <w:ind w:left="0" w:right="0" w:hanging="0"/>
              <w:jc w:val="center"/>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666,776</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572,387</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491,624</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 software subscriptions</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175,580</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162,920</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142,071</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 services</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65,071</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60,888</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51,061</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&amp; development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66,666</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58,212</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41,877</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&amp; marketing</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170,574</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140,237</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125,335</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&amp; administrative</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152,835</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145,936</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121,651</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&amp; amortization</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15,202</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12,440</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615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(1)</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c>
          <w:tcPr>
            <w:tcW w:w="134"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134"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(GAAP)</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(52,729)</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(13,093)</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(12,304)</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Adjustments:</w:t>
            </w:r>
          </w:p>
        </w:tc>
        <w:tc>
          <w:tcPr>
            <w:tcW w:w="261"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615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(income), net </w:t>
            </w:r>
            <w:r>
              <w:rPr>
                <w:rFonts w:ascii="Times New Roman;Times;serif" w:hAnsi="Times New Roman;Times;serif"/>
                <w:sz w:val="15"/>
              </w:rPr>
              <w:t>(2)</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15,202</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12,440</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59,302</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54,048</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44,934</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47,425</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33,919</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19,729</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3,048</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6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settlements</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615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 xml:space="preserve">(3) </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134"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4,853</w:t>
            </w:r>
          </w:p>
        </w:tc>
        <w:tc>
          <w:tcPr>
            <w:tcW w:w="134"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r>
      <w:tr>
        <w:trPr/>
        <w:tc>
          <w:tcPr>
            <w:tcW w:w="61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151,942</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100,848</w:t>
            </w:r>
          </w:p>
        </w:tc>
        <w:tc>
          <w:tcPr>
            <w:tcW w:w="134"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78,673</w:t>
            </w:r>
          </w:p>
        </w:tc>
      </w:tr>
      <w:tr>
        <w:trPr/>
        <w:tc>
          <w:tcPr>
            <w:tcW w:w="615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978"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center"/>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10205" w:type="dxa"/>
            <w:gridSpan w:val="9"/>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Other segment items include professional fees, contracted labor, transaction costs, acquisition related earn-out adjustments and foreign currency exchange gains (losses). </w:t>
            </w:r>
          </w:p>
        </w:tc>
      </w:tr>
      <w:tr>
        <w:trPr/>
        <w:tc>
          <w:tcPr>
            <w:tcW w:w="10205" w:type="dxa"/>
            <w:gridSpan w:val="9"/>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years ended December 31, 2024 and 2023 include $423 and $4,020, respectively, for the change in the settlement value of a deferred purchase commitment liability recorded as interest expense.</w:t>
            </w:r>
          </w:p>
        </w:tc>
      </w:tr>
      <w:tr>
        <w:trPr/>
        <w:tc>
          <w:tcPr>
            <w:tcW w:w="10205" w:type="dxa"/>
            <w:gridSpan w:val="9"/>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(3) </w:t>
            </w:r>
            <w:r>
              <w:rPr>
                <w:rFonts w:ascii="Times New Roman;Times;serif" w:hAnsi="Times New Roman;Times;serif"/>
                <w:sz w:val="16"/>
              </w:rPr>
              <w:t>The year ended December 31, 2023 includes costs associated with a public tender offer, which was withdrawn by the Company in January 2024. The year ended December 31, 2022 includes offering costs related to the sale of shares of certain of our Class B shareholders, which are not representative of normal business operations.</w:t>
              <w:br/>
              <w:br/>
              <w:br/>
              <w:t>​</w:t>
            </w:r>
          </w:p>
        </w:tc>
      </w:tr>
    </w:tbl>
    <w:p>
      <w:pPr>
        <w:pStyle w:val="TextBody"/>
        <w:bidi w:val="0"/>
        <w:spacing w:before="0" w:after="0"/>
        <w:ind w:left="0" w:right="0" w:hanging="0"/>
        <w:jc w:val="left"/>
        <w:rPr/>
      </w:pPr>
      <w:r>
        <w:rPr/>
        <w:t>​</w:t>
      </w:r>
    </w:p>
    <w:p>
      <w:pPr>
        <w:pStyle w:val="TextBody"/>
        <w:pBdr/>
        <w:shd w:fill="FFFFFF" w:val="clear"/>
        <w:bidi w:val="0"/>
        <w:spacing w:before="0" w:after="0"/>
        <w:ind w:left="0" w:right="0" w:hanging="0"/>
        <w:jc w:val="both"/>
        <w:rPr/>
      </w:pPr>
      <w:r>
        <w:rPr/>
        <w:t xml:space="preserve">      </w:t>
      </w:r>
      <w:r>
        <w:rPr>
          <w:rFonts w:ascii="Times New Roman;Times;serif" w:hAnsi="Times New Roman;Times;serif"/>
          <w:sz w:val="20"/>
        </w:rPr>
        <w:t>Additionally, the Company considers stock-based compensation expense a significant expense category. For further information, refer to Note 13, “Employee Benefit and Deferred Compensation Plans.”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the Company operates solely within one segment, total assets, property and equipment, net, and capitalized software, net are reported at the consolidated level on the consolidated balance sheets. The Company’s assets include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current and long-lived assets, and corporate assets. As of December 31, 2024 and 2023, $687 and $827, respectively, of the Company’s property and equipment assets were held outside of the U.S.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property and equipment additions, and capital software additions are reported at the consolidated level on the Consolidated Statements of Cash Flows.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disaggregates revenue from contracts with customers based on geographical regions, timing of revenue recognition, and the major product and service types as described in Note 1, “Summary of Significant Accounting Policies.” For each of the years ended December 31, 2024, 2023, and 2022, approximately 8% of the Company’s revenues were generated outside of the U.S. None of the Company’s customers represented more than 10% of total revenues for the years ended December 31, 2024, 2023 or 2022. For further information including disaggregation of revenues, refer to Note 2, “Revenue Recognition.”</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2238" w:name="Tc_GPFoA5JhxkiXjbOuTqqpzQ_13_8"/>
      <w:bookmarkStart w:id="2239" w:name="Tc_zmNP4Ycy6kCORxouVb2ZqA_13_5"/>
      <w:bookmarkStart w:id="2240" w:name="Tc_jqetOPE-DUahbOS-lulaCg_13_2"/>
      <w:bookmarkStart w:id="2241" w:name="Tc_d5PXviAbSEeo1H6irGqtjA_13_0"/>
      <w:bookmarkStart w:id="2242" w:name="Tc_CQowhoi3mkKu4BvoSj6FcQ_12_0"/>
      <w:bookmarkStart w:id="2243" w:name="Tc_Rx59fq6CD0-Q_lsc3XFHqQ_11_0"/>
      <w:bookmarkStart w:id="2244" w:name="Tc_k3_zg9rUiU2FpBqOGPPq5A_10_0"/>
      <w:bookmarkStart w:id="2245" w:name="Tc_h3WVqXhv1kypiFOB0cvcDQ_9_0"/>
      <w:bookmarkStart w:id="2246" w:name="Tc_6z_6s1vEM0Csjrh5nEJV1Q_8_0"/>
      <w:bookmarkStart w:id="2247" w:name="Tc_7_6HAsROx0uI2e6JhV5QCQ_7_0"/>
      <w:bookmarkStart w:id="2248" w:name="Tc_DadI4F3Ua0-ya0PUSoQS0w_6_0"/>
      <w:bookmarkStart w:id="2249" w:name="Tc_6G1TZqAliEueSQ5CKmo10Q_5_0"/>
      <w:bookmarkStart w:id="2250" w:name="Tc_u2J8B_v7kkya1Z0R_ZpD3g_4_8"/>
      <w:bookmarkStart w:id="2251" w:name="Tc_BqbrhDXtF0CamRvi_ifZVQ_4_5"/>
      <w:bookmarkStart w:id="2252" w:name="Tc_-Gq32CM92E6f-T464Fb2lw_4_2"/>
      <w:bookmarkStart w:id="2253" w:name="Tc_yvcKfkWguEC8vlrCo6eTEg_4_0"/>
      <w:bookmarkStart w:id="2254" w:name="Tc_p9H_b28Q_0qu7p2F3XqqqQ_3_0"/>
      <w:bookmarkStart w:id="2255" w:name="Tc_KB34sfC6c0q8lMQX3gvmnQ_2_8"/>
      <w:bookmarkStart w:id="2256" w:name="Tc_kpz-VXFM30uTGYnzRxSt_w_2_5"/>
      <w:bookmarkStart w:id="2257" w:name="Tc_4ZJVAr6df0Kglpoy8wVtjA_2_2"/>
      <w:bookmarkStart w:id="2258" w:name="Tc_QI3tJ2yGh0ykBdmOKpJaXQ_1_2"/>
      <w:bookmarkStart w:id="2259" w:name="Tc_SEsPcp39s0Wv4yeusSqB2Q_5_8"/>
      <w:bookmarkStart w:id="2260" w:name="Tc_7zkeqHbai0i3ANzrWiHiWg_5_5"/>
      <w:bookmarkStart w:id="2261" w:name="Tc_EHwfigd_40uBKN5nbheAyg_5_2"/>
      <w:bookmarkStart w:id="2262" w:name="Tc_zMw4ScKHa0CGtifxO9YGyQ_5_0"/>
      <w:bookmarkStart w:id="2263" w:name="Tc_PRUVNnLQC0WeFJXfoyAQjw_4_0"/>
      <w:bookmarkStart w:id="2264" w:name="Tc_nOqns3Ga_k2pfqYng7mDjA_3_8"/>
      <w:bookmarkStart w:id="2265" w:name="Tc_dpAY2HdWd02I2tDcAVr3BA_3_5"/>
      <w:bookmarkStart w:id="2266" w:name="Tc_VBrHuRJDrUCefjUX48srGA_3_2"/>
      <w:bookmarkStart w:id="2267" w:name="Tc_gDWA5serL0qHow1Y3kGa3Q_3_0"/>
      <w:bookmarkStart w:id="2268" w:name="Tc_pknVJhYsr0e8oSAGzSHoiw_2_8"/>
      <w:bookmarkStart w:id="2269" w:name="Tc_KhCdx9LkCEGGRX4hhWF1vQ_2_5"/>
      <w:bookmarkStart w:id="2270" w:name="Tc_wh8wLKb-DU2j2OPFv1-qsQ_2_2"/>
      <w:bookmarkStart w:id="2271" w:name="Tc_0SUJa3c3JkmOxg7yH4fByA_1_2"/>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r>
        <w:rPr>
          <w:rFonts w:ascii="Times New Roman;Times;serif" w:hAnsi="Times New Roman;Times;serif"/>
          <w:b/>
          <w:i w:val="false"/>
          <w:caps w:val="false"/>
          <w:smallCaps w:val="false"/>
          <w:sz w:val="20"/>
        </w:rPr>
        <w:t>17.</w:t>
      </w:r>
      <w:r>
        <w:rPr>
          <w:rFonts w:ascii="Times New Roman;Times;serif" w:hAnsi="Times New Roman;Times;serif"/>
          <w:b/>
          <w:sz w:val="20"/>
          <w:shd w:fill="FFFFFF" w:val="clear"/>
        </w:rPr>
        <w:t xml:space="preserve">INCOME TAXES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components of net income (loss) before income taxes, by geography, are as follows:</w:t>
      </w:r>
    </w:p>
    <w:p>
      <w:pPr>
        <w:pStyle w:val="TextBody"/>
        <w:bidi w:val="0"/>
        <w:spacing w:before="0" w:after="0"/>
        <w:ind w:left="0" w:right="0" w:hanging="0"/>
        <w:jc w:val="left"/>
        <w:rPr/>
      </w:pPr>
      <w:r>
        <w:rPr/>
        <w:t>​</w:t>
      </w:r>
    </w:p>
    <w:tbl>
      <w:tblPr>
        <w:tblW w:w="6918" w:type="dxa"/>
        <w:jc w:val="left"/>
        <w:tblInd w:w="0" w:type="dxa"/>
        <w:tblLayout w:type="fixed"/>
        <w:tblCellMar>
          <w:top w:w="0" w:type="dxa"/>
          <w:left w:w="0" w:type="dxa"/>
          <w:bottom w:w="0" w:type="dxa"/>
          <w:right w:w="0" w:type="dxa"/>
        </w:tblCellMar>
      </w:tblPr>
      <w:tblGrid>
        <w:gridCol w:w="3196"/>
        <w:gridCol w:w="109"/>
        <w:gridCol w:w="211"/>
        <w:gridCol w:w="691"/>
        <w:gridCol w:w="326"/>
        <w:gridCol w:w="211"/>
        <w:gridCol w:w="796"/>
        <w:gridCol w:w="326"/>
        <w:gridCol w:w="211"/>
        <w:gridCol w:w="84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2029460" cy="175260"/>
                      <wp:effectExtent l="0" t="0" r="0" b="0"/>
                      <wp:wrapNone/>
                      <wp:docPr id="795" name="Frame79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69215" cy="175260"/>
                      <wp:effectExtent l="0" t="0" r="0" b="0"/>
                      <wp:wrapNone/>
                      <wp:docPr id="796" name="Frame7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33985" cy="175260"/>
                      <wp:effectExtent l="0" t="0" r="0" b="0"/>
                      <wp:wrapNone/>
                      <wp:docPr id="797" name="Frame7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438785" cy="175260"/>
                      <wp:effectExtent l="0" t="0" r="0" b="0"/>
                      <wp:wrapNone/>
                      <wp:docPr id="798" name="Frame7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07010" cy="175260"/>
                      <wp:effectExtent l="0" t="0" r="0" b="0"/>
                      <wp:wrapNone/>
                      <wp:docPr id="799" name="Frame7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33985" cy="175260"/>
                      <wp:effectExtent l="0" t="0" r="0" b="0"/>
                      <wp:wrapNone/>
                      <wp:docPr id="800" name="Frame7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505460" cy="175260"/>
                      <wp:effectExtent l="0" t="0" r="0" b="0"/>
                      <wp:wrapNone/>
                      <wp:docPr id="801" name="Frame8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07010" cy="175260"/>
                      <wp:effectExtent l="0" t="0" r="0" b="0"/>
                      <wp:wrapNone/>
                      <wp:docPr id="802" name="Frame8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133985" cy="175260"/>
                      <wp:effectExtent l="0" t="0" r="0" b="0"/>
                      <wp:wrapNone/>
                      <wp:docPr id="803" name="Frame8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534035" cy="175260"/>
                      <wp:effectExtent l="0" t="0" r="0" b="0"/>
                      <wp:wrapNone/>
                      <wp:docPr id="804" name="Frame80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5,827</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(15,957)</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of the following:</w:t>
      </w:r>
    </w:p>
    <w:p>
      <w:pPr>
        <w:pStyle w:val="TextBody"/>
        <w:bidi w:val="0"/>
        <w:spacing w:before="0" w:after="0"/>
        <w:ind w:left="0" w:right="0" w:hanging="0"/>
        <w:jc w:val="left"/>
        <w:rPr/>
      </w:pPr>
      <w:r>
        <w:rPr/>
        <w:t>​</w:t>
      </w:r>
    </w:p>
    <w:tbl>
      <w:tblPr>
        <w:tblW w:w="6115" w:type="dxa"/>
        <w:jc w:val="left"/>
        <w:tblInd w:w="0" w:type="dxa"/>
        <w:tblLayout w:type="fixed"/>
        <w:tblCellMar>
          <w:top w:w="0" w:type="dxa"/>
          <w:left w:w="0" w:type="dxa"/>
          <w:bottom w:w="0" w:type="dxa"/>
          <w:right w:w="0" w:type="dxa"/>
        </w:tblCellMar>
      </w:tblPr>
      <w:tblGrid>
        <w:gridCol w:w="2461"/>
        <w:gridCol w:w="146"/>
        <w:gridCol w:w="211"/>
        <w:gridCol w:w="691"/>
        <w:gridCol w:w="326"/>
        <w:gridCol w:w="211"/>
        <w:gridCol w:w="796"/>
        <w:gridCol w:w="326"/>
        <w:gridCol w:w="211"/>
        <w:gridCol w:w="73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1562735" cy="175260"/>
                      <wp:effectExtent l="0" t="0" r="0" b="0"/>
                      <wp:wrapNone/>
                      <wp:docPr id="805" name="Frame80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92710" cy="175260"/>
                      <wp:effectExtent l="0" t="0" r="0" b="0"/>
                      <wp:wrapNone/>
                      <wp:docPr id="806" name="Frame8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33985" cy="175260"/>
                      <wp:effectExtent l="0" t="0" r="0" b="0"/>
                      <wp:wrapNone/>
                      <wp:docPr id="807" name="Frame8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438785" cy="175260"/>
                      <wp:effectExtent l="0" t="0" r="0" b="0"/>
                      <wp:wrapNone/>
                      <wp:docPr id="808" name="Frame8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07010" cy="175260"/>
                      <wp:effectExtent l="0" t="0" r="0" b="0"/>
                      <wp:wrapNone/>
                      <wp:docPr id="809" name="Frame8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33985" cy="175260"/>
                      <wp:effectExtent l="0" t="0" r="0" b="0"/>
                      <wp:wrapNone/>
                      <wp:docPr id="810" name="Frame8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505460" cy="175260"/>
                      <wp:effectExtent l="0" t="0" r="0" b="0"/>
                      <wp:wrapNone/>
                      <wp:docPr id="811" name="Frame8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07010" cy="175260"/>
                      <wp:effectExtent l="0" t="0" r="0" b="0"/>
                      <wp:wrapNone/>
                      <wp:docPr id="812" name="Frame8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33985" cy="175260"/>
                      <wp:effectExtent l="0" t="0" r="0" b="0"/>
                      <wp:wrapNone/>
                      <wp:docPr id="813" name="Frame8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467360" cy="175260"/>
                      <wp:effectExtent l="0" t="0" r="0" b="0"/>
                      <wp:wrapNone/>
                      <wp:docPr id="814" name="Frame81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50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4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2,174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2024, the Company recognized a $37 income tax benefit in accumulated other comprehensive loss relating to unrealized gains (losses) from foreign currency translation adjustments and revaluations, and available-for-sale securities, and in stockholder's equity related to increases in contributed capital. During the year ended December 31, 2023, the Company recognized a $27 income tax expense in accumulated other comprehensive income (loss) relating to unrealized gains from foreign currency translation adjustments and revaluations, and available-for-sale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firstLine="360"/>
        <w:jc w:val="both"/>
        <w:rPr>
          <w:rFonts w:ascii="Times New Roman;Times;serif" w:hAnsi="Times New Roman;Times;serif"/>
          <w:sz w:val="20"/>
        </w:rPr>
      </w:pPr>
      <w:bookmarkStart w:id="2272" w:name="Tc_C7Vrv_BGBk6-76vrB7t4lA_17_16"/>
      <w:bookmarkStart w:id="2273" w:name="Tc_bfuukJZH20Cseu64JG9ESA_17_12"/>
      <w:bookmarkStart w:id="2274" w:name="Tc_bFoPwBHHbEupkIjyBMBo7g_17_11"/>
      <w:bookmarkStart w:id="2275" w:name="Tc_l7V1v1N6l0G6ffMjTDCm5g_17_7"/>
      <w:bookmarkStart w:id="2276" w:name="Tc_sUaS2bbPrU6G_PSmAMtoQw_17_6"/>
      <w:bookmarkStart w:id="2277" w:name="Tc_UPVrH0ccCkSMD5HQGU3w0g_17_2"/>
      <w:bookmarkStart w:id="2278" w:name="Tc_-nE8jcRmq022fEOj_yMWuA_17_0"/>
      <w:bookmarkStart w:id="2279" w:name="Tc_HqQIzjLQg0iGq2rOc0pLzA_16_16"/>
      <w:bookmarkStart w:id="2280" w:name="Tc_L0mVQAHkt0-PdONtnjU-XA_16_11"/>
      <w:bookmarkStart w:id="2281" w:name="Tc_clooeHuWiUe51BUjXuCJFQ_16_6"/>
      <w:bookmarkStart w:id="2282" w:name="Tc_MOrXyvqGxUyZJWFIe6JQQw_16_0"/>
      <w:bookmarkStart w:id="2283" w:name="Tc_rKJ334zBCU2a5sfY_au_tw_15_16"/>
      <w:bookmarkStart w:id="2284" w:name="Tc_JLAr0eY_bEiAjMziuDkoEg_15_13"/>
      <w:bookmarkStart w:id="2285" w:name="Tc_gqCEmUEKSkqX9p2Mxm_a4Q_15_11"/>
      <w:bookmarkStart w:id="2286" w:name="Tc_zsWyXLfwdE-LOOgbKXHeSQ_15_6"/>
      <w:bookmarkStart w:id="2287" w:name="Tc_f1X0a03PQUWhSDfwug7i3w_15_0"/>
      <w:bookmarkStart w:id="2288" w:name="Tc_a4Vm_fM3yEKNoQ3lvQX6tw_14_16"/>
      <w:bookmarkStart w:id="2289" w:name="Tc_D23dewufiU-KNnt1nyZZ7w_14_13"/>
      <w:bookmarkStart w:id="2290" w:name="Tc_tHCef5j5ik-AFy0udGxZ-w_14_11"/>
      <w:bookmarkStart w:id="2291" w:name="Tc_77zoZ5X6lUSrMNBz_-KKhQ_14_8"/>
      <w:bookmarkStart w:id="2292" w:name="Tc_eEZuf3qAIU6qB0RTd0ubBQ_14_6"/>
      <w:bookmarkStart w:id="2293" w:name="Tc_cJEOwcChvEG5ZYcHwxj62Q_14_0"/>
      <w:bookmarkStart w:id="2294" w:name="Tc_l3h8u18R50a1zj9djRC3lQ_13_16"/>
      <w:bookmarkStart w:id="2295" w:name="Tc_KMO2jnPrO0S5_dPePhDXFg_13_11"/>
      <w:bookmarkStart w:id="2296" w:name="Tc_Z_1wXzFwK0CCpR4mhmLxAA_13_6"/>
      <w:bookmarkStart w:id="2297" w:name="Tc_mVaU4ROk80KL5mbO18Sl5A_13_0"/>
      <w:bookmarkStart w:id="2298" w:name="Tc_gHZiND_bHUCjVE_AQVetnQ_12_16"/>
      <w:bookmarkStart w:id="2299" w:name="Tc_JZNoEescnkG66qOuPrD5xQ_12_11"/>
      <w:bookmarkStart w:id="2300" w:name="Tc_kxjm7AABvUmNiXQGXjkMGg_12_6"/>
      <w:bookmarkStart w:id="2301" w:name="Tc_BHIW2Lxr80SntKm9AJI-bQ_12_0"/>
      <w:bookmarkStart w:id="2302" w:name="Tc_tqPEMRcaJUOTZQO9qYuI3A_11_16"/>
      <w:bookmarkStart w:id="2303" w:name="Tc_zCIRSlKeakioY3UyF5gp3w_11_11"/>
      <w:bookmarkStart w:id="2304" w:name="Tc_eacKGe_XzEqsqpsqjZeIdw_11_6"/>
      <w:bookmarkStart w:id="2305" w:name="Tc_0oe2jyo_vUiXMr41hoNPDg_11_0"/>
      <w:bookmarkStart w:id="2306" w:name="Tc_CZNAzhp0qkWrX6-M_7e8rQ_10_16"/>
      <w:bookmarkStart w:id="2307" w:name="Tc_gTMWk5nS5kSbcwxaz6rydg_10_11"/>
      <w:bookmarkStart w:id="2308" w:name="Tc_pdflWjJW9E6LsNSsL5efOg_10_6"/>
      <w:bookmarkStart w:id="2309" w:name="Tc_KBkPYhfwMkGgJlyEW7y97Q_10_0"/>
      <w:bookmarkStart w:id="2310" w:name="Tc_Q7J96VQGz02z1cWR93-WSg_9_16"/>
      <w:bookmarkStart w:id="2311" w:name="Tc_oa-vHFIESkiG-McmMxFXCg_9_11"/>
      <w:bookmarkStart w:id="2312" w:name="Tc_yguy_m7LpUWugeGsgkaiHA_9_8"/>
      <w:bookmarkStart w:id="2313" w:name="Tc_Joqhpg3NP0-D58fmtT_VHA_9_6"/>
      <w:bookmarkStart w:id="2314" w:name="Tc_N1fTkaXdO06QMHqQ4DXhkA_9_0"/>
      <w:bookmarkStart w:id="2315" w:name="Tc_auirHK-acUGlRdCX9eyw-g_8_16"/>
      <w:bookmarkStart w:id="2316" w:name="Tc_7ghm5s6K1E2DUVoK-TXAAQ_8_11"/>
      <w:bookmarkStart w:id="2317" w:name="Tc_ZUccTb8IU0utOHQgzigQoQ_8_6"/>
      <w:bookmarkStart w:id="2318" w:name="Tc_iLqVwYnBPUK9lujrfhcN9A_8_0"/>
      <w:bookmarkStart w:id="2319" w:name="Tc_X3YRl1vu5U6s7tPfacfmHQ_7_16"/>
      <w:bookmarkStart w:id="2320" w:name="Tc_MVKaeeXqBEC58_S1lCI24g_7_11"/>
      <w:bookmarkStart w:id="2321" w:name="Tc_zeKBn1LI9UK1_3_RmVMMvg_7_6"/>
      <w:bookmarkStart w:id="2322" w:name="Tc_4yFy4LYF40S_omFTGA5H5w_7_0"/>
      <w:bookmarkStart w:id="2323" w:name="Tc_mxgFEAjo-ke8IYXdGpH8uw_6_16"/>
      <w:bookmarkStart w:id="2324" w:name="Tc_vVpv94p8xUOebNLwr6QeUQ_6_11"/>
      <w:bookmarkStart w:id="2325" w:name="Tc_XUOLHMkf20SO0dNGMG3wIA_6_6"/>
      <w:bookmarkStart w:id="2326" w:name="Tc_EXblYn6vs02sQuG2CXyS6g_6_0"/>
      <w:bookmarkStart w:id="2327" w:name="Tc_kojmulSwCki5pYgjIZLPqA_5_16"/>
      <w:bookmarkStart w:id="2328" w:name="Tc_C0_FigruF0iU6NA2iQ35WA_5_12"/>
      <w:bookmarkStart w:id="2329" w:name="Tc_HZLKkP3XS0SB0gp5B895xA_5_11"/>
      <w:bookmarkStart w:id="2330" w:name="Tc_-GnJuMm50Uits9XP80qj4A_5_7"/>
      <w:bookmarkStart w:id="2331" w:name="Tc_87zvn9Ce0Um6k3dZCQrTpQ_5_6"/>
      <w:bookmarkStart w:id="2332" w:name="Tc_Njx5t4MjeEurh_yezqPV8g_5_2"/>
      <w:bookmarkStart w:id="2333" w:name="Tc_EF_zCmnM5Um2QPa4TvtNpw_5_0"/>
      <w:bookmarkStart w:id="2334" w:name="Tc_bcAG9fzMVUqKClgAPFWjPA_4_0"/>
      <w:bookmarkStart w:id="2335" w:name="Tc_KclE9FSkYUyO7he6Wh5nUg_3_12"/>
      <w:bookmarkStart w:id="2336" w:name="Tc_rVq8vOFRjkCy7DVDwDsdUQ_3_7"/>
      <w:bookmarkStart w:id="2337" w:name="Tc_x5T-f1syiUCyWng6Ry-LUA_3_2"/>
      <w:bookmarkStart w:id="2338" w:name="Tc_R3Lw2HwKs0iU4mh8BZN23Q_3_0"/>
      <w:bookmarkStart w:id="2339" w:name="Tc_FODlllRHpkKISt5lBcMQmw_2_15"/>
      <w:bookmarkStart w:id="2340" w:name="Tc_oAMvP7AA0kafXyNVMqF90Q_2_12"/>
      <w:bookmarkStart w:id="2341" w:name="Tc_92N5DaHOX06dMrxYFQq6HA_2_10"/>
      <w:bookmarkStart w:id="2342" w:name="Tc_TiqnvJgXMUSFs46i8WmJtQ_2_7"/>
      <w:bookmarkStart w:id="2343" w:name="Tc_Pxas-ElCckyBD_sEnc6G1g_2_5"/>
      <w:bookmarkStart w:id="2344" w:name="Tc_BbXJZJ992UKO7-Guvi8q9w_2_2"/>
      <w:bookmarkStart w:id="2345" w:name="Tc__rc1QpD5rkuJ2c_UjtS2tw_1_12"/>
      <w:bookmarkStart w:id="2346" w:name="Tc_I6Caw8Dh4EqeTIUrkV4Lzg_1_7"/>
      <w:bookmarkStart w:id="2347" w:name="Tc_OKJX91p0UkOR8kNzy1fxqg_1_2"/>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r>
        <w:rPr>
          <w:rFonts w:ascii="Times New Roman;Times;serif" w:hAnsi="Times New Roman;Times;serif"/>
          <w:sz w:val="20"/>
        </w:rPr>
        <w:t>The reconciliation of the effective tax rate to tax at the statutory rates for the years ended December 31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04"/>
        <w:gridCol w:w="326"/>
        <w:gridCol w:w="211"/>
        <w:gridCol w:w="765"/>
        <w:gridCol w:w="146"/>
        <w:gridCol w:w="810"/>
        <w:gridCol w:w="326"/>
        <w:gridCol w:w="211"/>
        <w:gridCol w:w="765"/>
        <w:gridCol w:w="146"/>
        <w:gridCol w:w="781"/>
        <w:gridCol w:w="292"/>
        <w:gridCol w:w="211"/>
        <w:gridCol w:w="765"/>
        <w:gridCol w:w="146"/>
        <w:gridCol w:w="781"/>
        <w:gridCol w:w="319"/>
      </w:tblGrid>
      <w:tr>
        <w:trPr/>
        <w:tc>
          <w:tcPr>
            <w:tcW w:w="3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034540" cy="175260"/>
                      <wp:effectExtent l="0" t="0" r="0" b="0"/>
                      <wp:wrapNone/>
                      <wp:docPr id="815" name="Frame814"/>
                      <a:graphic xmlns:a="http://schemas.openxmlformats.org/drawingml/2006/main">
                        <a:graphicData uri="http://schemas.microsoft.com/office/word/2010/wordprocessingShape">
                          <wps:wsp>
                            <wps:cNvSpPr txBox="1"/>
                            <wps:spPr>
                              <a:xfrm>
                                <a:off x="0" y="0"/>
                                <a:ext cx="2034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207010" cy="175260"/>
                      <wp:effectExtent l="0" t="0" r="0" b="0"/>
                      <wp:wrapNone/>
                      <wp:docPr id="816" name="Frame8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33985" cy="175260"/>
                      <wp:effectExtent l="0" t="0" r="0" b="0"/>
                      <wp:wrapNone/>
                      <wp:docPr id="817" name="Frame8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485775" cy="175260"/>
                      <wp:effectExtent l="0" t="0" r="0" b="0"/>
                      <wp:wrapNone/>
                      <wp:docPr id="818" name="Frame817"/>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92710" cy="175260"/>
                      <wp:effectExtent l="0" t="0" r="0" b="0"/>
                      <wp:wrapNone/>
                      <wp:docPr id="819" name="Frame8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514350" cy="175260"/>
                      <wp:effectExtent l="0" t="0" r="0" b="0"/>
                      <wp:wrapNone/>
                      <wp:docPr id="820" name="Frame819"/>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207010" cy="175260"/>
                      <wp:effectExtent l="0" t="0" r="0" b="0"/>
                      <wp:wrapNone/>
                      <wp:docPr id="821" name="Frame8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133985" cy="175260"/>
                      <wp:effectExtent l="0" t="0" r="0" b="0"/>
                      <wp:wrapNone/>
                      <wp:docPr id="822" name="Frame8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485775" cy="175260"/>
                      <wp:effectExtent l="0" t="0" r="0" b="0"/>
                      <wp:wrapNone/>
                      <wp:docPr id="823" name="Frame82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92710" cy="175260"/>
                      <wp:effectExtent l="0" t="0" r="0" b="0"/>
                      <wp:wrapNone/>
                      <wp:docPr id="824" name="Frame8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495935" cy="175260"/>
                      <wp:effectExtent l="0" t="0" r="0" b="0"/>
                      <wp:wrapNone/>
                      <wp:docPr id="825" name="Frame8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85420" cy="175260"/>
                      <wp:effectExtent l="0" t="0" r="0" b="0"/>
                      <wp:wrapNone/>
                      <wp:docPr id="826" name="Frame82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133985" cy="175260"/>
                      <wp:effectExtent l="0" t="0" r="0" b="0"/>
                      <wp:wrapNone/>
                      <wp:docPr id="827" name="Frame8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485775" cy="175260"/>
                      <wp:effectExtent l="0" t="0" r="0" b="0"/>
                      <wp:wrapNone/>
                      <wp:docPr id="828" name="Frame827"/>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92710" cy="175260"/>
                      <wp:effectExtent l="0" t="0" r="0" b="0"/>
                      <wp:wrapNone/>
                      <wp:docPr id="829" name="Frame8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495935" cy="175260"/>
                      <wp:effectExtent l="0" t="0" r="0" b="0"/>
                      <wp:wrapNone/>
                      <wp:docPr id="830" name="Frame8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202565" cy="175260"/>
                      <wp:effectExtent l="0" t="0" r="0" b="0"/>
                      <wp:wrapNone/>
                      <wp:docPr id="831" name="Frame83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3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92" w:type="dxa"/>
            <w:tcBorders/>
            <w:vAlign w:val="center"/>
          </w:tcPr>
          <w:p>
            <w:pPr>
              <w:pStyle w:val="TableContents"/>
              <w:bidi w:val="0"/>
              <w:spacing w:before="0" w:after="0"/>
              <w:ind w:left="0" w:right="0" w:hanging="0"/>
              <w:jc w:val="center"/>
              <w:rPr/>
            </w:pPr>
            <w:r>
              <w:rPr/>
              <w:t> </w:t>
            </w:r>
          </w:p>
        </w:tc>
        <w:tc>
          <w:tcPr>
            <w:tcW w:w="19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9" w:type="dxa"/>
            <w:tcBorders/>
            <w:vAlign w:val="center"/>
          </w:tcPr>
          <w:p>
            <w:pPr>
              <w:pStyle w:val="TableContents"/>
              <w:bidi w:val="0"/>
              <w:spacing w:before="0" w:after="0"/>
              <w:ind w:left="0" w:right="0" w:hanging="0"/>
              <w:jc w:val="center"/>
              <w:rPr/>
            </w:pPr>
            <w:r>
              <w:rPr/>
              <w:t> </w:t>
            </w:r>
          </w:p>
        </w:tc>
      </w:tr>
      <w:tr>
        <w:trPr/>
        <w:tc>
          <w:tcPr>
            <w:tcW w:w="32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center"/>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Rate</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Rate</w:t>
            </w:r>
          </w:p>
        </w:tc>
        <w:tc>
          <w:tcPr>
            <w:tcW w:w="292" w:type="dxa"/>
            <w:tcBorders/>
            <w:vAlign w:val="center"/>
          </w:tcPr>
          <w:p>
            <w:pPr>
              <w:pStyle w:val="TableContents"/>
              <w:bidi w:val="0"/>
              <w:spacing w:before="0" w:after="0"/>
              <w:ind w:left="0" w:right="0" w:hanging="0"/>
              <w:jc w:val="center"/>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Rate</w:t>
            </w:r>
          </w:p>
        </w:tc>
        <w:tc>
          <w:tcPr>
            <w:tcW w:w="319" w:type="dxa"/>
            <w:tcBorders/>
            <w:vAlign w:val="center"/>
          </w:tcPr>
          <w:p>
            <w:pPr>
              <w:pStyle w:val="TableContents"/>
              <w:bidi w:val="0"/>
              <w:spacing w:before="0" w:after="0"/>
              <w:ind w:left="0" w:right="0" w:hanging="0"/>
              <w:jc w:val="center"/>
              <w:rPr/>
            </w:pPr>
            <w:r>
              <w:rPr/>
              <w:t> </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14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(21,674)</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292"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(10,130)</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3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income tax at statutory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14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14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(20,559)</w:t>
            </w:r>
          </w:p>
        </w:tc>
        <w:tc>
          <w:tcPr>
            <w:tcW w:w="14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(6,236)</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of foreign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14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4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taxation of foreign earnings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w:t>
            </w:r>
          </w:p>
        </w:tc>
        <w:tc>
          <w:tcPr>
            <w:tcW w:w="14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w:t>
            </w:r>
          </w:p>
        </w:tc>
        <w:tc>
          <w:tcPr>
            <w:tcW w:w="14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(5,818)</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1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67,135</w:t>
            </w:r>
          </w:p>
        </w:tc>
        <w:tc>
          <w:tcPr>
            <w:tcW w:w="14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3,386</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commitment and contingent consideration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w:t>
            </w:r>
          </w:p>
        </w:tc>
        <w:tc>
          <w:tcPr>
            <w:tcW w:w="14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prior year unrecognized tax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4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permanent items,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146" w:type="dxa"/>
            <w:tcBorders/>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1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and 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c>
          <w:tcPr>
            <w:tcW w:w="146" w:type="dxa"/>
            <w:tcBorders/>
            <w:shd w:fill="CCEEFF" w:val="clear"/>
            <w:vAlign w:val="center"/>
          </w:tcPr>
          <w:p>
            <w:pPr>
              <w:pStyle w:val="TableContents"/>
              <w:bidi w:val="0"/>
              <w:spacing w:before="0" w:after="0"/>
              <w:ind w:left="0" w:right="0" w:hanging="0"/>
              <w:jc w:val="left"/>
              <w:rPr/>
            </w:pPr>
            <w:r>
              <w:rPr/>
              <w:t> </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1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effective tax rate in 2024 increased to 2,862.1% from 39.6% in 2023. The increase in income tax expense in 2024 was primarily driven by changes in valuation allowances on net deferred tax assets established for U.S. and certain foreign jurisdictions, nondeductible purchase commitment and contingent consideration liabilities, and pre-tax income, partially offset by the favorable impact of tax benefits on exercises and vesting of stock awards, net of limitations on deductions of certain employees’ compensation under Internal Revenue Code (“IRC”) Section 162(m).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effective tax rate in 2023 increased to 39.6% from (21.5)% in 2022. The increase in income tax benefit in 2023 was primarily driven by changes in tax benefits on exercises and vesting of stock awards, tax credits, valuation allowances on net deferred tax assets established for certain foreign jurisdictions, loss before income tax, and limitations on deductions of certain employees’ compensation under IRC Section 162(m).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impact of foreign operations in 2024, 2023, and 2022 primarily reflects losses in Ireland taxed at 12.5%, as well as income or losses taxed at rates in other foreign jurisdictions, as opposed to the statutory U.S. federal income tax 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00"/>
        <w:ind w:left="0" w:right="0" w:firstLine="360"/>
        <w:jc w:val="both"/>
        <w:rPr>
          <w:rFonts w:ascii="Times New Roman;Times;serif" w:hAnsi="Times New Roman;Times;serif"/>
          <w:sz w:val="20"/>
        </w:rPr>
      </w:pPr>
      <w:bookmarkStart w:id="2348" w:name="Tc_uwEWHRgWsUmpOTqzt3CHpg_27_5"/>
      <w:bookmarkStart w:id="2349" w:name="Tc__Ejz8aMZHkGDC7Hy8cmThw_27_2"/>
      <w:bookmarkStart w:id="2350" w:name="Tc_jM7Do8Wzqk27O49GsOeNWA_27_0"/>
      <w:bookmarkStart w:id="2351" w:name="Tc_l6w7N5Rds0-ITqHPTC7fqQ_26_6"/>
      <w:bookmarkStart w:id="2352" w:name="Tc_vc46iUMLik6K5ODsyRbO4w_26_0"/>
      <w:bookmarkStart w:id="2353" w:name="Tc_31c2WVZen0OCPuN02jl0jw_25_5"/>
      <w:bookmarkStart w:id="2354" w:name="Tc_CG8QFtW10k-biYKcxma3Aw_25_2"/>
      <w:bookmarkStart w:id="2355" w:name="Tc_HRjpqPKDkUGcPuBcZHgeAA_25_0"/>
      <w:bookmarkStart w:id="2356" w:name="Tc_x_2UIcxj1EWySy3Fb_uGnA_24_0"/>
      <w:bookmarkStart w:id="2357" w:name="Tc_0VguzepveUCSK82LSxaC9Q_22_5"/>
      <w:bookmarkStart w:id="2358" w:name="Tc_7e84la7iA0iByd48xAienA_22_2"/>
      <w:bookmarkStart w:id="2359" w:name="Tc_76mdvIAScE-Jchz0REowWg_22_0"/>
      <w:bookmarkStart w:id="2360" w:name="Tc_XahllJMEYkild7R-RlT7MA_21_0"/>
      <w:bookmarkStart w:id="2361" w:name="Tc_InbqE7vSEkmG4sGwPqhX7g_20_6"/>
      <w:bookmarkStart w:id="2362" w:name="Tc_fiCfd8Kq80SNplfn2ipApw_20_0"/>
      <w:bookmarkStart w:id="2363" w:name="Tc_oz3uQiEJmU6WRfGqXSYESQ_19_0"/>
      <w:bookmarkStart w:id="2364" w:name="Tc_On0lLuUVBE20d0qpZ84qww_18_0"/>
      <w:bookmarkStart w:id="2365" w:name="Tc_yN18EJhzYESWOGD165onew_17_0"/>
      <w:bookmarkStart w:id="2366" w:name="Tc_cviJTxjrlEi7ju28N9rKUQ_16_0"/>
      <w:bookmarkStart w:id="2367" w:name="Tc_7ev4szzunk27uddG8lQqZQ_15_0"/>
      <w:bookmarkStart w:id="2368" w:name="Tc_Q2UKiiX7AEy66Os4WhyZZw_14_0"/>
      <w:bookmarkStart w:id="2369" w:name="Tc_EystpwMiu0mNEHNb5LOKtQ_13_3"/>
      <w:bookmarkStart w:id="2370" w:name="Tc_nfFjDWvWNkW_rNo_ryi8Og_13_0"/>
      <w:bookmarkStart w:id="2371" w:name="Tc_vOdSMKOlGUqOQVlKuoHr5g_12_0"/>
      <w:bookmarkStart w:id="2372" w:name="Tc_eVayokB4W0mPyDpGq2TPBA_11_6"/>
      <w:bookmarkStart w:id="2373" w:name="Tc_7Qp6jC42SkieAQyhd6xKTQ_11_0"/>
      <w:bookmarkStart w:id="2374" w:name="Tc_y6v98PxnkkyzeOq2OJcH7g_10_0"/>
      <w:bookmarkStart w:id="2375" w:name="Tc_N1m3jCGJw0qJaIozHvmPPQ_9_0"/>
      <w:bookmarkStart w:id="2376" w:name="Tc_mBMZU7VpUkegr8cm0DRM7Q_8_0"/>
      <w:bookmarkStart w:id="2377" w:name="Tc_U16VAM__Yk6Lh0k8O4T52w_7_0"/>
      <w:bookmarkStart w:id="2378" w:name="Tc_5PazwYhFokG2pIsAOLf1wA_6_0"/>
      <w:bookmarkStart w:id="2379" w:name="Tc_4YCCYMFNOU2vRskWuelhXw_5_0"/>
      <w:bookmarkStart w:id="2380" w:name="Tc_ooWy3Wq96E6Mt8i4WSArqg_4_0"/>
      <w:bookmarkStart w:id="2381" w:name="Tc_ND_N24HL9EeLFh25F5a00g_3_5"/>
      <w:bookmarkStart w:id="2382" w:name="Tc_56fYNFJet0GgVbq_cbu09A_3_2"/>
      <w:bookmarkStart w:id="2383" w:name="Tc_zM3u7vaSM0amtLxthud9dg_3_0"/>
      <w:bookmarkStart w:id="2384" w:name="Tc_fkRICDle2Uue54f3jD5mdg_2_5"/>
      <w:bookmarkStart w:id="2385" w:name="Tc_lkQdJoC5KkeQ6zPf5eMw0w_2_2"/>
      <w:bookmarkStart w:id="2386" w:name="Tc_UTtBYmbqEUyExD2OObrdoQ_2_0"/>
      <w:bookmarkStart w:id="2387" w:name="Tc_8ptrbQgYfEyel_l8O2azfQ_1_2"/>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r>
        <w:rPr>
          <w:rFonts w:ascii="Times New Roman;Times;serif" w:hAnsi="Times New Roman;Times;serif"/>
          <w:sz w:val="20"/>
        </w:rPr>
        <w:t>Significant components of the Company’s net deferred tax assets (liabilities) are as follows:</w:t>
      </w:r>
    </w:p>
    <w:p>
      <w:pPr>
        <w:pStyle w:val="TextBody"/>
        <w:bidi w:val="0"/>
        <w:spacing w:before="0" w:after="0"/>
        <w:ind w:left="0" w:right="0" w:hanging="0"/>
        <w:jc w:val="left"/>
        <w:rPr/>
      </w:pPr>
      <w:r>
        <w:rPr/>
        <w:t>​</w:t>
      </w:r>
    </w:p>
    <w:tbl>
      <w:tblPr>
        <w:tblW w:w="6607" w:type="dxa"/>
        <w:jc w:val="left"/>
        <w:tblInd w:w="0" w:type="dxa"/>
        <w:tblLayout w:type="fixed"/>
        <w:tblCellMar>
          <w:top w:w="0" w:type="dxa"/>
          <w:left w:w="0" w:type="dxa"/>
          <w:bottom w:w="0" w:type="dxa"/>
          <w:right w:w="0" w:type="dxa"/>
        </w:tblCellMar>
      </w:tblPr>
      <w:tblGrid>
        <w:gridCol w:w="4126"/>
        <w:gridCol w:w="146"/>
        <w:gridCol w:w="211"/>
        <w:gridCol w:w="796"/>
        <w:gridCol w:w="326"/>
        <w:gridCol w:w="211"/>
        <w:gridCol w:w="791"/>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2620010" cy="175260"/>
                      <wp:effectExtent l="0" t="0" r="0" b="0"/>
                      <wp:wrapNone/>
                      <wp:docPr id="832" name="Frame831"/>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92710" cy="175260"/>
                      <wp:effectExtent l="0" t="0" r="0" b="0"/>
                      <wp:wrapNone/>
                      <wp:docPr id="833" name="Frame8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133985" cy="175260"/>
                      <wp:effectExtent l="0" t="0" r="0" b="0"/>
                      <wp:wrapNone/>
                      <wp:docPr id="834" name="Frame8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505460" cy="175260"/>
                      <wp:effectExtent l="0" t="0" r="0" b="0"/>
                      <wp:wrapNone/>
                      <wp:docPr id="835" name="Frame8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207010" cy="175260"/>
                      <wp:effectExtent l="0" t="0" r="0" b="0"/>
                      <wp:wrapNone/>
                      <wp:docPr id="836" name="Frame8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133985" cy="175260"/>
                      <wp:effectExtent l="0" t="0" r="0" b="0"/>
                      <wp:wrapNone/>
                      <wp:docPr id="837" name="Frame8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502285" cy="175260"/>
                      <wp:effectExtent l="0" t="0" r="0" b="0"/>
                      <wp:wrapNone/>
                      <wp:docPr id="838" name="Frame83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3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3,523</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operating loss carry forwards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foreign loss carry forwards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2,239</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and stock-based compensation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19,008</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5,151</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Original issue discount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6,417</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2,721</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52,103</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(5,941)</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46,162</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41,708</w:t>
            </w:r>
          </w:p>
        </w:tc>
      </w:tr>
      <w:tr>
        <w:trPr/>
        <w:tc>
          <w:tcPr>
            <w:tcW w:w="41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Classification in the consolidated balance sheets: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41,708</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41,708</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At December 31, 2024, the Company has U.S. state operating loss carry forwards of $58,869. The state operating losses will expire at varying dates beginning in 2029 through 2044 or will carry forward indefinitely. A full valuation allowance is recorded for the U.S. state operating losses at December 31, 2024.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At December 31, 2024, the Company has available foreign operating losses of approximately $48,238 and nontrading losses of $44, which generally carry forward indefinitely. A valuation allowance for a portion of the foreign operating and non-operating losses is recorded at December 31, 2024 and 2023. A portion of the foreign operating losses could be forfeited if certain changes in the business occur in future years, which the Company continues to monitor.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At December 31, 2024, the Company has available U.S. federal R&amp;D tax credit carryovers of $5,160. The credits will expire from 2043 through 2044. A full valuation allowance is recorded for the U.S. federal R&amp;D tax credit carryovers at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At December 31, 2024 and 2023, the Company has a valuation allowance of $(72,285) and $(5,941), respectively, primarily against certain U.S. and foreign deferred tax assets. The increase in the total valuation allowance of $(66,344) during December 31, 2024, primarily related to recording a valuation allowance on the U.S. deferred tax assets, partially offset by decreases in valuation allowances in certain foreign jurisdictions as well as changes in foreign exchange rates.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fourth quarter of 2024, the Company established a valuation allowance against our U.S. deferred tax assets as it was determined to be more likely than not that these assets will not be realized. This determination was made 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Vertex,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center"/>
        <w:rPr>
          <w:rFonts w:ascii="Times New Roman;Times;serif" w:hAnsi="Times New Roman;Times;serif"/>
          <w:b w:val="false"/>
          <w:sz w:val="16"/>
        </w:rPr>
      </w:pPr>
      <w:r>
        <w:rPr>
          <w:rFonts w:ascii="Times New Roman;Times;serif" w:hAnsi="Times New Roman;Times;serif"/>
          <w:b w:val="false"/>
          <w:sz w:val="16"/>
        </w:rPr>
        <w:t>(Amounts in thousands, except per share data)</w:t>
      </w:r>
    </w:p>
    <w:p>
      <w:pPr>
        <w:pStyle w:val="TextBody"/>
        <w:bidi w:val="0"/>
        <w:spacing w:before="0" w:after="240"/>
        <w:ind w:left="0" w:right="0" w:hanging="0"/>
        <w:jc w:val="both"/>
        <w:rPr>
          <w:rFonts w:ascii="Times New Roman;Times;serif" w:hAnsi="Times New Roman;Times;serif"/>
          <w:sz w:val="20"/>
        </w:rPr>
      </w:pPr>
      <w:bookmarkStart w:id="2388" w:name="Tc_Vfx2_9TFZ0CjlxkBwZnanw_6_8"/>
      <w:bookmarkStart w:id="2389" w:name="Tc_aX4ikC7eB0m170eWNkCQhw_6_5"/>
      <w:bookmarkStart w:id="2390" w:name="Tc_zBOGlwiS60eTZg58vsPrDA_6_2"/>
      <w:bookmarkStart w:id="2391" w:name="Tc_AcHz4Zzn9kuowtZYDmd0LQ_6_0"/>
      <w:bookmarkStart w:id="2392" w:name="Tc_qt_ykTCgukWIsSO9W-OWfw_5_6"/>
      <w:bookmarkStart w:id="2393" w:name="Tc_e8bKFqbfgEeB1eU5LPC6Hg_5_0"/>
      <w:bookmarkStart w:id="2394" w:name="Tc_L4mF1ph9NUel2S3w_WQ7Zw_4_0"/>
      <w:bookmarkStart w:id="2395" w:name="Tc_5TQiE-29mEGnTY0gcrtmEw_3_8"/>
      <w:bookmarkStart w:id="2396" w:name="Tc_-ucHqxZRLUy2QAKhWKdyow_3_5"/>
      <w:bookmarkStart w:id="2397" w:name="Tc_iUScHvRyx0qsahqYR4yFiA_3_2"/>
      <w:bookmarkStart w:id="2398" w:name="Tc_7ClpwxcWk0asJ5fYOu1jug_3_0"/>
      <w:bookmarkStart w:id="2399" w:name="Tc_fVgbMYItm0Wg9MfcVgEmqA_2_8"/>
      <w:bookmarkStart w:id="2400" w:name="Tc_DGxz2G0gw0e_JDkLtcd5mg_2_5"/>
      <w:bookmarkStart w:id="2401" w:name="Tc_kc0_EiLLvU-cVGMtG5fpdw_2_2"/>
      <w:bookmarkStart w:id="2402" w:name="Tc_dUG0nDkvU0Ow1Fzkv_Dl9Q_1_2"/>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r>
        <w:rPr>
          <w:rFonts w:ascii="Times New Roman;Times;serif" w:hAnsi="Times New Roman;Times;serif"/>
          <w:sz w:val="20"/>
        </w:rPr>
        <w:t>on weighing all negative evidence, specifically cumulative losses recognized in our U.S. entity over the past three years.  These cumulative losses were mainly due to significant windfall tax benefits realized from the exercises of stock options during the fourth quarter of 2024, driven by an increase in our Class A common stock price during that period. Despite positive evidence of projected future business profitability in our U.S. entity, management determined that this did not outweigh the negative evidence to allow us to conclude it was more likely than not the deferred tax assets would be realized and therefore we recorded a full valuation allowance against these U.S. deferred tax assets as of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changes in the valuation allowance were as follows:</w:t>
      </w:r>
    </w:p>
    <w:p>
      <w:pPr>
        <w:pStyle w:val="TextBody"/>
        <w:bidi w:val="0"/>
        <w:spacing w:before="0" w:after="0"/>
        <w:ind w:left="0" w:right="0" w:hanging="0"/>
        <w:jc w:val="left"/>
        <w:rPr/>
      </w:pPr>
      <w:r>
        <w:rPr/>
        <w:t>​</w:t>
      </w:r>
    </w:p>
    <w:tbl>
      <w:tblPr>
        <w:tblW w:w="8538" w:type="dxa"/>
        <w:jc w:val="left"/>
        <w:tblInd w:w="0" w:type="dxa"/>
        <w:tblLayout w:type="fixed"/>
        <w:tblCellMar>
          <w:top w:w="0" w:type="dxa"/>
          <w:left w:w="0" w:type="dxa"/>
          <w:bottom w:w="0" w:type="dxa"/>
          <w:right w:w="0" w:type="dxa"/>
        </w:tblCellMar>
      </w:tblPr>
      <w:tblGrid>
        <w:gridCol w:w="4921"/>
        <w:gridCol w:w="109"/>
        <w:gridCol w:w="211"/>
        <w:gridCol w:w="796"/>
        <w:gridCol w:w="326"/>
        <w:gridCol w:w="211"/>
        <w:gridCol w:w="691"/>
        <w:gridCol w:w="326"/>
        <w:gridCol w:w="211"/>
        <w:gridCol w:w="736"/>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3124835" cy="175260"/>
                      <wp:effectExtent l="0" t="0" r="0" b="0"/>
                      <wp:wrapNone/>
                      <wp:docPr id="839" name="Frame838"/>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69215" cy="175260"/>
                      <wp:effectExtent l="0" t="0" r="0" b="0"/>
                      <wp:wrapNone/>
                      <wp:docPr id="840" name="Frame8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33985" cy="175260"/>
                      <wp:effectExtent l="0" t="0" r="0" b="0"/>
                      <wp:wrapNone/>
                      <wp:docPr id="841" name="Frame8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505460" cy="175260"/>
                      <wp:effectExtent l="0" t="0" r="0" b="0"/>
                      <wp:wrapNone/>
                      <wp:docPr id="842" name="Frame8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207010" cy="175260"/>
                      <wp:effectExtent l="0" t="0" r="0" b="0"/>
                      <wp:wrapNone/>
                      <wp:docPr id="843" name="Frame8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33985" cy="175260"/>
                      <wp:effectExtent l="0" t="0" r="0" b="0"/>
                      <wp:wrapNone/>
                      <wp:docPr id="844" name="Frame8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438785" cy="175260"/>
                      <wp:effectExtent l="0" t="0" r="0" b="0"/>
                      <wp:wrapNone/>
                      <wp:docPr id="845" name="Frame8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207010" cy="175260"/>
                      <wp:effectExtent l="0" t="0" r="0" b="0"/>
                      <wp:wrapNone/>
                      <wp:docPr id="846" name="Frame8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133985" cy="175260"/>
                      <wp:effectExtent l="0" t="0" r="0" b="0"/>
                      <wp:wrapNone/>
                      <wp:docPr id="847" name="Frame8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467360" cy="175260"/>
                      <wp:effectExtent l="0" t="0" r="0" b="0"/>
                      <wp:wrapNone/>
                      <wp:docPr id="848" name="Frame84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50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 at beginning of year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valuation allowance recorded through earnings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valuation allowance recorded through earnings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 at end of year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r>
      <w:tr>
        <w:trPr/>
        <w:tc>
          <w:tcPr>
            <w:tcW w:w="4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color w:val="FF0000"/>
              </w:rPr>
            </w:pPr>
            <w:r>
              <w:rPr>
                <w:color w:val="FF000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color w:val="FF0000"/>
              </w:rPr>
            </w:pPr>
            <w:r>
              <w:rPr>
                <w:color w:val="FF0000"/>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does not assert any earnings to be permanently reinvested with respect to the undistributed earnings of its foreign subsidiaries.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Significant judgement is required in evaluating our uncertain tax positions and determining our provision for income taxes. The total amount of gross unrecognized tax benefits was $1,427, $666, and $0 as of December 31, 2024, 2023, and 2022, respectively, which would affect our effective tax rate if recognized. Accrued interest and penalties were not material for the years ended December 31, 2024, 2023, or 2022.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files tax returns as prescribed by the tax laws of the jurisdictions in which the Company operates. Under applicable U.S. federal statutes, tax years ended December 31, 2021 through December 31, 2024 remain subject to examination. Under applicable statutes, state and foreign corporate tax returns filed for the Company and its respective foreign subsidiaries for years ended December 31, 2019 through December 31, 2024 remain subject to examination by the respective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lineRule="auto" w:line="285" w:before="0" w:after="0"/>
        <w:ind w:left="0" w:right="0" w:hanging="0"/>
        <w:jc w:val="left"/>
        <w:rPr>
          <w:rFonts w:ascii="Times New Roman;Times;serif" w:hAnsi="Times New Roman;Times;serif"/>
          <w:sz w:val="24"/>
        </w:rPr>
      </w:pPr>
      <w:bookmarkStart w:id="2403" w:name="verx-20241231xex3d2.htm"/>
      <w:bookmarkStart w:id="2404" w:name="ksverx20241231xex3d2"/>
      <w:bookmarkEnd w:id="2403"/>
      <w:bookmarkEnd w:id="2404"/>
      <w:r>
        <w:rPr>
          <w:rFonts w:ascii="Times New Roman;Times;serif" w:hAnsi="Times New Roman;Times;serif"/>
          <w:sz w:val="24"/>
          <w:shd w:fill="FFFFFF" w:val="clear"/>
        </w:rPr>
        <w:tab/>
      </w:r>
      <w:r>
        <w:rPr>
          <w:rFonts w:ascii="Times New Roman;Times;serif" w:hAnsi="Times New Roman;Times;serif"/>
          <w:b w:val="false"/>
          <w:i w:val="false"/>
          <w:caps w:val="false"/>
          <w:smallCaps w:val="false"/>
          <w:sz w:val="24"/>
          <w:shd w:fill="FFFFFF" w:val="clear"/>
        </w:rPr>
        <w:t>Exhibit 3.2</w:t>
      </w:r>
      <w:r>
        <mc:AlternateContent>
          <mc:Choice Requires="wps">
            <w:drawing>
              <wp:anchor behindDoc="0" distT="0" distB="0" distL="0" distR="0" simplePos="0" locked="0" layoutInCell="1" allowOverlap="1" relativeHeight="850">
                <wp:simplePos x="0" y="0"/>
                <wp:positionH relativeFrom="page">
                  <wp:posOffset>0</wp:posOffset>
                </wp:positionH>
                <wp:positionV relativeFrom="line">
                  <wp:posOffset>635</wp:posOffset>
                </wp:positionV>
                <wp:extent cx="6480175" cy="175260"/>
                <wp:effectExtent l="0" t="0" r="0" b="0"/>
                <wp:wrapNone/>
                <wp:docPr id="849" name="Frame8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Second Amended and Restated Bylaws of</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Vertex,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 Delaware corporation)</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Table of Contents</w:t>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Page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I - Corporate Offices</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851">
                <wp:simplePos x="0" y="0"/>
                <wp:positionH relativeFrom="page">
                  <wp:posOffset>0</wp:posOffset>
                </wp:positionH>
                <wp:positionV relativeFrom="line">
                  <wp:posOffset>635</wp:posOffset>
                </wp:positionV>
                <wp:extent cx="6480175" cy="175895"/>
                <wp:effectExtent l="0" t="0" r="0" b="0"/>
                <wp:wrapNone/>
                <wp:docPr id="850" name="Frame8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 Registered Office1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1.2 Other Offices1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II - Meetings of Stockholders</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852">
                <wp:simplePos x="0" y="0"/>
                <wp:positionH relativeFrom="page">
                  <wp:posOffset>0</wp:posOffset>
                </wp:positionH>
                <wp:positionV relativeFrom="line">
                  <wp:posOffset>635</wp:posOffset>
                </wp:positionV>
                <wp:extent cx="6480175" cy="175895"/>
                <wp:effectExtent l="0" t="0" r="0" b="0"/>
                <wp:wrapNone/>
                <wp:docPr id="851" name="Frame8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2.1 Place of Meetings1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2.2 Annual Meeting1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2.3 Special Meeting1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2.4 Notice of Business to be Brought before a Meeting.2</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2.5 Notice of Nominations for Election to the Board of Directors.5</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2.6 Additional Requirements for Valid Nomination of Candidates to Serve as </w:t>
        <w:br/>
        <w:t>Director and, if Elected, to be Seated as Directors.8</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2.7 Notice of Stockholders’ Meetings10</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2.8 Quorum10</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2.9 Adjourned Meeting; Notice11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2.10 Conduct of Business11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2.11 Voting12</w:t>
      </w:r>
    </w:p>
    <w:p>
      <w:pPr>
        <w:pStyle w:val="TextBody"/>
        <w:pBdr/>
        <w:bidi w:val="0"/>
        <w:spacing w:lineRule="auto" w:line="285" w:before="0" w:after="0"/>
        <w:ind w:left="720" w:right="630" w:hanging="450"/>
        <w:jc w:val="left"/>
        <w:rPr>
          <w:rFonts w:ascii="Times New Roman;Times;serif" w:hAnsi="Times New Roman;Times;serif"/>
          <w:sz w:val="24"/>
        </w:rPr>
      </w:pPr>
      <w:r>
        <w:rPr>
          <w:rFonts w:ascii="Times New Roman;Times;serif" w:hAnsi="Times New Roman;Times;serif"/>
          <w:sz w:val="24"/>
        </w:rPr>
        <w:t>2.12 Record Date for Stockholder Meetings, Stockholder Action by Consent and Other Purposes12</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2.13 Proxies13</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2.14 List of Stockholders Entitled to Vote13</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2.15 Inspectors of Election14</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2.16 Delivery to the Corporation.14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III - Directors</w:t>
      </w:r>
      <w:r>
        <w:rPr>
          <w:rFonts w:ascii="Times New Roman;Times;serif" w:hAnsi="Times New Roman;Times;serif"/>
          <w:b w:val="false"/>
          <w:i w:val="false"/>
          <w:caps w:val="false"/>
          <w:smallCaps w:val="false"/>
          <w:sz w:val="24"/>
          <w:shd w:fill="FFFFFF" w:val="clear"/>
        </w:rPr>
        <w:t>15</w:t>
      </w:r>
      <w:r>
        <mc:AlternateContent>
          <mc:Choice Requires="wps">
            <w:drawing>
              <wp:anchor behindDoc="0" distT="0" distB="0" distL="0" distR="0" simplePos="0" locked="0" layoutInCell="1" allowOverlap="1" relativeHeight="853">
                <wp:simplePos x="0" y="0"/>
                <wp:positionH relativeFrom="page">
                  <wp:posOffset>0</wp:posOffset>
                </wp:positionH>
                <wp:positionV relativeFrom="line">
                  <wp:posOffset>635</wp:posOffset>
                </wp:positionV>
                <wp:extent cx="6480175" cy="175895"/>
                <wp:effectExtent l="0" t="0" r="0" b="0"/>
                <wp:wrapNone/>
                <wp:docPr id="852" name="Frame8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3.1 Powers15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3.2 Number of Directors15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3.3 Election, Qualification and Term of Office of Directors15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3.4 Resignation and Vacancies15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3.5 Place of Meetings; Meetings by Telephone15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3.6 Regular Meetings16</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3.7 Special Meetings; Notice16</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3.8 Quorum16</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3.9 Board Action without a Meeting17</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3.10 Fees and Compensation of Directors17</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IV - Committees</w:t>
      </w:r>
      <w:r>
        <w:rPr>
          <w:rFonts w:ascii="Times New Roman;Times;serif" w:hAnsi="Times New Roman;Times;serif"/>
          <w:b w:val="false"/>
          <w:i w:val="false"/>
          <w:caps w:val="false"/>
          <w:smallCaps w:val="false"/>
          <w:sz w:val="24"/>
          <w:shd w:fill="FFFFFF" w:val="clear"/>
        </w:rPr>
        <w:t>17</w:t>
      </w:r>
      <w:r>
        <mc:AlternateContent>
          <mc:Choice Requires="wps">
            <w:drawing>
              <wp:anchor behindDoc="0" distT="0" distB="0" distL="0" distR="0" simplePos="0" locked="0" layoutInCell="1" allowOverlap="1" relativeHeight="854">
                <wp:simplePos x="0" y="0"/>
                <wp:positionH relativeFrom="page">
                  <wp:posOffset>0</wp:posOffset>
                </wp:positionH>
                <wp:positionV relativeFrom="line">
                  <wp:posOffset>635</wp:posOffset>
                </wp:positionV>
                <wp:extent cx="6480175" cy="175895"/>
                <wp:effectExtent l="0" t="0" r="0" b="0"/>
                <wp:wrapNone/>
                <wp:docPr id="853" name="Frame8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4.1 Committees of Directors17</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4.2 Committee Minutes17</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4.3 Meetings and Actions of Committees18</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4.4 Subcommittees.18</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V - Officers</w:t>
      </w:r>
      <w:r>
        <w:rPr>
          <w:rFonts w:ascii="Times New Roman;Times;serif" w:hAnsi="Times New Roman;Times;serif"/>
          <w:b w:val="false"/>
          <w:i w:val="false"/>
          <w:caps w:val="false"/>
          <w:smallCaps w:val="false"/>
          <w:sz w:val="24"/>
          <w:shd w:fill="FFFFFF" w:val="clear"/>
        </w:rPr>
        <w:t>18</w:t>
      </w:r>
      <w:r>
        <mc:AlternateContent>
          <mc:Choice Requires="wps">
            <w:drawing>
              <wp:anchor behindDoc="0" distT="0" distB="0" distL="0" distR="0" simplePos="0" locked="0" layoutInCell="1" allowOverlap="1" relativeHeight="855">
                <wp:simplePos x="0" y="0"/>
                <wp:positionH relativeFrom="page">
                  <wp:posOffset>0</wp:posOffset>
                </wp:positionH>
                <wp:positionV relativeFrom="line">
                  <wp:posOffset>635</wp:posOffset>
                </wp:positionV>
                <wp:extent cx="6480175" cy="175895"/>
                <wp:effectExtent l="0" t="0" r="0" b="0"/>
                <wp:wrapNone/>
                <wp:docPr id="854" name="Frame8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5.1 Officers18</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5.2 Appointment of Officers19</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5.3 Subordinate Officers19</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5.4 Removal and Resignation of Officers19</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5.5 Vacancies in Offices19</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5.6 Representation of Shares of Other Corporations19</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5.7 Authority and Duties of Officers19</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5.8 Compensation.20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VI - Records</w:t>
      </w:r>
      <w:r>
        <w:rPr>
          <w:rFonts w:ascii="Times New Roman;Times;serif" w:hAnsi="Times New Roman;Times;serif"/>
          <w:b w:val="false"/>
          <w:i w:val="false"/>
          <w:caps w:val="false"/>
          <w:smallCaps w:val="false"/>
          <w:sz w:val="24"/>
          <w:shd w:fill="FFFFFF" w:val="clear"/>
        </w:rPr>
        <w:t>20</w:t>
      </w:r>
      <w:r>
        <mc:AlternateContent>
          <mc:Choice Requires="wps">
            <w:drawing>
              <wp:anchor behindDoc="0" distT="0" distB="0" distL="0" distR="0" simplePos="0" locked="0" layoutInCell="1" allowOverlap="1" relativeHeight="856">
                <wp:simplePos x="0" y="0"/>
                <wp:positionH relativeFrom="page">
                  <wp:posOffset>0</wp:posOffset>
                </wp:positionH>
                <wp:positionV relativeFrom="line">
                  <wp:posOffset>635</wp:posOffset>
                </wp:positionV>
                <wp:extent cx="6480175" cy="175895"/>
                <wp:effectExtent l="0" t="0" r="0" b="0"/>
                <wp:wrapNone/>
                <wp:docPr id="855" name="Frame8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VII - General Matters</w:t>
      </w:r>
      <w:r>
        <w:rPr>
          <w:rFonts w:ascii="Times New Roman;Times;serif" w:hAnsi="Times New Roman;Times;serif"/>
          <w:b w:val="false"/>
          <w:i w:val="false"/>
          <w:caps w:val="false"/>
          <w:smallCaps w:val="false"/>
          <w:sz w:val="24"/>
          <w:shd w:fill="FFFFFF" w:val="clear"/>
        </w:rPr>
        <w:t>20</w:t>
      </w:r>
      <w:r>
        <mc:AlternateContent>
          <mc:Choice Requires="wps">
            <w:drawing>
              <wp:anchor behindDoc="0" distT="0" distB="0" distL="0" distR="0" simplePos="0" locked="0" layoutInCell="1" allowOverlap="1" relativeHeight="857">
                <wp:simplePos x="0" y="0"/>
                <wp:positionH relativeFrom="page">
                  <wp:posOffset>0</wp:posOffset>
                </wp:positionH>
                <wp:positionV relativeFrom="line">
                  <wp:posOffset>635</wp:posOffset>
                </wp:positionV>
                <wp:extent cx="6480175" cy="175895"/>
                <wp:effectExtent l="0" t="0" r="0" b="0"/>
                <wp:wrapNone/>
                <wp:docPr id="856" name="Frame8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7.1 Execution of Corporate Contracts and Instruments20</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7.2 Stock Certificates20</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7.3 Special Designation of Certificates.21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7.4 Lost Certificates21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7.5 Shares Without Certificates21</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7.6 Construction; Definitions22</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7.7 Dividends22</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7.8 Fiscal Year22</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7.9 Seal22</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7.10 Transfer of Stock22</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7.11 Stock Transfer Agreements23</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7.12 Registered Stockholders23</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7.13 Waiver of Notice23</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VIII - Notice</w:t>
      </w:r>
      <w:r>
        <w:rPr>
          <w:rFonts w:ascii="Times New Roman;Times;serif" w:hAnsi="Times New Roman;Times;serif"/>
          <w:b w:val="false"/>
          <w:i w:val="false"/>
          <w:caps w:val="false"/>
          <w:smallCaps w:val="false"/>
          <w:sz w:val="24"/>
          <w:shd w:fill="FFFFFF" w:val="clear"/>
        </w:rPr>
        <w:t>23</w:t>
      </w:r>
      <w:r>
        <mc:AlternateContent>
          <mc:Choice Requires="wps">
            <w:drawing>
              <wp:anchor behindDoc="0" distT="0" distB="0" distL="0" distR="0" simplePos="0" locked="0" layoutInCell="1" allowOverlap="1" relativeHeight="858">
                <wp:simplePos x="0" y="0"/>
                <wp:positionH relativeFrom="page">
                  <wp:posOffset>0</wp:posOffset>
                </wp:positionH>
                <wp:positionV relativeFrom="line">
                  <wp:posOffset>635</wp:posOffset>
                </wp:positionV>
                <wp:extent cx="6480175" cy="175895"/>
                <wp:effectExtent l="0" t="0" r="0" b="0"/>
                <wp:wrapNone/>
                <wp:docPr id="857" name="Frame8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8.1 Delivery of Notice; Notice by Electronic Transmission23</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IX - Indemnification</w:t>
      </w:r>
      <w:r>
        <w:rPr>
          <w:rFonts w:ascii="Times New Roman;Times;serif" w:hAnsi="Times New Roman;Times;serif"/>
          <w:b w:val="false"/>
          <w:i w:val="false"/>
          <w:caps w:val="false"/>
          <w:smallCaps w:val="false"/>
          <w:sz w:val="24"/>
          <w:shd w:fill="FFFFFF" w:val="clear"/>
        </w:rPr>
        <w:t>24</w:t>
      </w:r>
      <w:r>
        <mc:AlternateContent>
          <mc:Choice Requires="wps">
            <w:drawing>
              <wp:anchor behindDoc="0" distT="0" distB="0" distL="0" distR="0" simplePos="0" locked="0" layoutInCell="1" allowOverlap="1" relativeHeight="859">
                <wp:simplePos x="0" y="0"/>
                <wp:positionH relativeFrom="page">
                  <wp:posOffset>0</wp:posOffset>
                </wp:positionH>
                <wp:positionV relativeFrom="line">
                  <wp:posOffset>635</wp:posOffset>
                </wp:positionV>
                <wp:extent cx="6480175" cy="175895"/>
                <wp:effectExtent l="0" t="0" r="0" b="0"/>
                <wp:wrapNone/>
                <wp:docPr id="858" name="Frame8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9.1 Indemnification of Directors and Officers24</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9.2 Indemnification of Others25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9.3 Prepayment of Expenses25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9.4 Determination; Claim25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9.5 Non-Exclusivity of Rights25</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9.6 Insurance26</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9.7 Other Indemnification26</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9.8 Continuation of Indemnification26</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9.9 Amendment or Repeal; Interpretation26</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X - Amendments</w:t>
      </w:r>
      <w:r>
        <w:rPr>
          <w:rFonts w:ascii="Times New Roman;Times;serif" w:hAnsi="Times New Roman;Times;serif"/>
          <w:b w:val="false"/>
          <w:i w:val="false"/>
          <w:caps w:val="false"/>
          <w:smallCaps w:val="false"/>
          <w:sz w:val="24"/>
          <w:shd w:fill="FFFFFF" w:val="clear"/>
        </w:rPr>
        <w:t>27</w:t>
      </w:r>
      <w:r>
        <mc:AlternateContent>
          <mc:Choice Requires="wps">
            <w:drawing>
              <wp:anchor behindDoc="0" distT="0" distB="0" distL="0" distR="0" simplePos="0" locked="0" layoutInCell="1" allowOverlap="1" relativeHeight="860">
                <wp:simplePos x="0" y="0"/>
                <wp:positionH relativeFrom="page">
                  <wp:posOffset>0</wp:posOffset>
                </wp:positionH>
                <wp:positionV relativeFrom="line">
                  <wp:posOffset>635</wp:posOffset>
                </wp:positionV>
                <wp:extent cx="6480175" cy="175895"/>
                <wp:effectExtent l="0" t="0" r="0" b="0"/>
                <wp:wrapNone/>
                <wp:docPr id="859" name="Frame8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XI - Emergency Bylaws</w:t>
      </w:r>
      <w:r>
        <w:rPr>
          <w:rFonts w:ascii="Times New Roman;Times;serif" w:hAnsi="Times New Roman;Times;serif"/>
          <w:b w:val="false"/>
          <w:i w:val="false"/>
          <w:caps w:val="false"/>
          <w:smallCaps w:val="false"/>
          <w:sz w:val="24"/>
          <w:shd w:fill="FFFFFF" w:val="clear"/>
        </w:rPr>
        <w:t>27</w:t>
      </w:r>
      <w:r>
        <mc:AlternateContent>
          <mc:Choice Requires="wps">
            <w:drawing>
              <wp:anchor behindDoc="0" distT="0" distB="0" distL="0" distR="0" simplePos="0" locked="0" layoutInCell="1" allowOverlap="1" relativeHeight="861">
                <wp:simplePos x="0" y="0"/>
                <wp:positionH relativeFrom="page">
                  <wp:posOffset>0</wp:posOffset>
                </wp:positionH>
                <wp:positionV relativeFrom="line">
                  <wp:posOffset>635</wp:posOffset>
                </wp:positionV>
                <wp:extent cx="6480175" cy="175895"/>
                <wp:effectExtent l="0" t="0" r="0" b="0"/>
                <wp:wrapNone/>
                <wp:docPr id="860" name="Frame8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11.1 Emergency Bylaws.27</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11.2 Notice.27</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11.3 Quorum.28</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11.4 Liability.28</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11.5 Powers.28</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11.6 Amendments.28</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11.7 Repeal or Change.29</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11.8 Nonexclusivity.29</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Article XII - Definitions</w:t>
      </w:r>
      <w:r>
        <w:rPr>
          <w:rFonts w:ascii="Times New Roman;Times;serif" w:hAnsi="Times New Roman;Times;serif"/>
          <w:b w:val="false"/>
          <w:i w:val="false"/>
          <w:caps w:val="false"/>
          <w:smallCaps w:val="false"/>
          <w:sz w:val="24"/>
          <w:shd w:fill="FFFFFF" w:val="clear"/>
        </w:rPr>
        <w:t>29</w:t>
      </w:r>
      <w:r>
        <mc:AlternateContent>
          <mc:Choice Requires="wps">
            <w:drawing>
              <wp:anchor behindDoc="0" distT="0" distB="0" distL="0" distR="0" simplePos="0" locked="0" layoutInCell="1" allowOverlap="1" relativeHeight="862">
                <wp:simplePos x="0" y="0"/>
                <wp:positionH relativeFrom="page">
                  <wp:posOffset>0</wp:posOffset>
                </wp:positionH>
                <wp:positionV relativeFrom="line">
                  <wp:posOffset>635</wp:posOffset>
                </wp:positionV>
                <wp:extent cx="6480175" cy="175895"/>
                <wp:effectExtent l="0" t="0" r="0" b="0"/>
                <wp:wrapNone/>
                <wp:docPr id="861" name="Frame8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Second Amended and Restated Bylaws of</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Vertex,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I - Corporate Offices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 xml:space="preserve">1.1 </w:t>
      </w:r>
      <w:r>
        <w:rPr>
          <w:rFonts w:ascii="Times New Roman;Times;serif" w:hAnsi="Times New Roman;Times;serif"/>
          <w:sz w:val="24"/>
          <w:u w:val="single"/>
        </w:rPr>
        <w:t>Registered Office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address of the registered office of Vertex, Inc.  (the “Corporation”) in the State of Delaware, and the name of its registered agent at such address, shall be as set forth in the Corporation’s certificate of incorporation, as the same may be amended and/or restated from time to time (the “Certificate of Incorporation”).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Other Offices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may have additional offices at any place or places, within or outside the State of Delaware, as the Corporation’s board of directors (the “Board”) may from time to time establish or as the business of the Corporation may require.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II - Meetings of Stockholders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Place of Meetings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Annual Meeting</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Meeting</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Special meetings of the stockholders may be called only by such persons and only in such manner as set forth in the Certificate of Incorporation.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No business may be transacted at any special meeting of stockholders other than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business specified in the notice of such meeting.   The Board may postpone, reschedule or cancel any previously scheduled special meeting of stockholders.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2.4</w:t>
      </w:r>
      <w:r>
        <w:rPr>
          <w:rFonts w:ascii="Times New Roman;Times;serif" w:hAnsi="Times New Roman;Times;serif"/>
          <w:sz w:val="24"/>
          <w:u w:val="single"/>
        </w:rPr>
        <w:t>Notice of Business to be Brought before a Meeting</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 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the Board of Directors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“Exchange Act”).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2.6,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2.5 and Section 2.6 and this Section 2.4 shall not be applicable to nominations except as expressly provided in Section 2.5 and Section 2.6.</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(b)Without qualification, for business to be properly brought before an annual meeting by a stockholder, any such proposed business must constitute a proper matter for stockholder action and the stockholder must (i) provide Timely Notice (as defined below) thereof in writing and in proper form to the Secretary of the Corporation, (ii) provide the information with respect to such stockholder and any Proposing Person (as defined below) as required by this Section 2.4 and (iii)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 than the later of the ninetieth (90th) day prior to such annual meeting or the tenth (10th) day following the day on which public disclosure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of the date of such annual meeting was first made by the Corporation (such notice within such time periods, “Timely Notice”).   In no event shall any adjournment or postponement of an annual meeting or the announcement thereof commence a new time period (or extend any time period) for the giving of Timely Notice as described above.</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(c)To be in proper form for purposes of this Section 2.4, a stockholder’s notice to the Secretary shall set forth:</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“Stockholder Information”);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(ii)As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 description of any agreement, arrangement or understanding with respect to any rights to dividends on the shares of any class or series of shares of the Corporation owned beneficially by such Proposing Person that are separated or separable pursuant to such agreement, arrangement or understanding from the underlying shares of the Corporation, (C) any material pending or threatened legal proceeding in which such Proposing Person is a party or material participant involving the Corporation or any of its officers or directors, (D) any other material relationship between such Proposing Person, on the one hand, and the Corporation on the other hand, (E) any direct or indirect material interest in any material contract or agreement of such Proposing Person with the Corporation (including, in any such case, any employment agreement, collective bargaining agreement or consulting agreement), (F) a representation that such Proposing Person intends or is part of a group which intends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deliver a proxy statement or form of proxy to holders of at least the percentage of the Corporation’s outstanding capital stock required to approve or adopt the proposal or otherwise solicit proxies or votes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(iii)As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For purposes of this Section 2.4,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(d)Notwithstanding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it should be so determined, it shall be declared to the meeting and any such business not properly brought before the meeting shall not be transacted.</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(e)This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(f)For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2.5</w:t>
      </w:r>
      <w:r>
        <w:rPr>
          <w:rFonts w:ascii="Times New Roman;Times;serif" w:hAnsi="Times New Roman;Times;serif"/>
          <w:sz w:val="24"/>
          <w:u w:val="single"/>
        </w:rPr>
        <w:t>Notice of Nominations for Election to the Board of Directors</w:t>
      </w:r>
      <w:r>
        <w:rPr>
          <w:rFonts w:ascii="Times New Roman;Times;serif" w:hAnsi="Times New Roman;Times;serif"/>
          <w:sz w:val="24"/>
        </w:rPr>
        <w:t>.</w:t>
      </w:r>
    </w:p>
    <w:p>
      <w:pPr>
        <w:pStyle w:val="TextBody"/>
        <w:bidi w:val="0"/>
        <w:spacing w:lineRule="auto" w:line="285" w:before="0" w:after="0"/>
        <w:ind w:left="0" w:right="0" w:firstLine="720"/>
        <w:jc w:val="both"/>
        <w:rPr/>
      </w:pPr>
      <w:r>
        <w:rPr/>
        <w:t>​</w:t>
      </w:r>
    </w:p>
    <w:p>
      <w:pPr>
        <w:pStyle w:val="TextBody"/>
        <w:bidi w:val="0"/>
        <w:spacing w:lineRule="auto" w:line="285"/>
        <w:ind w:left="144" w:right="0" w:hanging="0"/>
        <w:jc w:val="both"/>
        <w:rPr>
          <w:rFonts w:ascii="Times New Roman;Times;serif" w:hAnsi="Times New Roman;Times;serif"/>
          <w:sz w:val="24"/>
        </w:rPr>
      </w:pPr>
      <w:r>
        <w:rPr>
          <w:rFonts w:ascii="Times New Roman;Times;serif" w:hAnsi="Times New Roman;Times;serif"/>
          <w:sz w:val="24"/>
        </w:rPr>
        <w:t xml:space="preserve">(a)Nominations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making the nomination, or a qualified representative of such stockholder,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144" w:right="0" w:hanging="0"/>
        <w:jc w:val="both"/>
        <w:rPr>
          <w:rFonts w:ascii="Times New Roman;Times;serif" w:hAnsi="Times New Roman;Times;serif"/>
          <w:sz w:val="24"/>
        </w:rPr>
      </w:pPr>
      <w:r>
        <w:rPr>
          <w:rFonts w:ascii="Times New Roman;Times;serif" w:hAnsi="Times New Roman;Times;serif"/>
          <w:sz w:val="24"/>
        </w:rPr>
        <w:t>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pStyle w:val="TextBody"/>
        <w:bidi w:val="0"/>
        <w:spacing w:lineRule="auto" w:line="285" w:before="0" w:after="0"/>
        <w:ind w:left="0" w:right="0" w:hanging="0"/>
        <w:jc w:val="both"/>
        <w:rPr/>
      </w:pPr>
      <w:r>
        <w:rPr/>
        <w:t>​</w:t>
      </w:r>
    </w:p>
    <w:p>
      <w:pPr>
        <w:pStyle w:val="TextBody"/>
        <w:bidi w:val="0"/>
        <w:spacing w:lineRule="auto" w:line="285"/>
        <w:ind w:left="144" w:right="0" w:hanging="0"/>
        <w:jc w:val="both"/>
        <w:rPr>
          <w:rFonts w:ascii="Times New Roman;Times;serif" w:hAnsi="Times New Roman;Times;serif"/>
          <w:sz w:val="24"/>
        </w:rPr>
      </w:pPr>
      <w:r>
        <w:rPr>
          <w:rFonts w:ascii="Times New Roman;Times;serif" w:hAnsi="Times New Roman;Times;serif"/>
          <w:sz w:val="24"/>
        </w:rPr>
        <w:t>(b) (i) Without qualification, for a stockholder to make any nomination of a person or persons for election to the Board of Directors at an annual meeting, the stockholder must (1) provide Timely Notice (as defined in Section 2.4) thereof in writing and in proper form to the Secretary of the Corporation, (2) provide the information, agreements and questionnaires with respect to such stockholder, any Nominating Person (as defined below) and the candidate for nomination as required to be set forth by this Section 2.5 and Section 2.6 and (3) provide any updates or supplements to such notice at the times and in the forms required by this Section 2.5 and Section 2.6.</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(ii) 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(i) provide timely notice thereof in writing and in proper form to the Secretary of the Corporation at the Secretary of the Corporation, (ii) provide the information with respect to such stockholder, any Nominating Person and the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(iii) In no event shall any adjournment or postponement of an annual meeting or special meeting or the announcement thereof commence a new time period (or extend any time period) for the giving of a stockholder’s notice as described above.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(iv) In no event may a Nominating Person provide Timely Notice with respect to a greater number of director candidates than are subject to election by stockholders at the applicable meeting. If the Corporation shall, subsequent to such notice, increase the number of directors subject to election at the meeting, such notice but only with respect to any additional nominees shall be due on the later of (i) the conclusion of the time period for Timely Notice for annual meetings or the date set forth in Section 2.5(b)(ii) for special meetings or (ii) the tenth day following the date of public disclosure (as defined in Section 2.4) of such increase.</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(c)To be in proper form for purposes of this Section 2.5, a stockholder’s notice to the Secretary shall set forth:</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w:t>
      </w:r>
      <w:r>
        <w:rPr>
          <w:rFonts w:ascii="Times New Roman;Times;serif" w:hAnsi="Times New Roman;Times;serif"/>
          <w:sz w:val="24"/>
        </w:rPr>
        <w:t>As to each Nominating Person (as defined below), the Stockholder Information (as defined in Section 2.4(c)(i), except that for purposes of this Section 2.5 the term “Nominating Person” shall be substituted for the term “Proposing Person” in all places it appears in Section 2.4(c)(i));</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w:t>
      </w:r>
      <w:r>
        <w:rPr>
          <w:rFonts w:ascii="Times New Roman;Times;serif" w:hAnsi="Times New Roman;Times;serif"/>
          <w:sz w:val="24"/>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of persons for election to the Board at the meeting) and a representation whether any Nominating Person intends or is part of a group which intends to solicit proxies in support of any proposed nominee in accordance with Rule 14a-19 promulgated under the Exchange Act; and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(B) a description of any direct or indirect material interest in any material contract or agreement between or among any Nominating Person, on the one hand, and each candidate for nomination or his or her respective associates (as defined in Rule 405 under the Securities Act of 1933, as amended)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“Nominee Information”), and (C) a completed and signed questionnaire, representation and agreement as provided in Section 2.6(a).</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For purposes of this Section 2.5,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(as defined in paragraphs (a)(ii)-(vi) of Instruction 3 to Item 4 of Schedule 14A) with such stockholder in such solicitation.</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 xml:space="preserve">(d)A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(e)In addition to the requirements of this Section 2.5 with respect to any nomination proposed to be made at a meeting, each Nominating Person shall comply with all applicable requirements of the Exchange Act with respect to any such nominations.  </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(f)Notwithstanding anything to the contrary in these Bylaws, unless otherwise required by law, if any Nominating Person (i) provides notice pursuant to Rule 14a-19(b) promulgated under the Exchange Act with respect to any proposed nominee and (ii) subsequently fails to comply with the requirements of Rule 14a-19 promulgated under the Exchange Act (or fails to timely provide reasonable evidence sufficient to satisfy the Corporation that such stockholder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five (5) business days prior to the applicable meeting, reasonable evidence that such Nominating Person has met the requirements of Rule 14a-19(a)(3) promulgated under the Exchange Act.</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(g)Any stockholder directly or indirectly soliciting proxies from other stockholders must use a proxy card color other than white, which shall be reserved for the exclusive use by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2.6</w:t>
      </w:r>
      <w:r>
        <w:rPr>
          <w:rFonts w:ascii="Times New Roman;Times;serif" w:hAnsi="Times New Roman;Times;serif"/>
          <w:sz w:val="24"/>
          <w:u w:val="single"/>
        </w:rPr>
        <w:t>Additional Requirements for Valid Nomination of Candidates to Serve as Director and, if Elected, to be Seated as Directors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 xml:space="preserve">(a)To be eligible to be a candidate for election as a director of the Corporation at an annual or special meeting, a candidate must be nominated in the manner prescribed in Section 2.5 and the candidate for nomination, whether nominated by the Board of Directors or by a stockholder of record, must have previously delivered (with respect to nominations by stockholders pursuant to Section 2.5, within the time period for delivery of the stockholder’s notice pursuant to Section 2.5), to the Secretary at the principal executive offices of the Corporation, (i) a completed written questionnaire (in a form provided by the Corporation upon written request of any stockholder of record within 10 days of such request) with respect to the background, qualifications, stock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(ii) a written representation and agreement (in form provided by the Corporation upon written request of any stockholder of record within 10 days of such request)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that has not been disclosed to the Corporation (a “Voting Commitment”)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upon written request of any stockholder of record within 10 days of such request), (D) if elected as director of the Corporation, intends to serve the entire term until the next meeting at which such candidate would face re-election and (E) consents to being named as a nominee in the Corporation’s proxy statement pursuant to Rule 14a-4(d) under the Exchange Act and any associated proxy card of the Corporation and agrees to serve if elected as a director.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Corporation may also require any proposed candidate for nomination as a Director to furnish such other information as may reasonably be requested by the Corporation in writing prior to the meeting of stockholders at which such candidate’s nomination is to be acted upon in order to determine whether such candidate for nomination is qualified under the Certificate of Incorporation, these Bylaws, the rules or regulations of any stock exchange applicable to the Corporation, or any law or regulation applicable to the Corporation to serve as a director and/or independent director of the 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(d)</w:t>
      </w:r>
      <w:r>
        <w:rPr>
          <w:rFonts w:ascii="Times New Roman;Times;serif" w:hAnsi="Times New Roman;Times;serif"/>
          <w:sz w:val="24"/>
        </w:rPr>
        <w:t>No candidate shall be eligible for nomination as a director of the Corporation unless such nomination was made in accordance with Section 2.5 and this Section 2.6, as applicable.  The presiding officer at the meeting (or, in advance of any meeting of stockholders, the Board or an authorized committee thereof) shall, if the facts warrant, determine that a nomination was not properly made in accordance with Section 2.5 and this Section 2.6, and if it should be so determined, it shall be declared to the meeting and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Notwithstanding anything in these Bylaws to the contrary, no candidate for nomination shall be eligible to be seated as a director of the Corporation unless nominated in accordance with Section 2.5 and this Section 2.6.  Nothing in this Section 2.5 or Section 2.6 shall be deemed to affect any rights of the holders of any series of Preferred Stock to elect directors pursuant to any applicable provisions of the Certificate of Incorporation.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2.7</w:t>
      </w:r>
      <w:r>
        <w:rPr>
          <w:rFonts w:ascii="Times New Roman;Times;serif" w:hAnsi="Times New Roman;Times;serif"/>
          <w:sz w:val="24"/>
          <w:u w:val="single"/>
        </w:rPr>
        <w:t>Notice of Stockholders’ Meetings</w:t>
      </w:r>
      <w:r>
        <w:rPr>
          <w:rFonts w:ascii="Times New Roman;Times;serif" w:hAnsi="Times New Roman;Times;serif"/>
          <w:sz w:val="24"/>
        </w:rPr>
        <w:t>.</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2.8</w:t>
      </w:r>
      <w:r>
        <w:rPr>
          <w:rFonts w:ascii="Times New Roman;Times;serif" w:hAnsi="Times New Roman;Times;serif"/>
          <w:sz w:val="24"/>
          <w:u w:val="single"/>
        </w:rPr>
        <w:t>Quorum</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Unless otherwise provided by law, the Certificate of Incorporation or these Bylaws, the holders of a majority in voting power of the stock issued and outstanding and entitled to vote, present in person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power to adjourn the meeting from time to time in the manner provided in Section 2.9 of these Bylaws until a quorum is present or represented.   At any adjourned meeting at which a quorum is present or represented, any business may be transacted that might have been transacted at the meeting as originally noticed.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2.9</w:t>
      </w:r>
      <w:r>
        <w:rPr>
          <w:rFonts w:ascii="Times New Roman;Times;serif" w:hAnsi="Times New Roman;Times;serif"/>
          <w:sz w:val="24"/>
          <w:u w:val="single"/>
        </w:rPr>
        <w:t>Adjourned Meeting; Notice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When a meeting is adjourned to another time or place,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2.10</w:t>
      </w:r>
      <w:r>
        <w:rPr>
          <w:rFonts w:ascii="Times New Roman;Times;serif" w:hAnsi="Times New Roman;Times;serif"/>
          <w:sz w:val="24"/>
          <w:u w:val="single"/>
        </w:rPr>
        <w:t>Conduct of Business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4"/>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w:t>
      </w:r>
      <w:bookmarkStart w:id="2405" w:name="_Hlk190983083"/>
      <w:bookmarkEnd w:id="2405"/>
      <w:r>
        <w:rPr>
          <w:rFonts w:ascii="Times New Roman;Times;serif" w:hAnsi="Times New Roman;Times;serif"/>
          <w:sz w:val="24"/>
        </w:rPr>
        <w:t xml:space="preserve">(or, in advance of any meeting of stockholders, the Board or an authorized committee thereof),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2.11</w:t>
      </w:r>
      <w:r>
        <w:rPr>
          <w:rFonts w:ascii="Times New Roman;Times;serif" w:hAnsi="Times New Roman;Times;serif"/>
          <w:sz w:val="24"/>
          <w:u w:val="single"/>
        </w:rPr>
        <w:t>Voting</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Except as may be otherwise provided in the Certificate of Incorporation, each stockholder shall be entitled to one (1) vote for each share of capital stock held by such stockholder.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which do not count as votes cast) on such matter.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2.12</w:t>
      </w:r>
      <w:r>
        <w:rPr>
          <w:rFonts w:ascii="Times New Roman;Times;serif" w:hAnsi="Times New Roman;Times;serif"/>
          <w:sz w:val="24"/>
          <w:u w:val="single"/>
        </w:rPr>
        <w:t>Record Date for Stockholder Meetings, Stockholder Action by Consent and Other Purposes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Unless otherwise restricted by the Certificate of Incorporation, in order that the Corporation may determine the stockholders entitled to express consent to corporate action without a meeting,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2.13</w:t>
      </w:r>
      <w:r>
        <w:rPr>
          <w:rFonts w:ascii="Times New Roman;Times;serif" w:hAnsi="Times New Roman;Times;serif"/>
          <w:sz w:val="24"/>
          <w:u w:val="single"/>
        </w:rPr>
        <w:t>Proxies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2.14</w:t>
      </w:r>
      <w:r>
        <w:rPr>
          <w:rFonts w:ascii="Times New Roman;Times;serif" w:hAnsi="Times New Roman;Times;serif"/>
          <w:sz w:val="24"/>
          <w:u w:val="single"/>
        </w:rPr>
        <w:t>List of Stockholders Entitled to Vote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4"/>
        </w:rPr>
        <w:t>The Corporation shall prepare, no later than the tenth (10</w:t>
      </w:r>
      <w:r>
        <w:rPr>
          <w:rFonts w:ascii="Times New Roman;Times;serif" w:hAnsi="Times New Roman;Times;serif"/>
          <w:sz w:val="18"/>
        </w:rPr>
        <w:t>th</w:t>
      </w:r>
      <w:r>
        <w:rPr>
          <w:rFonts w:ascii="Times New Roman;Times;serif" w:hAnsi="Times New Roman;Times;serif"/>
          <w:sz w:val="24"/>
        </w:rPr>
        <w:t xml:space="preserve">)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2.15</w:t>
      </w:r>
      <w:r>
        <w:rPr>
          <w:rFonts w:ascii="Times New Roman;Times;serif" w:hAnsi="Times New Roman;Times;serif"/>
          <w:sz w:val="24"/>
          <w:u w:val="single"/>
        </w:rPr>
        <w:t>Inspectors of Election</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Such inspectors shall:</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w:t>
      </w:r>
      <w:r>
        <w:rPr>
          <w:rFonts w:ascii="Times New Roman;Times;serif" w:hAnsi="Times New Roman;Times;serif"/>
          <w:sz w:val="24"/>
        </w:rPr>
        <w:t>determine the number of shares outstanding and the voting power of each, the number of shares represented at the meeting and the validity of any proxies and ballots;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w:t>
      </w:r>
      <w:r>
        <w:rPr>
          <w:rFonts w:ascii="Times New Roman;Times;serif" w:hAnsi="Times New Roman;Times;serif"/>
          <w:sz w:val="24"/>
        </w:rPr>
        <w:t>count all votes or ballots;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 xml:space="preserve">(iii) </w:t>
      </w:r>
      <w:r>
        <w:rPr>
          <w:rFonts w:ascii="Times New Roman;Times;serif" w:hAnsi="Times New Roman;Times;serif"/>
          <w:sz w:val="24"/>
        </w:rPr>
        <w:t>count and tabulate all votes;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(iv)</w:t>
      </w:r>
      <w:r>
        <w:rPr>
          <w:rFonts w:ascii="Times New Roman;Times;serif" w:hAnsi="Times New Roman;Times;serif"/>
          <w:sz w:val="24"/>
        </w:rPr>
        <w:t>determine and retain for a reasonable period a record of the disposition of any challenges made to any determination by the inspector(s); and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(v)</w:t>
      </w:r>
      <w:r>
        <w:rPr>
          <w:rFonts w:ascii="Times New Roman;Times;serif" w:hAnsi="Times New Roman;Times;serif"/>
          <w:sz w:val="24"/>
        </w:rPr>
        <w:t>certify its or their determination of the number of shares represented at the meeting and its or their count of all votes and ballots.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2.16</w:t>
      </w:r>
      <w:r>
        <w:rPr>
          <w:rFonts w:ascii="Times New Roman;Times;serif" w:hAnsi="Times New Roman;Times;serif"/>
          <w:sz w:val="24"/>
          <w:u w:val="single"/>
        </w:rPr>
        <w:t>Delivery to the Corporation</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Whenever Sections 2.4, 2.5 or 2.6 of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the Corporation required by Sections 2.4, 2.5 or 2.6 this Article II.</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III - Directors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3.1</w:t>
      </w:r>
      <w:r>
        <w:rPr>
          <w:rFonts w:ascii="Times New Roman;Times;serif" w:hAnsi="Times New Roman;Times;serif"/>
          <w:sz w:val="22"/>
        </w:rPr>
        <w:t xml:space="preserve"> </w:t>
      </w:r>
      <w:r>
        <w:rPr>
          <w:rFonts w:ascii="Times New Roman;Times;serif" w:hAnsi="Times New Roman;Times;serif"/>
          <w:sz w:val="24"/>
          <w:u w:val="single"/>
        </w:rPr>
        <w:t>Powers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Except as otherwise provided by the Certificate of Incorporation or the DGCL, the business and affairs of the Corporation shall be managed by or under the direction of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Number of Directors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3.3</w:t>
      </w:r>
      <w:r>
        <w:rPr>
          <w:rFonts w:ascii="Times New Roman;Times;serif" w:hAnsi="Times New Roman;Times;serif"/>
          <w:sz w:val="24"/>
          <w:u w:val="single"/>
        </w:rPr>
        <w:t>Election, Qualification and Term of Office of Directors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3.4</w:t>
      </w:r>
      <w:r>
        <w:rPr>
          <w:rFonts w:ascii="Times New Roman;Times;serif" w:hAnsi="Times New Roman;Times;serif"/>
          <w:sz w:val="24"/>
          <w:u w:val="single"/>
        </w:rPr>
        <w:t>Resignation and Vacancies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3.5</w:t>
      </w:r>
      <w:r>
        <w:rPr>
          <w:rFonts w:ascii="Times New Roman;Times;serif" w:hAnsi="Times New Roman;Times;serif"/>
          <w:sz w:val="24"/>
          <w:u w:val="single"/>
        </w:rPr>
        <w:t>Place of Meetings; Meetings by Telephone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may hold meetings, both regular and special, either within or outside the State of Delaware.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3.6</w:t>
      </w:r>
      <w:r>
        <w:rPr>
          <w:rFonts w:ascii="Times New Roman;Times;serif" w:hAnsi="Times New Roman;Times;serif"/>
          <w:sz w:val="24"/>
          <w:u w:val="single"/>
        </w:rPr>
        <w:t>Regular Meetings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or by electronic mail or other means of electronic transmission.  No further notice shall be required for regular meetings of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3.7</w:t>
      </w:r>
      <w:r>
        <w:rPr>
          <w:rFonts w:ascii="Times New Roman;Times;serif" w:hAnsi="Times New Roman;Times;serif"/>
          <w:sz w:val="24"/>
          <w:u w:val="single"/>
        </w:rPr>
        <w:t>Special Meetings; Notice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Special meetings of the Board for any purpose or purposes may be called at any time by the chairperson of the Board, the Chief Executive Officer, the President, the Secretary or a majority of the total number of directors constituting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Notice of the time and place of special meetings shall be:</w:t>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 xml:space="preserve">(i) </w:t>
      </w:r>
      <w:r>
        <w:rPr>
          <w:rFonts w:ascii="Times New Roman;Times;serif" w:hAnsi="Times New Roman;Times;serif"/>
          <w:sz w:val="24"/>
        </w:rPr>
        <w:t>delivered personally by hand, by courier or by telephone;</w:t>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w:t>
      </w:r>
      <w:r>
        <w:rPr>
          <w:rFonts w:ascii="Times New Roman;Times;serif" w:hAnsi="Times New Roman;Times;serif"/>
          <w:sz w:val="24"/>
        </w:rPr>
        <w:t>sent by United States first-class mail, postage prepaid;</w:t>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(iii)</w:t>
      </w:r>
      <w:r>
        <w:rPr>
          <w:rFonts w:ascii="Times New Roman;Times;serif" w:hAnsi="Times New Roman;Times;serif"/>
          <w:sz w:val="24"/>
        </w:rPr>
        <w:t>sent by facsimile or electronic mail; or</w:t>
      </w:r>
    </w:p>
    <w:p>
      <w:pPr>
        <w:pStyle w:val="TextBody"/>
        <w:bidi w:val="0"/>
        <w:spacing w:lineRule="auto" w:line="285" w:before="0" w:after="0"/>
        <w:ind w:left="0" w:right="0" w:hanging="0"/>
        <w:jc w:val="both"/>
        <w:rPr/>
      </w:pPr>
      <w:r>
        <w:rPr/>
        <w:t>​</w:t>
      </w:r>
    </w:p>
    <w:p>
      <w:pPr>
        <w:pStyle w:val="TextBody"/>
        <w:bidi w:val="0"/>
        <w:spacing w:lineRule="auto" w:line="285"/>
        <w:ind w:left="1440" w:right="0" w:hanging="0"/>
        <w:jc w:val="both"/>
        <w:rPr>
          <w:rFonts w:ascii="Times New Roman;Times;serif" w:hAnsi="Times New Roman;Times;serif"/>
          <w:sz w:val="24"/>
        </w:rPr>
      </w:pPr>
      <w:r>
        <w:rPr>
          <w:rFonts w:ascii="Times New Roman;Times;serif" w:hAnsi="Times New Roman;Times;serif"/>
          <w:sz w:val="24"/>
        </w:rPr>
        <w:t>(iv)sent by other means of electronic transmission,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directed to each director at that director’s address, telephone number, facsimile number or electronic mail address, or other address for electronic transmission, as the case may be, as shown on the Corporation’s records.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3.8</w:t>
      </w:r>
      <w:r>
        <w:rPr>
          <w:rFonts w:ascii="Times New Roman;Times;serif" w:hAnsi="Times New Roman;Times;serif"/>
          <w:sz w:val="24"/>
          <w:u w:val="single"/>
        </w:rPr>
        <w:t>Quorum</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3.9</w:t>
      </w:r>
      <w:r>
        <w:rPr>
          <w:rFonts w:ascii="Times New Roman;Times;serif" w:hAnsi="Times New Roman;Times;serif"/>
          <w:sz w:val="24"/>
          <w:u w:val="single"/>
        </w:rPr>
        <w:t>Board Action without a Meeting</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3.10</w:t>
      </w:r>
      <w:r>
        <w:rPr>
          <w:rFonts w:ascii="Times New Roman;Times;serif" w:hAnsi="Times New Roman;Times;serif"/>
          <w:sz w:val="24"/>
          <w:u w:val="single"/>
        </w:rPr>
        <w:t>Fees and Compensation of Directors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Unless otherwise restricted by the Certificate of Incorporation or these Bylaws, the Board shall have the authority to fix the compensation, including fees and reimbursement of expenses, of directors for services to the Corporation in any capacity.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IV - Committees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4"/>
        </w:rPr>
        <w:t>4.1</w:t>
      </w:r>
      <w:r>
        <w:rPr>
          <w:rFonts w:ascii="Times New Roman;Times;serif" w:hAnsi="Times New Roman;Times;serif"/>
          <w:sz w:val="24"/>
          <w:u w:val="single"/>
        </w:rPr>
        <w:t>Committees of Directors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applicable law or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4.2</w:t>
      </w:r>
      <w:r>
        <w:rPr>
          <w:rFonts w:ascii="Times New Roman;Times;serif" w:hAnsi="Times New Roman;Times;serif"/>
          <w:sz w:val="24"/>
          <w:u w:val="single"/>
        </w:rPr>
        <w:t>Committee Minutes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Each committee shall keep regular minutes of its meetings and report the same to the Board when required.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4.3</w:t>
      </w:r>
      <w:r>
        <w:rPr>
          <w:rFonts w:ascii="Times New Roman;Times;serif" w:hAnsi="Times New Roman;Times;serif"/>
          <w:sz w:val="24"/>
          <w:u w:val="single"/>
        </w:rPr>
        <w:t>Meetings and Actions of Committees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Meetings and actions of committees shall be governed by, and held and taken in accordance with, the provisions of:</w:t>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w:t>
      </w:r>
      <w:r>
        <w:rPr>
          <w:rFonts w:ascii="Times New Roman;Times;serif" w:hAnsi="Times New Roman;Times;serif"/>
          <w:sz w:val="24"/>
        </w:rPr>
        <w:t>Section 3.5 (place of meetings; meetings by telephone);</w:t>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w:t>
      </w:r>
      <w:r>
        <w:rPr>
          <w:rFonts w:ascii="Times New Roman;Times;serif" w:hAnsi="Times New Roman;Times;serif"/>
          <w:sz w:val="24"/>
        </w:rPr>
        <w:t>Section 3.6 (regular meetings);</w:t>
      </w:r>
    </w:p>
    <w:p>
      <w:pPr>
        <w:pStyle w:val="TextBody"/>
        <w:bidi w:val="0"/>
        <w:spacing w:lineRule="auto" w:line="285" w:before="0" w:after="0"/>
        <w:ind w:left="0" w:right="0" w:hanging="0"/>
        <w:jc w:val="both"/>
        <w:rPr/>
      </w:pPr>
      <w:r>
        <w:rPr/>
        <w:t>​</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(iii)</w:t>
      </w:r>
      <w:r>
        <w:rPr>
          <w:rFonts w:ascii="Times New Roman;Times;serif" w:hAnsi="Times New Roman;Times;serif"/>
          <w:sz w:val="24"/>
        </w:rPr>
        <w:t>Section 3.7 (special meetings; notice);</w:t>
      </w:r>
    </w:p>
    <w:p>
      <w:pPr>
        <w:pStyle w:val="TextBody"/>
        <w:bidi w:val="0"/>
        <w:spacing w:lineRule="auto" w:line="285" w:before="0" w:after="0"/>
        <w:ind w:left="0" w:right="0" w:hanging="0"/>
        <w:jc w:val="both"/>
        <w:rPr/>
      </w:pPr>
      <w:r>
        <w:rPr/>
        <w:t>​</w:t>
      </w:r>
    </w:p>
    <w:tbl>
      <w:tblPr>
        <w:tblW w:w="5058" w:type="dxa"/>
        <w:jc w:val="left"/>
        <w:tblInd w:w="0" w:type="dxa"/>
        <w:tblLayout w:type="fixed"/>
        <w:tblCellMar>
          <w:top w:w="0" w:type="dxa"/>
          <w:left w:w="0" w:type="dxa"/>
          <w:bottom w:w="0" w:type="dxa"/>
          <w:right w:w="0" w:type="dxa"/>
        </w:tblCellMar>
      </w:tblPr>
      <w:tblGrid>
        <w:gridCol w:w="23"/>
        <w:gridCol w:w="350"/>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(iv)</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 3.9 (board action without a meeting); and</w:t>
            </w:r>
          </w:p>
        </w:tc>
      </w:tr>
    </w:tbl>
    <w:p>
      <w:pPr>
        <w:pStyle w:val="TextBody"/>
        <w:bidi w:val="0"/>
        <w:spacing w:lineRule="auto" w:line="285" w:before="0" w:after="0"/>
        <w:ind w:left="0" w:right="0" w:hanging="0"/>
        <w:jc w:val="both"/>
        <w:rPr/>
      </w:pPr>
      <w:r>
        <w:rPr/>
        <w:t>​</w:t>
      </w:r>
    </w:p>
    <w:tbl>
      <w:tblPr>
        <w:tblW w:w="3318" w:type="dxa"/>
        <w:jc w:val="left"/>
        <w:tblInd w:w="0" w:type="dxa"/>
        <w:tblLayout w:type="fixed"/>
        <w:tblCellMar>
          <w:top w:w="0" w:type="dxa"/>
          <w:left w:w="0" w:type="dxa"/>
          <w:bottom w:w="0" w:type="dxa"/>
          <w:right w:w="0" w:type="dxa"/>
        </w:tblCellMar>
      </w:tblPr>
      <w:tblGrid>
        <w:gridCol w:w="23"/>
        <w:gridCol w:w="290"/>
        <w:gridCol w:w="300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 7.13 (waiver of notice),</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with such changes in the context of those Bylaws as are necessary to substitute the committee and its members for the Board and its members.  However: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time of regular meetings of committees may be determined either by resolution of the Board or by resolution of the committee;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w:t>
      </w:r>
      <w:r>
        <w:rPr>
          <w:rFonts w:ascii="Times New Roman;Times;serif" w:hAnsi="Times New Roman;Times;serif"/>
          <w:sz w:val="24"/>
        </w:rPr>
        <w:t>special meetings of committees may also be called by resolution of the Board or the chairperson of the applicable committee; and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(iii)</w:t>
      </w:r>
      <w:r>
        <w:rPr>
          <w:rFonts w:ascii="Times New Roman;Times;serif" w:hAnsi="Times New Roman;Times;serif"/>
          <w:sz w:val="22"/>
        </w:rPr>
        <w:t xml:space="preserve"> </w:t>
      </w:r>
      <w:r>
        <w:rPr>
          <w:rFonts w:ascii="Times New Roman;Times;serif" w:hAnsi="Times New Roman;Times;serif"/>
          <w:sz w:val="24"/>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4.4</w:t>
      </w:r>
      <w:r>
        <w:rPr>
          <w:rFonts w:ascii="Times New Roman;Times;serif" w:hAnsi="Times New Roman;Times;serif"/>
          <w:sz w:val="24"/>
          <w:u w:val="single"/>
        </w:rPr>
        <w:t>Subcommittees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V - Officers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Officers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one (1) or more Assistant Secretaries, and any such other officers as may be appointed in accordance with the provisions of these Bylaws.  Any number of offices may be held by the same person.  No officer need be a stockholder or director of the 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Appointment of Officers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shall appoint the officers of the Corporation, except such officers as may be appointed in accordance with the provisions of Section 5.3 of these Bylaws.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 xml:space="preserve">5.3 </w:t>
      </w:r>
      <w:r>
        <w:rPr>
          <w:rFonts w:ascii="Times New Roman;Times;serif" w:hAnsi="Times New Roman;Times;serif"/>
          <w:sz w:val="24"/>
          <w:u w:val="single"/>
        </w:rPr>
        <w:t>Subordinate Officers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5.4</w:t>
      </w:r>
      <w:r>
        <w:rPr>
          <w:rFonts w:ascii="Times New Roman;Times;serif" w:hAnsi="Times New Roman;Times;serif"/>
          <w:sz w:val="24"/>
          <w:u w:val="single"/>
        </w:rPr>
        <w:t>Removal and Resignation of Officers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Any officer may resign at any time by giving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5.5</w:t>
      </w:r>
      <w:r>
        <w:rPr>
          <w:rFonts w:ascii="Times New Roman;Times;serif" w:hAnsi="Times New Roman;Times;serif"/>
          <w:sz w:val="24"/>
          <w:u w:val="single"/>
        </w:rPr>
        <w:t>Vacancies in Offices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Any vacancy occurring in any office of the Corporation shall be filled by the Board or as provided in Section 5.2.</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5.6</w:t>
      </w:r>
      <w:r>
        <w:rPr>
          <w:rFonts w:ascii="Times New Roman;Times;serif" w:hAnsi="Times New Roman;Times;serif"/>
          <w:sz w:val="24"/>
          <w:u w:val="single"/>
        </w:rPr>
        <w:t>Representation of Shares of Other Corporations.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entity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5.7</w:t>
      </w:r>
      <w:r>
        <w:rPr>
          <w:rFonts w:ascii="Times New Roman;Times;serif" w:hAnsi="Times New Roman;Times;serif"/>
          <w:sz w:val="24"/>
          <w:u w:val="single"/>
        </w:rPr>
        <w:t>Authority and Duties of Officers</w:t>
      </w: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 xml:space="preserve">5.8 </w:t>
      </w:r>
      <w:r>
        <w:rPr>
          <w:rFonts w:ascii="Times New Roman;Times;serif" w:hAnsi="Times New Roman;Times;serif"/>
          <w:sz w:val="24"/>
          <w:u w:val="single"/>
        </w:rPr>
        <w:t>Compensation</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VI - Records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VII - General Matters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7.1</w:t>
      </w:r>
      <w:r>
        <w:rPr>
          <w:rFonts w:ascii="Times New Roman;Times;serif" w:hAnsi="Times New Roman;Times;serif"/>
          <w:sz w:val="24"/>
          <w:u w:val="single"/>
        </w:rPr>
        <w:t>Execution of Corporate Contracts and Instruments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7.2</w:t>
      </w:r>
      <w:r>
        <w:rPr>
          <w:rFonts w:ascii="Times New Roman;Times;serif" w:hAnsi="Times New Roman;Times;serif"/>
          <w:sz w:val="24"/>
          <w:u w:val="single"/>
        </w:rPr>
        <w:t>Stock Certificates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7.3</w:t>
      </w:r>
      <w:r>
        <w:rPr>
          <w:rFonts w:ascii="Times New Roman;Times;serif" w:hAnsi="Times New Roman;Times;serif"/>
          <w:sz w:val="24"/>
          <w:u w:val="single"/>
        </w:rPr>
        <w:t>Special Designation of Certificates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7.4</w:t>
      </w:r>
      <w:r>
        <w:rPr>
          <w:rFonts w:ascii="Times New Roman;Times;serif" w:hAnsi="Times New Roman;Times;serif"/>
          <w:sz w:val="24"/>
          <w:u w:val="single"/>
        </w:rPr>
        <w:t>Lost Certificates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7.5</w:t>
      </w:r>
      <w:r>
        <w:rPr>
          <w:rFonts w:ascii="Times New Roman;Times;serif" w:hAnsi="Times New Roman;Times;serif"/>
          <w:sz w:val="24"/>
          <w:u w:val="single"/>
        </w:rPr>
        <w:t>Shares Without Certificates</w:t>
      </w: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7.6</w:t>
      </w:r>
      <w:r>
        <w:rPr>
          <w:rFonts w:ascii="Times New Roman;Times;serif" w:hAnsi="Times New Roman;Times;serif"/>
          <w:sz w:val="24"/>
          <w:u w:val="single"/>
        </w:rPr>
        <w:t>Construction; Definitions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7.7</w:t>
      </w:r>
      <w:r>
        <w:rPr>
          <w:rFonts w:ascii="Times New Roman;Times;serif" w:hAnsi="Times New Roman;Times;serif"/>
          <w:sz w:val="24"/>
          <w:u w:val="single"/>
        </w:rPr>
        <w:t>Dividends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7.8</w:t>
      </w:r>
      <w:r>
        <w:rPr>
          <w:rFonts w:ascii="Times New Roman;Times;serif" w:hAnsi="Times New Roman;Times;serif"/>
          <w:sz w:val="24"/>
          <w:u w:val="single"/>
        </w:rPr>
        <w:t>Fiscal Year</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fiscal year of the Corporation shall be fixed by resolution of the Board and may be changed by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7.9</w:t>
      </w:r>
      <w:r>
        <w:rPr>
          <w:rFonts w:ascii="Times New Roman;Times;serif" w:hAnsi="Times New Roman;Times;serif"/>
          <w:sz w:val="24"/>
          <w:u w:val="single"/>
        </w:rPr>
        <w:t>Seal</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may adopt a corporate seal, which shall be adopted and which may be altered by the Board.  The Corporation may use the corporate seal by causing it or a facsimile thereof to be impressed or affixed or in any other manner reproduced.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7.10</w:t>
      </w:r>
      <w:r>
        <w:rPr>
          <w:rFonts w:ascii="Times New Roman;Times;serif" w:hAnsi="Times New Roman;Times;serif"/>
          <w:sz w:val="24"/>
          <w:u w:val="single"/>
        </w:rPr>
        <w:t>Transfer of Stock</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7.11</w:t>
      </w:r>
      <w:r>
        <w:rPr>
          <w:rFonts w:ascii="Times New Roman;Times;serif" w:hAnsi="Times New Roman;Times;serif"/>
          <w:sz w:val="24"/>
          <w:u w:val="single"/>
        </w:rPr>
        <w:t>Stock Transfer Agreements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7.12</w:t>
      </w:r>
      <w:r>
        <w:rPr>
          <w:rFonts w:ascii="Times New Roman;Times;serif" w:hAnsi="Times New Roman;Times;serif"/>
          <w:sz w:val="24"/>
          <w:u w:val="single"/>
        </w:rPr>
        <w:t>Registered Stockholders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(i)shall be entitled to recognize the exclusive right of a person registered on its books as the owner of shares to receive dividends and to vote as such owner; and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(ii)</w:t>
      </w:r>
      <w:r>
        <w:rPr>
          <w:rFonts w:ascii="Times New Roman;Times;serif" w:hAnsi="Times New Roman;Times;serif"/>
          <w:sz w:val="24"/>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7.13</w:t>
      </w:r>
      <w:r>
        <w:rPr>
          <w:rFonts w:ascii="Times New Roman;Times;serif" w:hAnsi="Times New Roman;Times;serif"/>
          <w:sz w:val="24"/>
          <w:u w:val="single"/>
        </w:rPr>
        <w:t>Waiver of Notice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VIII - Notice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8.1</w:t>
      </w:r>
      <w:r>
        <w:rPr>
          <w:rFonts w:ascii="Times New Roman;Times;serif" w:hAnsi="Times New Roman;Times;serif"/>
          <w:sz w:val="24"/>
          <w:u w:val="single"/>
        </w:rPr>
        <w:t>Delivery of Notice; Notice by Electronic Transmission</w:t>
      </w:r>
      <w:r>
        <w:rPr>
          <w:rFonts w:ascii="Times New Roman;Times;serif" w:hAnsi="Times New Roman;Times;serif"/>
          <w:sz w:val="24"/>
        </w:rPr>
        <w:t>.</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objection to receiving notice by electronic mail.  A notice by electronic mail must include a prominent legend that the communication is an important notice regarding the Corporation.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Any notice given pursuant to the preceding paragraph shall be deemed given:</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(i)</w:t>
            </w:r>
          </w:p>
        </w:tc>
        <w:tc>
          <w:tcPr>
            <w:tcW w:w="9963"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if by facsimile telecommunication, when directed to a number at which the stockholder has consented to receive notice;</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(ii)</w:t>
            </w:r>
          </w:p>
        </w:tc>
        <w:tc>
          <w:tcPr>
            <w:tcW w:w="9929"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if by a posting on an electronic network together with separate notice to the stockholder of such specific posting, upon the later of (A) such posting and (B) the giving of such separate notice; and</w:t>
            </w:r>
          </w:p>
        </w:tc>
      </w:tr>
    </w:tbl>
    <w:p>
      <w:pPr>
        <w:pStyle w:val="TextBody"/>
        <w:bidi w:val="0"/>
        <w:spacing w:lineRule="auto" w:line="285" w:before="0" w:after="0"/>
        <w:ind w:left="0" w:right="0" w:hanging="0"/>
        <w:jc w:val="both"/>
        <w:rPr/>
      </w:pPr>
      <w:r>
        <w:rPr/>
        <w:t>​</w:t>
      </w:r>
    </w:p>
    <w:tbl>
      <w:tblPr>
        <w:tblW w:w="7998" w:type="dxa"/>
        <w:jc w:val="left"/>
        <w:tblInd w:w="0" w:type="dxa"/>
        <w:tblLayout w:type="fixed"/>
        <w:tblCellMar>
          <w:top w:w="0" w:type="dxa"/>
          <w:left w:w="0" w:type="dxa"/>
          <w:bottom w:w="0" w:type="dxa"/>
          <w:right w:w="0" w:type="dxa"/>
        </w:tblCellMar>
      </w:tblPr>
      <w:tblGrid>
        <w:gridCol w:w="23"/>
        <w:gridCol w:w="350"/>
        <w:gridCol w:w="762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(iii)</w:t>
            </w:r>
          </w:p>
        </w:tc>
        <w:tc>
          <w:tcPr>
            <w:tcW w:w="7625"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if by any other form of electronic transmission, when directed to the stockholder.</w:t>
            </w:r>
          </w:p>
        </w:tc>
      </w:tr>
    </w:tbl>
    <w:p>
      <w:pPr>
        <w:pStyle w:val="TextBody"/>
        <w:pBdr/>
        <w:bidi w:val="0"/>
        <w:spacing w:lineRule="auto" w:line="285" w:before="0" w:after="0"/>
        <w:ind w:left="1440" w:right="0" w:hanging="72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IX - Indemnification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9.1</w:t>
      </w:r>
      <w:r>
        <w:rPr>
          <w:rFonts w:ascii="Times New Roman;Times;serif" w:hAnsi="Times New Roman;Times;serif"/>
          <w:sz w:val="24"/>
          <w:u w:val="single"/>
        </w:rPr>
        <w:t>Indemnification of Directors and Officers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Corporation shall indemnify and hold harmless, to the fullest extent permitted by the DGCL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9.2</w:t>
      </w:r>
      <w:r>
        <w:rPr>
          <w:rFonts w:ascii="Times New Roman;Times;serif" w:hAnsi="Times New Roman;Times;serif"/>
          <w:sz w:val="24"/>
          <w:u w:val="single"/>
        </w:rPr>
        <w:t>Indemnification of Others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9.3</w:t>
      </w:r>
      <w:r>
        <w:rPr>
          <w:rFonts w:ascii="Times New Roman;Times;serif" w:hAnsi="Times New Roman;Times;serif"/>
          <w:sz w:val="24"/>
          <w:u w:val="single"/>
        </w:rPr>
        <w:t>Prepayment of Expenses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9.4</w:t>
      </w:r>
      <w:r>
        <w:rPr>
          <w:rFonts w:ascii="Times New Roman;Times;serif" w:hAnsi="Times New Roman;Times;serif"/>
          <w:sz w:val="24"/>
          <w:u w:val="single"/>
        </w:rPr>
        <w:t>Determination; Claim</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9.5</w:t>
      </w:r>
      <w:r>
        <w:rPr>
          <w:rFonts w:ascii="Times New Roman;Times;serif" w:hAnsi="Times New Roman;Times;serif"/>
          <w:sz w:val="24"/>
          <w:u w:val="single"/>
        </w:rPr>
        <w:t>Non-Exclusivity of Rights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The rights conferred on any person by this Article IX shall not be exclusive of any other rights which such person may have or hereafter acquire under any statute, provision of the Certificate of Incorporation, these Bylaws, agreement, vote of stockholders or disinterested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directors or otherwise.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9.6</w:t>
      </w:r>
      <w:r>
        <w:rPr>
          <w:rFonts w:ascii="Times New Roman;Times;serif" w:hAnsi="Times New Roman;Times;serif"/>
          <w:sz w:val="24"/>
          <w:u w:val="single"/>
        </w:rPr>
        <w:t>Insurance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9.7</w:t>
      </w:r>
      <w:r>
        <w:rPr>
          <w:rFonts w:ascii="Times New Roman;Times;serif" w:hAnsi="Times New Roman;Times;serif"/>
          <w:sz w:val="24"/>
          <w:u w:val="single"/>
        </w:rPr>
        <w:t>Other Indemnification</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9.8</w:t>
      </w:r>
      <w:r>
        <w:rPr>
          <w:rFonts w:ascii="Times New Roman;Times;serif" w:hAnsi="Times New Roman;Times;serif"/>
          <w:sz w:val="24"/>
          <w:u w:val="single"/>
        </w:rPr>
        <w:t>Continuation of Indemnification</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9.9</w:t>
      </w:r>
      <w:r>
        <w:rPr>
          <w:rFonts w:ascii="Times New Roman;Times;serif" w:hAnsi="Times New Roman;Times;serif"/>
          <w:sz w:val="24"/>
          <w:u w:val="single"/>
        </w:rPr>
        <w:t>Amendment or Repeal; Interpretation</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X - Amendments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The Board is expressly empowered to adopt, amend or repeal the Bylaws of the Corporation.   The stockholders also shall have power to adopt, amend or repeal the Bylaws of the Corporation; provided, however, that such action by stockholders shall require, in addition to any other vote required by the Certificate of Incorporation or applicable law, the affirmative vote of the holders of at least a majority of the voting power of all the then-outstanding shares of voting stock of the Corporation with the power to vote generally in an election of directors, voting together as a single class.</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XI - Emergency Bylaws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11.1</w:t>
      </w:r>
      <w:r>
        <w:rPr>
          <w:rFonts w:ascii="Times New Roman;Times;serif" w:hAnsi="Times New Roman;Times;serif"/>
          <w:sz w:val="24"/>
          <w:u w:val="single"/>
        </w:rPr>
        <w:t>Emergency Bylaws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This Article XI shall be operative during any emergency, resulting from an attack on the United States or on a locality in which the Corporation conducts its business or customarily holds meetings of its Board or its stockholders, or during any nuclear or atomic disaster or during the existence of any catastrophe, including, but not limited to, an epidemic or pandemic, and a declaration of a national emergency by the United States government, or other similar emergency condition, irrespective of whether a quorum of the Board or a standing committee thereof can readily be convened for action (an “Emergency”), notwithstanding any different or conflicting provision in the these Bylaws, the Certificate of Incorporation or the General Corporation Law of the State of Delaware.   To the extent not inconsistent with the provisions of this Article XI, the other provisions of these Bylaws and the Certificate of Incorporation shall remain in effect during such Emergency, and upon termination of such Emergency, the provisions of this Article XI shall cease to be operative.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11.2</w:t>
      </w:r>
      <w:r>
        <w:rPr>
          <w:rFonts w:ascii="Times New Roman;Times;serif" w:hAnsi="Times New Roman;Times;serif"/>
          <w:sz w:val="24"/>
          <w:u w:val="single"/>
        </w:rPr>
        <w:t>Notice</w:t>
      </w: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During any Emergency, a meeting of the Board or a committee thereof may be called by any director or officer, and notice of the place and time of any such meeting of the Board or any committee may be given only to such directors as it may be feasible to reach at the time and by such means as may be feasible at the time.   Such notice shall be given at such time in advance of the meeting as, in the judgment of the person calling the meeting, circumstances permit.   No notice of such meeting need be given to the Designated Officers (as defined below) or to the officers.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11.3</w:t>
      </w:r>
      <w:r>
        <w:rPr>
          <w:rFonts w:ascii="Times New Roman;Times;serif" w:hAnsi="Times New Roman;Times;serif"/>
          <w:sz w:val="24"/>
          <w:u w:val="single"/>
        </w:rPr>
        <w:t>Quorum</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At any meeting of the Board or any committee thereof, called in accordance with Section 2, the director or directors in attendance at the meeting shall constitute a quorum.   Vacancies on the Board, or any committee thereof, may be filled by a majority vote of the directors in attendance at the meeting.   In the event that no directors are able to attend the meeting of the Board, then the Designated Officers in attendance shall serve as directors for the meeting, without any additional quorum requirement and will have full powers to act as directors of the Corporation for such meeting.   For purposes of this Article XI, “Designated Officers” means a list of officers of the Corporation who shall be deemed to be directors of the Corporation for purposes of obtaining a quorum during an Emergency if a quorum of directors cannot otherwise be obtained during such Emergency, which officers have been designated by the Board or a committee thereof, as the case may be, from time to time but in any event prior to such time or times as an Emergency may have occurred.   If the Board or a committee thereof has not approved a list of Designated Officers prior to the Emergency, then the officers of the Corporation in attendance shall serve as directors for the meeting, without any additional quorum requirement and will have full powers to act as directors of the Corporation for such meeting.</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11.4</w:t>
      </w:r>
      <w:r>
        <w:rPr>
          <w:rFonts w:ascii="Times New Roman;Times;serif" w:hAnsi="Times New Roman;Times;serif"/>
          <w:sz w:val="24"/>
          <w:u w:val="single"/>
        </w:rPr>
        <w:t>Liability</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No officer, director or employee acting in accordance with this Article XI shall be liable except for willful misconduct.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11.5</w:t>
      </w:r>
      <w:r>
        <w:rPr>
          <w:rFonts w:ascii="Times New Roman;Times;serif" w:hAnsi="Times New Roman;Times;serif"/>
          <w:sz w:val="24"/>
          <w:u w:val="single"/>
        </w:rPr>
        <w:t>Powers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Board, either before or during any Emergency, may, effective in the Emergency, change the principal executive office or designate several alternative principal executive offices or regional offices, or authorize the officers so to do.   Without limiting any powers or emergency actions that the Board may take during an Emergency, during an Emergency, the Board may take any action that it determines to be practical and necessary to address the circumstances of the Emergency including, without limitation, taking the actions with respect to stockholder meetings and dividends as provided in Section 110(i) of the General Corporation Law of the State of Delaware.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11.6</w:t>
      </w:r>
      <w:r>
        <w:rPr>
          <w:rFonts w:ascii="Times New Roman;Times;serif" w:hAnsi="Times New Roman;Times;serif"/>
          <w:sz w:val="24"/>
        </w:rPr>
        <w:t>A</w:t>
      </w:r>
      <w:r>
        <w:rPr>
          <w:rFonts w:ascii="Times New Roman;Times;serif" w:hAnsi="Times New Roman;Times;serif"/>
          <w:sz w:val="24"/>
          <w:u w:val="single"/>
        </w:rPr>
        <w:t>mendments</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At any meeting called in accordance with Section 2, the Board may modify, amend or add to the provisions of this Article XI so as to make any provision that may be practical or necessary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for the circumstances of the Emergency.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11.7</w:t>
      </w:r>
      <w:r>
        <w:rPr>
          <w:rFonts w:ascii="Times New Roman;Times;serif" w:hAnsi="Times New Roman;Times;serif"/>
          <w:sz w:val="24"/>
          <w:u w:val="single"/>
        </w:rPr>
        <w:t>Repeal or Change</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provisions of this Article XI shall be subject to repeal or change by further action of the Board or by action of the stockholders, but no such repeal or change shall modify the provisions of Section 4 with regard to action taken prior to the time of such repeal or change.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11.8</w:t>
      </w:r>
      <w:r>
        <w:rPr>
          <w:rFonts w:ascii="Times New Roman;Times;serif" w:hAnsi="Times New Roman;Times;serif"/>
          <w:sz w:val="24"/>
          <w:u w:val="single"/>
        </w:rPr>
        <w:t>Nonexclusivity</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Nothing contained in this Article XI shall be deemed exclusive of any other provisions for emergency powers consistent with other sections of the General Corporation Law of the State of Delaware which have been or may be adopted by corporations created under the General Corporation Law of the State of Delaware.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Article XII - Definitions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As used in these Bylaws, unless the context otherwise requires, the following terms shall have the following meanings: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The term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US-DOCS\157576114.1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406" w:name="verx-20241231xex19d1.htm"/>
      <w:bookmarkStart w:id="2407" w:name="ksverx20241231xex19d1"/>
      <w:bookmarkEnd w:id="2406"/>
      <w:bookmarkEnd w:id="2407"/>
      <w:r>
        <w:rPr/>
        <w:t>​</w:t>
      </w:r>
      <w:r>
        <w:br w:type="page"/>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ab/>
      </w:r>
      <w:r>
        <w:rPr>
          <w:rFonts w:ascii="Times New Roman;Times;serif" w:hAnsi="Times New Roman;Times;serif"/>
          <w:b/>
          <w:i w:val="false"/>
          <w:caps w:val="false"/>
          <w:smallCaps w:val="false"/>
          <w:sz w:val="22"/>
          <w:shd w:fill="FFFFFF" w:val="clear"/>
        </w:rPr>
        <w:t>Exhibit 19.1</w:t>
      </w:r>
      <w:r>
        <mc:AlternateContent>
          <mc:Choice Requires="wps">
            <w:drawing>
              <wp:anchor behindDoc="0" distT="0" distB="0" distL="0" distR="0" simplePos="0" locked="0" layoutInCell="1" allowOverlap="1" relativeHeight="863">
                <wp:simplePos x="0" y="0"/>
                <wp:positionH relativeFrom="page">
                  <wp:posOffset>0</wp:posOffset>
                </wp:positionH>
                <wp:positionV relativeFrom="line">
                  <wp:posOffset>635</wp:posOffset>
                </wp:positionV>
                <wp:extent cx="6480175" cy="175260"/>
                <wp:effectExtent l="0" t="0" r="0" b="0"/>
                <wp:wrapNone/>
                <wp:docPr id="862" name="Frame8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79" w:after="0"/>
        <w:ind w:left="2585" w:right="2588" w:hanging="0"/>
        <w:jc w:val="center"/>
        <w:rPr>
          <w:rFonts w:ascii="Times New Roman;Times;serif" w:hAnsi="Times New Roman;Times;serif"/>
          <w:sz w:val="22"/>
        </w:rPr>
      </w:pPr>
      <w:bookmarkStart w:id="2408" w:name="_Hlk183424459"/>
      <w:bookmarkEnd w:id="2408"/>
      <w:r>
        <w:rPr>
          <w:rFonts w:ascii="Times New Roman;Times;serif" w:hAnsi="Times New Roman;Times;serif"/>
          <w:b/>
          <w:sz w:val="28"/>
        </w:rPr>
        <w:t>Vertex,</w:t>
      </w:r>
      <w:r>
        <w:rPr>
          <w:rFonts w:ascii="Times New Roman;Times;serif" w:hAnsi="Times New Roman;Times;serif"/>
          <w:spacing w:val="-3"/>
          <w:sz w:val="22"/>
        </w:rPr>
        <w:t xml:space="preserve"> </w:t>
      </w:r>
      <w:r>
        <w:rPr>
          <w:rFonts w:ascii="Times New Roman;Times;serif" w:hAnsi="Times New Roman;Times;serif"/>
          <w:b/>
          <w:spacing w:val="-4"/>
          <w:sz w:val="28"/>
        </w:rPr>
        <w:t>Inc.</w:t>
      </w:r>
    </w:p>
    <w:p>
      <w:pPr>
        <w:pStyle w:val="TextBody"/>
        <w:bidi w:val="0"/>
        <w:spacing w:lineRule="auto" w:line="532" w:before="0" w:after="0"/>
        <w:ind w:left="2585" w:right="2584" w:hanging="0"/>
        <w:jc w:val="center"/>
        <w:rPr>
          <w:rFonts w:ascii="Times New Roman;Times;serif" w:hAnsi="Times New Roman;Times;serif"/>
          <w:sz w:val="22"/>
        </w:rPr>
      </w:pPr>
      <w:r>
        <w:rPr>
          <w:rFonts w:ascii="Times New Roman;Times;serif" w:hAnsi="Times New Roman;Times;serif"/>
          <w:b/>
          <w:sz w:val="28"/>
        </w:rPr>
        <w:t>Insider</w:t>
      </w:r>
      <w:r>
        <w:rPr>
          <w:rFonts w:ascii="Times New Roman;Times;serif" w:hAnsi="Times New Roman;Times;serif"/>
          <w:spacing w:val="-14"/>
          <w:sz w:val="22"/>
        </w:rPr>
        <w:t xml:space="preserve"> </w:t>
      </w:r>
      <w:r>
        <w:rPr>
          <w:rFonts w:ascii="Times New Roman;Times;serif" w:hAnsi="Times New Roman;Times;serif"/>
          <w:b/>
          <w:sz w:val="28"/>
        </w:rPr>
        <w:t>Trading</w:t>
      </w:r>
      <w:r>
        <w:rPr>
          <w:rFonts w:ascii="Times New Roman;Times;serif" w:hAnsi="Times New Roman;Times;serif"/>
          <w:spacing w:val="-13"/>
          <w:sz w:val="22"/>
        </w:rPr>
        <w:t xml:space="preserve"> </w:t>
      </w:r>
      <w:r>
        <w:rPr>
          <w:rFonts w:ascii="Times New Roman;Times;serif" w:hAnsi="Times New Roman;Times;serif"/>
          <w:b/>
          <w:sz w:val="28"/>
        </w:rPr>
        <w:t>Compliance</w:t>
      </w:r>
      <w:r>
        <w:rPr>
          <w:rFonts w:ascii="Times New Roman;Times;serif" w:hAnsi="Times New Roman;Times;serif"/>
          <w:spacing w:val="-14"/>
          <w:sz w:val="22"/>
        </w:rPr>
        <w:t xml:space="preserve"> </w:t>
      </w:r>
      <w:r>
        <w:rPr>
          <w:rFonts w:ascii="Times New Roman;Times;serif" w:hAnsi="Times New Roman;Times;serif"/>
          <w:b/>
          <w:sz w:val="28"/>
        </w:rPr>
        <w:t xml:space="preserve">Policy </w:t>
      </w:r>
      <w:r>
        <w:rPr>
          <w:rFonts w:ascii="Times New Roman;Times;serif" w:hAnsi="Times New Roman;Times;serif"/>
          <w:b/>
          <w:spacing w:val="-2"/>
          <w:sz w:val="28"/>
        </w:rPr>
        <w:t>Contents</w:t>
      </w:r>
    </w:p>
    <w:p>
      <w:pPr>
        <w:pStyle w:val="TextBody"/>
        <w:bidi w:val="0"/>
        <w:spacing w:before="0" w:after="0"/>
        <w:ind w:left="0" w:right="0" w:hanging="0"/>
        <w:jc w:val="left"/>
        <w:rPr/>
      </w:pPr>
      <w:r>
        <w:rPr/>
        <w:t>​</w:t>
      </w:r>
    </w:p>
    <w:tbl>
      <w:tblPr>
        <w:tblW w:w="5582" w:type="dxa"/>
        <w:jc w:val="left"/>
        <w:tblInd w:w="0" w:type="dxa"/>
        <w:tblLayout w:type="fixed"/>
        <w:tblCellMar>
          <w:top w:w="28" w:type="dxa"/>
          <w:left w:w="103" w:type="dxa"/>
          <w:bottom w:w="28" w:type="dxa"/>
          <w:right w:w="103" w:type="dxa"/>
        </w:tblCellMar>
      </w:tblPr>
      <w:tblGrid>
        <w:gridCol w:w="4936"/>
        <w:gridCol w:w="646"/>
      </w:tblGrid>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Page</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Summary</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Persons Covered and Administration of Policy</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Statement of Policies Prohibiting Insider Trading</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Quarterly Blackout Periods</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Pre-Clearance of Transactions</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Exempt Transactions</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Additional Prohibited Transactions</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Rule 10b5-1 Trading Plans</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Policy Administration</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Post-Termination of Transactions</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tc>
      </w:tr>
      <w:tr>
        <w:trPr/>
        <w:tc>
          <w:tcPr>
            <w:tcW w:w="4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Execution and Return of Certificate of Compliance</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79" w:after="0"/>
        <w:ind w:left="2585" w:right="2588" w:hanging="0"/>
        <w:jc w:val="center"/>
        <w:rPr>
          <w:rFonts w:ascii="Times New Roman;Times;serif" w:hAnsi="Times New Roman;Times;serif"/>
          <w:sz w:val="22"/>
        </w:rPr>
      </w:pPr>
      <w:r>
        <w:rPr>
          <w:rFonts w:ascii="Times New Roman;Times;serif" w:hAnsi="Times New Roman;Times;serif"/>
          <w:b/>
          <w:sz w:val="24"/>
        </w:rPr>
        <w:t>Vertex,</w:t>
      </w:r>
      <w:r>
        <w:rPr>
          <w:rFonts w:ascii="Times New Roman;Times;serif" w:hAnsi="Times New Roman;Times;serif"/>
          <w:spacing w:val="-3"/>
          <w:sz w:val="22"/>
        </w:rPr>
        <w:t xml:space="preserve"> </w:t>
      </w:r>
      <w:r>
        <w:rPr>
          <w:rFonts w:ascii="Times New Roman;Times;serif" w:hAnsi="Times New Roman;Times;serif"/>
          <w:b/>
          <w:spacing w:val="-4"/>
          <w:sz w:val="24"/>
        </w:rPr>
        <w:t>Inc.</w:t>
      </w:r>
    </w:p>
    <w:p>
      <w:pPr>
        <w:pStyle w:val="TextBody"/>
        <w:bidi w:val="0"/>
        <w:spacing w:before="0" w:after="0"/>
        <w:ind w:left="2585" w:right="2586" w:hanging="0"/>
        <w:jc w:val="center"/>
        <w:rPr>
          <w:rFonts w:ascii="Times New Roman;Times;serif" w:hAnsi="Times New Roman;Times;serif"/>
          <w:sz w:val="22"/>
        </w:rPr>
      </w:pPr>
      <w:r>
        <w:rPr>
          <w:rFonts w:ascii="Times New Roman;Times;serif" w:hAnsi="Times New Roman;Times;serif"/>
          <w:b/>
          <w:sz w:val="24"/>
        </w:rPr>
        <w:t>Insider</w:t>
      </w:r>
      <w:r>
        <w:rPr>
          <w:rFonts w:ascii="Times New Roman;Times;serif" w:hAnsi="Times New Roman;Times;serif"/>
          <w:spacing w:val="-7"/>
          <w:sz w:val="22"/>
        </w:rPr>
        <w:t xml:space="preserve"> </w:t>
      </w:r>
      <w:r>
        <w:rPr>
          <w:rFonts w:ascii="Times New Roman;Times;serif" w:hAnsi="Times New Roman;Times;serif"/>
          <w:b/>
          <w:sz w:val="24"/>
        </w:rPr>
        <w:t>Trading</w:t>
      </w:r>
      <w:r>
        <w:rPr>
          <w:rFonts w:ascii="Times New Roman;Times;serif" w:hAnsi="Times New Roman;Times;serif"/>
          <w:spacing w:val="-3"/>
          <w:sz w:val="22"/>
        </w:rPr>
        <w:t xml:space="preserve"> </w:t>
      </w:r>
      <w:r>
        <w:rPr>
          <w:rFonts w:ascii="Times New Roman;Times;serif" w:hAnsi="Times New Roman;Times;serif"/>
          <w:b/>
          <w:sz w:val="24"/>
        </w:rPr>
        <w:t>Compliance</w:t>
      </w:r>
      <w:r>
        <w:rPr>
          <w:rFonts w:ascii="Times New Roman;Times;serif" w:hAnsi="Times New Roman;Times;serif"/>
          <w:spacing w:val="-4"/>
          <w:sz w:val="22"/>
        </w:rPr>
        <w:t xml:space="preserve"> </w:t>
      </w:r>
      <w:r>
        <w:rPr>
          <w:rFonts w:ascii="Times New Roman;Times;serif" w:hAnsi="Times New Roman;Times;serif"/>
          <w:b/>
          <w:spacing w:val="-2"/>
          <w:sz w:val="24"/>
        </w:rPr>
        <w:t>Policy</w:t>
      </w:r>
    </w:p>
    <w:p>
      <w:pPr>
        <w:pStyle w:val="TextBody"/>
        <w:bidi w:val="0"/>
        <w:spacing w:before="240" w:after="0"/>
        <w:ind w:left="120" w:right="0" w:firstLine="720"/>
        <w:jc w:val="both"/>
        <w:rPr>
          <w:rFonts w:ascii="Times New Roman;Times;serif" w:hAnsi="Times New Roman;Times;serif"/>
          <w:sz w:val="24"/>
        </w:rPr>
      </w:pPr>
      <w:r>
        <w:rPr>
          <w:rFonts w:ascii="Times New Roman;Times;serif" w:hAnsi="Times New Roman;Times;serif"/>
          <w:sz w:val="24"/>
        </w:rPr>
        <w:t>Federal and state laws prohibit trading in the securities of a company while in possession of material nonpublic information and in breach of a duty of trust or confidence. These laws and regulations also prohibit anyone who is aware of material nonpublic information from providing this information to others who may trade. Vertex, Inc.</w:t>
      </w:r>
      <w:r>
        <w:rPr>
          <w:rFonts w:ascii="Times New Roman;Times;serif" w:hAnsi="Times New Roman;Times;serif"/>
          <w:spacing w:val="40"/>
          <w:sz w:val="24"/>
        </w:rPr>
        <w:t xml:space="preserve"> </w:t>
      </w:r>
      <w:r>
        <w:rPr>
          <w:rFonts w:ascii="Times New Roman;Times;serif" w:hAnsi="Times New Roman;Times;serif"/>
          <w:sz w:val="24"/>
        </w:rPr>
        <w:t>(together with its subsidiaries, the “</w:t>
      </w:r>
      <w:r>
        <w:rPr>
          <w:rFonts w:ascii="Times New Roman;Times;serif" w:hAnsi="Times New Roman;Times;serif"/>
          <w:sz w:val="24"/>
          <w:u w:val="single"/>
        </w:rPr>
        <w:t>Company</w:t>
      </w:r>
      <w:r>
        <w:rPr>
          <w:rFonts w:ascii="Times New Roman;Times;serif" w:hAnsi="Times New Roman;Times;serif"/>
          <w:sz w:val="24"/>
        </w:rPr>
        <w:t>”) requires its personnel to comply at all times with federal laws and regulations governing insider trading. Violating such laws can undermine</w:t>
      </w:r>
      <w:r>
        <w:rPr>
          <w:rFonts w:ascii="Times New Roman;Times;serif" w:hAnsi="Times New Roman;Times;serif"/>
          <w:spacing w:val="-1"/>
          <w:sz w:val="24"/>
        </w:rPr>
        <w:t xml:space="preserve"> </w:t>
      </w:r>
      <w:r>
        <w:rPr>
          <w:rFonts w:ascii="Times New Roman;Times;serif" w:hAnsi="Times New Roman;Times;serif"/>
          <w:sz w:val="24"/>
        </w:rPr>
        <w:t>investor trust, harm the Company’s reputation, and</w:t>
      </w:r>
      <w:r>
        <w:rPr>
          <w:rFonts w:ascii="Times New Roman;Times;serif" w:hAnsi="Times New Roman;Times;serif"/>
          <w:spacing w:val="-3"/>
          <w:sz w:val="24"/>
        </w:rPr>
        <w:t xml:space="preserve"> </w:t>
      </w:r>
      <w:r>
        <w:rPr>
          <w:rFonts w:ascii="Times New Roman;Times;serif" w:hAnsi="Times New Roman;Times;serif"/>
          <w:sz w:val="24"/>
        </w:rPr>
        <w:t>result</w:t>
      </w:r>
      <w:r>
        <w:rPr>
          <w:rFonts w:ascii="Times New Roman;Times;serif" w:hAnsi="Times New Roman;Times;serif"/>
          <w:spacing w:val="-3"/>
          <w:sz w:val="24"/>
        </w:rPr>
        <w:t xml:space="preserve"> </w:t>
      </w:r>
      <w:r>
        <w:rPr>
          <w:rFonts w:ascii="Times New Roman;Times;serif" w:hAnsi="Times New Roman;Times;serif"/>
          <w:sz w:val="24"/>
        </w:rPr>
        <w:t>in</w:t>
      </w:r>
      <w:r>
        <w:rPr>
          <w:rFonts w:ascii="Times New Roman;Times;serif" w:hAnsi="Times New Roman;Times;serif"/>
          <w:spacing w:val="-3"/>
          <w:sz w:val="24"/>
        </w:rPr>
        <w:t xml:space="preserve"> </w:t>
      </w:r>
      <w:r>
        <w:rPr>
          <w:rFonts w:ascii="Times New Roman;Times;serif" w:hAnsi="Times New Roman;Times;serif"/>
          <w:sz w:val="24"/>
        </w:rPr>
        <w:t>your</w:t>
      </w:r>
      <w:r>
        <w:rPr>
          <w:rFonts w:ascii="Times New Roman;Times;serif" w:hAnsi="Times New Roman;Times;serif"/>
          <w:spacing w:val="-2"/>
          <w:sz w:val="24"/>
        </w:rPr>
        <w:t xml:space="preserve"> </w:t>
      </w:r>
      <w:r>
        <w:rPr>
          <w:rFonts w:ascii="Times New Roman;Times;serif" w:hAnsi="Times New Roman;Times;serif"/>
          <w:sz w:val="24"/>
        </w:rPr>
        <w:t>dismissal</w:t>
      </w:r>
      <w:r>
        <w:rPr>
          <w:rFonts w:ascii="Times New Roman;Times;serif" w:hAnsi="Times New Roman;Times;serif"/>
          <w:spacing w:val="-3"/>
          <w:sz w:val="24"/>
        </w:rPr>
        <w:t xml:space="preserve"> </w:t>
      </w:r>
      <w:r>
        <w:rPr>
          <w:rFonts w:ascii="Times New Roman;Times;serif" w:hAnsi="Times New Roman;Times;serif"/>
          <w:sz w:val="24"/>
        </w:rPr>
        <w:t>from</w:t>
      </w:r>
      <w:r>
        <w:rPr>
          <w:rFonts w:ascii="Times New Roman;Times;serif" w:hAnsi="Times New Roman;Times;serif"/>
          <w:spacing w:val="-3"/>
          <w:sz w:val="24"/>
        </w:rPr>
        <w:t xml:space="preserve"> </w:t>
      </w:r>
      <w:r>
        <w:rPr>
          <w:rFonts w:ascii="Times New Roman;Times;serif" w:hAnsi="Times New Roman;Times;serif"/>
          <w:sz w:val="24"/>
        </w:rPr>
        <w:t>the Company</w:t>
      </w:r>
      <w:r>
        <w:rPr>
          <w:rFonts w:ascii="Times New Roman;Times;serif" w:hAnsi="Times New Roman;Times;serif"/>
          <w:spacing w:val="-4"/>
          <w:sz w:val="24"/>
        </w:rPr>
        <w:t xml:space="preserve"> </w:t>
      </w:r>
      <w:r>
        <w:rPr>
          <w:rFonts w:ascii="Times New Roman;Times;serif" w:hAnsi="Times New Roman;Times;serif"/>
          <w:sz w:val="24"/>
        </w:rPr>
        <w:t>or</w:t>
      </w:r>
      <w:r>
        <w:rPr>
          <w:rFonts w:ascii="Times New Roman;Times;serif" w:hAnsi="Times New Roman;Times;serif"/>
          <w:spacing w:val="-4"/>
          <w:sz w:val="24"/>
        </w:rPr>
        <w:t xml:space="preserve"> </w:t>
      </w:r>
      <w:r>
        <w:rPr>
          <w:rFonts w:ascii="Times New Roman;Times;serif" w:hAnsi="Times New Roman;Times;serif"/>
          <w:sz w:val="24"/>
        </w:rPr>
        <w:t>even</w:t>
      </w:r>
      <w:r>
        <w:rPr>
          <w:rFonts w:ascii="Times New Roman;Times;serif" w:hAnsi="Times New Roman;Times;serif"/>
          <w:spacing w:val="-3"/>
          <w:sz w:val="24"/>
        </w:rPr>
        <w:t xml:space="preserve"> </w:t>
      </w:r>
      <w:r>
        <w:rPr>
          <w:rFonts w:ascii="Times New Roman;Times;serif" w:hAnsi="Times New Roman;Times;serif"/>
          <w:sz w:val="24"/>
        </w:rPr>
        <w:t>serious</w:t>
      </w:r>
      <w:r>
        <w:rPr>
          <w:rFonts w:ascii="Times New Roman;Times;serif" w:hAnsi="Times New Roman;Times;serif"/>
          <w:spacing w:val="-3"/>
          <w:sz w:val="24"/>
        </w:rPr>
        <w:t xml:space="preserve"> </w:t>
      </w:r>
      <w:r>
        <w:rPr>
          <w:rFonts w:ascii="Times New Roman;Times;serif" w:hAnsi="Times New Roman;Times;serif"/>
          <w:sz w:val="24"/>
        </w:rPr>
        <w:t>criminal</w:t>
      </w:r>
      <w:r>
        <w:rPr>
          <w:rFonts w:ascii="Times New Roman;Times;serif" w:hAnsi="Times New Roman;Times;serif"/>
          <w:spacing w:val="-3"/>
          <w:sz w:val="24"/>
        </w:rPr>
        <w:t xml:space="preserve"> </w:t>
      </w:r>
      <w:r>
        <w:rPr>
          <w:rFonts w:ascii="Times New Roman;Times;serif" w:hAnsi="Times New Roman;Times;serif"/>
          <w:sz w:val="24"/>
        </w:rPr>
        <w:t>and</w:t>
      </w:r>
      <w:r>
        <w:rPr>
          <w:rFonts w:ascii="Times New Roman;Times;serif" w:hAnsi="Times New Roman;Times;serif"/>
          <w:spacing w:val="-1"/>
          <w:sz w:val="24"/>
        </w:rPr>
        <w:t xml:space="preserve"> </w:t>
      </w:r>
      <w:r>
        <w:rPr>
          <w:rFonts w:ascii="Times New Roman;Times;serif" w:hAnsi="Times New Roman;Times;serif"/>
          <w:sz w:val="24"/>
        </w:rPr>
        <w:t>civil charges against you and the Company. The Company reserves the right to take disciplinary or other measure(s) it determines in its sole discretion to be appropriate in any particular situation, including disclosure of wrongdoing to governmental authorities.  </w:t>
      </w:r>
    </w:p>
    <w:p>
      <w:pPr>
        <w:pStyle w:val="TextBody"/>
        <w:bidi w:val="0"/>
        <w:spacing w:before="240" w:after="0"/>
        <w:ind w:left="120" w:right="115" w:firstLine="720"/>
        <w:jc w:val="both"/>
        <w:rPr>
          <w:rFonts w:ascii="Times New Roman;Times;serif" w:hAnsi="Times New Roman;Times;serif"/>
          <w:sz w:val="24"/>
        </w:rPr>
      </w:pPr>
      <w:r>
        <w:rPr>
          <w:rFonts w:ascii="Times New Roman;Times;serif" w:hAnsi="Times New Roman;Times;serif"/>
          <w:sz w:val="24"/>
        </w:rPr>
        <w:t>This Insider Trading Compliance Policy (this “</w:t>
      </w:r>
      <w:r>
        <w:rPr>
          <w:rFonts w:ascii="Times New Roman;Times;serif" w:hAnsi="Times New Roman;Times;serif"/>
          <w:sz w:val="24"/>
          <w:u w:val="single"/>
        </w:rPr>
        <w:t>Policy</w:t>
      </w:r>
      <w:r>
        <w:rPr>
          <w:rFonts w:ascii="Times New Roman;Times;serif" w:hAnsi="Times New Roman;Times;serif"/>
          <w:sz w:val="24"/>
        </w:rPr>
        <w:t>”) outlines your responsibilities to avoid</w:t>
      </w:r>
      <w:r>
        <w:rPr>
          <w:rFonts w:ascii="Times New Roman;Times;serif" w:hAnsi="Times New Roman;Times;serif"/>
          <w:spacing w:val="-6"/>
          <w:sz w:val="24"/>
        </w:rPr>
        <w:t xml:space="preserve"> </w:t>
      </w:r>
      <w:r>
        <w:rPr>
          <w:rFonts w:ascii="Times New Roman;Times;serif" w:hAnsi="Times New Roman;Times;serif"/>
          <w:sz w:val="24"/>
        </w:rPr>
        <w:t>insider</w:t>
      </w:r>
      <w:r>
        <w:rPr>
          <w:rFonts w:ascii="Times New Roman;Times;serif" w:hAnsi="Times New Roman;Times;serif"/>
          <w:spacing w:val="-7"/>
          <w:sz w:val="24"/>
        </w:rPr>
        <w:t xml:space="preserve"> </w:t>
      </w:r>
      <w:r>
        <w:rPr>
          <w:rFonts w:ascii="Times New Roman;Times;serif" w:hAnsi="Times New Roman;Times;serif"/>
          <w:sz w:val="24"/>
        </w:rPr>
        <w:t>trading</w:t>
      </w:r>
      <w:r>
        <w:rPr>
          <w:rFonts w:ascii="Times New Roman;Times;serif" w:hAnsi="Times New Roman;Times;serif"/>
          <w:spacing w:val="-6"/>
          <w:sz w:val="24"/>
        </w:rPr>
        <w:t xml:space="preserve"> </w:t>
      </w:r>
      <w:r>
        <w:rPr>
          <w:rFonts w:ascii="Times New Roman;Times;serif" w:hAnsi="Times New Roman;Times;serif"/>
          <w:sz w:val="24"/>
        </w:rPr>
        <w:t>and</w:t>
      </w:r>
      <w:r>
        <w:rPr>
          <w:rFonts w:ascii="Times New Roman;Times;serif" w:hAnsi="Times New Roman;Times;serif"/>
          <w:spacing w:val="-3"/>
          <w:sz w:val="24"/>
        </w:rPr>
        <w:t xml:space="preserve"> </w:t>
      </w:r>
      <w:r>
        <w:rPr>
          <w:rFonts w:ascii="Times New Roman;Times;serif" w:hAnsi="Times New Roman;Times;serif"/>
          <w:sz w:val="24"/>
        </w:rPr>
        <w:t>implements</w:t>
      </w:r>
      <w:r>
        <w:rPr>
          <w:rFonts w:ascii="Times New Roman;Times;serif" w:hAnsi="Times New Roman;Times;serif"/>
          <w:spacing w:val="-6"/>
          <w:sz w:val="24"/>
        </w:rPr>
        <w:t xml:space="preserve"> </w:t>
      </w:r>
      <w:r>
        <w:rPr>
          <w:rFonts w:ascii="Times New Roman;Times;serif" w:hAnsi="Times New Roman;Times;serif"/>
          <w:sz w:val="24"/>
        </w:rPr>
        <w:t>certain</w:t>
      </w:r>
      <w:r>
        <w:rPr>
          <w:rFonts w:ascii="Times New Roman;Times;serif" w:hAnsi="Times New Roman;Times;serif"/>
          <w:spacing w:val="-6"/>
          <w:sz w:val="24"/>
        </w:rPr>
        <w:t xml:space="preserve"> </w:t>
      </w:r>
      <w:r>
        <w:rPr>
          <w:rFonts w:ascii="Times New Roman;Times;serif" w:hAnsi="Times New Roman;Times;serif"/>
          <w:sz w:val="24"/>
        </w:rPr>
        <w:t>procedures</w:t>
      </w:r>
      <w:r>
        <w:rPr>
          <w:rFonts w:ascii="Times New Roman;Times;serif" w:hAnsi="Times New Roman;Times;serif"/>
          <w:spacing w:val="-6"/>
          <w:sz w:val="24"/>
        </w:rPr>
        <w:t xml:space="preserve"> </w:t>
      </w:r>
      <w:r>
        <w:rPr>
          <w:rFonts w:ascii="Times New Roman;Times;serif" w:hAnsi="Times New Roman;Times;serif"/>
          <w:sz w:val="24"/>
        </w:rPr>
        <w:t>to</w:t>
      </w:r>
      <w:r>
        <w:rPr>
          <w:rFonts w:ascii="Times New Roman;Times;serif" w:hAnsi="Times New Roman;Times;serif"/>
          <w:spacing w:val="-6"/>
          <w:sz w:val="24"/>
        </w:rPr>
        <w:t xml:space="preserve"> </w:t>
      </w:r>
      <w:r>
        <w:rPr>
          <w:rFonts w:ascii="Times New Roman;Times;serif" w:hAnsi="Times New Roman;Times;serif"/>
          <w:sz w:val="24"/>
        </w:rPr>
        <w:t>help</w:t>
      </w:r>
      <w:r>
        <w:rPr>
          <w:rFonts w:ascii="Times New Roman;Times;serif" w:hAnsi="Times New Roman;Times;serif"/>
          <w:spacing w:val="-6"/>
          <w:sz w:val="24"/>
        </w:rPr>
        <w:t xml:space="preserve"> </w:t>
      </w:r>
      <w:r>
        <w:rPr>
          <w:rFonts w:ascii="Times New Roman;Times;serif" w:hAnsi="Times New Roman;Times;serif"/>
          <w:sz w:val="24"/>
        </w:rPr>
        <w:t>you</w:t>
      </w:r>
      <w:r>
        <w:rPr>
          <w:rFonts w:ascii="Times New Roman;Times;serif" w:hAnsi="Times New Roman;Times;serif"/>
          <w:spacing w:val="-6"/>
          <w:sz w:val="24"/>
        </w:rPr>
        <w:t xml:space="preserve"> </w:t>
      </w:r>
      <w:r>
        <w:rPr>
          <w:rFonts w:ascii="Times New Roman;Times;serif" w:hAnsi="Times New Roman;Times;serif"/>
          <w:sz w:val="24"/>
        </w:rPr>
        <w:t>avoid</w:t>
      </w:r>
      <w:r>
        <w:rPr>
          <w:rFonts w:ascii="Times New Roman;Times;serif" w:hAnsi="Times New Roman;Times;serif"/>
          <w:spacing w:val="-6"/>
          <w:sz w:val="24"/>
        </w:rPr>
        <w:t xml:space="preserve"> </w:t>
      </w:r>
      <w:r>
        <w:rPr>
          <w:rFonts w:ascii="Times New Roman;Times;serif" w:hAnsi="Times New Roman;Times;serif"/>
          <w:sz w:val="24"/>
        </w:rPr>
        <w:t>even</w:t>
      </w:r>
      <w:r>
        <w:rPr>
          <w:rFonts w:ascii="Times New Roman;Times;serif" w:hAnsi="Times New Roman;Times;serif"/>
          <w:spacing w:val="-6"/>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appearance</w:t>
      </w:r>
      <w:r>
        <w:rPr>
          <w:rFonts w:ascii="Times New Roman;Times;serif" w:hAnsi="Times New Roman;Times;serif"/>
          <w:spacing w:val="-7"/>
          <w:sz w:val="24"/>
        </w:rPr>
        <w:t xml:space="preserve"> </w:t>
      </w:r>
      <w:r>
        <w:rPr>
          <w:rFonts w:ascii="Times New Roman;Times;serif" w:hAnsi="Times New Roman;Times;serif"/>
          <w:sz w:val="24"/>
        </w:rPr>
        <w:t>of insider trading.</w:t>
      </w:r>
    </w:p>
    <w:p>
      <w:pPr>
        <w:pStyle w:val="TextBody"/>
        <w:bidi w:val="0"/>
        <w:spacing w:before="240" w:after="0"/>
        <w:ind w:left="120" w:right="0" w:hanging="0"/>
        <w:jc w:val="left"/>
        <w:rPr>
          <w:rFonts w:ascii="Times New Roman;Times;serif" w:hAnsi="Times New Roman;Times;serif"/>
          <w:b/>
          <w:spacing w:val="-2"/>
          <w:sz w:val="24"/>
        </w:rPr>
      </w:pPr>
      <w:bookmarkStart w:id="2409" w:name="_Toc184126912"/>
      <w:bookmarkEnd w:id="2409"/>
      <w:r>
        <w:rPr>
          <w:rFonts w:ascii="Times New Roman;Times;serif" w:hAnsi="Times New Roman;Times;serif"/>
          <w:b/>
          <w:spacing w:val="-2"/>
          <w:sz w:val="24"/>
        </w:rPr>
        <w:t>Summary</w:t>
      </w:r>
    </w:p>
    <w:p>
      <w:pPr>
        <w:pStyle w:val="TextBody"/>
        <w:bidi w:val="0"/>
        <w:spacing w:before="240" w:after="0"/>
        <w:ind w:left="120" w:right="115" w:firstLine="720"/>
        <w:jc w:val="both"/>
        <w:rPr>
          <w:rFonts w:ascii="Times New Roman;Times;serif" w:hAnsi="Times New Roman;Times;serif"/>
          <w:sz w:val="24"/>
        </w:rPr>
      </w:pPr>
      <w:r>
        <w:rPr>
          <w:rFonts w:ascii="Times New Roman;Times;serif" w:hAnsi="Times New Roman;Times;serif"/>
          <w:sz w:val="24"/>
        </w:rPr>
        <w:t>Preventing insider trading is necessary to comply with securities laws and to preserve the reputation and integrity of the Company.</w:t>
      </w:r>
      <w:r>
        <w:rPr>
          <w:rFonts w:ascii="Times New Roman;Times;serif" w:hAnsi="Times New Roman;Times;serif"/>
          <w:spacing w:val="40"/>
          <w:sz w:val="24"/>
        </w:rPr>
        <w:t xml:space="preserve"> </w:t>
      </w:r>
      <w:r>
        <w:rPr>
          <w:rFonts w:ascii="Times New Roman;Times;serif" w:hAnsi="Times New Roman;Times;serif"/>
          <w:sz w:val="24"/>
        </w:rPr>
        <w:t>The criminal penalties for violating insider trading laws include imprisonment and fines of up to $5 million for individuals and $25 million for corporations. Insider</w:t>
      </w:r>
      <w:r>
        <w:rPr>
          <w:rFonts w:ascii="Times New Roman;Times;serif" w:hAnsi="Times New Roman;Times;serif"/>
          <w:spacing w:val="-6"/>
          <w:sz w:val="24"/>
        </w:rPr>
        <w:t xml:space="preserve"> </w:t>
      </w:r>
      <w:r>
        <w:rPr>
          <w:rFonts w:ascii="Times New Roman;Times;serif" w:hAnsi="Times New Roman;Times;serif"/>
          <w:sz w:val="24"/>
        </w:rPr>
        <w:t>trading</w:t>
      </w:r>
      <w:r>
        <w:rPr>
          <w:rFonts w:ascii="Times New Roman;Times;serif" w:hAnsi="Times New Roman;Times;serif"/>
          <w:spacing w:val="-3"/>
          <w:sz w:val="24"/>
        </w:rPr>
        <w:t xml:space="preserve"> </w:t>
      </w:r>
      <w:r>
        <w:rPr>
          <w:rFonts w:ascii="Times New Roman;Times;serif" w:hAnsi="Times New Roman;Times;serif"/>
          <w:sz w:val="24"/>
        </w:rPr>
        <w:t>may</w:t>
      </w:r>
      <w:r>
        <w:rPr>
          <w:rFonts w:ascii="Times New Roman;Times;serif" w:hAnsi="Times New Roman;Times;serif"/>
          <w:spacing w:val="-6"/>
          <w:sz w:val="24"/>
        </w:rPr>
        <w:t xml:space="preserve"> </w:t>
      </w:r>
      <w:r>
        <w:rPr>
          <w:rFonts w:ascii="Times New Roman;Times;serif" w:hAnsi="Times New Roman;Times;serif"/>
          <w:sz w:val="24"/>
        </w:rPr>
        <w:t>also</w:t>
      </w:r>
      <w:r>
        <w:rPr>
          <w:rFonts w:ascii="Times New Roman;Times;serif" w:hAnsi="Times New Roman;Times;serif"/>
          <w:spacing w:val="-3"/>
          <w:sz w:val="24"/>
        </w:rPr>
        <w:t xml:space="preserve"> </w:t>
      </w:r>
      <w:r>
        <w:rPr>
          <w:rFonts w:ascii="Times New Roman;Times;serif" w:hAnsi="Times New Roman;Times;serif"/>
          <w:sz w:val="24"/>
        </w:rPr>
        <w:t>result</w:t>
      </w:r>
      <w:r>
        <w:rPr>
          <w:rFonts w:ascii="Times New Roman;Times;serif" w:hAnsi="Times New Roman;Times;serif"/>
          <w:spacing w:val="-5"/>
          <w:sz w:val="24"/>
        </w:rPr>
        <w:t xml:space="preserve"> </w:t>
      </w:r>
      <w:r>
        <w:rPr>
          <w:rFonts w:ascii="Times New Roman;Times;serif" w:hAnsi="Times New Roman;Times;serif"/>
          <w:sz w:val="24"/>
        </w:rPr>
        <w:t>in</w:t>
      </w:r>
      <w:r>
        <w:rPr>
          <w:rFonts w:ascii="Times New Roman;Times;serif" w:hAnsi="Times New Roman;Times;serif"/>
          <w:spacing w:val="-6"/>
          <w:sz w:val="24"/>
        </w:rPr>
        <w:t xml:space="preserve"> </w:t>
      </w:r>
      <w:r>
        <w:rPr>
          <w:rFonts w:ascii="Times New Roman;Times;serif" w:hAnsi="Times New Roman;Times;serif"/>
          <w:sz w:val="24"/>
        </w:rPr>
        <w:t>civil</w:t>
      </w:r>
      <w:r>
        <w:rPr>
          <w:rFonts w:ascii="Times New Roman;Times;serif" w:hAnsi="Times New Roman;Times;serif"/>
          <w:spacing w:val="-5"/>
          <w:sz w:val="24"/>
        </w:rPr>
        <w:t xml:space="preserve"> </w:t>
      </w:r>
      <w:r>
        <w:rPr>
          <w:rFonts w:ascii="Times New Roman;Times;serif" w:hAnsi="Times New Roman;Times;serif"/>
          <w:sz w:val="24"/>
        </w:rPr>
        <w:t>penalties,</w:t>
      </w:r>
      <w:r>
        <w:rPr>
          <w:rFonts w:ascii="Times New Roman;Times;serif" w:hAnsi="Times New Roman;Times;serif"/>
          <w:spacing w:val="-6"/>
          <w:sz w:val="24"/>
        </w:rPr>
        <w:t xml:space="preserve"> </w:t>
      </w:r>
      <w:r>
        <w:rPr>
          <w:rFonts w:ascii="Times New Roman;Times;serif" w:hAnsi="Times New Roman;Times;serif"/>
          <w:sz w:val="24"/>
        </w:rPr>
        <w:t>including</w:t>
      </w:r>
      <w:r>
        <w:rPr>
          <w:rFonts w:ascii="Times New Roman;Times;serif" w:hAnsi="Times New Roman;Times;serif"/>
          <w:spacing w:val="-6"/>
          <w:sz w:val="24"/>
        </w:rPr>
        <w:t xml:space="preserve"> </w:t>
      </w:r>
      <w:r>
        <w:rPr>
          <w:rFonts w:ascii="Times New Roman;Times;serif" w:hAnsi="Times New Roman;Times;serif"/>
          <w:sz w:val="24"/>
        </w:rPr>
        <w:t>disgorgement</w:t>
      </w:r>
      <w:r>
        <w:rPr>
          <w:rFonts w:ascii="Times New Roman;Times;serif" w:hAnsi="Times New Roman;Times;serif"/>
          <w:spacing w:val="-5"/>
          <w:sz w:val="24"/>
        </w:rPr>
        <w:t xml:space="preserve"> </w:t>
      </w:r>
      <w:r>
        <w:rPr>
          <w:rFonts w:ascii="Times New Roman;Times;serif" w:hAnsi="Times New Roman;Times;serif"/>
          <w:sz w:val="24"/>
        </w:rPr>
        <w:t>of</w:t>
      </w:r>
      <w:r>
        <w:rPr>
          <w:rFonts w:ascii="Times New Roman;Times;serif" w:hAnsi="Times New Roman;Times;serif"/>
          <w:spacing w:val="-6"/>
          <w:sz w:val="24"/>
        </w:rPr>
        <w:t xml:space="preserve"> </w:t>
      </w:r>
      <w:r>
        <w:rPr>
          <w:rFonts w:ascii="Times New Roman;Times;serif" w:hAnsi="Times New Roman;Times;serif"/>
          <w:sz w:val="24"/>
        </w:rPr>
        <w:t>profits</w:t>
      </w:r>
      <w:r>
        <w:rPr>
          <w:rFonts w:ascii="Times New Roman;Times;serif" w:hAnsi="Times New Roman;Times;serif"/>
          <w:spacing w:val="-6"/>
          <w:sz w:val="24"/>
        </w:rPr>
        <w:t xml:space="preserve"> </w:t>
      </w:r>
      <w:r>
        <w:rPr>
          <w:rFonts w:ascii="Times New Roman;Times;serif" w:hAnsi="Times New Roman;Times;serif"/>
          <w:sz w:val="24"/>
        </w:rPr>
        <w:t>and</w:t>
      </w:r>
      <w:r>
        <w:rPr>
          <w:rFonts w:ascii="Times New Roman;Times;serif" w:hAnsi="Times New Roman;Times;serif"/>
          <w:spacing w:val="-3"/>
          <w:sz w:val="24"/>
        </w:rPr>
        <w:t xml:space="preserve"> </w:t>
      </w:r>
      <w:r>
        <w:rPr>
          <w:rFonts w:ascii="Times New Roman;Times;serif" w:hAnsi="Times New Roman;Times;serif"/>
          <w:sz w:val="24"/>
        </w:rPr>
        <w:t>civil</w:t>
      </w:r>
      <w:r>
        <w:rPr>
          <w:rFonts w:ascii="Times New Roman;Times;serif" w:hAnsi="Times New Roman;Times;serif"/>
          <w:spacing w:val="-5"/>
          <w:sz w:val="24"/>
        </w:rPr>
        <w:t xml:space="preserve"> </w:t>
      </w:r>
      <w:r>
        <w:rPr>
          <w:rFonts w:ascii="Times New Roman;Times;serif" w:hAnsi="Times New Roman;Times;serif"/>
          <w:sz w:val="24"/>
        </w:rPr>
        <w:t>fines. Insider trading is also prohibited by this Policy, and violation of this Policy may result in Company-imposed sanctions, including removal or dismissal for cause.</w:t>
      </w:r>
    </w:p>
    <w:p>
      <w:pPr>
        <w:pStyle w:val="TextBody"/>
        <w:bidi w:val="0"/>
        <w:spacing w:before="240" w:after="0"/>
        <w:ind w:left="0" w:right="115" w:hanging="0"/>
        <w:jc w:val="both"/>
        <w:rPr>
          <w:rFonts w:ascii="Times New Roman;Times;serif" w:hAnsi="Times New Roman;Times;serif"/>
          <w:sz w:val="24"/>
        </w:rPr>
      </w:pPr>
      <w:r>
        <w:rPr>
          <w:rFonts w:ascii="Times New Roman;Times;serif" w:hAnsi="Times New Roman;Times;serif"/>
          <w:b/>
          <w:sz w:val="24"/>
        </w:rPr>
        <w:t>Persons Covered and Administration of Policy</w:t>
      </w:r>
      <w:r>
        <w:rPr>
          <w:rFonts w:ascii="Times New Roman;Times;serif" w:hAnsi="Times New Roman;Times;serif"/>
          <w:sz w:val="24"/>
        </w:rPr>
        <w:t xml:space="preserve"> </w:t>
      </w:r>
    </w:p>
    <w:p>
      <w:pPr>
        <w:pStyle w:val="TextBody"/>
        <w:bidi w:val="0"/>
        <w:spacing w:before="240" w:after="0"/>
        <w:ind w:left="120" w:right="117" w:firstLine="720"/>
        <w:jc w:val="both"/>
        <w:rPr>
          <w:rFonts w:ascii="Times New Roman;Times;serif" w:hAnsi="Times New Roman;Times;serif"/>
          <w:sz w:val="24"/>
        </w:rPr>
      </w:pPr>
      <w:r>
        <w:rPr>
          <w:rFonts w:ascii="Times New Roman;Times;serif" w:hAnsi="Times New Roman;Times;serif"/>
          <w:sz w:val="24"/>
        </w:rPr>
        <w:t>This</w:t>
      </w:r>
      <w:r>
        <w:rPr>
          <w:rFonts w:ascii="Times New Roman;Times;serif" w:hAnsi="Times New Roman;Times;serif"/>
          <w:spacing w:val="-6"/>
          <w:sz w:val="24"/>
        </w:rPr>
        <w:t xml:space="preserve"> </w:t>
      </w:r>
      <w:r>
        <w:rPr>
          <w:rFonts w:ascii="Times New Roman;Times;serif" w:hAnsi="Times New Roman;Times;serif"/>
          <w:sz w:val="24"/>
        </w:rPr>
        <w:t>Policy</w:t>
      </w:r>
      <w:r>
        <w:rPr>
          <w:rFonts w:ascii="Times New Roman;Times;serif" w:hAnsi="Times New Roman;Times;serif"/>
          <w:spacing w:val="-6"/>
          <w:sz w:val="24"/>
        </w:rPr>
        <w:t xml:space="preserve"> </w:t>
      </w:r>
      <w:r>
        <w:rPr>
          <w:rFonts w:ascii="Times New Roman;Times;serif" w:hAnsi="Times New Roman;Times;serif"/>
          <w:sz w:val="24"/>
        </w:rPr>
        <w:t>applies</w:t>
      </w:r>
      <w:r>
        <w:rPr>
          <w:rFonts w:ascii="Times New Roman;Times;serif" w:hAnsi="Times New Roman;Times;serif"/>
          <w:spacing w:val="-6"/>
          <w:sz w:val="24"/>
        </w:rPr>
        <w:t xml:space="preserve"> </w:t>
      </w:r>
      <w:r>
        <w:rPr>
          <w:rFonts w:ascii="Times New Roman;Times;serif" w:hAnsi="Times New Roman;Times;serif"/>
          <w:sz w:val="24"/>
        </w:rPr>
        <w:t>to</w:t>
      </w:r>
      <w:r>
        <w:rPr>
          <w:rFonts w:ascii="Times New Roman;Times;serif" w:hAnsi="Times New Roman;Times;serif"/>
          <w:spacing w:val="-3"/>
          <w:sz w:val="24"/>
        </w:rPr>
        <w:t xml:space="preserve"> </w:t>
      </w:r>
      <w:r>
        <w:rPr>
          <w:rFonts w:ascii="Times New Roman;Times;serif" w:hAnsi="Times New Roman;Times;serif"/>
          <w:sz w:val="24"/>
        </w:rPr>
        <w:t>all</w:t>
      </w:r>
      <w:r>
        <w:rPr>
          <w:rFonts w:ascii="Times New Roman;Times;serif" w:hAnsi="Times New Roman;Times;serif"/>
          <w:spacing w:val="-3"/>
          <w:sz w:val="24"/>
        </w:rPr>
        <w:t xml:space="preserve"> </w:t>
      </w:r>
      <w:r>
        <w:rPr>
          <w:rFonts w:ascii="Times New Roman;Times;serif" w:hAnsi="Times New Roman;Times;serif"/>
          <w:sz w:val="24"/>
        </w:rPr>
        <w:t>officers,</w:t>
      </w:r>
      <w:r>
        <w:rPr>
          <w:rFonts w:ascii="Times New Roman;Times;serif" w:hAnsi="Times New Roman;Times;serif"/>
          <w:spacing w:val="-3"/>
          <w:sz w:val="24"/>
        </w:rPr>
        <w:t xml:space="preserve"> </w:t>
      </w:r>
      <w:r>
        <w:rPr>
          <w:rFonts w:ascii="Times New Roman;Times;serif" w:hAnsi="Times New Roman;Times;serif"/>
          <w:sz w:val="24"/>
        </w:rPr>
        <w:t>directors,</w:t>
      </w:r>
      <w:r>
        <w:rPr>
          <w:rFonts w:ascii="Times New Roman;Times;serif" w:hAnsi="Times New Roman;Times;serif"/>
          <w:spacing w:val="-3"/>
          <w:sz w:val="24"/>
        </w:rPr>
        <w:t xml:space="preserve"> </w:t>
      </w:r>
      <w:r>
        <w:rPr>
          <w:rFonts w:ascii="Times New Roman;Times;serif" w:hAnsi="Times New Roman;Times;serif"/>
          <w:sz w:val="24"/>
        </w:rPr>
        <w:t>and</w:t>
      </w:r>
      <w:r>
        <w:rPr>
          <w:rFonts w:ascii="Times New Roman;Times;serif" w:hAnsi="Times New Roman;Times;serif"/>
          <w:spacing w:val="-6"/>
          <w:sz w:val="24"/>
        </w:rPr>
        <w:t xml:space="preserve"> </w:t>
      </w:r>
      <w:r>
        <w:rPr>
          <w:rFonts w:ascii="Times New Roman;Times;serif" w:hAnsi="Times New Roman;Times;serif"/>
          <w:sz w:val="24"/>
        </w:rPr>
        <w:t>employees</w:t>
      </w:r>
      <w:r>
        <w:rPr>
          <w:rFonts w:ascii="Times New Roman;Times;serif" w:hAnsi="Times New Roman;Times;serif"/>
          <w:spacing w:val="-6"/>
          <w:sz w:val="24"/>
        </w:rPr>
        <w:t xml:space="preserve"> </w:t>
      </w:r>
      <w:r>
        <w:rPr>
          <w:rFonts w:ascii="Times New Roman;Times;serif" w:hAnsi="Times New Roman;Times;serif"/>
          <w:sz w:val="24"/>
        </w:rPr>
        <w:t>of</w:t>
      </w:r>
      <w:r>
        <w:rPr>
          <w:rFonts w:ascii="Times New Roman;Times;serif" w:hAnsi="Times New Roman;Times;serif"/>
          <w:spacing w:val="-4"/>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Company.</w:t>
      </w:r>
      <w:r>
        <w:rPr>
          <w:rFonts w:ascii="Times New Roman;Times;serif" w:hAnsi="Times New Roman;Times;serif"/>
          <w:spacing w:val="40"/>
          <w:sz w:val="24"/>
        </w:rPr>
        <w:t xml:space="preserve"> </w:t>
      </w:r>
      <w:r>
        <w:rPr>
          <w:rFonts w:ascii="Times New Roman;Times;serif" w:hAnsi="Times New Roman;Times;serif"/>
          <w:sz w:val="24"/>
        </w:rPr>
        <w:t>For purposes of this Policy, “</w:t>
      </w:r>
      <w:r>
        <w:rPr>
          <w:rFonts w:ascii="Times New Roman;Times;serif" w:hAnsi="Times New Roman;Times;serif"/>
          <w:sz w:val="24"/>
          <w:u w:val="single"/>
        </w:rPr>
        <w:t>officers</w:t>
      </w:r>
      <w:r>
        <w:rPr>
          <w:rFonts w:ascii="Times New Roman;Times;serif" w:hAnsi="Times New Roman;Times;serif"/>
          <w:sz w:val="24"/>
        </w:rPr>
        <w:t xml:space="preserve">” refer to those individuals who meet the definition of “officer” under Section 16 of the </w:t>
      </w:r>
      <w:r>
        <w:rPr>
          <w:rFonts w:ascii="Times New Roman;Times;serif" w:hAnsi="Times New Roman;Times;serif"/>
          <w:spacing w:val="-3"/>
          <w:sz w:val="24"/>
        </w:rPr>
        <w:t xml:space="preserve">Securities Exchange Act of 1934 (as amended, the </w:t>
      </w:r>
      <w:r>
        <w:rPr>
          <w:rFonts w:ascii="Times New Roman;Times;serif" w:hAnsi="Times New Roman;Times;serif"/>
          <w:sz w:val="24"/>
        </w:rPr>
        <w:t>“</w:t>
      </w:r>
      <w:r>
        <w:rPr>
          <w:rFonts w:ascii="Times New Roman;Times;serif" w:hAnsi="Times New Roman;Times;serif"/>
          <w:sz w:val="24"/>
          <w:u w:val="single"/>
        </w:rPr>
        <w:t>1934</w:t>
      </w:r>
      <w:r>
        <w:rPr>
          <w:rFonts w:ascii="Times New Roman;Times;serif" w:hAnsi="Times New Roman;Times;serif"/>
          <w:spacing w:val="-13"/>
          <w:sz w:val="24"/>
          <w:u w:val="single"/>
        </w:rPr>
        <w:t xml:space="preserve"> </w:t>
      </w:r>
      <w:r>
        <w:rPr>
          <w:rFonts w:ascii="Times New Roman;Times;serif" w:hAnsi="Times New Roman;Times;serif"/>
          <w:sz w:val="24"/>
          <w:u w:val="single"/>
        </w:rPr>
        <w:t>Act</w:t>
      </w:r>
      <w:r>
        <w:rPr>
          <w:rFonts w:ascii="Times New Roman;Times;serif" w:hAnsi="Times New Roman;Times;serif"/>
          <w:sz w:val="24"/>
        </w:rPr>
        <w:t>”)</w:t>
      </w:r>
      <w:r>
        <w:rPr>
          <w:rFonts w:ascii="Times New Roman;Times;serif" w:hAnsi="Times New Roman;Times;serif"/>
          <w:spacing w:val="-3"/>
          <w:sz w:val="24"/>
        </w:rPr>
        <w:t xml:space="preserve">. </w:t>
      </w:r>
      <w:r>
        <w:rPr>
          <w:rFonts w:ascii="Times New Roman;Times;serif" w:hAnsi="Times New Roman;Times;serif"/>
          <w:sz w:val="24"/>
        </w:rPr>
        <w:t>As</w:t>
      </w:r>
      <w:r>
        <w:rPr>
          <w:rFonts w:ascii="Times New Roman;Times;serif" w:hAnsi="Times New Roman;Times;serif"/>
          <w:spacing w:val="-3"/>
          <w:sz w:val="24"/>
        </w:rPr>
        <w:t xml:space="preserve"> </w:t>
      </w:r>
      <w:r>
        <w:rPr>
          <w:rFonts w:ascii="Times New Roman;Times;serif" w:hAnsi="Times New Roman;Times;serif"/>
          <w:sz w:val="24"/>
        </w:rPr>
        <w:t>someone subject to this Policy, you are responsible for ensuring that members of your household also comply with this Policy.</w:t>
      </w:r>
      <w:r>
        <w:rPr>
          <w:rFonts w:ascii="Times New Roman;Times;serif" w:hAnsi="Times New Roman;Times;serif"/>
          <w:spacing w:val="40"/>
          <w:sz w:val="24"/>
        </w:rPr>
        <w:t xml:space="preserve"> </w:t>
      </w:r>
      <w:r>
        <w:rPr>
          <w:rFonts w:ascii="Times New Roman;Times;serif" w:hAnsi="Times New Roman;Times;serif"/>
          <w:sz w:val="24"/>
        </w:rPr>
        <w:t>This Policy also applies to any entities you control, including any corporations, partnerships, or trusts, and transactions by such entities should be treated for the purposes of this Policy and applicable securities laws as if they were for your own account.</w:t>
      </w:r>
      <w:r>
        <w:rPr>
          <w:rFonts w:ascii="Times New Roman;Times;serif" w:hAnsi="Times New Roman;Times;serif"/>
          <w:spacing w:val="40"/>
          <w:sz w:val="24"/>
        </w:rPr>
        <w:t xml:space="preserve"> </w:t>
      </w:r>
      <w:r>
        <w:rPr>
          <w:rFonts w:ascii="Times New Roman;Times;serif" w:hAnsi="Times New Roman;Times;serif"/>
          <w:sz w:val="24"/>
        </w:rPr>
        <w:t>The Company may determine that this Policy applies to additional persons with access to material nonpublic information, such as contractors or consultants.</w:t>
      </w:r>
      <w:r>
        <w:rPr>
          <w:rFonts w:ascii="Times New Roman;Times;serif" w:hAnsi="Times New Roman;Times;serif"/>
          <w:spacing w:val="40"/>
          <w:sz w:val="24"/>
        </w:rPr>
        <w:t xml:space="preserve"> </w:t>
      </w:r>
      <w:r>
        <w:rPr>
          <w:rFonts w:ascii="Times New Roman;Times;serif" w:hAnsi="Times New Roman;Times;serif"/>
          <w:sz w:val="24"/>
        </w:rPr>
        <w:t>Every officer, director,</w:t>
      </w:r>
      <w:r>
        <w:rPr>
          <w:rFonts w:ascii="Times New Roman;Times;serif" w:hAnsi="Times New Roman;Times;serif"/>
          <w:spacing w:val="-1"/>
          <w:sz w:val="24"/>
        </w:rPr>
        <w:t xml:space="preserve"> </w:t>
      </w:r>
      <w:r>
        <w:rPr>
          <w:rFonts w:ascii="Times New Roman;Times;serif" w:hAnsi="Times New Roman;Times;serif"/>
          <w:sz w:val="24"/>
        </w:rPr>
        <w:t>and</w:t>
      </w:r>
      <w:r>
        <w:rPr>
          <w:rFonts w:ascii="Times New Roman;Times;serif" w:hAnsi="Times New Roman;Times;serif"/>
          <w:spacing w:val="-1"/>
          <w:sz w:val="24"/>
        </w:rPr>
        <w:t xml:space="preserve"> </w:t>
      </w:r>
      <w:r>
        <w:rPr>
          <w:rFonts w:ascii="Times New Roman;Times;serif" w:hAnsi="Times New Roman;Times;serif"/>
          <w:sz w:val="24"/>
        </w:rPr>
        <w:t>employee</w:t>
      </w:r>
      <w:r>
        <w:rPr>
          <w:rFonts w:ascii="Times New Roman;Times;serif" w:hAnsi="Times New Roman;Times;serif"/>
          <w:spacing w:val="-2"/>
          <w:sz w:val="24"/>
        </w:rPr>
        <w:t xml:space="preserve"> </w:t>
      </w:r>
      <w:r>
        <w:rPr>
          <w:rFonts w:ascii="Times New Roman;Times;serif" w:hAnsi="Times New Roman;Times;serif"/>
          <w:sz w:val="24"/>
        </w:rPr>
        <w:t>must</w:t>
      </w:r>
      <w:r>
        <w:rPr>
          <w:rFonts w:ascii="Times New Roman;Times;serif" w:hAnsi="Times New Roman;Times;serif"/>
          <w:spacing w:val="-1"/>
          <w:sz w:val="24"/>
        </w:rPr>
        <w:t xml:space="preserve"> </w:t>
      </w:r>
      <w:r>
        <w:rPr>
          <w:rFonts w:ascii="Times New Roman;Times;serif" w:hAnsi="Times New Roman;Times;serif"/>
          <w:sz w:val="24"/>
        </w:rPr>
        <w:t>review</w:t>
      </w:r>
      <w:r>
        <w:rPr>
          <w:rFonts w:ascii="Times New Roman;Times;serif" w:hAnsi="Times New Roman;Times;serif"/>
          <w:spacing w:val="-2"/>
          <w:sz w:val="24"/>
        </w:rPr>
        <w:t xml:space="preserve"> </w:t>
      </w:r>
      <w:r>
        <w:rPr>
          <w:rFonts w:ascii="Times New Roman;Times;serif" w:hAnsi="Times New Roman;Times;serif"/>
          <w:sz w:val="24"/>
        </w:rPr>
        <w:t>this Policy.</w:t>
      </w:r>
      <w:r>
        <w:rPr>
          <w:rFonts w:ascii="Times New Roman;Times;serif" w:hAnsi="Times New Roman;Times;serif"/>
          <w:spacing w:val="40"/>
          <w:sz w:val="24"/>
        </w:rPr>
        <w:t xml:space="preserve"> </w:t>
      </w:r>
      <w:r>
        <w:rPr>
          <w:rFonts w:ascii="Times New Roman;Times;serif" w:hAnsi="Times New Roman;Times;serif"/>
          <w:sz w:val="24"/>
        </w:rPr>
        <w:t>Questions regarding the</w:t>
      </w:r>
      <w:r>
        <w:rPr>
          <w:rFonts w:ascii="Times New Roman;Times;serif" w:hAnsi="Times New Roman;Times;serif"/>
          <w:spacing w:val="-1"/>
          <w:sz w:val="24"/>
        </w:rPr>
        <w:t xml:space="preserve"> </w:t>
      </w:r>
      <w:r>
        <w:rPr>
          <w:rFonts w:ascii="Times New Roman;Times;serif" w:hAnsi="Times New Roman;Times;serif"/>
          <w:sz w:val="24"/>
        </w:rPr>
        <w:t>Policy should be directed to the</w:t>
      </w:r>
      <w:r>
        <w:rPr>
          <w:rFonts w:ascii="Times New Roman;Times;serif" w:hAnsi="Times New Roman;Times;serif"/>
          <w:spacing w:val="-1"/>
          <w:sz w:val="24"/>
        </w:rPr>
        <w:t xml:space="preserve"> </w:t>
      </w:r>
      <w:r>
        <w:rPr>
          <w:rFonts w:ascii="Times New Roman;Times;serif" w:hAnsi="Times New Roman;Times;serif"/>
          <w:sz w:val="24"/>
        </w:rPr>
        <w:t>Company’s Compliance</w:t>
      </w:r>
      <w:r>
        <w:rPr>
          <w:rFonts w:ascii="Times New Roman;Times;serif" w:hAnsi="Times New Roman;Times;serif"/>
          <w:spacing w:val="-1"/>
          <w:sz w:val="24"/>
        </w:rPr>
        <w:t xml:space="preserve"> </w:t>
      </w:r>
      <w:r>
        <w:rPr>
          <w:rFonts w:ascii="Times New Roman;Times;serif" w:hAnsi="Times New Roman;Times;serif"/>
          <w:sz w:val="24"/>
        </w:rPr>
        <w:t>Officer (as defined below).</w:t>
      </w:r>
    </w:p>
    <w:p>
      <w:pPr>
        <w:pStyle w:val="TextBody"/>
        <w:bidi w:val="0"/>
        <w:spacing w:before="240" w:after="0"/>
        <w:ind w:left="120" w:right="119" w:firstLine="720"/>
        <w:jc w:val="both"/>
        <w:rPr>
          <w:rFonts w:ascii="Times New Roman;Times;serif" w:hAnsi="Times New Roman;Times;serif"/>
          <w:sz w:val="24"/>
        </w:rPr>
      </w:pPr>
      <w:r>
        <w:rPr>
          <w:rFonts w:ascii="Times New Roman;Times;serif" w:hAnsi="Times New Roman;Times;serif"/>
          <w:sz w:val="24"/>
        </w:rPr>
        <w:t>The</w:t>
      </w:r>
      <w:r>
        <w:rPr>
          <w:rFonts w:ascii="Times New Roman;Times;serif" w:hAnsi="Times New Roman;Times;serif"/>
          <w:spacing w:val="-4"/>
          <w:sz w:val="24"/>
        </w:rPr>
        <w:t xml:space="preserve"> </w:t>
      </w:r>
      <w:r>
        <w:rPr>
          <w:rFonts w:ascii="Times New Roman;Times;serif" w:hAnsi="Times New Roman;Times;serif"/>
          <w:sz w:val="24"/>
        </w:rPr>
        <w:t>General</w:t>
      </w:r>
      <w:r>
        <w:rPr>
          <w:rFonts w:ascii="Times New Roman;Times;serif" w:hAnsi="Times New Roman;Times;serif"/>
          <w:spacing w:val="-3"/>
          <w:sz w:val="24"/>
        </w:rPr>
        <w:t xml:space="preserve"> </w:t>
      </w:r>
      <w:r>
        <w:rPr>
          <w:rFonts w:ascii="Times New Roman;Times;serif" w:hAnsi="Times New Roman;Times;serif"/>
          <w:sz w:val="24"/>
        </w:rPr>
        <w:t>Counsel</w:t>
      </w:r>
      <w:r>
        <w:rPr>
          <w:rFonts w:ascii="Times New Roman;Times;serif" w:hAnsi="Times New Roman;Times;serif"/>
          <w:spacing w:val="-3"/>
          <w:sz w:val="24"/>
        </w:rPr>
        <w:t xml:space="preserve"> </w:t>
      </w:r>
      <w:r>
        <w:rPr>
          <w:rFonts w:ascii="Times New Roman;Times;serif" w:hAnsi="Times New Roman;Times;serif"/>
          <w:sz w:val="24"/>
        </w:rPr>
        <w:t>of</w:t>
      </w:r>
      <w:r>
        <w:rPr>
          <w:rFonts w:ascii="Times New Roman;Times;serif" w:hAnsi="Times New Roman;Times;serif"/>
          <w:spacing w:val="-4"/>
          <w:sz w:val="24"/>
        </w:rPr>
        <w:t xml:space="preserve"> </w:t>
      </w:r>
      <w:r>
        <w:rPr>
          <w:rFonts w:ascii="Times New Roman;Times;serif" w:hAnsi="Times New Roman;Times;serif"/>
          <w:sz w:val="24"/>
        </w:rPr>
        <w:t>the</w:t>
      </w:r>
      <w:r>
        <w:rPr>
          <w:rFonts w:ascii="Times New Roman;Times;serif" w:hAnsi="Times New Roman;Times;serif"/>
          <w:spacing w:val="-4"/>
          <w:sz w:val="24"/>
        </w:rPr>
        <w:t xml:space="preserve"> </w:t>
      </w:r>
      <w:r>
        <w:rPr>
          <w:rFonts w:ascii="Times New Roman;Times;serif" w:hAnsi="Times New Roman;Times;serif"/>
          <w:sz w:val="24"/>
        </w:rPr>
        <w:t>Company</w:t>
      </w:r>
      <w:r>
        <w:rPr>
          <w:rFonts w:ascii="Times New Roman;Times;serif" w:hAnsi="Times New Roman;Times;serif"/>
          <w:spacing w:val="-3"/>
          <w:sz w:val="24"/>
        </w:rPr>
        <w:t xml:space="preserve"> </w:t>
      </w:r>
      <w:r>
        <w:rPr>
          <w:rFonts w:ascii="Times New Roman;Times;serif" w:hAnsi="Times New Roman;Times;serif"/>
          <w:sz w:val="24"/>
        </w:rPr>
        <w:t>(the</w:t>
      </w:r>
      <w:r>
        <w:rPr>
          <w:rFonts w:ascii="Times New Roman;Times;serif" w:hAnsi="Times New Roman;Times;serif"/>
          <w:spacing w:val="-4"/>
          <w:sz w:val="24"/>
        </w:rPr>
        <w:t xml:space="preserve"> </w:t>
      </w:r>
      <w:r>
        <w:rPr>
          <w:rFonts w:ascii="Times New Roman;Times;serif" w:hAnsi="Times New Roman;Times;serif"/>
          <w:sz w:val="24"/>
        </w:rPr>
        <w:t>“</w:t>
      </w:r>
      <w:r>
        <w:rPr>
          <w:rFonts w:ascii="Times New Roman;Times;serif" w:hAnsi="Times New Roman;Times;serif"/>
          <w:sz w:val="24"/>
          <w:u w:val="single"/>
        </w:rPr>
        <w:t>Compliance</w:t>
      </w:r>
      <w:r>
        <w:rPr>
          <w:rFonts w:ascii="Times New Roman;Times;serif" w:hAnsi="Times New Roman;Times;serif"/>
          <w:spacing w:val="-4"/>
          <w:sz w:val="24"/>
          <w:u w:val="single"/>
        </w:rPr>
        <w:t xml:space="preserve"> </w:t>
      </w:r>
      <w:r>
        <w:rPr>
          <w:rFonts w:ascii="Times New Roman;Times;serif" w:hAnsi="Times New Roman;Times;serif"/>
          <w:sz w:val="24"/>
          <w:u w:val="single"/>
        </w:rPr>
        <w:t>Officer</w:t>
      </w:r>
      <w:r>
        <w:rPr>
          <w:rFonts w:ascii="Times New Roman;Times;serif" w:hAnsi="Times New Roman;Times;serif"/>
          <w:sz w:val="24"/>
        </w:rPr>
        <w:t>”)</w:t>
      </w:r>
      <w:r>
        <w:rPr>
          <w:rFonts w:ascii="Times New Roman;Times;serif" w:hAnsi="Times New Roman;Times;serif"/>
          <w:spacing w:val="-4"/>
          <w:sz w:val="24"/>
        </w:rPr>
        <w:t xml:space="preserve"> </w:t>
      </w:r>
      <w:r>
        <w:rPr>
          <w:rFonts w:ascii="Times New Roman;Times;serif" w:hAnsi="Times New Roman;Times;serif"/>
          <w:sz w:val="24"/>
        </w:rPr>
        <w:t>shall</w:t>
      </w:r>
      <w:r>
        <w:rPr>
          <w:rFonts w:ascii="Times New Roman;Times;serif" w:hAnsi="Times New Roman;Times;serif"/>
          <w:spacing w:val="-3"/>
          <w:sz w:val="24"/>
        </w:rPr>
        <w:t xml:space="preserve"> </w:t>
      </w:r>
      <w:r>
        <w:rPr>
          <w:rFonts w:ascii="Times New Roman;Times;serif" w:hAnsi="Times New Roman;Times;serif"/>
          <w:sz w:val="24"/>
        </w:rPr>
        <w:t>be</w:t>
      </w:r>
      <w:r>
        <w:rPr>
          <w:rFonts w:ascii="Times New Roman;Times;serif" w:hAnsi="Times New Roman;Times;serif"/>
          <w:spacing w:val="-4"/>
          <w:sz w:val="24"/>
        </w:rPr>
        <w:t xml:space="preserve"> </w:t>
      </w:r>
      <w:r>
        <w:rPr>
          <w:rFonts w:ascii="Times New Roman;Times;serif" w:hAnsi="Times New Roman;Times;serif"/>
          <w:sz w:val="24"/>
        </w:rPr>
        <w:t>responsible</w:t>
      </w:r>
      <w:r>
        <w:rPr>
          <w:rFonts w:ascii="Times New Roman;Times;serif" w:hAnsi="Times New Roman;Times;serif"/>
          <w:spacing w:val="-4"/>
          <w:sz w:val="24"/>
        </w:rPr>
        <w:t xml:space="preserve"> </w:t>
      </w:r>
      <w:r>
        <w:rPr>
          <w:rFonts w:ascii="Times New Roman;Times;serif" w:hAnsi="Times New Roman;Times;serif"/>
          <w:sz w:val="24"/>
        </w:rPr>
        <w:t>for the administration of this Policy.</w:t>
      </w:r>
    </w:p>
    <w:p>
      <w:pPr>
        <w:pStyle w:val="TextBody"/>
        <w:bidi w:val="0"/>
        <w:spacing w:before="240" w:after="0"/>
        <w:ind w:left="120" w:right="116" w:firstLine="720"/>
        <w:jc w:val="both"/>
        <w:rPr>
          <w:rFonts w:ascii="Times New Roman;Times;serif" w:hAnsi="Times New Roman;Times;serif"/>
          <w:sz w:val="24"/>
        </w:rPr>
      </w:pPr>
      <w:r>
        <w:rPr>
          <w:rFonts w:ascii="Times New Roman;Times;serif" w:hAnsi="Times New Roman;Times;serif"/>
          <w:sz w:val="24"/>
        </w:rPr>
        <w:t>In</w:t>
      </w:r>
      <w:r>
        <w:rPr>
          <w:rFonts w:ascii="Times New Roman;Times;serif" w:hAnsi="Times New Roman;Times;serif"/>
          <w:spacing w:val="-1"/>
          <w:sz w:val="24"/>
        </w:rPr>
        <w:t xml:space="preserve"> </w:t>
      </w:r>
      <w:r>
        <w:rPr>
          <w:rFonts w:ascii="Times New Roman;Times;serif" w:hAnsi="Times New Roman;Times;serif"/>
          <w:sz w:val="24"/>
        </w:rPr>
        <w:t>the</w:t>
      </w:r>
      <w:r>
        <w:rPr>
          <w:rFonts w:ascii="Times New Roman;Times;serif" w:hAnsi="Times New Roman;Times;serif"/>
          <w:spacing w:val="-2"/>
          <w:sz w:val="24"/>
        </w:rPr>
        <w:t xml:space="preserve"> </w:t>
      </w:r>
      <w:r>
        <w:rPr>
          <w:rFonts w:ascii="Times New Roman;Times;serif" w:hAnsi="Times New Roman;Times;serif"/>
          <w:sz w:val="24"/>
        </w:rPr>
        <w:t>absence</w:t>
      </w:r>
      <w:r>
        <w:rPr>
          <w:rFonts w:ascii="Times New Roman;Times;serif" w:hAnsi="Times New Roman;Times;serif"/>
          <w:spacing w:val="-2"/>
          <w:sz w:val="24"/>
        </w:rPr>
        <w:t xml:space="preserve"> </w:t>
      </w:r>
      <w:r>
        <w:rPr>
          <w:rFonts w:ascii="Times New Roman;Times;serif" w:hAnsi="Times New Roman;Times;serif"/>
          <w:sz w:val="24"/>
        </w:rPr>
        <w:t>of</w:t>
      </w:r>
      <w:r>
        <w:rPr>
          <w:rFonts w:ascii="Times New Roman;Times;serif" w:hAnsi="Times New Roman;Times;serif"/>
          <w:spacing w:val="-2"/>
          <w:sz w:val="24"/>
        </w:rPr>
        <w:t xml:space="preserve"> </w:t>
      </w:r>
      <w:r>
        <w:rPr>
          <w:rFonts w:ascii="Times New Roman;Times;serif" w:hAnsi="Times New Roman;Times;serif"/>
          <w:sz w:val="24"/>
        </w:rPr>
        <w:t>the</w:t>
      </w:r>
      <w:r>
        <w:rPr>
          <w:rFonts w:ascii="Times New Roman;Times;serif" w:hAnsi="Times New Roman;Times;serif"/>
          <w:spacing w:val="-2"/>
          <w:sz w:val="24"/>
        </w:rPr>
        <w:t xml:space="preserve"> </w:t>
      </w:r>
      <w:r>
        <w:rPr>
          <w:rFonts w:ascii="Times New Roman;Times;serif" w:hAnsi="Times New Roman;Times;serif"/>
          <w:sz w:val="24"/>
        </w:rPr>
        <w:t>Compliance</w:t>
      </w:r>
      <w:r>
        <w:rPr>
          <w:rFonts w:ascii="Times New Roman;Times;serif" w:hAnsi="Times New Roman;Times;serif"/>
          <w:spacing w:val="-2"/>
          <w:sz w:val="24"/>
        </w:rPr>
        <w:t xml:space="preserve"> </w:t>
      </w:r>
      <w:r>
        <w:rPr>
          <w:rFonts w:ascii="Times New Roman;Times;serif" w:hAnsi="Times New Roman;Times;serif"/>
          <w:sz w:val="24"/>
        </w:rPr>
        <w:t>Officer,</w:t>
      </w:r>
      <w:r>
        <w:rPr>
          <w:rFonts w:ascii="Times New Roman;Times;serif" w:hAnsi="Times New Roman;Times;serif"/>
          <w:spacing w:val="-1"/>
          <w:sz w:val="24"/>
        </w:rPr>
        <w:t xml:space="preserve"> </w:t>
      </w:r>
      <w:r>
        <w:rPr>
          <w:rFonts w:ascii="Times New Roman;Times;serif" w:hAnsi="Times New Roman;Times;serif"/>
          <w:sz w:val="24"/>
        </w:rPr>
        <w:t>responsibility</w:t>
      </w:r>
      <w:r>
        <w:rPr>
          <w:rFonts w:ascii="Times New Roman;Times;serif" w:hAnsi="Times New Roman;Times;serif"/>
          <w:spacing w:val="-1"/>
          <w:sz w:val="24"/>
        </w:rPr>
        <w:t xml:space="preserve"> </w:t>
      </w:r>
      <w:r>
        <w:rPr>
          <w:rFonts w:ascii="Times New Roman;Times;serif" w:hAnsi="Times New Roman;Times;serif"/>
          <w:sz w:val="24"/>
        </w:rPr>
        <w:t>for</w:t>
      </w:r>
      <w:r>
        <w:rPr>
          <w:rFonts w:ascii="Times New Roman;Times;serif" w:hAnsi="Times New Roman;Times;serif"/>
          <w:spacing w:val="-2"/>
          <w:sz w:val="24"/>
        </w:rPr>
        <w:t xml:space="preserve"> </w:t>
      </w:r>
      <w:r>
        <w:rPr>
          <w:rFonts w:ascii="Times New Roman;Times;serif" w:hAnsi="Times New Roman;Times;serif"/>
          <w:sz w:val="24"/>
        </w:rPr>
        <w:t>administering</w:t>
      </w:r>
      <w:r>
        <w:rPr>
          <w:rFonts w:ascii="Times New Roman;Times;serif" w:hAnsi="Times New Roman;Times;serif"/>
          <w:spacing w:val="-1"/>
          <w:sz w:val="24"/>
        </w:rPr>
        <w:t xml:space="preserve"> </w:t>
      </w:r>
      <w:r>
        <w:rPr>
          <w:rFonts w:ascii="Times New Roman;Times;serif" w:hAnsi="Times New Roman;Times;serif"/>
          <w:sz w:val="24"/>
        </w:rPr>
        <w:t>this</w:t>
      </w:r>
      <w:r>
        <w:rPr>
          <w:rFonts w:ascii="Times New Roman;Times;serif" w:hAnsi="Times New Roman;Times;serif"/>
          <w:spacing w:val="-1"/>
          <w:sz w:val="24"/>
        </w:rPr>
        <w:t xml:space="preserve"> </w:t>
      </w:r>
      <w:r>
        <w:rPr>
          <w:rFonts w:ascii="Times New Roman;Times;serif" w:hAnsi="Times New Roman;Times;serif"/>
          <w:sz w:val="24"/>
        </w:rPr>
        <w:t>Policy</w:t>
      </w:r>
      <w:r>
        <w:rPr>
          <w:rFonts w:ascii="Times New Roman;Times;serif" w:hAnsi="Times New Roman;Times;serif"/>
          <w:spacing w:val="-1"/>
          <w:sz w:val="24"/>
        </w:rPr>
        <w:t xml:space="preserve"> </w:t>
      </w:r>
      <w:r>
        <w:rPr>
          <w:rFonts w:ascii="Times New Roman;Times;serif" w:hAnsi="Times New Roman;Times;serif"/>
          <w:sz w:val="24"/>
        </w:rPr>
        <w:t>will rest with the Chief Financial Officer or such other employee as may be designated by the Compliance Officer.</w:t>
      </w:r>
    </w:p>
    <w:p>
      <w:pPr>
        <w:pStyle w:val="TextBody"/>
        <w:bidi w:val="0"/>
        <w:spacing w:before="240" w:after="0"/>
        <w:ind w:left="120" w:right="116" w:firstLine="72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40" w:after="283"/>
        <w:ind w:left="120" w:right="116" w:firstLine="720"/>
        <w:jc w:val="both"/>
        <w:rPr/>
      </w:pPr>
      <w:r>
        <w:rPr/>
        <w:t>​</w:t>
      </w:r>
    </w:p>
    <w:p>
      <w:pPr>
        <w:pStyle w:val="TextBody"/>
        <w:bidi w:val="0"/>
        <w:spacing w:before="240" w:after="0"/>
        <w:ind w:left="120" w:right="118" w:firstLine="720"/>
        <w:jc w:val="both"/>
        <w:rPr>
          <w:rFonts w:ascii="Times New Roman;Times;serif" w:hAnsi="Times New Roman;Times;serif"/>
          <w:sz w:val="24"/>
        </w:rPr>
      </w:pPr>
      <w:r>
        <w:rPr>
          <w:rFonts w:ascii="Times New Roman;Times;serif" w:hAnsi="Times New Roman;Times;serif"/>
          <w:sz w:val="24"/>
        </w:rPr>
        <w:t>In</w:t>
      </w:r>
      <w:r>
        <w:rPr>
          <w:rFonts w:ascii="Times New Roman;Times;serif" w:hAnsi="Times New Roman;Times;serif"/>
          <w:spacing w:val="-13"/>
          <w:sz w:val="24"/>
        </w:rPr>
        <w:t xml:space="preserve"> </w:t>
      </w:r>
      <w:r>
        <w:rPr>
          <w:rFonts w:ascii="Times New Roman;Times;serif" w:hAnsi="Times New Roman;Times;serif"/>
          <w:sz w:val="24"/>
        </w:rPr>
        <w:t>all</w:t>
      </w:r>
      <w:r>
        <w:rPr>
          <w:rFonts w:ascii="Times New Roman;Times;serif" w:hAnsi="Times New Roman;Times;serif"/>
          <w:spacing w:val="-14"/>
          <w:sz w:val="24"/>
        </w:rPr>
        <w:t xml:space="preserve"> </w:t>
      </w:r>
      <w:r>
        <w:rPr>
          <w:rFonts w:ascii="Times New Roman;Times;serif" w:hAnsi="Times New Roman;Times;serif"/>
          <w:sz w:val="24"/>
        </w:rPr>
        <w:t>cases,</w:t>
      </w:r>
      <w:r>
        <w:rPr>
          <w:rFonts w:ascii="Times New Roman;Times;serif" w:hAnsi="Times New Roman;Times;serif"/>
          <w:spacing w:val="-13"/>
          <w:sz w:val="24"/>
        </w:rPr>
        <w:t xml:space="preserve"> </w:t>
      </w:r>
      <w:r>
        <w:rPr>
          <w:rFonts w:ascii="Times New Roman;Times;serif" w:hAnsi="Times New Roman;Times;serif"/>
          <w:sz w:val="24"/>
        </w:rPr>
        <w:t>as</w:t>
      </w:r>
      <w:r>
        <w:rPr>
          <w:rFonts w:ascii="Times New Roman;Times;serif" w:hAnsi="Times New Roman;Times;serif"/>
          <w:spacing w:val="-14"/>
          <w:sz w:val="24"/>
        </w:rPr>
        <w:t xml:space="preserve"> </w:t>
      </w:r>
      <w:r>
        <w:rPr>
          <w:rFonts w:ascii="Times New Roman;Times;serif" w:hAnsi="Times New Roman;Times;serif"/>
          <w:sz w:val="24"/>
        </w:rPr>
        <w:t>someone</w:t>
      </w:r>
      <w:r>
        <w:rPr>
          <w:rFonts w:ascii="Times New Roman;Times;serif" w:hAnsi="Times New Roman;Times;serif"/>
          <w:spacing w:val="-15"/>
          <w:sz w:val="24"/>
        </w:rPr>
        <w:t xml:space="preserve"> </w:t>
      </w:r>
      <w:r>
        <w:rPr>
          <w:rFonts w:ascii="Times New Roman;Times;serif" w:hAnsi="Times New Roman;Times;serif"/>
          <w:sz w:val="24"/>
        </w:rPr>
        <w:t>subject</w:t>
      </w:r>
      <w:r>
        <w:rPr>
          <w:rFonts w:ascii="Times New Roman;Times;serif" w:hAnsi="Times New Roman;Times;serif"/>
          <w:spacing w:val="-14"/>
          <w:sz w:val="24"/>
        </w:rPr>
        <w:t xml:space="preserve"> </w:t>
      </w:r>
      <w:r>
        <w:rPr>
          <w:rFonts w:ascii="Times New Roman;Times;serif" w:hAnsi="Times New Roman;Times;serif"/>
          <w:sz w:val="24"/>
        </w:rPr>
        <w:t>to</w:t>
      </w:r>
      <w:r>
        <w:rPr>
          <w:rFonts w:ascii="Times New Roman;Times;serif" w:hAnsi="Times New Roman;Times;serif"/>
          <w:spacing w:val="-14"/>
          <w:sz w:val="24"/>
        </w:rPr>
        <w:t xml:space="preserve"> </w:t>
      </w:r>
      <w:r>
        <w:rPr>
          <w:rFonts w:ascii="Times New Roman;Times;serif" w:hAnsi="Times New Roman;Times;serif"/>
          <w:sz w:val="24"/>
        </w:rPr>
        <w:t>this</w:t>
      </w:r>
      <w:r>
        <w:rPr>
          <w:rFonts w:ascii="Times New Roman;Times;serif" w:hAnsi="Times New Roman;Times;serif"/>
          <w:spacing w:val="-14"/>
          <w:sz w:val="24"/>
        </w:rPr>
        <w:t xml:space="preserve"> </w:t>
      </w:r>
      <w:r>
        <w:rPr>
          <w:rFonts w:ascii="Times New Roman;Times;serif" w:hAnsi="Times New Roman;Times;serif"/>
          <w:sz w:val="24"/>
        </w:rPr>
        <w:t>Policy,</w:t>
      </w:r>
      <w:r>
        <w:rPr>
          <w:rFonts w:ascii="Times New Roman;Times;serif" w:hAnsi="Times New Roman;Times;serif"/>
          <w:spacing w:val="-14"/>
          <w:sz w:val="24"/>
        </w:rPr>
        <w:t xml:space="preserve"> </w:t>
      </w:r>
      <w:r>
        <w:rPr>
          <w:rFonts w:ascii="Times New Roman;Times;serif" w:hAnsi="Times New Roman;Times;serif"/>
          <w:sz w:val="24"/>
        </w:rPr>
        <w:t>you</w:t>
      </w:r>
      <w:r>
        <w:rPr>
          <w:rFonts w:ascii="Times New Roman;Times;serif" w:hAnsi="Times New Roman;Times;serif"/>
          <w:spacing w:val="-13"/>
          <w:sz w:val="24"/>
        </w:rPr>
        <w:t xml:space="preserve"> </w:t>
      </w:r>
      <w:r>
        <w:rPr>
          <w:rFonts w:ascii="Times New Roman;Times;serif" w:hAnsi="Times New Roman;Times;serif"/>
          <w:sz w:val="24"/>
        </w:rPr>
        <w:t>bear</w:t>
      </w:r>
      <w:r>
        <w:rPr>
          <w:rFonts w:ascii="Times New Roman;Times;serif" w:hAnsi="Times New Roman;Times;serif"/>
          <w:spacing w:val="-14"/>
          <w:sz w:val="24"/>
        </w:rPr>
        <w:t xml:space="preserve"> </w:t>
      </w:r>
      <w:r>
        <w:rPr>
          <w:rFonts w:ascii="Times New Roman;Times;serif" w:hAnsi="Times New Roman;Times;serif"/>
          <w:sz w:val="24"/>
        </w:rPr>
        <w:t>full</w:t>
      </w:r>
      <w:r>
        <w:rPr>
          <w:rFonts w:ascii="Times New Roman;Times;serif" w:hAnsi="Times New Roman;Times;serif"/>
          <w:spacing w:val="-14"/>
          <w:sz w:val="24"/>
        </w:rPr>
        <w:t xml:space="preserve"> </w:t>
      </w:r>
      <w:r>
        <w:rPr>
          <w:rFonts w:ascii="Times New Roman;Times;serif" w:hAnsi="Times New Roman;Times;serif"/>
          <w:sz w:val="24"/>
        </w:rPr>
        <w:t>responsibility</w:t>
      </w:r>
      <w:r>
        <w:rPr>
          <w:rFonts w:ascii="Times New Roman;Times;serif" w:hAnsi="Times New Roman;Times;serif"/>
          <w:spacing w:val="-14"/>
          <w:sz w:val="24"/>
        </w:rPr>
        <w:t xml:space="preserve"> </w:t>
      </w:r>
      <w:r>
        <w:rPr>
          <w:rFonts w:ascii="Times New Roman;Times;serif" w:hAnsi="Times New Roman;Times;serif"/>
          <w:sz w:val="24"/>
        </w:rPr>
        <w:t>for</w:t>
      </w:r>
      <w:r>
        <w:rPr>
          <w:rFonts w:ascii="Times New Roman;Times;serif" w:hAnsi="Times New Roman;Times;serif"/>
          <w:spacing w:val="-15"/>
          <w:sz w:val="24"/>
        </w:rPr>
        <w:t xml:space="preserve"> </w:t>
      </w:r>
      <w:r>
        <w:rPr>
          <w:rFonts w:ascii="Times New Roman;Times;serif" w:hAnsi="Times New Roman;Times;serif"/>
          <w:sz w:val="24"/>
        </w:rPr>
        <w:t>ensuring</w:t>
      </w:r>
      <w:r>
        <w:rPr>
          <w:rFonts w:ascii="Times New Roman;Times;serif" w:hAnsi="Times New Roman;Times;serif"/>
          <w:spacing w:val="-13"/>
          <w:sz w:val="24"/>
        </w:rPr>
        <w:t xml:space="preserve"> </w:t>
      </w:r>
      <w:r>
        <w:rPr>
          <w:rFonts w:ascii="Times New Roman;Times;serif" w:hAnsi="Times New Roman;Times;serif"/>
          <w:sz w:val="24"/>
        </w:rPr>
        <w:t>your compliance with this Policy, and also for ensuring that members of your household (and individuals</w:t>
      </w:r>
      <w:r>
        <w:rPr>
          <w:rFonts w:ascii="Times New Roman;Times;serif" w:hAnsi="Times New Roman;Times;serif"/>
          <w:spacing w:val="-3"/>
          <w:sz w:val="24"/>
        </w:rPr>
        <w:t xml:space="preserve"> </w:t>
      </w:r>
      <w:r>
        <w:rPr>
          <w:rFonts w:ascii="Times New Roman;Times;serif" w:hAnsi="Times New Roman;Times;serif"/>
          <w:sz w:val="24"/>
        </w:rPr>
        <w:t>not</w:t>
      </w:r>
      <w:r>
        <w:rPr>
          <w:rFonts w:ascii="Times New Roman;Times;serif" w:hAnsi="Times New Roman;Times;serif"/>
          <w:spacing w:val="-3"/>
          <w:sz w:val="24"/>
        </w:rPr>
        <w:t xml:space="preserve"> </w:t>
      </w:r>
      <w:r>
        <w:rPr>
          <w:rFonts w:ascii="Times New Roman;Times;serif" w:hAnsi="Times New Roman;Times;serif"/>
          <w:sz w:val="24"/>
        </w:rPr>
        <w:t>residing</w:t>
      </w:r>
      <w:r>
        <w:rPr>
          <w:rFonts w:ascii="Times New Roman;Times;serif" w:hAnsi="Times New Roman;Times;serif"/>
          <w:spacing w:val="-3"/>
          <w:sz w:val="24"/>
        </w:rPr>
        <w:t xml:space="preserve"> </w:t>
      </w:r>
      <w:r>
        <w:rPr>
          <w:rFonts w:ascii="Times New Roman;Times;serif" w:hAnsi="Times New Roman;Times;serif"/>
          <w:sz w:val="24"/>
        </w:rPr>
        <w:t>in</w:t>
      </w:r>
      <w:r>
        <w:rPr>
          <w:rFonts w:ascii="Times New Roman;Times;serif" w:hAnsi="Times New Roman;Times;serif"/>
          <w:spacing w:val="-3"/>
          <w:sz w:val="24"/>
        </w:rPr>
        <w:t xml:space="preserve"> </w:t>
      </w:r>
      <w:r>
        <w:rPr>
          <w:rFonts w:ascii="Times New Roman;Times;serif" w:hAnsi="Times New Roman;Times;serif"/>
          <w:sz w:val="24"/>
        </w:rPr>
        <w:t>your</w:t>
      </w:r>
      <w:r>
        <w:rPr>
          <w:rFonts w:ascii="Times New Roman;Times;serif" w:hAnsi="Times New Roman;Times;serif"/>
          <w:spacing w:val="-4"/>
          <w:sz w:val="24"/>
        </w:rPr>
        <w:t xml:space="preserve"> </w:t>
      </w:r>
      <w:r>
        <w:rPr>
          <w:rFonts w:ascii="Times New Roman;Times;serif" w:hAnsi="Times New Roman;Times;serif"/>
          <w:sz w:val="24"/>
        </w:rPr>
        <w:t>household</w:t>
      </w:r>
      <w:r>
        <w:rPr>
          <w:rFonts w:ascii="Times New Roman;Times;serif" w:hAnsi="Times New Roman;Times;serif"/>
          <w:spacing w:val="-3"/>
          <w:sz w:val="24"/>
        </w:rPr>
        <w:t xml:space="preserve"> </w:t>
      </w:r>
      <w:r>
        <w:rPr>
          <w:rFonts w:ascii="Times New Roman;Times;serif" w:hAnsi="Times New Roman;Times;serif"/>
          <w:sz w:val="24"/>
        </w:rPr>
        <w:t>but</w:t>
      </w:r>
      <w:r>
        <w:rPr>
          <w:rFonts w:ascii="Times New Roman;Times;serif" w:hAnsi="Times New Roman;Times;serif"/>
          <w:spacing w:val="-3"/>
          <w:sz w:val="24"/>
        </w:rPr>
        <w:t xml:space="preserve"> </w:t>
      </w:r>
      <w:r>
        <w:rPr>
          <w:rFonts w:ascii="Times New Roman;Times;serif" w:hAnsi="Times New Roman;Times;serif"/>
          <w:sz w:val="24"/>
        </w:rPr>
        <w:t>whose</w:t>
      </w:r>
      <w:r>
        <w:rPr>
          <w:rFonts w:ascii="Times New Roman;Times;serif" w:hAnsi="Times New Roman;Times;serif"/>
          <w:spacing w:val="-4"/>
          <w:sz w:val="24"/>
        </w:rPr>
        <w:t xml:space="preserve"> </w:t>
      </w:r>
      <w:r>
        <w:rPr>
          <w:rFonts w:ascii="Times New Roman;Times;serif" w:hAnsi="Times New Roman;Times;serif"/>
          <w:sz w:val="24"/>
        </w:rPr>
        <w:t>transactions</w:t>
      </w:r>
      <w:r>
        <w:rPr>
          <w:rFonts w:ascii="Times New Roman;Times;serif" w:hAnsi="Times New Roman;Times;serif"/>
          <w:spacing w:val="-3"/>
          <w:sz w:val="24"/>
        </w:rPr>
        <w:t xml:space="preserve"> </w:t>
      </w:r>
      <w:r>
        <w:rPr>
          <w:rFonts w:ascii="Times New Roman;Times;serif" w:hAnsi="Times New Roman;Times;serif"/>
          <w:sz w:val="24"/>
        </w:rPr>
        <w:t>are</w:t>
      </w:r>
      <w:r>
        <w:rPr>
          <w:rFonts w:ascii="Times New Roman;Times;serif" w:hAnsi="Times New Roman;Times;serif"/>
          <w:spacing w:val="-4"/>
          <w:sz w:val="24"/>
        </w:rPr>
        <w:t xml:space="preserve"> </w:t>
      </w:r>
      <w:r>
        <w:rPr>
          <w:rFonts w:ascii="Times New Roman;Times;serif" w:hAnsi="Times New Roman;Times;serif"/>
          <w:sz w:val="24"/>
        </w:rPr>
        <w:t>subject</w:t>
      </w:r>
      <w:r>
        <w:rPr>
          <w:rFonts w:ascii="Times New Roman;Times;serif" w:hAnsi="Times New Roman;Times;serif"/>
          <w:spacing w:val="-3"/>
          <w:sz w:val="24"/>
        </w:rPr>
        <w:t xml:space="preserve"> </w:t>
      </w:r>
      <w:r>
        <w:rPr>
          <w:rFonts w:ascii="Times New Roman;Times;serif" w:hAnsi="Times New Roman;Times;serif"/>
          <w:sz w:val="24"/>
        </w:rPr>
        <w:t>to</w:t>
      </w:r>
      <w:r>
        <w:rPr>
          <w:rFonts w:ascii="Times New Roman;Times;serif" w:hAnsi="Times New Roman;Times;serif"/>
          <w:spacing w:val="-3"/>
          <w:sz w:val="24"/>
        </w:rPr>
        <w:t xml:space="preserve"> </w:t>
      </w:r>
      <w:r>
        <w:rPr>
          <w:rFonts w:ascii="Times New Roman;Times;serif" w:hAnsi="Times New Roman;Times;serif"/>
          <w:sz w:val="24"/>
        </w:rPr>
        <w:t>your</w:t>
      </w:r>
      <w:r>
        <w:rPr>
          <w:rFonts w:ascii="Times New Roman;Times;serif" w:hAnsi="Times New Roman;Times;serif"/>
          <w:spacing w:val="-4"/>
          <w:sz w:val="24"/>
        </w:rPr>
        <w:t xml:space="preserve"> </w:t>
      </w:r>
      <w:r>
        <w:rPr>
          <w:rFonts w:ascii="Times New Roman;Times;serif" w:hAnsi="Times New Roman;Times;serif"/>
          <w:sz w:val="24"/>
        </w:rPr>
        <w:t>influence</w:t>
      </w:r>
      <w:r>
        <w:rPr>
          <w:rFonts w:ascii="Times New Roman;Times;serif" w:hAnsi="Times New Roman;Times;serif"/>
          <w:spacing w:val="-4"/>
          <w:sz w:val="24"/>
        </w:rPr>
        <w:t xml:space="preserve"> </w:t>
      </w:r>
      <w:r>
        <w:rPr>
          <w:rFonts w:ascii="Times New Roman;Times;serif" w:hAnsi="Times New Roman;Times;serif"/>
          <w:sz w:val="24"/>
        </w:rPr>
        <w:t>or control) and entities under your influence or control are in compliance with this Policy.</w:t>
      </w:r>
    </w:p>
    <w:p>
      <w:pPr>
        <w:pStyle w:val="TextBody"/>
        <w:bidi w:val="0"/>
        <w:spacing w:before="240" w:after="0"/>
        <w:ind w:left="120" w:right="118" w:firstLine="720"/>
        <w:jc w:val="both"/>
        <w:rPr>
          <w:rFonts w:ascii="Times New Roman;Times;serif" w:hAnsi="Times New Roman;Times;serif"/>
          <w:sz w:val="24"/>
        </w:rPr>
      </w:pPr>
      <w:r>
        <w:rPr>
          <w:rFonts w:ascii="Times New Roman;Times;serif" w:hAnsi="Times New Roman;Times;serif"/>
          <w:sz w:val="24"/>
        </w:rPr>
        <w:t>Actions</w:t>
      </w:r>
      <w:r>
        <w:rPr>
          <w:rFonts w:ascii="Times New Roman;Times;serif" w:hAnsi="Times New Roman;Times;serif"/>
          <w:spacing w:val="-2"/>
          <w:sz w:val="24"/>
        </w:rPr>
        <w:t xml:space="preserve"> </w:t>
      </w:r>
      <w:r>
        <w:rPr>
          <w:rFonts w:ascii="Times New Roman;Times;serif" w:hAnsi="Times New Roman;Times;serif"/>
          <w:sz w:val="24"/>
        </w:rPr>
        <w:t>taken</w:t>
      </w:r>
      <w:r>
        <w:rPr>
          <w:rFonts w:ascii="Times New Roman;Times;serif" w:hAnsi="Times New Roman;Times;serif"/>
          <w:spacing w:val="-2"/>
          <w:sz w:val="24"/>
        </w:rPr>
        <w:t xml:space="preserve"> </w:t>
      </w:r>
      <w:r>
        <w:rPr>
          <w:rFonts w:ascii="Times New Roman;Times;serif" w:hAnsi="Times New Roman;Times;serif"/>
          <w:sz w:val="24"/>
        </w:rPr>
        <w:t>by</w:t>
      </w:r>
      <w:r>
        <w:rPr>
          <w:rFonts w:ascii="Times New Roman;Times;serif" w:hAnsi="Times New Roman;Times;serif"/>
          <w:spacing w:val="-2"/>
          <w:sz w:val="24"/>
        </w:rPr>
        <w:t xml:space="preserve"> </w:t>
      </w:r>
      <w:r>
        <w:rPr>
          <w:rFonts w:ascii="Times New Roman;Times;serif" w:hAnsi="Times New Roman;Times;serif"/>
          <w:sz w:val="24"/>
        </w:rPr>
        <w:t>the</w:t>
      </w:r>
      <w:r>
        <w:rPr>
          <w:rFonts w:ascii="Times New Roman;Times;serif" w:hAnsi="Times New Roman;Times;serif"/>
          <w:spacing w:val="-3"/>
          <w:sz w:val="24"/>
        </w:rPr>
        <w:t xml:space="preserve"> </w:t>
      </w:r>
      <w:r>
        <w:rPr>
          <w:rFonts w:ascii="Times New Roman;Times;serif" w:hAnsi="Times New Roman;Times;serif"/>
          <w:sz w:val="24"/>
        </w:rPr>
        <w:t>Company,</w:t>
      </w:r>
      <w:r>
        <w:rPr>
          <w:rFonts w:ascii="Times New Roman;Times;serif" w:hAnsi="Times New Roman;Times;serif"/>
          <w:spacing w:val="-2"/>
          <w:sz w:val="24"/>
        </w:rPr>
        <w:t xml:space="preserve"> </w:t>
      </w:r>
      <w:r>
        <w:rPr>
          <w:rFonts w:ascii="Times New Roman;Times;serif" w:hAnsi="Times New Roman;Times;serif"/>
          <w:sz w:val="24"/>
        </w:rPr>
        <w:t>the</w:t>
      </w:r>
      <w:r>
        <w:rPr>
          <w:rFonts w:ascii="Times New Roman;Times;serif" w:hAnsi="Times New Roman;Times;serif"/>
          <w:spacing w:val="-3"/>
          <w:sz w:val="24"/>
        </w:rPr>
        <w:t xml:space="preserve"> </w:t>
      </w:r>
      <w:r>
        <w:rPr>
          <w:rFonts w:ascii="Times New Roman;Times;serif" w:hAnsi="Times New Roman;Times;serif"/>
          <w:sz w:val="24"/>
        </w:rPr>
        <w:t>Compliance</w:t>
      </w:r>
      <w:r>
        <w:rPr>
          <w:rFonts w:ascii="Times New Roman;Times;serif" w:hAnsi="Times New Roman;Times;serif"/>
          <w:spacing w:val="-5"/>
          <w:sz w:val="24"/>
        </w:rPr>
        <w:t xml:space="preserve"> </w:t>
      </w:r>
      <w:r>
        <w:rPr>
          <w:rFonts w:ascii="Times New Roman;Times;serif" w:hAnsi="Times New Roman;Times;serif"/>
          <w:sz w:val="24"/>
        </w:rPr>
        <w:t>Officer,</w:t>
      </w:r>
      <w:r>
        <w:rPr>
          <w:rFonts w:ascii="Times New Roman;Times;serif" w:hAnsi="Times New Roman;Times;serif"/>
          <w:spacing w:val="-2"/>
          <w:sz w:val="24"/>
        </w:rPr>
        <w:t xml:space="preserve"> </w:t>
      </w:r>
      <w:r>
        <w:rPr>
          <w:rFonts w:ascii="Times New Roman;Times;serif" w:hAnsi="Times New Roman;Times;serif"/>
          <w:sz w:val="24"/>
        </w:rPr>
        <w:t>or</w:t>
      </w:r>
      <w:r>
        <w:rPr>
          <w:rFonts w:ascii="Times New Roman;Times;serif" w:hAnsi="Times New Roman;Times;serif"/>
          <w:spacing w:val="-3"/>
          <w:sz w:val="24"/>
        </w:rPr>
        <w:t xml:space="preserve"> </w:t>
      </w:r>
      <w:r>
        <w:rPr>
          <w:rFonts w:ascii="Times New Roman;Times;serif" w:hAnsi="Times New Roman;Times;serif"/>
          <w:sz w:val="24"/>
        </w:rPr>
        <w:t>any</w:t>
      </w:r>
      <w:r>
        <w:rPr>
          <w:rFonts w:ascii="Times New Roman;Times;serif" w:hAnsi="Times New Roman;Times;serif"/>
          <w:spacing w:val="-2"/>
          <w:sz w:val="24"/>
        </w:rPr>
        <w:t xml:space="preserve"> </w:t>
      </w:r>
      <w:r>
        <w:rPr>
          <w:rFonts w:ascii="Times New Roman;Times;serif" w:hAnsi="Times New Roman;Times;serif"/>
          <w:sz w:val="24"/>
        </w:rPr>
        <w:t>other</w:t>
      </w:r>
      <w:r>
        <w:rPr>
          <w:rFonts w:ascii="Times New Roman;Times;serif" w:hAnsi="Times New Roman;Times;serif"/>
          <w:spacing w:val="-3"/>
          <w:sz w:val="24"/>
        </w:rPr>
        <w:t xml:space="preserve"> </w:t>
      </w:r>
      <w:r>
        <w:rPr>
          <w:rFonts w:ascii="Times New Roman;Times;serif" w:hAnsi="Times New Roman;Times;serif"/>
          <w:sz w:val="24"/>
        </w:rPr>
        <w:t>Company</w:t>
      </w:r>
      <w:r>
        <w:rPr>
          <w:rFonts w:ascii="Times New Roman;Times;serif" w:hAnsi="Times New Roman;Times;serif"/>
          <w:spacing w:val="-2"/>
          <w:sz w:val="24"/>
        </w:rPr>
        <w:t xml:space="preserve"> </w:t>
      </w:r>
      <w:r>
        <w:rPr>
          <w:rFonts w:ascii="Times New Roman;Times;serif" w:hAnsi="Times New Roman;Times;serif"/>
          <w:sz w:val="24"/>
        </w:rPr>
        <w:t>personnel do not constitute legal advice, nor do they insulate you from the consequences of noncompliance with this Policy.</w:t>
      </w:r>
    </w:p>
    <w:p>
      <w:pPr>
        <w:pStyle w:val="TextBody"/>
        <w:bidi w:val="0"/>
        <w:spacing w:before="240" w:after="0"/>
        <w:ind w:left="0" w:right="0" w:hanging="0"/>
        <w:jc w:val="left"/>
        <w:rPr>
          <w:rFonts w:ascii="Times New Roman;Times;serif" w:hAnsi="Times New Roman;Times;serif"/>
          <w:b/>
          <w:sz w:val="24"/>
        </w:rPr>
      </w:pPr>
      <w:bookmarkStart w:id="2410" w:name="_Toc184126913"/>
      <w:bookmarkEnd w:id="2410"/>
      <w:r>
        <w:rPr>
          <w:rFonts w:ascii="Times New Roman;Times;serif" w:hAnsi="Times New Roman;Times;serif"/>
          <w:b/>
          <w:sz w:val="24"/>
        </w:rPr>
        <w:t>Statement</w:t>
      </w:r>
      <w:r>
        <w:rPr>
          <w:rFonts w:ascii="Times New Roman;Times;serif" w:hAnsi="Times New Roman;Times;serif"/>
          <w:b/>
          <w:spacing w:val="-3"/>
          <w:sz w:val="24"/>
        </w:rPr>
        <w:t xml:space="preserve"> </w:t>
      </w:r>
      <w:r>
        <w:rPr>
          <w:rFonts w:ascii="Times New Roman;Times;serif" w:hAnsi="Times New Roman;Times;serif"/>
          <w:b/>
          <w:sz w:val="24"/>
        </w:rPr>
        <w:t>of</w:t>
      </w:r>
      <w:r>
        <w:rPr>
          <w:rFonts w:ascii="Times New Roman;Times;serif" w:hAnsi="Times New Roman;Times;serif"/>
          <w:b/>
          <w:spacing w:val="-4"/>
          <w:sz w:val="24"/>
        </w:rPr>
        <w:t xml:space="preserve"> </w:t>
      </w:r>
      <w:r>
        <w:rPr>
          <w:rFonts w:ascii="Times New Roman;Times;serif" w:hAnsi="Times New Roman;Times;serif"/>
          <w:b/>
          <w:sz w:val="24"/>
        </w:rPr>
        <w:t>Policies</w:t>
      </w:r>
      <w:r>
        <w:rPr>
          <w:rFonts w:ascii="Times New Roman;Times;serif" w:hAnsi="Times New Roman;Times;serif"/>
          <w:b/>
          <w:spacing w:val="-2"/>
          <w:sz w:val="24"/>
        </w:rPr>
        <w:t xml:space="preserve"> </w:t>
      </w:r>
      <w:r>
        <w:rPr>
          <w:rFonts w:ascii="Times New Roman;Times;serif" w:hAnsi="Times New Roman;Times;serif"/>
          <w:b/>
          <w:sz w:val="24"/>
        </w:rPr>
        <w:t>Prohibiting</w:t>
      </w:r>
      <w:r>
        <w:rPr>
          <w:rFonts w:ascii="Times New Roman;Times;serif" w:hAnsi="Times New Roman;Times;serif"/>
          <w:b/>
          <w:spacing w:val="-4"/>
          <w:sz w:val="24"/>
        </w:rPr>
        <w:t xml:space="preserve"> </w:t>
      </w:r>
      <w:r>
        <w:rPr>
          <w:rFonts w:ascii="Times New Roman;Times;serif" w:hAnsi="Times New Roman;Times;serif"/>
          <w:b/>
          <w:sz w:val="24"/>
        </w:rPr>
        <w:t>Insider</w:t>
      </w:r>
      <w:r>
        <w:rPr>
          <w:rFonts w:ascii="Times New Roman;Times;serif" w:hAnsi="Times New Roman;Times;serif"/>
          <w:b/>
          <w:spacing w:val="-3"/>
          <w:sz w:val="24"/>
        </w:rPr>
        <w:t xml:space="preserve"> </w:t>
      </w:r>
      <w:r>
        <w:rPr>
          <w:rFonts w:ascii="Times New Roman;Times;serif" w:hAnsi="Times New Roman;Times;serif"/>
          <w:b/>
          <w:spacing w:val="-2"/>
          <w:sz w:val="24"/>
        </w:rPr>
        <w:t>Trading</w:t>
      </w:r>
    </w:p>
    <w:p>
      <w:pPr>
        <w:pStyle w:val="TextBody"/>
        <w:bidi w:val="0"/>
        <w:spacing w:before="228" w:after="0"/>
        <w:ind w:left="120" w:right="115" w:firstLine="720"/>
        <w:jc w:val="both"/>
        <w:rPr>
          <w:rFonts w:ascii="Times New Roman;Times;serif" w:hAnsi="Times New Roman;Times;serif"/>
          <w:sz w:val="24"/>
        </w:rPr>
      </w:pPr>
      <w:r>
        <w:rPr>
          <w:rFonts w:ascii="Times New Roman;Times;serif" w:hAnsi="Times New Roman;Times;serif"/>
          <w:sz w:val="24"/>
        </w:rPr>
        <w:t>No</w:t>
      </w:r>
      <w:r>
        <w:rPr>
          <w:rFonts w:ascii="Times New Roman;Times;serif" w:hAnsi="Times New Roman;Times;serif"/>
          <w:spacing w:val="-5"/>
          <w:sz w:val="24"/>
        </w:rPr>
        <w:t xml:space="preserve"> </w:t>
      </w:r>
      <w:r>
        <w:rPr>
          <w:rFonts w:ascii="Times New Roman;Times;serif" w:hAnsi="Times New Roman;Times;serif"/>
          <w:sz w:val="24"/>
        </w:rPr>
        <w:t>officer,</w:t>
      </w:r>
      <w:r>
        <w:rPr>
          <w:rFonts w:ascii="Times New Roman;Times;serif" w:hAnsi="Times New Roman;Times;serif"/>
          <w:spacing w:val="-5"/>
          <w:sz w:val="24"/>
        </w:rPr>
        <w:t xml:space="preserve"> </w:t>
      </w:r>
      <w:r>
        <w:rPr>
          <w:rFonts w:ascii="Times New Roman;Times;serif" w:hAnsi="Times New Roman;Times;serif"/>
          <w:sz w:val="24"/>
        </w:rPr>
        <w:t>director,</w:t>
      </w:r>
      <w:r>
        <w:rPr>
          <w:rFonts w:ascii="Times New Roman;Times;serif" w:hAnsi="Times New Roman;Times;serif"/>
          <w:spacing w:val="-2"/>
          <w:sz w:val="24"/>
        </w:rPr>
        <w:t xml:space="preserve"> </w:t>
      </w:r>
      <w:r>
        <w:rPr>
          <w:rFonts w:ascii="Times New Roman;Times;serif" w:hAnsi="Times New Roman;Times;serif"/>
          <w:sz w:val="24"/>
        </w:rPr>
        <w:t>or</w:t>
      </w:r>
      <w:r>
        <w:rPr>
          <w:rFonts w:ascii="Times New Roman;Times;serif" w:hAnsi="Times New Roman;Times;serif"/>
          <w:spacing w:val="-3"/>
          <w:sz w:val="24"/>
        </w:rPr>
        <w:t xml:space="preserve"> </w:t>
      </w:r>
      <w:r>
        <w:rPr>
          <w:rFonts w:ascii="Times New Roman;Times;serif" w:hAnsi="Times New Roman;Times;serif"/>
          <w:sz w:val="24"/>
        </w:rPr>
        <w:t>employee</w:t>
      </w:r>
      <w:r>
        <w:rPr>
          <w:rFonts w:ascii="Times New Roman;Times;serif" w:hAnsi="Times New Roman;Times;serif"/>
          <w:spacing w:val="-6"/>
          <w:sz w:val="24"/>
        </w:rPr>
        <w:t xml:space="preserve"> </w:t>
      </w:r>
      <w:r>
        <w:rPr>
          <w:rFonts w:ascii="Times New Roman;Times;serif" w:hAnsi="Times New Roman;Times;serif"/>
          <w:sz w:val="24"/>
        </w:rPr>
        <w:t>(or</w:t>
      </w:r>
      <w:r>
        <w:rPr>
          <w:rFonts w:ascii="Times New Roman;Times;serif" w:hAnsi="Times New Roman;Times;serif"/>
          <w:spacing w:val="-3"/>
          <w:sz w:val="24"/>
        </w:rPr>
        <w:t xml:space="preserve"> </w:t>
      </w:r>
      <w:r>
        <w:rPr>
          <w:rFonts w:ascii="Times New Roman;Times;serif" w:hAnsi="Times New Roman;Times;serif"/>
          <w:sz w:val="24"/>
        </w:rPr>
        <w:t>any</w:t>
      </w:r>
      <w:r>
        <w:rPr>
          <w:rFonts w:ascii="Times New Roman;Times;serif" w:hAnsi="Times New Roman;Times;serif"/>
          <w:spacing w:val="-5"/>
          <w:sz w:val="24"/>
        </w:rPr>
        <w:t xml:space="preserve"> </w:t>
      </w:r>
      <w:r>
        <w:rPr>
          <w:rFonts w:ascii="Times New Roman;Times;serif" w:hAnsi="Times New Roman;Times;serif"/>
          <w:sz w:val="24"/>
        </w:rPr>
        <w:t>other</w:t>
      </w:r>
      <w:r>
        <w:rPr>
          <w:rFonts w:ascii="Times New Roman;Times;serif" w:hAnsi="Times New Roman;Times;serif"/>
          <w:spacing w:val="-6"/>
          <w:sz w:val="24"/>
        </w:rPr>
        <w:t xml:space="preserve"> </w:t>
      </w:r>
      <w:r>
        <w:rPr>
          <w:rFonts w:ascii="Times New Roman;Times;serif" w:hAnsi="Times New Roman;Times;serif"/>
          <w:sz w:val="24"/>
        </w:rPr>
        <w:t>person</w:t>
      </w:r>
      <w:r>
        <w:rPr>
          <w:rFonts w:ascii="Times New Roman;Times;serif" w:hAnsi="Times New Roman;Times;serif"/>
          <w:spacing w:val="-5"/>
          <w:sz w:val="24"/>
        </w:rPr>
        <w:t xml:space="preserve"> </w:t>
      </w:r>
      <w:r>
        <w:rPr>
          <w:rFonts w:ascii="Times New Roman;Times;serif" w:hAnsi="Times New Roman;Times;serif"/>
          <w:sz w:val="24"/>
        </w:rPr>
        <w:t>designated</w:t>
      </w:r>
      <w:r>
        <w:rPr>
          <w:rFonts w:ascii="Times New Roman;Times;serif" w:hAnsi="Times New Roman;Times;serif"/>
          <w:spacing w:val="-3"/>
          <w:sz w:val="24"/>
        </w:rPr>
        <w:t xml:space="preserve"> </w:t>
      </w:r>
      <w:r>
        <w:rPr>
          <w:rFonts w:ascii="Times New Roman;Times;serif" w:hAnsi="Times New Roman;Times;serif"/>
          <w:sz w:val="24"/>
        </w:rPr>
        <w:t>as</w:t>
      </w:r>
      <w:r>
        <w:rPr>
          <w:rFonts w:ascii="Times New Roman;Times;serif" w:hAnsi="Times New Roman;Times;serif"/>
          <w:spacing w:val="-5"/>
          <w:sz w:val="24"/>
        </w:rPr>
        <w:t xml:space="preserve"> </w:t>
      </w:r>
      <w:r>
        <w:rPr>
          <w:rFonts w:ascii="Times New Roman;Times;serif" w:hAnsi="Times New Roman;Times;serif"/>
          <w:sz w:val="24"/>
        </w:rPr>
        <w:t>subject</w:t>
      </w:r>
      <w:r>
        <w:rPr>
          <w:rFonts w:ascii="Times New Roman;Times;serif" w:hAnsi="Times New Roman;Times;serif"/>
          <w:spacing w:val="-4"/>
          <w:sz w:val="24"/>
        </w:rPr>
        <w:t xml:space="preserve"> </w:t>
      </w:r>
      <w:r>
        <w:rPr>
          <w:rFonts w:ascii="Times New Roman;Times;serif" w:hAnsi="Times New Roman;Times;serif"/>
          <w:sz w:val="24"/>
        </w:rPr>
        <w:t>to</w:t>
      </w:r>
      <w:r>
        <w:rPr>
          <w:rFonts w:ascii="Times New Roman;Times;serif" w:hAnsi="Times New Roman;Times;serif"/>
          <w:spacing w:val="-5"/>
          <w:sz w:val="24"/>
        </w:rPr>
        <w:t xml:space="preserve"> </w:t>
      </w:r>
      <w:r>
        <w:rPr>
          <w:rFonts w:ascii="Times New Roman;Times;serif" w:hAnsi="Times New Roman;Times;serif"/>
          <w:sz w:val="24"/>
        </w:rPr>
        <w:t>this</w:t>
      </w:r>
      <w:r>
        <w:rPr>
          <w:rFonts w:ascii="Times New Roman;Times;serif" w:hAnsi="Times New Roman;Times;serif"/>
          <w:spacing w:val="-5"/>
          <w:sz w:val="24"/>
        </w:rPr>
        <w:t xml:space="preserve"> </w:t>
      </w:r>
      <w:r>
        <w:rPr>
          <w:rFonts w:ascii="Times New Roman;Times;serif" w:hAnsi="Times New Roman;Times;serif"/>
          <w:sz w:val="24"/>
        </w:rPr>
        <w:t>Policy) shall:</w:t>
      </w:r>
    </w:p>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purchase, sell, gift or otherwise transfer any type of security of the Company while in possession of material nonpublic information about the Company; </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purchase, sell, gift or otherwise transfer any security of any other company, while you possess material nonpublic information about the other company that you obtained in connection with your employment by or service to the Company; </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directly or indirectly communicate material nonpublic information to anyone outside the Company unless in accordance with Company policy regarding confidential information; or</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directly or indirectly communicate material nonpublic information to anyone within the Company except on a need-to-know basis.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both"/>
        <w:rPr>
          <w:rFonts w:ascii="Times New Roman;Times;serif" w:hAnsi="Times New Roman;Times;serif"/>
          <w:sz w:val="24"/>
        </w:rPr>
      </w:pPr>
      <w:r>
        <w:rPr>
          <w:rFonts w:ascii="Times New Roman;Times;serif" w:hAnsi="Times New Roman;Times;serif"/>
          <w:sz w:val="24"/>
        </w:rPr>
        <w:t xml:space="preserve">For this purpose: </w:t>
      </w:r>
    </w:p>
    <w:p>
      <w:pPr>
        <w:pStyle w:val="TextBody"/>
        <w:bidi w:val="0"/>
        <w:spacing w:before="240" w:after="0"/>
        <w:ind w:left="840" w:right="0" w:hanging="0"/>
        <w:jc w:val="both"/>
        <w:rPr/>
      </w:pPr>
      <w:r>
        <w:rPr/>
        <w:t>“</w:t>
      </w:r>
      <w:r>
        <w:rPr>
          <w:rFonts w:ascii="Times New Roman;Times;serif" w:hAnsi="Times New Roman;Times;serif"/>
          <w:sz w:val="24"/>
          <w:u w:val="single"/>
        </w:rPr>
        <w:t>Securities</w:t>
      </w:r>
      <w:r>
        <w:rPr>
          <w:rFonts w:ascii="Times New Roman;Times;serif" w:hAnsi="Times New Roman;Times;serif"/>
          <w:sz w:val="24"/>
        </w:rPr>
        <w:t>” includes stocks, bonds, notes, debentures, options, warrants, equity and other convertible securities, as well as derivative instruments.</w:t>
      </w:r>
    </w:p>
    <w:p>
      <w:pPr>
        <w:pStyle w:val="TextBody"/>
        <w:bidi w:val="0"/>
        <w:spacing w:before="240" w:after="0"/>
        <w:ind w:left="840" w:right="0" w:hanging="0"/>
        <w:jc w:val="both"/>
        <w:rPr/>
      </w:pPr>
      <w:r>
        <w:rPr/>
        <w:t>“</w:t>
      </w:r>
      <w:r>
        <w:rPr>
          <w:rFonts w:ascii="Times New Roman;Times;serif" w:hAnsi="Times New Roman;Times;serif"/>
          <w:sz w:val="24"/>
          <w:u w:val="single"/>
        </w:rPr>
        <w:t>Purchase</w:t>
      </w:r>
      <w:r>
        <w:rPr>
          <w:rFonts w:ascii="Times New Roman;Times;serif" w:hAnsi="Times New Roman;Times;serif"/>
          <w:sz w:val="24"/>
        </w:rPr>
        <w:t>” and “</w:t>
      </w:r>
      <w:r>
        <w:rPr>
          <w:rFonts w:ascii="Times New Roman;Times;serif" w:hAnsi="Times New Roman;Times;serif"/>
          <w:sz w:val="24"/>
          <w:u w:val="single"/>
        </w:rPr>
        <w:t>sale</w:t>
      </w:r>
      <w:r>
        <w:rPr>
          <w:rFonts w:ascii="Times New Roman;Times;serif" w:hAnsi="Times New Roman;Times;serif"/>
          <w:sz w:val="24"/>
        </w:rPr>
        <w:t>” are defined broadly under the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pStyle w:val="TextBody"/>
        <w:bidi w:val="0"/>
        <w:spacing w:before="240" w:after="0"/>
        <w:ind w:left="120" w:right="0" w:firstLine="720"/>
        <w:jc w:val="both"/>
        <w:rPr>
          <w:rFonts w:ascii="Times New Roman;Times;serif" w:hAnsi="Times New Roman;Times;serif"/>
          <w:sz w:val="24"/>
        </w:rPr>
      </w:pPr>
      <w:r>
        <w:rPr>
          <w:rFonts w:ascii="Times New Roman;Times;serif" w:hAnsi="Times New Roman;Times;serif"/>
          <w:sz w:val="24"/>
        </w:rPr>
        <w:t>Information is considered “</w:t>
      </w:r>
      <w:r>
        <w:rPr>
          <w:rFonts w:ascii="Times New Roman;Times;serif" w:hAnsi="Times New Roman;Times;serif"/>
          <w:sz w:val="24"/>
          <w:u w:val="single"/>
        </w:rPr>
        <w:t>material</w:t>
      </w:r>
      <w:r>
        <w:rPr>
          <w:rFonts w:ascii="Times New Roman;Times;serif" w:hAnsi="Times New Roman;Times;serif"/>
          <w:sz w:val="24"/>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Also, information that something is likely to happen in the future—or even just that it may happen—could be deemed material.</w:t>
      </w:r>
    </w:p>
    <w:p>
      <w:pPr>
        <w:pStyle w:val="TextBody"/>
        <w:bidi w:val="0"/>
        <w:spacing w:before="240" w:after="0"/>
        <w:ind w:left="120" w:right="0" w:firstLine="720"/>
        <w:jc w:val="both"/>
        <w:rPr>
          <w:rFonts w:ascii="Times New Roman;Times;serif" w:hAnsi="Times New Roman;Times;serif"/>
          <w:sz w:val="24"/>
        </w:rPr>
      </w:pPr>
      <w:r>
        <w:rPr>
          <w:rFonts w:ascii="Times New Roman;Times;serif" w:hAnsi="Times New Roman;Times;serif"/>
          <w:sz w:val="24"/>
        </w:rPr>
        <w:t>Examples of material information may include (but are not limited to) information about: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68" w:type="dxa"/>
        <w:jc w:val="left"/>
        <w:tblInd w:w="0" w:type="dxa"/>
        <w:tblLayout w:type="fixed"/>
        <w:tblCellMar>
          <w:top w:w="0" w:type="dxa"/>
          <w:left w:w="0" w:type="dxa"/>
          <w:bottom w:w="0" w:type="dxa"/>
          <w:right w:w="0" w:type="dxa"/>
        </w:tblCellMar>
      </w:tblPr>
      <w:tblGrid>
        <w:gridCol w:w="23"/>
        <w:gridCol w:w="170"/>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corporate earnings or earnings forecasts; </w:t>
            </w:r>
          </w:p>
        </w:tc>
      </w:tr>
    </w:tbl>
    <w:tbl>
      <w:tblPr>
        <w:tblW w:w="5928" w:type="dxa"/>
        <w:jc w:val="left"/>
        <w:tblInd w:w="0" w:type="dxa"/>
        <w:tblLayout w:type="fixed"/>
        <w:tblCellMar>
          <w:top w:w="0" w:type="dxa"/>
          <w:left w:w="0" w:type="dxa"/>
          <w:bottom w:w="0" w:type="dxa"/>
          <w:right w:w="0" w:type="dxa"/>
        </w:tblCellMar>
      </w:tblPr>
      <w:tblGrid>
        <w:gridCol w:w="23"/>
        <w:gridCol w:w="170"/>
        <w:gridCol w:w="5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possible mergers, acquisitions, tender offers, or dispositions; </w:t>
            </w:r>
          </w:p>
        </w:tc>
      </w:tr>
    </w:tbl>
    <w:tbl>
      <w:tblPr>
        <w:tblW w:w="4608" w:type="dxa"/>
        <w:jc w:val="left"/>
        <w:tblInd w:w="0" w:type="dxa"/>
        <w:tblLayout w:type="fixed"/>
        <w:tblCellMar>
          <w:top w:w="0" w:type="dxa"/>
          <w:left w:w="0" w:type="dxa"/>
          <w:bottom w:w="0" w:type="dxa"/>
          <w:right w:w="0" w:type="dxa"/>
        </w:tblCellMar>
      </w:tblPr>
      <w:tblGrid>
        <w:gridCol w:w="23"/>
        <w:gridCol w:w="17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major new products or product developments; </w:t>
            </w:r>
          </w:p>
        </w:tc>
      </w:tr>
    </w:tbl>
    <w:tbl>
      <w:tblPr>
        <w:tblW w:w="8808" w:type="dxa"/>
        <w:jc w:val="left"/>
        <w:tblInd w:w="0" w:type="dxa"/>
        <w:tblLayout w:type="fixed"/>
        <w:tblCellMar>
          <w:top w:w="0" w:type="dxa"/>
          <w:left w:w="0" w:type="dxa"/>
          <w:bottom w:w="0" w:type="dxa"/>
          <w:right w:w="0" w:type="dxa"/>
        </w:tblCellMar>
      </w:tblPr>
      <w:tblGrid>
        <w:gridCol w:w="23"/>
        <w:gridCol w:w="170"/>
        <w:gridCol w:w="8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important business developments, such as developments regarding strategic collaborations; </w:t>
            </w:r>
          </w:p>
        </w:tc>
      </w:tr>
    </w:tbl>
    <w:tbl>
      <w:tblPr>
        <w:tblW w:w="3333" w:type="dxa"/>
        <w:jc w:val="left"/>
        <w:tblInd w:w="0" w:type="dxa"/>
        <w:tblLayout w:type="fixed"/>
        <w:tblCellMar>
          <w:top w:w="0" w:type="dxa"/>
          <w:left w:w="0" w:type="dxa"/>
          <w:bottom w:w="0" w:type="dxa"/>
          <w:right w:w="0" w:type="dxa"/>
        </w:tblCellMar>
      </w:tblPr>
      <w:tblGrid>
        <w:gridCol w:w="23"/>
        <w:gridCol w:w="17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management or control changes;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significant financing developments, including pending public sales or offerings of debt or equity securities; </w:t>
            </w:r>
          </w:p>
        </w:tc>
      </w:tr>
    </w:tbl>
    <w:tbl>
      <w:tblPr>
        <w:tblW w:w="2508" w:type="dxa"/>
        <w:jc w:val="left"/>
        <w:tblInd w:w="0" w:type="dxa"/>
        <w:tblLayout w:type="fixed"/>
        <w:tblCellMar>
          <w:top w:w="0" w:type="dxa"/>
          <w:left w:w="0" w:type="dxa"/>
          <w:bottom w:w="0" w:type="dxa"/>
          <w:right w:w="0" w:type="dxa"/>
        </w:tblCellMar>
      </w:tblPr>
      <w:tblGrid>
        <w:gridCol w:w="23"/>
        <w:gridCol w:w="170"/>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defaults on borrowings; </w:t>
            </w:r>
          </w:p>
        </w:tc>
      </w:tr>
    </w:tbl>
    <w:tbl>
      <w:tblPr>
        <w:tblW w:w="1533" w:type="dxa"/>
        <w:jc w:val="left"/>
        <w:tblInd w:w="0" w:type="dxa"/>
        <w:tblLayout w:type="fixed"/>
        <w:tblCellMar>
          <w:top w:w="0" w:type="dxa"/>
          <w:left w:w="0" w:type="dxa"/>
          <w:bottom w:w="0" w:type="dxa"/>
          <w:right w:w="0" w:type="dxa"/>
        </w:tblCellMar>
      </w:tblPr>
      <w:tblGrid>
        <w:gridCol w:w="23"/>
        <w:gridCol w:w="17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bankruptcies; </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cybersecurity or data security incidents; and</w:t>
            </w:r>
          </w:p>
        </w:tc>
      </w:tr>
    </w:tbl>
    <w:tbl>
      <w:tblPr>
        <w:tblW w:w="4188" w:type="dxa"/>
        <w:jc w:val="left"/>
        <w:tblInd w:w="0" w:type="dxa"/>
        <w:tblLayout w:type="fixed"/>
        <w:tblCellMar>
          <w:top w:w="0" w:type="dxa"/>
          <w:left w:w="0" w:type="dxa"/>
          <w:bottom w:w="0" w:type="dxa"/>
          <w:right w:w="0" w:type="dxa"/>
        </w:tblCellMar>
      </w:tblPr>
      <w:tblGrid>
        <w:gridCol w:w="23"/>
        <w:gridCol w:w="170"/>
        <w:gridCol w:w="3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significant litigation or regulatory actions. </w:t>
            </w:r>
          </w:p>
        </w:tc>
      </w:tr>
    </w:tbl>
    <w:p>
      <w:pPr>
        <w:pStyle w:val="TextBody"/>
        <w:bidi w:val="0"/>
        <w:spacing w:before="240" w:after="0"/>
        <w:ind w:left="120" w:right="0" w:firstLine="720"/>
        <w:jc w:val="both"/>
        <w:rPr>
          <w:rFonts w:ascii="Times New Roman;Times;serif" w:hAnsi="Times New Roman;Times;serif"/>
          <w:sz w:val="24"/>
        </w:rPr>
      </w:pPr>
      <w:r>
        <w:rPr>
          <w:rFonts w:ascii="Times New Roman;Times;serif" w:hAnsi="Times New Roman;Times;serif"/>
          <w:sz w:val="24"/>
        </w:rPr>
        <w:t>Information is “</w:t>
      </w:r>
      <w:r>
        <w:rPr>
          <w:rFonts w:ascii="Times New Roman;Times;serif" w:hAnsi="Times New Roman;Times;serif"/>
          <w:sz w:val="24"/>
          <w:u w:val="single"/>
        </w:rPr>
        <w:t>nonpublic</w:t>
      </w:r>
      <w:r>
        <w:rPr>
          <w:rFonts w:ascii="Times New Roman;Times;serif" w:hAnsi="Times New Roman;Times;serif"/>
          <w:sz w:val="24"/>
        </w:rPr>
        <w:t>” if it is not available to the general public. In order for information to be considered “</w:t>
      </w:r>
      <w:r>
        <w:rPr>
          <w:rFonts w:ascii="Times New Roman;Times;serif" w:hAnsi="Times New Roman;Times;serif"/>
          <w:sz w:val="24"/>
          <w:u w:val="single"/>
        </w:rPr>
        <w:t>public</w:t>
      </w:r>
      <w:r>
        <w:rPr>
          <w:rFonts w:ascii="Times New Roman;Times;serif" w:hAnsi="Times New Roman;Times;serif"/>
          <w:sz w:val="24"/>
        </w:rPr>
        <w:t>,” it must be widely disseminated in a manner that makes it generally available to investors in a Regulation FD-compliant method, such as through a press release, a filing with the U.S. Securities and Exchange Commission (the “</w:t>
      </w:r>
      <w:r>
        <w:rPr>
          <w:rFonts w:ascii="Times New Roman;Times;serif" w:hAnsi="Times New Roman;Times;serif"/>
          <w:sz w:val="24"/>
          <w:u w:val="single"/>
        </w:rPr>
        <w:t>SEC</w:t>
      </w:r>
      <w:r>
        <w:rPr>
          <w:rFonts w:ascii="Times New Roman;Times;serif" w:hAnsi="Times New Roman;Times;serif"/>
          <w:sz w:val="24"/>
        </w:rPr>
        <w:t>”) or a Regulation FD-compliant conference call. The Compliance Officer shall have sole discretion to decide whether information is public for purposes of this Policy.</w:t>
      </w:r>
    </w:p>
    <w:p>
      <w:pPr>
        <w:pStyle w:val="TextBody"/>
        <w:bidi w:val="0"/>
        <w:spacing w:before="240" w:after="0"/>
        <w:ind w:left="120" w:right="0" w:firstLine="720"/>
        <w:jc w:val="both"/>
        <w:rPr>
          <w:rFonts w:ascii="Times New Roman;Times;serif" w:hAnsi="Times New Roman;Times;serif"/>
          <w:sz w:val="24"/>
        </w:rPr>
      </w:pPr>
      <w:r>
        <w:rPr>
          <w:rFonts w:ascii="Times New Roman;Times;serif" w:hAnsi="Times New Roman;Times;serif"/>
          <w:sz w:val="24"/>
        </w:rPr>
        <w:t xml:space="preserve">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 </w:t>
      </w:r>
    </w:p>
    <w:p>
      <w:pPr>
        <w:pStyle w:val="TextBody"/>
        <w:bidi w:val="0"/>
        <w:spacing w:before="240" w:after="0"/>
        <w:ind w:left="120" w:right="0" w:firstLine="720"/>
        <w:jc w:val="both"/>
        <w:rPr>
          <w:rFonts w:ascii="Times New Roman;Times;serif" w:hAnsi="Times New Roman;Times;serif"/>
          <w:sz w:val="24"/>
        </w:rPr>
      </w:pPr>
      <w:r>
        <w:rPr>
          <w:rFonts w:ascii="Times New Roman;Times;serif" w:hAnsi="Times New Roman;Times;serif"/>
          <w:sz w:val="24"/>
        </w:rPr>
        <w:t xml:space="preserve">The laws and regulations concerning insider trading are complex, and you are encouraged to seek guidance from the Compliance Officer prior to considering a transaction in securities. </w:t>
      </w:r>
    </w:p>
    <w:p>
      <w:pPr>
        <w:pStyle w:val="TextBody"/>
        <w:bidi w:val="0"/>
        <w:spacing w:before="228" w:after="0"/>
        <w:ind w:left="0" w:right="115" w:hanging="0"/>
        <w:jc w:val="both"/>
        <w:rPr>
          <w:rFonts w:ascii="Times New Roman;Times;serif" w:hAnsi="Times New Roman;Times;serif"/>
          <w:b/>
          <w:sz w:val="24"/>
        </w:rPr>
      </w:pPr>
      <w:r>
        <w:rPr>
          <w:rFonts w:ascii="Times New Roman;Times;serif" w:hAnsi="Times New Roman;Times;serif"/>
          <w:b/>
          <w:sz w:val="24"/>
        </w:rPr>
        <w:t xml:space="preserve">Quarterly Blackout Periods </w:t>
      </w:r>
    </w:p>
    <w:p>
      <w:pPr>
        <w:pStyle w:val="TextBody"/>
        <w:bidi w:val="0"/>
        <w:spacing w:before="240" w:after="0"/>
        <w:ind w:left="120" w:right="118" w:firstLine="720"/>
        <w:jc w:val="both"/>
        <w:rPr>
          <w:rFonts w:ascii="Times New Roman;Times;serif" w:hAnsi="Times New Roman;Times;serif"/>
          <w:sz w:val="24"/>
        </w:rPr>
      </w:pPr>
      <w:r>
        <w:rPr>
          <w:rFonts w:ascii="Times New Roman;Times;serif" w:hAnsi="Times New Roman;Times;serif"/>
          <w:sz w:val="24"/>
        </w:rPr>
        <w:t>No officer, director or employee shall purchase or sell any security of the Company</w:t>
      </w:r>
      <w:r>
        <w:rPr>
          <w:rFonts w:ascii="Times New Roman;Times;serif" w:hAnsi="Times New Roman;Times;serif"/>
          <w:spacing w:val="-12"/>
          <w:sz w:val="24"/>
        </w:rPr>
        <w:t xml:space="preserve"> </w:t>
      </w:r>
      <w:r>
        <w:rPr>
          <w:rFonts w:ascii="Times New Roman;Times;serif" w:hAnsi="Times New Roman;Times;serif"/>
          <w:sz w:val="24"/>
        </w:rPr>
        <w:t>during</w:t>
      </w:r>
      <w:r>
        <w:rPr>
          <w:rFonts w:ascii="Times New Roman;Times;serif" w:hAnsi="Times New Roman;Times;serif"/>
          <w:spacing w:val="-12"/>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period</w:t>
      </w:r>
      <w:r>
        <w:rPr>
          <w:rFonts w:ascii="Times New Roman;Times;serif" w:hAnsi="Times New Roman;Times;serif"/>
          <w:spacing w:val="-12"/>
          <w:sz w:val="24"/>
        </w:rPr>
        <w:t xml:space="preserve"> </w:t>
      </w:r>
      <w:r>
        <w:rPr>
          <w:rFonts w:ascii="Times New Roman;Times;serif" w:hAnsi="Times New Roman;Times;serif"/>
          <w:sz w:val="24"/>
        </w:rPr>
        <w:t>beginning</w:t>
      </w:r>
      <w:r>
        <w:rPr>
          <w:rFonts w:ascii="Times New Roman;Times;serif" w:hAnsi="Times New Roman;Times;serif"/>
          <w:spacing w:val="-12"/>
          <w:sz w:val="24"/>
        </w:rPr>
        <w:t xml:space="preserve"> </w:t>
      </w:r>
      <w:r>
        <w:rPr>
          <w:rFonts w:ascii="Times New Roman;Times;serif" w:hAnsi="Times New Roman;Times;serif"/>
          <w:sz w:val="24"/>
        </w:rPr>
        <w:t>on</w:t>
      </w:r>
      <w:r>
        <w:rPr>
          <w:rFonts w:ascii="Times New Roman;Times;serif" w:hAnsi="Times New Roman;Times;serif"/>
          <w:spacing w:val="-12"/>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14th</w:t>
      </w:r>
      <w:r>
        <w:rPr>
          <w:rFonts w:ascii="Times New Roman;Times;serif" w:hAnsi="Times New Roman;Times;serif"/>
          <w:spacing w:val="-10"/>
          <w:sz w:val="24"/>
        </w:rPr>
        <w:t xml:space="preserve"> </w:t>
      </w:r>
      <w:r>
        <w:rPr>
          <w:rFonts w:ascii="Times New Roman;Times;serif" w:hAnsi="Times New Roman;Times;serif"/>
          <w:sz w:val="24"/>
        </w:rPr>
        <w:t>calendar</w:t>
      </w:r>
      <w:r>
        <w:rPr>
          <w:rFonts w:ascii="Times New Roman;Times;serif" w:hAnsi="Times New Roman;Times;serif"/>
          <w:spacing w:val="-13"/>
          <w:sz w:val="24"/>
        </w:rPr>
        <w:t xml:space="preserve"> </w:t>
      </w:r>
      <w:r>
        <w:rPr>
          <w:rFonts w:ascii="Times New Roman;Times;serif" w:hAnsi="Times New Roman;Times;serif"/>
          <w:sz w:val="24"/>
        </w:rPr>
        <w:t>day</w:t>
      </w:r>
      <w:r>
        <w:rPr>
          <w:rFonts w:ascii="Times New Roman;Times;serif" w:hAnsi="Times New Roman;Times;serif"/>
          <w:spacing w:val="-10"/>
          <w:sz w:val="24"/>
        </w:rPr>
        <w:t xml:space="preserve"> </w:t>
      </w:r>
      <w:r>
        <w:rPr>
          <w:rFonts w:ascii="Times New Roman;Times;serif" w:hAnsi="Times New Roman;Times;serif"/>
          <w:sz w:val="24"/>
        </w:rPr>
        <w:t>before</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end</w:t>
      </w:r>
      <w:r>
        <w:rPr>
          <w:rFonts w:ascii="Times New Roman;Times;serif" w:hAnsi="Times New Roman;Times;serif"/>
          <w:spacing w:val="-12"/>
          <w:sz w:val="24"/>
        </w:rPr>
        <w:t xml:space="preserve"> </w:t>
      </w:r>
      <w:r>
        <w:rPr>
          <w:rFonts w:ascii="Times New Roman;Times;serif" w:hAnsi="Times New Roman;Times;serif"/>
          <w:sz w:val="24"/>
        </w:rPr>
        <w:t>of</w:t>
      </w:r>
      <w:r>
        <w:rPr>
          <w:rFonts w:ascii="Times New Roman;Times;serif" w:hAnsi="Times New Roman;Times;serif"/>
          <w:spacing w:val="-13"/>
          <w:sz w:val="24"/>
        </w:rPr>
        <w:t xml:space="preserve"> </w:t>
      </w:r>
      <w:r>
        <w:rPr>
          <w:rFonts w:ascii="Times New Roman;Times;serif" w:hAnsi="Times New Roman;Times;serif"/>
          <w:sz w:val="24"/>
        </w:rPr>
        <w:t>any</w:t>
      </w:r>
      <w:r>
        <w:rPr>
          <w:rFonts w:ascii="Times New Roman;Times;serif" w:hAnsi="Times New Roman;Times;serif"/>
          <w:spacing w:val="-10"/>
          <w:sz w:val="24"/>
        </w:rPr>
        <w:t xml:space="preserve"> </w:t>
      </w:r>
      <w:r>
        <w:rPr>
          <w:rFonts w:ascii="Times New Roman;Times;serif" w:hAnsi="Times New Roman;Times;serif"/>
          <w:sz w:val="24"/>
        </w:rPr>
        <w:t>fiscal</w:t>
      </w:r>
      <w:r>
        <w:rPr>
          <w:rFonts w:ascii="Times New Roman;Times;serif" w:hAnsi="Times New Roman;Times;serif"/>
          <w:spacing w:val="-12"/>
          <w:sz w:val="24"/>
        </w:rPr>
        <w:t xml:space="preserve"> </w:t>
      </w:r>
      <w:r>
        <w:rPr>
          <w:rFonts w:ascii="Times New Roman;Times;serif" w:hAnsi="Times New Roman;Times;serif"/>
          <w:sz w:val="24"/>
        </w:rPr>
        <w:t>quarter of</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Company</w:t>
      </w:r>
      <w:r>
        <w:rPr>
          <w:rFonts w:ascii="Times New Roman;Times;serif" w:hAnsi="Times New Roman;Times;serif"/>
          <w:spacing w:val="-7"/>
          <w:sz w:val="24"/>
        </w:rPr>
        <w:t xml:space="preserve"> </w:t>
      </w:r>
      <w:r>
        <w:rPr>
          <w:rFonts w:ascii="Times New Roman;Times;serif" w:hAnsi="Times New Roman;Times;serif"/>
          <w:sz w:val="24"/>
        </w:rPr>
        <w:t>and</w:t>
      </w:r>
      <w:r>
        <w:rPr>
          <w:rFonts w:ascii="Times New Roman;Times;serif" w:hAnsi="Times New Roman;Times;serif"/>
          <w:spacing w:val="-10"/>
          <w:sz w:val="24"/>
        </w:rPr>
        <w:t xml:space="preserve"> </w:t>
      </w:r>
      <w:r>
        <w:rPr>
          <w:rFonts w:ascii="Times New Roman;Times;serif" w:hAnsi="Times New Roman;Times;serif"/>
          <w:sz w:val="24"/>
        </w:rPr>
        <w:t>ending</w:t>
      </w:r>
      <w:r>
        <w:rPr>
          <w:rFonts w:ascii="Times New Roman;Times;serif" w:hAnsi="Times New Roman;Times;serif"/>
          <w:spacing w:val="-10"/>
          <w:sz w:val="24"/>
        </w:rPr>
        <w:t xml:space="preserve"> </w:t>
      </w:r>
      <w:r>
        <w:rPr>
          <w:rFonts w:ascii="Times New Roman;Times;serif" w:hAnsi="Times New Roman;Times;serif"/>
          <w:sz w:val="24"/>
        </w:rPr>
        <w:t>upon</w:t>
      </w:r>
      <w:r>
        <w:rPr>
          <w:rFonts w:ascii="Times New Roman;Times;serif" w:hAnsi="Times New Roman;Times;serif"/>
          <w:spacing w:val="-10"/>
          <w:sz w:val="24"/>
        </w:rPr>
        <w:t xml:space="preserve"> </w:t>
      </w:r>
      <w:r>
        <w:rPr>
          <w:rFonts w:ascii="Times New Roman;Times;serif" w:hAnsi="Times New Roman;Times;serif"/>
          <w:sz w:val="24"/>
        </w:rPr>
        <w:t>completion</w:t>
      </w:r>
      <w:r>
        <w:rPr>
          <w:rFonts w:ascii="Times New Roman;Times;serif" w:hAnsi="Times New Roman;Times;serif"/>
          <w:spacing w:val="-10"/>
          <w:sz w:val="24"/>
        </w:rPr>
        <w:t xml:space="preserve"> </w:t>
      </w:r>
      <w:r>
        <w:rPr>
          <w:rFonts w:ascii="Times New Roman;Times;serif" w:hAnsi="Times New Roman;Times;serif"/>
          <w:sz w:val="24"/>
        </w:rPr>
        <w:t>of</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second</w:t>
      </w:r>
      <w:r>
        <w:rPr>
          <w:rFonts w:ascii="Times New Roman;Times;serif" w:hAnsi="Times New Roman;Times;serif"/>
          <w:spacing w:val="-7"/>
          <w:sz w:val="24"/>
        </w:rPr>
        <w:t xml:space="preserve"> </w:t>
      </w:r>
      <w:r>
        <w:rPr>
          <w:rFonts w:ascii="Times New Roman;Times;serif" w:hAnsi="Times New Roman;Times;serif"/>
          <w:sz w:val="24"/>
        </w:rPr>
        <w:t>full</w:t>
      </w:r>
      <w:r>
        <w:rPr>
          <w:rFonts w:ascii="Times New Roman;Times;serif" w:hAnsi="Times New Roman;Times;serif"/>
          <w:spacing w:val="-9"/>
          <w:sz w:val="24"/>
        </w:rPr>
        <w:t xml:space="preserve"> </w:t>
      </w:r>
      <w:r>
        <w:rPr>
          <w:rFonts w:ascii="Times New Roman;Times;serif" w:hAnsi="Times New Roman;Times;serif"/>
          <w:sz w:val="24"/>
        </w:rPr>
        <w:t>trading</w:t>
      </w:r>
      <w:r>
        <w:rPr>
          <w:rFonts w:ascii="Times New Roman;Times;serif" w:hAnsi="Times New Roman;Times;serif"/>
          <w:spacing w:val="-10"/>
          <w:sz w:val="24"/>
        </w:rPr>
        <w:t xml:space="preserve"> </w:t>
      </w:r>
      <w:r>
        <w:rPr>
          <w:rFonts w:ascii="Times New Roman;Times;serif" w:hAnsi="Times New Roman;Times;serif"/>
          <w:sz w:val="24"/>
        </w:rPr>
        <w:t>day</w:t>
      </w:r>
      <w:r>
        <w:rPr>
          <w:rFonts w:ascii="Times New Roman;Times;serif" w:hAnsi="Times New Roman;Times;serif"/>
          <w:spacing w:val="-7"/>
          <w:sz w:val="24"/>
        </w:rPr>
        <w:t xml:space="preserve"> </w:t>
      </w:r>
      <w:r>
        <w:rPr>
          <w:rFonts w:ascii="Times New Roman;Times;serif" w:hAnsi="Times New Roman;Times;serif"/>
          <w:sz w:val="24"/>
        </w:rPr>
        <w:t>after</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public</w:t>
      </w:r>
      <w:r>
        <w:rPr>
          <w:rFonts w:ascii="Times New Roman;Times;serif" w:hAnsi="Times New Roman;Times;serif"/>
          <w:spacing w:val="-8"/>
          <w:sz w:val="24"/>
        </w:rPr>
        <w:t xml:space="preserve"> </w:t>
      </w:r>
      <w:r>
        <w:rPr>
          <w:rFonts w:ascii="Times New Roman;Times;serif" w:hAnsi="Times New Roman;Times;serif"/>
          <w:sz w:val="24"/>
        </w:rPr>
        <w:t>release of earnings data for such fiscal quarter or during any other trading suspension period declared by the Company.</w:t>
      </w:r>
      <w:r>
        <w:rPr>
          <w:rFonts w:ascii="Times New Roman;Times;serif" w:hAnsi="Times New Roman;Times;serif"/>
          <w:spacing w:val="40"/>
          <w:sz w:val="24"/>
        </w:rPr>
        <w:t xml:space="preserve"> </w:t>
      </w:r>
    </w:p>
    <w:p>
      <w:pPr>
        <w:pStyle w:val="TextBody"/>
        <w:bidi w:val="0"/>
        <w:spacing w:before="240" w:after="240"/>
        <w:ind w:left="115" w:right="0" w:firstLine="720"/>
        <w:jc w:val="both"/>
        <w:rPr>
          <w:rFonts w:ascii="Times New Roman;Times;serif" w:hAnsi="Times New Roman;Times;serif"/>
          <w:sz w:val="24"/>
        </w:rPr>
      </w:pPr>
      <w:r>
        <w:rPr>
          <w:rFonts w:ascii="Times New Roman;Times;serif" w:hAnsi="Times New Roman;Times;serif"/>
          <w:sz w:val="24"/>
        </w:rPr>
        <w:t>For the purposes of this Policy, a “</w:t>
      </w:r>
      <w:r>
        <w:rPr>
          <w:rFonts w:ascii="Times New Roman;Times;serif" w:hAnsi="Times New Roman;Times;serif"/>
          <w:sz w:val="24"/>
          <w:u w:val="single"/>
        </w:rPr>
        <w:t>trading day</w:t>
      </w:r>
      <w:r>
        <w:rPr>
          <w:rFonts w:ascii="Times New Roman;Times;serif" w:hAnsi="Times New Roman;Times;serif"/>
          <w:sz w:val="24"/>
        </w:rPr>
        <w:t xml:space="preserve">” is a day on which U.S. national stock exchanges are open for trading. If, for example, the Company were to release earnings on Monday </w:t>
      </w:r>
      <w:r>
        <w:rPr>
          <w:rFonts w:ascii="Times New Roman;Times;serif" w:hAnsi="Times New Roman;Times;serif"/>
          <w:i/>
          <w:sz w:val="24"/>
        </w:rPr>
        <w:t>prior</w:t>
      </w:r>
      <w:r>
        <w:rPr>
          <w:rFonts w:ascii="Times New Roman;Times;serif" w:hAnsi="Times New Roman;Times;serif"/>
          <w:sz w:val="24"/>
        </w:rPr>
        <w:t xml:space="preserve"> to 9:30 a.m. Eastern Time, then the blackout period would terminate </w:t>
      </w:r>
      <w:r>
        <w:rPr>
          <w:rFonts w:ascii="Times New Roman;Times;serif" w:hAnsi="Times New Roman;Times;serif"/>
          <w:i/>
          <w:sz w:val="24"/>
        </w:rPr>
        <w:t>after</w:t>
      </w:r>
      <w:r>
        <w:rPr>
          <w:rFonts w:ascii="Times New Roman;Times;serif" w:hAnsi="Times New Roman;Times;serif"/>
          <w:sz w:val="24"/>
        </w:rPr>
        <w:t xml:space="preserve"> the close of trading on Tuesday. If the Company were to release earnings on Monday after 9:30 a.m. Eastern Time, then the blackout period would terminate </w:t>
      </w:r>
      <w:r>
        <w:rPr>
          <w:rFonts w:ascii="Times New Roman;Times;serif" w:hAnsi="Times New Roman;Times;serif"/>
          <w:i/>
          <w:sz w:val="24"/>
        </w:rPr>
        <w:t>after</w:t>
      </w:r>
      <w:r>
        <w:rPr>
          <w:rFonts w:ascii="Times New Roman;Times;serif" w:hAnsi="Times New Roman;Times;serif"/>
          <w:sz w:val="24"/>
        </w:rPr>
        <w:t xml:space="preserve"> the close of trading on Wednesday. Any question as to whether information is publicly available shall be directed to the Compliance Officer.</w:t>
      </w:r>
    </w:p>
    <w:p>
      <w:pPr>
        <w:pStyle w:val="TextBody"/>
        <w:bidi w:val="0"/>
        <w:spacing w:before="240" w:after="0"/>
        <w:ind w:left="0" w:right="0" w:hanging="0"/>
        <w:jc w:val="both"/>
        <w:rPr>
          <w:rFonts w:ascii="Times New Roman;Times;serif" w:hAnsi="Times New Roman;Times;serif"/>
          <w:sz w:val="24"/>
        </w:rPr>
      </w:pPr>
      <w:r>
        <w:rPr>
          <w:rFonts w:ascii="Times New Roman;Times;serif" w:hAnsi="Times New Roman;Times;serif"/>
          <w:sz w:val="24"/>
        </w:rPr>
        <w:t>From time to time, events will occur that are material to the Company and cause certain officers,</w:t>
      </w:r>
      <w:r>
        <w:rPr>
          <w:rFonts w:ascii="Times New Roman;Times;serif" w:hAnsi="Times New Roman;Times;serif"/>
          <w:spacing w:val="-8"/>
          <w:sz w:val="24"/>
        </w:rPr>
        <w:t xml:space="preserve"> </w:t>
      </w:r>
      <w:r>
        <w:rPr>
          <w:rFonts w:ascii="Times New Roman;Times;serif" w:hAnsi="Times New Roman;Times;serif"/>
          <w:sz w:val="24"/>
        </w:rPr>
        <w:t>directors,</w:t>
      </w:r>
      <w:r>
        <w:rPr>
          <w:rFonts w:ascii="Times New Roman;Times;serif" w:hAnsi="Times New Roman;Times;serif"/>
          <w:spacing w:val="-10"/>
          <w:sz w:val="24"/>
        </w:rPr>
        <w:t xml:space="preserve"> </w:t>
      </w:r>
      <w:r>
        <w:rPr>
          <w:rFonts w:ascii="Times New Roman;Times;serif" w:hAnsi="Times New Roman;Times;serif"/>
          <w:sz w:val="24"/>
        </w:rPr>
        <w:t>or</w:t>
      </w:r>
      <w:r>
        <w:rPr>
          <w:rFonts w:ascii="Times New Roman;Times;serif" w:hAnsi="Times New Roman;Times;serif"/>
          <w:spacing w:val="-10"/>
          <w:sz w:val="24"/>
        </w:rPr>
        <w:t xml:space="preserve"> </w:t>
      </w:r>
      <w:r>
        <w:rPr>
          <w:rFonts w:ascii="Times New Roman;Times;serif" w:hAnsi="Times New Roman;Times;serif"/>
          <w:sz w:val="24"/>
        </w:rPr>
        <w:t>employees</w:t>
      </w:r>
      <w:r>
        <w:rPr>
          <w:rFonts w:ascii="Times New Roman;Times;serif" w:hAnsi="Times New Roman;Times;serif"/>
          <w:spacing w:val="-9"/>
          <w:sz w:val="24"/>
        </w:rPr>
        <w:t xml:space="preserve"> </w:t>
      </w:r>
      <w:r>
        <w:rPr>
          <w:rFonts w:ascii="Times New Roman;Times;serif" w:hAnsi="Times New Roman;Times;serif"/>
          <w:sz w:val="24"/>
        </w:rPr>
        <w:t>to</w:t>
      </w:r>
      <w:r>
        <w:rPr>
          <w:rFonts w:ascii="Times New Roman;Times;serif" w:hAnsi="Times New Roman;Times;serif"/>
          <w:spacing w:val="-10"/>
          <w:sz w:val="24"/>
        </w:rPr>
        <w:t xml:space="preserve"> </w:t>
      </w:r>
      <w:r>
        <w:rPr>
          <w:rFonts w:ascii="Times New Roman;Times;serif" w:hAnsi="Times New Roman;Times;serif"/>
          <w:sz w:val="24"/>
        </w:rPr>
        <w:t>be</w:t>
      </w:r>
      <w:r>
        <w:rPr>
          <w:rFonts w:ascii="Times New Roman;Times;serif" w:hAnsi="Times New Roman;Times;serif"/>
          <w:spacing w:val="-11"/>
          <w:sz w:val="24"/>
        </w:rPr>
        <w:t xml:space="preserve"> </w:t>
      </w:r>
      <w:r>
        <w:rPr>
          <w:rFonts w:ascii="Times New Roman;Times;serif" w:hAnsi="Times New Roman;Times;serif"/>
          <w:sz w:val="24"/>
        </w:rPr>
        <w:t>in</w:t>
      </w:r>
      <w:r>
        <w:rPr>
          <w:rFonts w:ascii="Times New Roman;Times;serif" w:hAnsi="Times New Roman;Times;serif"/>
          <w:spacing w:val="-10"/>
          <w:sz w:val="24"/>
        </w:rPr>
        <w:t xml:space="preserve"> </w:t>
      </w:r>
      <w:r>
        <w:rPr>
          <w:rFonts w:ascii="Times New Roman;Times;serif" w:hAnsi="Times New Roman;Times;serif"/>
          <w:sz w:val="24"/>
        </w:rPr>
        <w:t>possession</w:t>
      </w:r>
      <w:r>
        <w:rPr>
          <w:rFonts w:ascii="Times New Roman;Times;serif" w:hAnsi="Times New Roman;Times;serif"/>
          <w:spacing w:val="-10"/>
          <w:sz w:val="24"/>
        </w:rPr>
        <w:t xml:space="preserve"> </w:t>
      </w:r>
      <w:r>
        <w:rPr>
          <w:rFonts w:ascii="Times New Roman;Times;serif" w:hAnsi="Times New Roman;Times;serif"/>
          <w:sz w:val="24"/>
        </w:rPr>
        <w:t>of</w:t>
      </w:r>
      <w:r>
        <w:rPr>
          <w:rFonts w:ascii="Times New Roman;Times;serif" w:hAnsi="Times New Roman;Times;serif"/>
          <w:spacing w:val="-10"/>
          <w:sz w:val="24"/>
        </w:rPr>
        <w:t xml:space="preserve"> </w:t>
      </w:r>
      <w:r>
        <w:rPr>
          <w:rFonts w:ascii="Times New Roman;Times;serif" w:hAnsi="Times New Roman;Times;serif"/>
          <w:sz w:val="24"/>
        </w:rPr>
        <w:t>material</w:t>
      </w:r>
      <w:r>
        <w:rPr>
          <w:rFonts w:ascii="Times New Roman;Times;serif" w:hAnsi="Times New Roman;Times;serif"/>
          <w:spacing w:val="-9"/>
          <w:sz w:val="24"/>
        </w:rPr>
        <w:t xml:space="preserve"> </w:t>
      </w:r>
      <w:r>
        <w:rPr>
          <w:rFonts w:ascii="Times New Roman;Times;serif" w:hAnsi="Times New Roman;Times;serif"/>
          <w:sz w:val="24"/>
        </w:rPr>
        <w:t>nonpublic</w:t>
      </w:r>
      <w:r>
        <w:rPr>
          <w:rFonts w:ascii="Times New Roman;Times;serif" w:hAnsi="Times New Roman;Times;serif"/>
          <w:spacing w:val="-11"/>
          <w:sz w:val="24"/>
        </w:rPr>
        <w:t xml:space="preserve"> </w:t>
      </w:r>
      <w:r>
        <w:rPr>
          <w:rFonts w:ascii="Times New Roman;Times;serif" w:hAnsi="Times New Roman;Times;serif"/>
          <w:sz w:val="24"/>
        </w:rPr>
        <w:t>information.</w:t>
      </w:r>
      <w:r>
        <w:rPr>
          <w:rFonts w:ascii="Times New Roman;Times;serif" w:hAnsi="Times New Roman;Times;serif"/>
          <w:spacing w:val="40"/>
          <w:sz w:val="24"/>
        </w:rPr>
        <w:t xml:space="preserve"> </w:t>
      </w:r>
      <w:r>
        <w:rPr>
          <w:rFonts w:ascii="Times New Roman;Times;serif" w:hAnsi="Times New Roman;Times;serif"/>
          <w:sz w:val="24"/>
        </w:rPr>
        <w:t>When</w:t>
      </w:r>
      <w:r>
        <w:rPr>
          <w:rFonts w:ascii="Times New Roman;Times;serif" w:hAnsi="Times New Roman;Times;serif"/>
          <w:spacing w:val="-10"/>
          <w:sz w:val="24"/>
        </w:rPr>
        <w:t xml:space="preserve"> </w:t>
      </w:r>
      <w:r>
        <w:rPr>
          <w:rFonts w:ascii="Times New Roman;Times;serif" w:hAnsi="Times New Roman;Times;serif"/>
          <w:sz w:val="24"/>
        </w:rPr>
        <w:t>that happens,</w:t>
      </w:r>
      <w:r>
        <w:rPr>
          <w:rFonts w:ascii="Times New Roman;Times;serif" w:hAnsi="Times New Roman;Times;serif"/>
          <w:spacing w:val="58"/>
          <w:sz w:val="24"/>
        </w:rPr>
        <w:t xml:space="preserve"> </w:t>
      </w:r>
      <w:r>
        <w:rPr>
          <w:rFonts w:ascii="Times New Roman;Times;serif" w:hAnsi="Times New Roman;Times;serif"/>
          <w:sz w:val="24"/>
        </w:rPr>
        <w:t>the</w:t>
      </w:r>
      <w:r>
        <w:rPr>
          <w:rFonts w:ascii="Times New Roman;Times;serif" w:hAnsi="Times New Roman;Times;serif"/>
          <w:spacing w:val="60"/>
          <w:sz w:val="24"/>
        </w:rPr>
        <w:t xml:space="preserve"> </w:t>
      </w:r>
      <w:r>
        <w:rPr>
          <w:rFonts w:ascii="Times New Roman;Times;serif" w:hAnsi="Times New Roman;Times;serif"/>
          <w:sz w:val="24"/>
        </w:rPr>
        <w:t>Company</w:t>
      </w:r>
      <w:r>
        <w:rPr>
          <w:rFonts w:ascii="Times New Roman;Times;serif" w:hAnsi="Times New Roman;Times;serif"/>
          <w:spacing w:val="60"/>
          <w:sz w:val="24"/>
        </w:rPr>
        <w:t xml:space="preserve"> </w:t>
      </w:r>
      <w:r>
        <w:rPr>
          <w:rFonts w:ascii="Times New Roman;Times;serif" w:hAnsi="Times New Roman;Times;serif"/>
          <w:sz w:val="24"/>
        </w:rPr>
        <w:t>will</w:t>
      </w:r>
      <w:r>
        <w:rPr>
          <w:rFonts w:ascii="Times New Roman;Times;serif" w:hAnsi="Times New Roman;Times;serif"/>
          <w:spacing w:val="61"/>
          <w:sz w:val="24"/>
        </w:rPr>
        <w:t xml:space="preserve"> </w:t>
      </w:r>
      <w:r>
        <w:rPr>
          <w:rFonts w:ascii="Times New Roman;Times;serif" w:hAnsi="Times New Roman;Times;serif"/>
          <w:sz w:val="24"/>
        </w:rPr>
        <w:t>require</w:t>
      </w:r>
      <w:r>
        <w:rPr>
          <w:rFonts w:ascii="Times New Roman;Times;serif" w:hAnsi="Times New Roman;Times;serif"/>
          <w:spacing w:val="60"/>
          <w:sz w:val="24"/>
        </w:rPr>
        <w:t xml:space="preserve"> </w:t>
      </w:r>
      <w:r>
        <w:rPr>
          <w:rFonts w:ascii="Times New Roman;Times;serif" w:hAnsi="Times New Roman;Times;serif"/>
          <w:sz w:val="24"/>
        </w:rPr>
        <w:t>that</w:t>
      </w:r>
      <w:r>
        <w:rPr>
          <w:rFonts w:ascii="Times New Roman;Times;serif" w:hAnsi="Times New Roman;Times;serif"/>
          <w:spacing w:val="61"/>
          <w:sz w:val="24"/>
        </w:rPr>
        <w:t xml:space="preserve"> </w:t>
      </w:r>
      <w:r>
        <w:rPr>
          <w:rFonts w:ascii="Times New Roman;Times;serif" w:hAnsi="Times New Roman;Times;serif"/>
          <w:sz w:val="24"/>
        </w:rPr>
        <w:t>those</w:t>
      </w:r>
      <w:r>
        <w:rPr>
          <w:rFonts w:ascii="Times New Roman;Times;serif" w:hAnsi="Times New Roman;Times;serif"/>
          <w:spacing w:val="60"/>
          <w:sz w:val="24"/>
        </w:rPr>
        <w:t xml:space="preserve"> </w:t>
      </w:r>
      <w:r>
        <w:rPr>
          <w:rFonts w:ascii="Times New Roman;Times;serif" w:hAnsi="Times New Roman;Times;serif"/>
          <w:sz w:val="24"/>
        </w:rPr>
        <w:t>in</w:t>
      </w:r>
      <w:r>
        <w:rPr>
          <w:rFonts w:ascii="Times New Roman;Times;serif" w:hAnsi="Times New Roman;Times;serif"/>
          <w:spacing w:val="60"/>
          <w:sz w:val="24"/>
        </w:rPr>
        <w:t xml:space="preserve"> </w:t>
      </w:r>
      <w:r>
        <w:rPr>
          <w:rFonts w:ascii="Times New Roman;Times;serif" w:hAnsi="Times New Roman;Times;serif"/>
          <w:sz w:val="24"/>
        </w:rPr>
        <w:t>possession</w:t>
      </w:r>
      <w:r>
        <w:rPr>
          <w:rFonts w:ascii="Times New Roman;Times;serif" w:hAnsi="Times New Roman;Times;serif"/>
          <w:spacing w:val="61"/>
          <w:sz w:val="24"/>
        </w:rPr>
        <w:t xml:space="preserve"> </w:t>
      </w:r>
      <w:r>
        <w:rPr>
          <w:rFonts w:ascii="Times New Roman;Times;serif" w:hAnsi="Times New Roman;Times;serif"/>
          <w:sz w:val="24"/>
        </w:rPr>
        <w:t>of</w:t>
      </w:r>
      <w:r>
        <w:rPr>
          <w:rFonts w:ascii="Times New Roman;Times;serif" w:hAnsi="Times New Roman;Times;serif"/>
          <w:spacing w:val="59"/>
          <w:sz w:val="24"/>
        </w:rPr>
        <w:t xml:space="preserve"> </w:t>
      </w:r>
      <w:r>
        <w:rPr>
          <w:rFonts w:ascii="Times New Roman;Times;serif" w:hAnsi="Times New Roman;Times;serif"/>
          <w:sz w:val="24"/>
        </w:rPr>
        <w:t>the</w:t>
      </w:r>
      <w:r>
        <w:rPr>
          <w:rFonts w:ascii="Times New Roman;Times;serif" w:hAnsi="Times New Roman;Times;serif"/>
          <w:spacing w:val="60"/>
          <w:sz w:val="24"/>
        </w:rPr>
        <w:t xml:space="preserve"> </w:t>
      </w:r>
      <w:r>
        <w:rPr>
          <w:rFonts w:ascii="Times New Roman;Times;serif" w:hAnsi="Times New Roman;Times;serif"/>
          <w:sz w:val="24"/>
        </w:rPr>
        <w:t>material</w:t>
      </w:r>
      <w:r>
        <w:rPr>
          <w:rFonts w:ascii="Times New Roman;Times;serif" w:hAnsi="Times New Roman;Times;serif"/>
          <w:spacing w:val="61"/>
          <w:sz w:val="24"/>
        </w:rPr>
        <w:t xml:space="preserve"> </w:t>
      </w:r>
      <w:r>
        <w:rPr>
          <w:rFonts w:ascii="Times New Roman;Times;serif" w:hAnsi="Times New Roman;Times;serif"/>
          <w:spacing w:val="-2"/>
          <w:sz w:val="24"/>
        </w:rPr>
        <w:t>nonpubli</w:t>
      </w:r>
      <w:r>
        <w:rPr>
          <w:rFonts w:ascii="Times New Roman;Times;serif" w:hAnsi="Times New Roman;Times;serif"/>
          <w:sz w:val="24"/>
        </w:rPr>
        <w:t xml:space="preserve">c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information</w:t>
      </w:r>
      <w:r>
        <w:rPr>
          <w:rFonts w:ascii="Times New Roman;Times;serif" w:hAnsi="Times New Roman;Times;serif"/>
          <w:spacing w:val="25"/>
          <w:sz w:val="24"/>
        </w:rPr>
        <w:t xml:space="preserve"> </w:t>
      </w:r>
      <w:r>
        <w:rPr>
          <w:rFonts w:ascii="Times New Roman;Times;serif" w:hAnsi="Times New Roman;Times;serif"/>
          <w:sz w:val="24"/>
        </w:rPr>
        <w:t>suspend</w:t>
      </w:r>
      <w:r>
        <w:rPr>
          <w:rFonts w:ascii="Times New Roman;Times;serif" w:hAnsi="Times New Roman;Times;serif"/>
          <w:spacing w:val="25"/>
          <w:sz w:val="24"/>
        </w:rPr>
        <w:t xml:space="preserve"> </w:t>
      </w:r>
      <w:r>
        <w:rPr>
          <w:rFonts w:ascii="Times New Roman;Times;serif" w:hAnsi="Times New Roman;Times;serif"/>
          <w:sz w:val="24"/>
        </w:rPr>
        <w:t>all</w:t>
      </w:r>
      <w:r>
        <w:rPr>
          <w:rFonts w:ascii="Times New Roman;Times;serif" w:hAnsi="Times New Roman;Times;serif"/>
          <w:spacing w:val="28"/>
          <w:sz w:val="24"/>
        </w:rPr>
        <w:t xml:space="preserve"> </w:t>
      </w:r>
      <w:r>
        <w:rPr>
          <w:rFonts w:ascii="Times New Roman;Times;serif" w:hAnsi="Times New Roman;Times;serif"/>
          <w:sz w:val="24"/>
        </w:rPr>
        <w:t>trading</w:t>
      </w:r>
      <w:r>
        <w:rPr>
          <w:rFonts w:ascii="Times New Roman;Times;serif" w:hAnsi="Times New Roman;Times;serif"/>
          <w:spacing w:val="25"/>
          <w:sz w:val="24"/>
        </w:rPr>
        <w:t xml:space="preserve"> </w:t>
      </w:r>
      <w:r>
        <w:rPr>
          <w:rFonts w:ascii="Times New Roman;Times;serif" w:hAnsi="Times New Roman;Times;serif"/>
          <w:sz w:val="24"/>
        </w:rPr>
        <w:t>in</w:t>
      </w:r>
      <w:r>
        <w:rPr>
          <w:rFonts w:ascii="Times New Roman;Times;serif" w:hAnsi="Times New Roman;Times;serif"/>
          <w:spacing w:val="25"/>
          <w:sz w:val="24"/>
        </w:rPr>
        <w:t xml:space="preserve"> </w:t>
      </w:r>
      <w:r>
        <w:rPr>
          <w:rFonts w:ascii="Times New Roman;Times;serif" w:hAnsi="Times New Roman;Times;serif"/>
          <w:sz w:val="24"/>
        </w:rPr>
        <w:t>the</w:t>
      </w:r>
      <w:r>
        <w:rPr>
          <w:rFonts w:ascii="Times New Roman;Times;serif" w:hAnsi="Times New Roman;Times;serif"/>
          <w:spacing w:val="24"/>
          <w:sz w:val="24"/>
        </w:rPr>
        <w:t xml:space="preserve"> </w:t>
      </w:r>
      <w:r>
        <w:rPr>
          <w:rFonts w:ascii="Times New Roman;Times;serif" w:hAnsi="Times New Roman;Times;serif"/>
          <w:sz w:val="24"/>
        </w:rPr>
        <w:t>Company’s</w:t>
      </w:r>
      <w:r>
        <w:rPr>
          <w:rFonts w:ascii="Times New Roman;Times;serif" w:hAnsi="Times New Roman;Times;serif"/>
          <w:spacing w:val="26"/>
          <w:sz w:val="24"/>
        </w:rPr>
        <w:t xml:space="preserve"> </w:t>
      </w:r>
      <w:r>
        <w:rPr>
          <w:rFonts w:ascii="Times New Roman;Times;serif" w:hAnsi="Times New Roman;Times;serif"/>
          <w:sz w:val="24"/>
        </w:rPr>
        <w:t>securities</w:t>
      </w:r>
      <w:r>
        <w:rPr>
          <w:rFonts w:ascii="Times New Roman;Times;serif" w:hAnsi="Times New Roman;Times;serif"/>
          <w:spacing w:val="26"/>
          <w:sz w:val="24"/>
        </w:rPr>
        <w:t xml:space="preserve"> </w:t>
      </w:r>
      <w:r>
        <w:rPr>
          <w:rFonts w:ascii="Times New Roman;Times;serif" w:hAnsi="Times New Roman;Times;serif"/>
          <w:sz w:val="24"/>
        </w:rPr>
        <w:t>until</w:t>
      </w:r>
      <w:r>
        <w:rPr>
          <w:rFonts w:ascii="Times New Roman;Times;serif" w:hAnsi="Times New Roman;Times;serif"/>
          <w:spacing w:val="26"/>
          <w:sz w:val="24"/>
        </w:rPr>
        <w:t xml:space="preserve"> </w:t>
      </w:r>
      <w:r>
        <w:rPr>
          <w:rFonts w:ascii="Times New Roman;Times;serif" w:hAnsi="Times New Roman;Times;serif"/>
          <w:sz w:val="24"/>
        </w:rPr>
        <w:t>the</w:t>
      </w:r>
      <w:r>
        <w:rPr>
          <w:rFonts w:ascii="Times New Roman;Times;serif" w:hAnsi="Times New Roman;Times;serif"/>
          <w:spacing w:val="24"/>
          <w:sz w:val="24"/>
        </w:rPr>
        <w:t xml:space="preserve"> </w:t>
      </w:r>
      <w:r>
        <w:rPr>
          <w:rFonts w:ascii="Times New Roman;Times;serif" w:hAnsi="Times New Roman;Times;serif"/>
          <w:sz w:val="24"/>
        </w:rPr>
        <w:t>information</w:t>
      </w:r>
      <w:r>
        <w:rPr>
          <w:rFonts w:ascii="Times New Roman;Times;serif" w:hAnsi="Times New Roman;Times;serif"/>
          <w:spacing w:val="25"/>
          <w:sz w:val="24"/>
        </w:rPr>
        <w:t xml:space="preserve"> </w:t>
      </w:r>
      <w:r>
        <w:rPr>
          <w:rFonts w:ascii="Times New Roman;Times;serif" w:hAnsi="Times New Roman;Times;serif"/>
          <w:sz w:val="24"/>
        </w:rPr>
        <w:t>is</w:t>
      </w:r>
      <w:r>
        <w:rPr>
          <w:rFonts w:ascii="Times New Roman;Times;serif" w:hAnsi="Times New Roman;Times;serif"/>
          <w:spacing w:val="26"/>
          <w:sz w:val="24"/>
        </w:rPr>
        <w:t xml:space="preserve"> </w:t>
      </w:r>
      <w:r>
        <w:rPr>
          <w:rFonts w:ascii="Times New Roman;Times;serif" w:hAnsi="Times New Roman;Times;serif"/>
          <w:sz w:val="24"/>
        </w:rPr>
        <w:t>no</w:t>
      </w:r>
      <w:r>
        <w:rPr>
          <w:rFonts w:ascii="Times New Roman;Times;serif" w:hAnsi="Times New Roman;Times;serif"/>
          <w:spacing w:val="25"/>
          <w:sz w:val="24"/>
        </w:rPr>
        <w:t xml:space="preserve"> </w:t>
      </w:r>
      <w:r>
        <w:rPr>
          <w:rFonts w:ascii="Times New Roman;Times;serif" w:hAnsi="Times New Roman;Times;serif"/>
          <w:sz w:val="24"/>
        </w:rPr>
        <w:t>longer material or has been publicly disclosed.</w:t>
      </w:r>
    </w:p>
    <w:p>
      <w:pPr>
        <w:pStyle w:val="TextBody"/>
        <w:bidi w:val="0"/>
        <w:spacing w:before="240" w:after="0"/>
        <w:ind w:left="0" w:right="0" w:hanging="0"/>
        <w:jc w:val="both"/>
        <w:rPr/>
      </w:pPr>
      <w:r>
        <w:rPr/>
        <w:t>​</w:t>
      </w:r>
    </w:p>
    <w:p>
      <w:pPr>
        <w:pStyle w:val="TextBody"/>
        <w:bidi w:val="0"/>
        <w:spacing w:before="240" w:after="0"/>
        <w:ind w:left="120" w:right="118" w:firstLine="720"/>
        <w:jc w:val="both"/>
        <w:rPr>
          <w:rFonts w:ascii="Times New Roman;Times;serif" w:hAnsi="Times New Roman;Times;serif"/>
          <w:sz w:val="24"/>
        </w:rPr>
      </w:pPr>
      <w:r>
        <w:rPr>
          <w:rFonts w:ascii="Times New Roman;Times;serif" w:hAnsi="Times New Roman;Times;serif"/>
          <w:sz w:val="24"/>
        </w:rPr>
        <w:t>When</w:t>
      </w:r>
      <w:r>
        <w:rPr>
          <w:rFonts w:ascii="Times New Roman;Times;serif" w:hAnsi="Times New Roman;Times;serif"/>
          <w:spacing w:val="-8"/>
          <w:sz w:val="24"/>
        </w:rPr>
        <w:t xml:space="preserve"> </w:t>
      </w:r>
      <w:r>
        <w:rPr>
          <w:rFonts w:ascii="Times New Roman;Times;serif" w:hAnsi="Times New Roman;Times;serif"/>
          <w:sz w:val="24"/>
        </w:rPr>
        <w:t>such</w:t>
      </w:r>
      <w:r>
        <w:rPr>
          <w:rFonts w:ascii="Times New Roman;Times;serif" w:hAnsi="Times New Roman;Times;serif"/>
          <w:spacing w:val="-8"/>
          <w:sz w:val="24"/>
        </w:rPr>
        <w:t xml:space="preserve"> </w:t>
      </w:r>
      <w:r>
        <w:rPr>
          <w:rFonts w:ascii="Times New Roman;Times;serif" w:hAnsi="Times New Roman;Times;serif"/>
          <w:sz w:val="24"/>
        </w:rPr>
        <w:t>event-specific</w:t>
      </w:r>
      <w:r>
        <w:rPr>
          <w:rFonts w:ascii="Times New Roman;Times;serif" w:hAnsi="Times New Roman;Times;serif"/>
          <w:spacing w:val="-9"/>
          <w:sz w:val="24"/>
        </w:rPr>
        <w:t xml:space="preserve"> </w:t>
      </w:r>
      <w:r>
        <w:rPr>
          <w:rFonts w:ascii="Times New Roman;Times;serif" w:hAnsi="Times New Roman;Times;serif"/>
          <w:sz w:val="24"/>
        </w:rPr>
        <w:t>blackout</w:t>
      </w:r>
      <w:r>
        <w:rPr>
          <w:rFonts w:ascii="Times New Roman;Times;serif" w:hAnsi="Times New Roman;Times;serif"/>
          <w:spacing w:val="-8"/>
          <w:sz w:val="24"/>
        </w:rPr>
        <w:t xml:space="preserve"> </w:t>
      </w:r>
      <w:r>
        <w:rPr>
          <w:rFonts w:ascii="Times New Roman;Times;serif" w:hAnsi="Times New Roman;Times;serif"/>
          <w:sz w:val="24"/>
        </w:rPr>
        <w:t>periods</w:t>
      </w:r>
      <w:r>
        <w:rPr>
          <w:rFonts w:ascii="Times New Roman;Times;serif" w:hAnsi="Times New Roman;Times;serif"/>
          <w:spacing w:val="-8"/>
          <w:sz w:val="24"/>
        </w:rPr>
        <w:t xml:space="preserve"> </w:t>
      </w:r>
      <w:r>
        <w:rPr>
          <w:rFonts w:ascii="Times New Roman;Times;serif" w:hAnsi="Times New Roman;Times;serif"/>
          <w:sz w:val="24"/>
        </w:rPr>
        <w:t>occur,</w:t>
      </w:r>
      <w:r>
        <w:rPr>
          <w:rFonts w:ascii="Times New Roman;Times;serif" w:hAnsi="Times New Roman;Times;serif"/>
          <w:spacing w:val="-6"/>
          <w:sz w:val="24"/>
        </w:rPr>
        <w:t xml:space="preserve"> </w:t>
      </w:r>
      <w:r>
        <w:rPr>
          <w:rFonts w:ascii="Times New Roman;Times;serif" w:hAnsi="Times New Roman;Times;serif"/>
          <w:sz w:val="24"/>
        </w:rPr>
        <w:t>those</w:t>
      </w:r>
      <w:r>
        <w:rPr>
          <w:rFonts w:ascii="Times New Roman;Times;serif" w:hAnsi="Times New Roman;Times;serif"/>
          <w:spacing w:val="-9"/>
          <w:sz w:val="24"/>
        </w:rPr>
        <w:t xml:space="preserve"> </w:t>
      </w:r>
      <w:r>
        <w:rPr>
          <w:rFonts w:ascii="Times New Roman;Times;serif" w:hAnsi="Times New Roman;Times;serif"/>
          <w:sz w:val="24"/>
        </w:rPr>
        <w:t>subject</w:t>
      </w:r>
      <w:r>
        <w:rPr>
          <w:rFonts w:ascii="Times New Roman;Times;serif" w:hAnsi="Times New Roman;Times;serif"/>
          <w:spacing w:val="-8"/>
          <w:sz w:val="24"/>
        </w:rPr>
        <w:t xml:space="preserve"> </w:t>
      </w:r>
      <w:r>
        <w:rPr>
          <w:rFonts w:ascii="Times New Roman;Times;serif" w:hAnsi="Times New Roman;Times;serif"/>
          <w:sz w:val="24"/>
        </w:rPr>
        <w:t>to</w:t>
      </w:r>
      <w:r>
        <w:rPr>
          <w:rFonts w:ascii="Times New Roman;Times;serif" w:hAnsi="Times New Roman;Times;serif"/>
          <w:spacing w:val="-8"/>
          <w:sz w:val="24"/>
        </w:rPr>
        <w:t xml:space="preserve"> </w:t>
      </w:r>
      <w:r>
        <w:rPr>
          <w:rFonts w:ascii="Times New Roman;Times;serif" w:hAnsi="Times New Roman;Times;serif"/>
          <w:sz w:val="24"/>
        </w:rPr>
        <w:t>it</w:t>
      </w:r>
      <w:r>
        <w:rPr>
          <w:rFonts w:ascii="Times New Roman;Times;serif" w:hAnsi="Times New Roman;Times;serif"/>
          <w:spacing w:val="-8"/>
          <w:sz w:val="24"/>
        </w:rPr>
        <w:t xml:space="preserve"> </w:t>
      </w:r>
      <w:r>
        <w:rPr>
          <w:rFonts w:ascii="Times New Roman;Times;serif" w:hAnsi="Times New Roman;Times;serif"/>
          <w:sz w:val="24"/>
        </w:rPr>
        <w:t>will</w:t>
      </w:r>
      <w:r>
        <w:rPr>
          <w:rFonts w:ascii="Times New Roman;Times;serif" w:hAnsi="Times New Roman;Times;serif"/>
          <w:spacing w:val="-8"/>
          <w:sz w:val="24"/>
        </w:rPr>
        <w:t xml:space="preserve"> </w:t>
      </w:r>
      <w:r>
        <w:rPr>
          <w:rFonts w:ascii="Times New Roman;Times;serif" w:hAnsi="Times New Roman;Times;serif"/>
          <w:sz w:val="24"/>
        </w:rPr>
        <w:t>be</w:t>
      </w:r>
      <w:r>
        <w:rPr>
          <w:rFonts w:ascii="Times New Roman;Times;serif" w:hAnsi="Times New Roman;Times;serif"/>
          <w:spacing w:val="-12"/>
          <w:sz w:val="24"/>
        </w:rPr>
        <w:t xml:space="preserve"> </w:t>
      </w:r>
      <w:r>
        <w:rPr>
          <w:rFonts w:ascii="Times New Roman;Times;serif" w:hAnsi="Times New Roman;Times;serif"/>
          <w:sz w:val="24"/>
        </w:rPr>
        <w:t>notified</w:t>
      </w:r>
      <w:r>
        <w:rPr>
          <w:rFonts w:ascii="Times New Roman;Times;serif" w:hAnsi="Times New Roman;Times;serif"/>
          <w:spacing w:val="-8"/>
          <w:sz w:val="24"/>
        </w:rPr>
        <w:t xml:space="preserve"> </w:t>
      </w:r>
      <w:r>
        <w:rPr>
          <w:rFonts w:ascii="Times New Roman;Times;serif" w:hAnsi="Times New Roman;Times;serif"/>
          <w:sz w:val="24"/>
        </w:rPr>
        <w:t>by</w:t>
      </w:r>
      <w:r>
        <w:rPr>
          <w:rFonts w:ascii="Times New Roman;Times;serif" w:hAnsi="Times New Roman;Times;serif"/>
          <w:spacing w:val="-8"/>
          <w:sz w:val="24"/>
        </w:rPr>
        <w:t xml:space="preserve"> </w:t>
      </w:r>
      <w:r>
        <w:rPr>
          <w:rFonts w:ascii="Times New Roman;Times;serif" w:hAnsi="Times New Roman;Times;serif"/>
          <w:sz w:val="24"/>
        </w:rPr>
        <w:t>the Company.</w:t>
      </w:r>
      <w:r>
        <w:rPr>
          <w:rFonts w:ascii="Times New Roman;Times;serif" w:hAnsi="Times New Roman;Times;serif"/>
          <w:spacing w:val="40"/>
          <w:sz w:val="24"/>
        </w:rPr>
        <w:t xml:space="preserve"> </w:t>
      </w:r>
      <w:r>
        <w:rPr>
          <w:rFonts w:ascii="Times New Roman;Times;serif" w:hAnsi="Times New Roman;Times;serif"/>
          <w:sz w:val="24"/>
        </w:rPr>
        <w:t>The</w:t>
      </w:r>
      <w:r>
        <w:rPr>
          <w:rFonts w:ascii="Times New Roman;Times;serif" w:hAnsi="Times New Roman;Times;serif"/>
          <w:spacing w:val="-8"/>
          <w:sz w:val="24"/>
        </w:rPr>
        <w:t xml:space="preserve"> </w:t>
      </w:r>
      <w:r>
        <w:rPr>
          <w:rFonts w:ascii="Times New Roman;Times;serif" w:hAnsi="Times New Roman;Times;serif"/>
          <w:sz w:val="24"/>
        </w:rPr>
        <w:t>event-specific</w:t>
      </w:r>
      <w:r>
        <w:rPr>
          <w:rFonts w:ascii="Times New Roman;Times;serif" w:hAnsi="Times New Roman;Times;serif"/>
          <w:spacing w:val="-11"/>
          <w:sz w:val="24"/>
        </w:rPr>
        <w:t xml:space="preserve"> </w:t>
      </w:r>
      <w:r>
        <w:rPr>
          <w:rFonts w:ascii="Times New Roman;Times;serif" w:hAnsi="Times New Roman;Times;serif"/>
          <w:sz w:val="24"/>
        </w:rPr>
        <w:t>blackout</w:t>
      </w:r>
      <w:r>
        <w:rPr>
          <w:rFonts w:ascii="Times New Roman;Times;serif" w:hAnsi="Times New Roman;Times;serif"/>
          <w:spacing w:val="-9"/>
          <w:sz w:val="24"/>
        </w:rPr>
        <w:t xml:space="preserve"> </w:t>
      </w:r>
      <w:r>
        <w:rPr>
          <w:rFonts w:ascii="Times New Roman;Times;serif" w:hAnsi="Times New Roman;Times;serif"/>
          <w:sz w:val="24"/>
        </w:rPr>
        <w:t>period</w:t>
      </w:r>
      <w:r>
        <w:rPr>
          <w:rFonts w:ascii="Times New Roman;Times;serif" w:hAnsi="Times New Roman;Times;serif"/>
          <w:spacing w:val="-7"/>
          <w:sz w:val="24"/>
        </w:rPr>
        <w:t xml:space="preserve"> </w:t>
      </w:r>
      <w:r>
        <w:rPr>
          <w:rFonts w:ascii="Times New Roman;Times;serif" w:hAnsi="Times New Roman;Times;serif"/>
          <w:sz w:val="24"/>
        </w:rPr>
        <w:t>will</w:t>
      </w:r>
      <w:r>
        <w:rPr>
          <w:rFonts w:ascii="Times New Roman;Times;serif" w:hAnsi="Times New Roman;Times;serif"/>
          <w:spacing w:val="-9"/>
          <w:sz w:val="24"/>
        </w:rPr>
        <w:t xml:space="preserve"> </w:t>
      </w:r>
      <w:r>
        <w:rPr>
          <w:rFonts w:ascii="Times New Roman;Times;serif" w:hAnsi="Times New Roman;Times;serif"/>
          <w:sz w:val="24"/>
        </w:rPr>
        <w:t>not</w:t>
      </w:r>
      <w:r>
        <w:rPr>
          <w:rFonts w:ascii="Times New Roman;Times;serif" w:hAnsi="Times New Roman;Times;serif"/>
          <w:spacing w:val="-9"/>
          <w:sz w:val="24"/>
        </w:rPr>
        <w:t xml:space="preserve"> </w:t>
      </w:r>
      <w:r>
        <w:rPr>
          <w:rFonts w:ascii="Times New Roman;Times;serif" w:hAnsi="Times New Roman;Times;serif"/>
          <w:sz w:val="24"/>
        </w:rPr>
        <w:t>be</w:t>
      </w:r>
      <w:r>
        <w:rPr>
          <w:rFonts w:ascii="Times New Roman;Times;serif" w:hAnsi="Times New Roman;Times;serif"/>
          <w:spacing w:val="-11"/>
          <w:sz w:val="24"/>
        </w:rPr>
        <w:t xml:space="preserve"> </w:t>
      </w:r>
      <w:r>
        <w:rPr>
          <w:rFonts w:ascii="Times New Roman;Times;serif" w:hAnsi="Times New Roman;Times;serif"/>
          <w:sz w:val="24"/>
        </w:rPr>
        <w:t>announced</w:t>
      </w:r>
      <w:r>
        <w:rPr>
          <w:rFonts w:ascii="Times New Roman;Times;serif" w:hAnsi="Times New Roman;Times;serif"/>
          <w:spacing w:val="-10"/>
          <w:sz w:val="24"/>
        </w:rPr>
        <w:t xml:space="preserve"> </w:t>
      </w:r>
      <w:r>
        <w:rPr>
          <w:rFonts w:ascii="Times New Roman;Times;serif" w:hAnsi="Times New Roman;Times;serif"/>
          <w:sz w:val="24"/>
        </w:rPr>
        <w:t>to</w:t>
      </w:r>
      <w:r>
        <w:rPr>
          <w:rFonts w:ascii="Times New Roman;Times;serif" w:hAnsi="Times New Roman;Times;serif"/>
          <w:spacing w:val="-10"/>
          <w:sz w:val="24"/>
        </w:rPr>
        <w:t xml:space="preserve"> </w:t>
      </w:r>
      <w:r>
        <w:rPr>
          <w:rFonts w:ascii="Times New Roman;Times;serif" w:hAnsi="Times New Roman;Times;serif"/>
          <w:sz w:val="24"/>
        </w:rPr>
        <w:t>those</w:t>
      </w:r>
      <w:r>
        <w:rPr>
          <w:rFonts w:ascii="Times New Roman;Times;serif" w:hAnsi="Times New Roman;Times;serif"/>
          <w:spacing w:val="-11"/>
          <w:sz w:val="24"/>
        </w:rPr>
        <w:t xml:space="preserve"> </w:t>
      </w:r>
      <w:r>
        <w:rPr>
          <w:rFonts w:ascii="Times New Roman;Times;serif" w:hAnsi="Times New Roman;Times;serif"/>
          <w:sz w:val="24"/>
        </w:rPr>
        <w:t>not</w:t>
      </w:r>
      <w:r>
        <w:rPr>
          <w:rFonts w:ascii="Times New Roman;Times;serif" w:hAnsi="Times New Roman;Times;serif"/>
          <w:spacing w:val="-9"/>
          <w:sz w:val="24"/>
        </w:rPr>
        <w:t xml:space="preserve"> </w:t>
      </w:r>
      <w:r>
        <w:rPr>
          <w:rFonts w:ascii="Times New Roman;Times;serif" w:hAnsi="Times New Roman;Times;serif"/>
          <w:sz w:val="24"/>
        </w:rPr>
        <w:t>subject</w:t>
      </w:r>
      <w:r>
        <w:rPr>
          <w:rFonts w:ascii="Times New Roman;Times;serif" w:hAnsi="Times New Roman;Times;serif"/>
          <w:spacing w:val="-9"/>
          <w:sz w:val="24"/>
        </w:rPr>
        <w:t xml:space="preserve"> </w:t>
      </w:r>
      <w:r>
        <w:rPr>
          <w:rFonts w:ascii="Times New Roman;Times;serif" w:hAnsi="Times New Roman;Times;serif"/>
          <w:sz w:val="24"/>
        </w:rPr>
        <w:t>to</w:t>
      </w:r>
      <w:r>
        <w:rPr>
          <w:rFonts w:ascii="Times New Roman;Times;serif" w:hAnsi="Times New Roman;Times;serif"/>
          <w:spacing w:val="-10"/>
          <w:sz w:val="24"/>
        </w:rPr>
        <w:t xml:space="preserve"> </w:t>
      </w:r>
      <w:r>
        <w:rPr>
          <w:rFonts w:ascii="Times New Roman;Times;serif" w:hAnsi="Times New Roman;Times;serif"/>
          <w:sz w:val="24"/>
        </w:rPr>
        <w:t>it,</w:t>
      </w:r>
      <w:r>
        <w:rPr>
          <w:rFonts w:ascii="Times New Roman;Times;serif" w:hAnsi="Times New Roman;Times;serif"/>
          <w:spacing w:val="-7"/>
          <w:sz w:val="24"/>
        </w:rPr>
        <w:t xml:space="preserve"> </w:t>
      </w:r>
      <w:r>
        <w:rPr>
          <w:rFonts w:ascii="Times New Roman;Times;serif" w:hAnsi="Times New Roman;Times;serif"/>
          <w:sz w:val="24"/>
        </w:rPr>
        <w:t>and those subject to it or otherwise aware of it should not disclose it to others.</w:t>
      </w:r>
    </w:p>
    <w:p>
      <w:pPr>
        <w:pStyle w:val="TextBody"/>
        <w:bidi w:val="0"/>
        <w:spacing w:before="240" w:after="0"/>
        <w:ind w:left="119" w:right="117" w:firstLine="720"/>
        <w:jc w:val="both"/>
        <w:rPr>
          <w:rFonts w:ascii="Times New Roman;Times;serif" w:hAnsi="Times New Roman;Times;serif"/>
          <w:sz w:val="24"/>
        </w:rPr>
      </w:pPr>
      <w:r>
        <w:rPr>
          <w:rFonts w:ascii="Times New Roman;Times;serif" w:hAnsi="Times New Roman;Times;serif"/>
          <w:sz w:val="24"/>
        </w:rPr>
        <w:t>Even</w:t>
      </w:r>
      <w:r>
        <w:rPr>
          <w:rFonts w:ascii="Times New Roman;Times;serif" w:hAnsi="Times New Roman;Times;serif"/>
          <w:spacing w:val="-12"/>
          <w:sz w:val="24"/>
        </w:rPr>
        <w:t xml:space="preserve"> </w:t>
      </w:r>
      <w:r>
        <w:rPr>
          <w:rFonts w:ascii="Times New Roman;Times;serif" w:hAnsi="Times New Roman;Times;serif"/>
          <w:sz w:val="24"/>
        </w:rPr>
        <w:t>if</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Company</w:t>
      </w:r>
      <w:r>
        <w:rPr>
          <w:rFonts w:ascii="Times New Roman;Times;serif" w:hAnsi="Times New Roman;Times;serif"/>
          <w:spacing w:val="-12"/>
          <w:sz w:val="24"/>
        </w:rPr>
        <w:t xml:space="preserve"> </w:t>
      </w:r>
      <w:r>
        <w:rPr>
          <w:rFonts w:ascii="Times New Roman;Times;serif" w:hAnsi="Times New Roman;Times;serif"/>
          <w:sz w:val="24"/>
        </w:rPr>
        <w:t>has</w:t>
      </w:r>
      <w:r>
        <w:rPr>
          <w:rFonts w:ascii="Times New Roman;Times;serif" w:hAnsi="Times New Roman;Times;serif"/>
          <w:spacing w:val="-9"/>
          <w:sz w:val="24"/>
        </w:rPr>
        <w:t xml:space="preserve"> </w:t>
      </w:r>
      <w:r>
        <w:rPr>
          <w:rFonts w:ascii="Times New Roman;Times;serif" w:hAnsi="Times New Roman;Times;serif"/>
          <w:sz w:val="24"/>
        </w:rPr>
        <w:t>not</w:t>
      </w:r>
      <w:r>
        <w:rPr>
          <w:rFonts w:ascii="Times New Roman;Times;serif" w:hAnsi="Times New Roman;Times;serif"/>
          <w:spacing w:val="-12"/>
          <w:sz w:val="24"/>
        </w:rPr>
        <w:t xml:space="preserve"> </w:t>
      </w:r>
      <w:r>
        <w:rPr>
          <w:rFonts w:ascii="Times New Roman;Times;serif" w:hAnsi="Times New Roman;Times;serif"/>
          <w:sz w:val="24"/>
        </w:rPr>
        <w:t>notified</w:t>
      </w:r>
      <w:r>
        <w:rPr>
          <w:rFonts w:ascii="Times New Roman;Times;serif" w:hAnsi="Times New Roman;Times;serif"/>
          <w:spacing w:val="-12"/>
          <w:sz w:val="24"/>
        </w:rPr>
        <w:t xml:space="preserve"> </w:t>
      </w:r>
      <w:r>
        <w:rPr>
          <w:rFonts w:ascii="Times New Roman;Times;serif" w:hAnsi="Times New Roman;Times;serif"/>
          <w:sz w:val="24"/>
        </w:rPr>
        <w:t>you</w:t>
      </w:r>
      <w:r>
        <w:rPr>
          <w:rFonts w:ascii="Times New Roman;Times;serif" w:hAnsi="Times New Roman;Times;serif"/>
          <w:spacing w:val="-12"/>
          <w:sz w:val="24"/>
        </w:rPr>
        <w:t xml:space="preserve"> </w:t>
      </w:r>
      <w:r>
        <w:rPr>
          <w:rFonts w:ascii="Times New Roman;Times;serif" w:hAnsi="Times New Roman;Times;serif"/>
          <w:sz w:val="24"/>
        </w:rPr>
        <w:t>that</w:t>
      </w:r>
      <w:r>
        <w:rPr>
          <w:rFonts w:ascii="Times New Roman;Times;serif" w:hAnsi="Times New Roman;Times;serif"/>
          <w:spacing w:val="-12"/>
          <w:sz w:val="24"/>
        </w:rPr>
        <w:t xml:space="preserve"> </w:t>
      </w:r>
      <w:r>
        <w:rPr>
          <w:rFonts w:ascii="Times New Roman;Times;serif" w:hAnsi="Times New Roman;Times;serif"/>
          <w:sz w:val="24"/>
        </w:rPr>
        <w:t>you</w:t>
      </w:r>
      <w:r>
        <w:rPr>
          <w:rFonts w:ascii="Times New Roman;Times;serif" w:hAnsi="Times New Roman;Times;serif"/>
          <w:spacing w:val="-10"/>
          <w:sz w:val="24"/>
        </w:rPr>
        <w:t xml:space="preserve"> </w:t>
      </w:r>
      <w:r>
        <w:rPr>
          <w:rFonts w:ascii="Times New Roman;Times;serif" w:hAnsi="Times New Roman;Times;serif"/>
          <w:sz w:val="24"/>
        </w:rPr>
        <w:t>are</w:t>
      </w:r>
      <w:r>
        <w:rPr>
          <w:rFonts w:ascii="Times New Roman;Times;serif" w:hAnsi="Times New Roman;Times;serif"/>
          <w:spacing w:val="-13"/>
          <w:sz w:val="24"/>
        </w:rPr>
        <w:t xml:space="preserve"> </w:t>
      </w:r>
      <w:r>
        <w:rPr>
          <w:rFonts w:ascii="Times New Roman;Times;serif" w:hAnsi="Times New Roman;Times;serif"/>
          <w:sz w:val="24"/>
        </w:rPr>
        <w:t>subject</w:t>
      </w:r>
      <w:r>
        <w:rPr>
          <w:rFonts w:ascii="Times New Roman;Times;serif" w:hAnsi="Times New Roman;Times;serif"/>
          <w:spacing w:val="-12"/>
          <w:sz w:val="24"/>
        </w:rPr>
        <w:t xml:space="preserve"> </w:t>
      </w:r>
      <w:r>
        <w:rPr>
          <w:rFonts w:ascii="Times New Roman;Times;serif" w:hAnsi="Times New Roman;Times;serif"/>
          <w:sz w:val="24"/>
        </w:rPr>
        <w:t>to</w:t>
      </w:r>
      <w:r>
        <w:rPr>
          <w:rFonts w:ascii="Times New Roman;Times;serif" w:hAnsi="Times New Roman;Times;serif"/>
          <w:spacing w:val="-12"/>
          <w:sz w:val="24"/>
        </w:rPr>
        <w:t xml:space="preserve"> </w:t>
      </w:r>
      <w:r>
        <w:rPr>
          <w:rFonts w:ascii="Times New Roman;Times;serif" w:hAnsi="Times New Roman;Times;serif"/>
          <w:sz w:val="24"/>
        </w:rPr>
        <w:t>an</w:t>
      </w:r>
      <w:r>
        <w:rPr>
          <w:rFonts w:ascii="Times New Roman;Times;serif" w:hAnsi="Times New Roman;Times;serif"/>
          <w:spacing w:val="-10"/>
          <w:sz w:val="24"/>
        </w:rPr>
        <w:t xml:space="preserve"> </w:t>
      </w:r>
      <w:r>
        <w:rPr>
          <w:rFonts w:ascii="Times New Roman;Times;serif" w:hAnsi="Times New Roman;Times;serif"/>
          <w:sz w:val="24"/>
        </w:rPr>
        <w:t>event-specific</w:t>
      </w:r>
      <w:r>
        <w:rPr>
          <w:rFonts w:ascii="Times New Roman;Times;serif" w:hAnsi="Times New Roman;Times;serif"/>
          <w:spacing w:val="-13"/>
          <w:sz w:val="24"/>
        </w:rPr>
        <w:t xml:space="preserve"> </w:t>
      </w:r>
      <w:r>
        <w:rPr>
          <w:rFonts w:ascii="Times New Roman;Times;serif" w:hAnsi="Times New Roman;Times;serif"/>
          <w:sz w:val="24"/>
        </w:rPr>
        <w:t>blackout period, if you are aware of material nonpublic information about the Company, you should not trade</w:t>
      </w:r>
      <w:r>
        <w:rPr>
          <w:rFonts w:ascii="Times New Roman;Times;serif" w:hAnsi="Times New Roman;Times;serif"/>
          <w:spacing w:val="-8"/>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Company</w:t>
      </w:r>
      <w:r>
        <w:rPr>
          <w:rFonts w:ascii="Times New Roman;Times;serif" w:hAnsi="Times New Roman;Times;serif"/>
          <w:spacing w:val="-7"/>
          <w:sz w:val="24"/>
        </w:rPr>
        <w:t xml:space="preserve"> </w:t>
      </w:r>
      <w:r>
        <w:rPr>
          <w:rFonts w:ascii="Times New Roman;Times;serif" w:hAnsi="Times New Roman;Times;serif"/>
          <w:sz w:val="24"/>
        </w:rPr>
        <w:t>securities.</w:t>
      </w:r>
      <w:r>
        <w:rPr>
          <w:rFonts w:ascii="Times New Roman;Times;serif" w:hAnsi="Times New Roman;Times;serif"/>
          <w:spacing w:val="40"/>
          <w:sz w:val="24"/>
        </w:rPr>
        <w:t xml:space="preserve"> </w:t>
      </w:r>
      <w:r>
        <w:rPr>
          <w:rFonts w:ascii="Times New Roman;Times;serif" w:hAnsi="Times New Roman;Times;serif"/>
          <w:sz w:val="24"/>
        </w:rPr>
        <w:t>Any</w:t>
      </w:r>
      <w:r>
        <w:rPr>
          <w:rFonts w:ascii="Times New Roman;Times;serif" w:hAnsi="Times New Roman;Times;serif"/>
          <w:spacing w:val="-7"/>
          <w:sz w:val="24"/>
        </w:rPr>
        <w:t xml:space="preserve"> </w:t>
      </w:r>
      <w:r>
        <w:rPr>
          <w:rFonts w:ascii="Times New Roman;Times;serif" w:hAnsi="Times New Roman;Times;serif"/>
          <w:sz w:val="24"/>
        </w:rPr>
        <w:t>failure</w:t>
      </w:r>
      <w:r>
        <w:rPr>
          <w:rFonts w:ascii="Times New Roman;Times;serif" w:hAnsi="Times New Roman;Times;serif"/>
          <w:spacing w:val="-8"/>
          <w:sz w:val="24"/>
        </w:rPr>
        <w:t xml:space="preserve"> </w:t>
      </w:r>
      <w:r>
        <w:rPr>
          <w:rFonts w:ascii="Times New Roman;Times;serif" w:hAnsi="Times New Roman;Times;serif"/>
          <w:sz w:val="24"/>
        </w:rPr>
        <w:t>by</w:t>
      </w:r>
      <w:r>
        <w:rPr>
          <w:rFonts w:ascii="Times New Roman;Times;serif" w:hAnsi="Times New Roman;Times;serif"/>
          <w:spacing w:val="-7"/>
          <w:sz w:val="24"/>
        </w:rPr>
        <w:t xml:space="preserve"> </w:t>
      </w:r>
      <w:r>
        <w:rPr>
          <w:rFonts w:ascii="Times New Roman;Times;serif" w:hAnsi="Times New Roman;Times;serif"/>
          <w:sz w:val="24"/>
        </w:rPr>
        <w:t>the</w:t>
      </w:r>
      <w:r>
        <w:rPr>
          <w:rFonts w:ascii="Times New Roman;Times;serif" w:hAnsi="Times New Roman;Times;serif"/>
          <w:spacing w:val="-8"/>
          <w:sz w:val="24"/>
        </w:rPr>
        <w:t xml:space="preserve"> </w:t>
      </w:r>
      <w:r>
        <w:rPr>
          <w:rFonts w:ascii="Times New Roman;Times;serif" w:hAnsi="Times New Roman;Times;serif"/>
          <w:sz w:val="24"/>
        </w:rPr>
        <w:t>Company</w:t>
      </w:r>
      <w:r>
        <w:rPr>
          <w:rFonts w:ascii="Times New Roman;Times;serif" w:hAnsi="Times New Roman;Times;serif"/>
          <w:spacing w:val="-7"/>
          <w:sz w:val="24"/>
        </w:rPr>
        <w:t xml:space="preserve"> </w:t>
      </w:r>
      <w:r>
        <w:rPr>
          <w:rFonts w:ascii="Times New Roman;Times;serif" w:hAnsi="Times New Roman;Times;serif"/>
          <w:sz w:val="24"/>
        </w:rPr>
        <w:t>to</w:t>
      </w:r>
      <w:r>
        <w:rPr>
          <w:rFonts w:ascii="Times New Roman;Times;serif" w:hAnsi="Times New Roman;Times;serif"/>
          <w:spacing w:val="-7"/>
          <w:sz w:val="24"/>
        </w:rPr>
        <w:t xml:space="preserve"> </w:t>
      </w:r>
      <w:r>
        <w:rPr>
          <w:rFonts w:ascii="Times New Roman;Times;serif" w:hAnsi="Times New Roman;Times;serif"/>
          <w:sz w:val="24"/>
        </w:rPr>
        <w:t>designate</w:t>
      </w:r>
      <w:r>
        <w:rPr>
          <w:rFonts w:ascii="Times New Roman;Times;serif" w:hAnsi="Times New Roman;Times;serif"/>
          <w:spacing w:val="-8"/>
          <w:sz w:val="24"/>
        </w:rPr>
        <w:t xml:space="preserve"> </w:t>
      </w:r>
      <w:r>
        <w:rPr>
          <w:rFonts w:ascii="Times New Roman;Times;serif" w:hAnsi="Times New Roman;Times;serif"/>
          <w:sz w:val="24"/>
        </w:rPr>
        <w:t>you</w:t>
      </w:r>
      <w:r>
        <w:rPr>
          <w:rFonts w:ascii="Times New Roman;Times;serif" w:hAnsi="Times New Roman;Times;serif"/>
          <w:spacing w:val="-5"/>
          <w:sz w:val="24"/>
        </w:rPr>
        <w:t xml:space="preserve"> </w:t>
      </w:r>
      <w:r>
        <w:rPr>
          <w:rFonts w:ascii="Times New Roman;Times;serif" w:hAnsi="Times New Roman;Times;serif"/>
          <w:sz w:val="24"/>
        </w:rPr>
        <w:t>as</w:t>
      </w:r>
      <w:r>
        <w:rPr>
          <w:rFonts w:ascii="Times New Roman;Times;serif" w:hAnsi="Times New Roman;Times;serif"/>
          <w:spacing w:val="-7"/>
          <w:sz w:val="24"/>
        </w:rPr>
        <w:t xml:space="preserve"> </w:t>
      </w:r>
      <w:r>
        <w:rPr>
          <w:rFonts w:ascii="Times New Roman;Times;serif" w:hAnsi="Times New Roman;Times;serif"/>
          <w:sz w:val="24"/>
        </w:rPr>
        <w:t>subject</w:t>
      </w:r>
      <w:r>
        <w:rPr>
          <w:rFonts w:ascii="Times New Roman;Times;serif" w:hAnsi="Times New Roman;Times;serif"/>
          <w:spacing w:val="-7"/>
          <w:sz w:val="24"/>
        </w:rPr>
        <w:t xml:space="preserve"> </w:t>
      </w:r>
      <w:r>
        <w:rPr>
          <w:rFonts w:ascii="Times New Roman;Times;serif" w:hAnsi="Times New Roman;Times;serif"/>
          <w:sz w:val="24"/>
        </w:rPr>
        <w:t>to</w:t>
      </w:r>
      <w:r>
        <w:rPr>
          <w:rFonts w:ascii="Times New Roman;Times;serif" w:hAnsi="Times New Roman;Times;serif"/>
          <w:spacing w:val="-7"/>
          <w:sz w:val="24"/>
        </w:rPr>
        <w:t xml:space="preserve"> </w:t>
      </w:r>
      <w:r>
        <w:rPr>
          <w:rFonts w:ascii="Times New Roman;Times;serif" w:hAnsi="Times New Roman;Times;serif"/>
          <w:sz w:val="24"/>
        </w:rPr>
        <w:t>an</w:t>
      </w:r>
      <w:r>
        <w:rPr>
          <w:rFonts w:ascii="Times New Roman;Times;serif" w:hAnsi="Times New Roman;Times;serif"/>
          <w:spacing w:val="-5"/>
          <w:sz w:val="24"/>
        </w:rPr>
        <w:t xml:space="preserve"> </w:t>
      </w:r>
      <w:r>
        <w:rPr>
          <w:rFonts w:ascii="Times New Roman;Times;serif" w:hAnsi="Times New Roman;Times;serif"/>
          <w:sz w:val="24"/>
        </w:rPr>
        <w:t xml:space="preserve">event- specific blackout period, or to notify you of such designation, does not relieve you of your obligation not to trade in the Company’s securities while possessing material nonpublic </w:t>
      </w:r>
      <w:r>
        <w:rPr>
          <w:rFonts w:ascii="Times New Roman;Times;serif" w:hAnsi="Times New Roman;Times;serif"/>
          <w:spacing w:val="-2"/>
          <w:sz w:val="24"/>
        </w:rPr>
        <w:t>information.</w:t>
      </w:r>
    </w:p>
    <w:p>
      <w:pPr>
        <w:pStyle w:val="TextBody"/>
        <w:bidi w:val="0"/>
        <w:spacing w:before="240" w:after="0"/>
        <w:ind w:left="120" w:right="118" w:firstLine="720"/>
        <w:jc w:val="both"/>
        <w:rPr>
          <w:rFonts w:ascii="Times New Roman;Times;serif" w:hAnsi="Times New Roman;Times;serif"/>
          <w:sz w:val="24"/>
        </w:rPr>
      </w:pPr>
      <w:r>
        <w:rPr>
          <w:rFonts w:ascii="Times New Roman;Times;serif" w:hAnsi="Times New Roman;Times;serif"/>
          <w:sz w:val="24"/>
        </w:rPr>
        <w:t>No officer, director, or employee shall directly or indirectly communicate (or “</w:t>
      </w:r>
      <w:r>
        <w:rPr>
          <w:rFonts w:ascii="Times New Roman;Times;serif" w:hAnsi="Times New Roman;Times;serif"/>
          <w:sz w:val="24"/>
          <w:u w:val="single"/>
        </w:rPr>
        <w:t>tip</w:t>
      </w:r>
      <w:r>
        <w:rPr>
          <w:rFonts w:ascii="Times New Roman;Times;serif" w:hAnsi="Times New Roman;Times;serif"/>
          <w:sz w:val="24"/>
        </w:rPr>
        <w:t>”) material nonpublic information to anyone outside the Company (except in accordance with the Company’s policies regarding the protection or authorized external disclosure of Company information) or to anyone within the Company other than on a “need-to-know” basis.</w:t>
      </w:r>
    </w:p>
    <w:p>
      <w:pPr>
        <w:pStyle w:val="TextBody"/>
        <w:bidi w:val="0"/>
        <w:spacing w:before="240" w:after="0"/>
        <w:ind w:left="0" w:right="0" w:hanging="0"/>
        <w:jc w:val="left"/>
        <w:rPr>
          <w:rFonts w:ascii="Times New Roman;Times;serif" w:hAnsi="Times New Roman;Times;serif"/>
          <w:b/>
          <w:sz w:val="24"/>
        </w:rPr>
      </w:pPr>
      <w:bookmarkStart w:id="2411" w:name="_Toc184126914"/>
      <w:bookmarkStart w:id="2412" w:name="H._Prohibition_of_Records_Falsification_"/>
      <w:bookmarkStart w:id="2413" w:name="G._Examples_of_Insider_Trading"/>
      <w:bookmarkStart w:id="2414" w:name="F._Size_of_Transaction_and_Reason_for_Tr"/>
      <w:bookmarkStart w:id="2415" w:name="E._Penalties_for_Engaging_in_Insider_Tra"/>
      <w:bookmarkStart w:id="2416" w:name="D._Trading_by_Persons_Other_Than_Insider"/>
      <w:bookmarkStart w:id="2417" w:name="C._Who_Is_an_Insider%3F"/>
      <w:bookmarkStart w:id="2418" w:name="B._What_Is_Nonpublic%3F"/>
      <w:bookmarkStart w:id="2419" w:name="A._What_Facts_Are_Material%3F"/>
      <w:bookmarkEnd w:id="2411"/>
      <w:bookmarkEnd w:id="2412"/>
      <w:bookmarkEnd w:id="2413"/>
      <w:bookmarkEnd w:id="2414"/>
      <w:bookmarkEnd w:id="2415"/>
      <w:bookmarkEnd w:id="2416"/>
      <w:bookmarkEnd w:id="2417"/>
      <w:bookmarkEnd w:id="2418"/>
      <w:bookmarkEnd w:id="2419"/>
      <w:r>
        <w:rPr>
          <w:rFonts w:ascii="Times New Roman;Times;serif" w:hAnsi="Times New Roman;Times;serif"/>
          <w:b/>
          <w:sz w:val="24"/>
        </w:rPr>
        <w:t xml:space="preserve">Pre-Clearance of Transactions </w:t>
      </w:r>
      <w:bookmarkStart w:id="2420" w:name="B._Preclearance_of_All_Trades_by_All_Off"/>
      <w:bookmarkStart w:id="2421" w:name="A._Blackout_Periods"/>
      <w:bookmarkEnd w:id="2420"/>
      <w:bookmarkEnd w:id="2421"/>
    </w:p>
    <w:p>
      <w:pPr>
        <w:pStyle w:val="TextBody"/>
        <w:bidi w:val="0"/>
        <w:spacing w:before="240" w:after="0"/>
        <w:ind w:left="119" w:right="117" w:firstLine="720"/>
        <w:jc w:val="both"/>
        <w:rPr>
          <w:rFonts w:ascii="Times New Roman;Times;serif" w:hAnsi="Times New Roman;Times;serif"/>
          <w:sz w:val="24"/>
        </w:rPr>
      </w:pPr>
      <w:r>
        <w:rPr>
          <w:rFonts w:ascii="Times New Roman;Times;serif" w:hAnsi="Times New Roman;Times;serif"/>
          <w:sz w:val="24"/>
        </w:rPr>
        <w:t>To</w:t>
      </w:r>
      <w:r>
        <w:rPr>
          <w:rFonts w:ascii="Times New Roman;Times;serif" w:hAnsi="Times New Roman;Times;serif"/>
          <w:spacing w:val="-13"/>
          <w:sz w:val="24"/>
        </w:rPr>
        <w:t xml:space="preserve"> </w:t>
      </w:r>
      <w:r>
        <w:rPr>
          <w:rFonts w:ascii="Times New Roman;Times;serif" w:hAnsi="Times New Roman;Times;serif"/>
          <w:sz w:val="24"/>
        </w:rPr>
        <w:t>provide</w:t>
      </w:r>
      <w:r>
        <w:rPr>
          <w:rFonts w:ascii="Times New Roman;Times;serif" w:hAnsi="Times New Roman;Times;serif"/>
          <w:spacing w:val="-12"/>
          <w:sz w:val="24"/>
        </w:rPr>
        <w:t xml:space="preserve"> </w:t>
      </w:r>
      <w:r>
        <w:rPr>
          <w:rFonts w:ascii="Times New Roman;Times;serif" w:hAnsi="Times New Roman;Times;serif"/>
          <w:sz w:val="24"/>
        </w:rPr>
        <w:t>assistance</w:t>
      </w:r>
      <w:r>
        <w:rPr>
          <w:rFonts w:ascii="Times New Roman;Times;serif" w:hAnsi="Times New Roman;Times;serif"/>
          <w:spacing w:val="-14"/>
          <w:sz w:val="24"/>
        </w:rPr>
        <w:t xml:space="preserve"> </w:t>
      </w:r>
      <w:r>
        <w:rPr>
          <w:rFonts w:ascii="Times New Roman;Times;serif" w:hAnsi="Times New Roman;Times;serif"/>
          <w:sz w:val="24"/>
        </w:rPr>
        <w:t>in</w:t>
      </w:r>
      <w:r>
        <w:rPr>
          <w:rFonts w:ascii="Times New Roman;Times;serif" w:hAnsi="Times New Roman;Times;serif"/>
          <w:spacing w:val="-8"/>
          <w:sz w:val="24"/>
        </w:rPr>
        <w:t xml:space="preserve"> </w:t>
      </w:r>
      <w:r>
        <w:rPr>
          <w:rFonts w:ascii="Times New Roman;Times;serif" w:hAnsi="Times New Roman;Times;serif"/>
          <w:sz w:val="24"/>
        </w:rPr>
        <w:t>preventing</w:t>
      </w:r>
      <w:r>
        <w:rPr>
          <w:rFonts w:ascii="Times New Roman;Times;serif" w:hAnsi="Times New Roman;Times;serif"/>
          <w:spacing w:val="-13"/>
          <w:sz w:val="24"/>
        </w:rPr>
        <w:t xml:space="preserve"> </w:t>
      </w:r>
      <w:r>
        <w:rPr>
          <w:rFonts w:ascii="Times New Roman;Times;serif" w:hAnsi="Times New Roman;Times;serif"/>
          <w:sz w:val="24"/>
        </w:rPr>
        <w:t>inadvertent</w:t>
      </w:r>
      <w:r>
        <w:rPr>
          <w:rFonts w:ascii="Times New Roman;Times;serif" w:hAnsi="Times New Roman;Times;serif"/>
          <w:spacing w:val="-13"/>
          <w:sz w:val="24"/>
        </w:rPr>
        <w:t xml:space="preserve"> </w:t>
      </w:r>
      <w:r>
        <w:rPr>
          <w:rFonts w:ascii="Times New Roman;Times;serif" w:hAnsi="Times New Roman;Times;serif"/>
          <w:sz w:val="24"/>
        </w:rPr>
        <w:t>violations</w:t>
      </w:r>
      <w:r>
        <w:rPr>
          <w:rFonts w:ascii="Times New Roman;Times;serif" w:hAnsi="Times New Roman;Times;serif"/>
          <w:spacing w:val="-13"/>
          <w:sz w:val="24"/>
        </w:rPr>
        <w:t xml:space="preserve"> </w:t>
      </w:r>
      <w:r>
        <w:rPr>
          <w:rFonts w:ascii="Times New Roman;Times;serif" w:hAnsi="Times New Roman;Times;serif"/>
          <w:sz w:val="24"/>
        </w:rPr>
        <w:t>of</w:t>
      </w:r>
      <w:r>
        <w:rPr>
          <w:rFonts w:ascii="Times New Roman;Times;serif" w:hAnsi="Times New Roman;Times;serif"/>
          <w:spacing w:val="-14"/>
          <w:sz w:val="24"/>
        </w:rPr>
        <w:t xml:space="preserve"> </w:t>
      </w:r>
      <w:r>
        <w:rPr>
          <w:rFonts w:ascii="Times New Roman;Times;serif" w:hAnsi="Times New Roman;Times;serif"/>
          <w:sz w:val="24"/>
        </w:rPr>
        <w:t>applicable</w:t>
      </w:r>
      <w:r>
        <w:rPr>
          <w:rFonts w:ascii="Times New Roman;Times;serif" w:hAnsi="Times New Roman;Times;serif"/>
          <w:spacing w:val="-14"/>
          <w:sz w:val="24"/>
        </w:rPr>
        <w:t xml:space="preserve"> </w:t>
      </w:r>
      <w:r>
        <w:rPr>
          <w:rFonts w:ascii="Times New Roman;Times;serif" w:hAnsi="Times New Roman;Times;serif"/>
          <w:sz w:val="24"/>
        </w:rPr>
        <w:t>securities</w:t>
      </w:r>
      <w:r>
        <w:rPr>
          <w:rFonts w:ascii="Times New Roman;Times;serif" w:hAnsi="Times New Roman;Times;serif"/>
          <w:spacing w:val="-13"/>
          <w:sz w:val="24"/>
        </w:rPr>
        <w:t xml:space="preserve"> </w:t>
      </w:r>
      <w:r>
        <w:rPr>
          <w:rFonts w:ascii="Times New Roman;Times;serif" w:hAnsi="Times New Roman;Times;serif"/>
          <w:sz w:val="24"/>
        </w:rPr>
        <w:t>laws</w:t>
      </w:r>
      <w:r>
        <w:rPr>
          <w:rFonts w:ascii="Times New Roman;Times;serif" w:hAnsi="Times New Roman;Times;serif"/>
          <w:spacing w:val="-13"/>
          <w:sz w:val="24"/>
        </w:rPr>
        <w:t xml:space="preserve"> </w:t>
      </w:r>
      <w:r>
        <w:rPr>
          <w:rFonts w:ascii="Times New Roman;Times;serif" w:hAnsi="Times New Roman;Times;serif"/>
          <w:sz w:val="24"/>
        </w:rPr>
        <w:t>and to</w:t>
      </w:r>
      <w:r>
        <w:rPr>
          <w:rFonts w:ascii="Times New Roman;Times;serif" w:hAnsi="Times New Roman;Times;serif"/>
          <w:spacing w:val="-10"/>
          <w:sz w:val="24"/>
        </w:rPr>
        <w:t xml:space="preserve"> </w:t>
      </w:r>
      <w:r>
        <w:rPr>
          <w:rFonts w:ascii="Times New Roman;Times;serif" w:hAnsi="Times New Roman;Times;serif"/>
          <w:sz w:val="24"/>
        </w:rPr>
        <w:t>avoid</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appearance</w:t>
      </w:r>
      <w:r>
        <w:rPr>
          <w:rFonts w:ascii="Times New Roman;Times;serif" w:hAnsi="Times New Roman;Times;serif"/>
          <w:spacing w:val="-11"/>
          <w:sz w:val="24"/>
        </w:rPr>
        <w:t xml:space="preserve"> </w:t>
      </w:r>
      <w:r>
        <w:rPr>
          <w:rFonts w:ascii="Times New Roman;Times;serif" w:hAnsi="Times New Roman;Times;serif"/>
          <w:sz w:val="24"/>
        </w:rPr>
        <w:t>of</w:t>
      </w:r>
      <w:r>
        <w:rPr>
          <w:rFonts w:ascii="Times New Roman;Times;serif" w:hAnsi="Times New Roman;Times;serif"/>
          <w:spacing w:val="-10"/>
          <w:sz w:val="24"/>
        </w:rPr>
        <w:t xml:space="preserve"> </w:t>
      </w:r>
      <w:r>
        <w:rPr>
          <w:rFonts w:ascii="Times New Roman;Times;serif" w:hAnsi="Times New Roman;Times;serif"/>
          <w:sz w:val="24"/>
        </w:rPr>
        <w:t>impropriety</w:t>
      </w:r>
      <w:r>
        <w:rPr>
          <w:rFonts w:ascii="Times New Roman;Times;serif" w:hAnsi="Times New Roman;Times;serif"/>
          <w:spacing w:val="-10"/>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connection</w:t>
      </w:r>
      <w:r>
        <w:rPr>
          <w:rFonts w:ascii="Times New Roman;Times;serif" w:hAnsi="Times New Roman;Times;serif"/>
          <w:spacing w:val="-10"/>
          <w:sz w:val="24"/>
        </w:rPr>
        <w:t xml:space="preserve"> </w:t>
      </w:r>
      <w:r>
        <w:rPr>
          <w:rFonts w:ascii="Times New Roman;Times;serif" w:hAnsi="Times New Roman;Times;serif"/>
          <w:sz w:val="24"/>
        </w:rPr>
        <w:t>with</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purchase</w:t>
      </w:r>
      <w:r>
        <w:rPr>
          <w:rFonts w:ascii="Times New Roman;Times;serif" w:hAnsi="Times New Roman;Times;serif"/>
          <w:spacing w:val="-8"/>
          <w:sz w:val="24"/>
        </w:rPr>
        <w:t xml:space="preserve"> </w:t>
      </w:r>
      <w:r>
        <w:rPr>
          <w:rFonts w:ascii="Times New Roman;Times;serif" w:hAnsi="Times New Roman;Times;serif"/>
          <w:sz w:val="24"/>
        </w:rPr>
        <w:t>and</w:t>
      </w:r>
      <w:r>
        <w:rPr>
          <w:rFonts w:ascii="Times New Roman;Times;serif" w:hAnsi="Times New Roman;Times;serif"/>
          <w:spacing w:val="-7"/>
          <w:sz w:val="24"/>
        </w:rPr>
        <w:t xml:space="preserve"> </w:t>
      </w:r>
      <w:r>
        <w:rPr>
          <w:rFonts w:ascii="Times New Roman;Times;serif" w:hAnsi="Times New Roman;Times;serif"/>
          <w:sz w:val="24"/>
        </w:rPr>
        <w:t>sale</w:t>
      </w:r>
      <w:r>
        <w:rPr>
          <w:rFonts w:ascii="Times New Roman;Times;serif" w:hAnsi="Times New Roman;Times;serif"/>
          <w:spacing w:val="-11"/>
          <w:sz w:val="24"/>
        </w:rPr>
        <w:t xml:space="preserve"> </w:t>
      </w:r>
      <w:r>
        <w:rPr>
          <w:rFonts w:ascii="Times New Roman;Times;serif" w:hAnsi="Times New Roman;Times;serif"/>
          <w:sz w:val="24"/>
        </w:rPr>
        <w:t>of</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Company’s securities,</w:t>
      </w:r>
      <w:r>
        <w:rPr>
          <w:rFonts w:ascii="Times New Roman;Times;serif" w:hAnsi="Times New Roman;Times;serif"/>
          <w:spacing w:val="-4"/>
          <w:sz w:val="24"/>
        </w:rPr>
        <w:t xml:space="preserve"> </w:t>
      </w:r>
      <w:r>
        <w:rPr>
          <w:rFonts w:ascii="Times New Roman;Times;serif" w:hAnsi="Times New Roman;Times;serif"/>
          <w:sz w:val="24"/>
        </w:rPr>
        <w:t>all</w:t>
      </w:r>
      <w:r>
        <w:rPr>
          <w:rFonts w:ascii="Times New Roman;Times;serif" w:hAnsi="Times New Roman;Times;serif"/>
          <w:spacing w:val="-4"/>
          <w:sz w:val="24"/>
        </w:rPr>
        <w:t xml:space="preserve"> </w:t>
      </w:r>
      <w:r>
        <w:rPr>
          <w:rFonts w:ascii="Times New Roman;Times;serif" w:hAnsi="Times New Roman;Times;serif"/>
          <w:sz w:val="24"/>
        </w:rPr>
        <w:t>transactions</w:t>
      </w:r>
      <w:r>
        <w:rPr>
          <w:rFonts w:ascii="Times New Roman;Times;serif" w:hAnsi="Times New Roman;Times;serif"/>
          <w:spacing w:val="-4"/>
          <w:sz w:val="24"/>
        </w:rPr>
        <w:t xml:space="preserve"> </w:t>
      </w:r>
      <w:r>
        <w:rPr>
          <w:rFonts w:ascii="Times New Roman;Times;serif" w:hAnsi="Times New Roman;Times;serif"/>
          <w:sz w:val="24"/>
        </w:rPr>
        <w:t>in</w:t>
      </w:r>
      <w:r>
        <w:rPr>
          <w:rFonts w:ascii="Times New Roman;Times;serif" w:hAnsi="Times New Roman;Times;serif"/>
          <w:spacing w:val="-4"/>
          <w:sz w:val="24"/>
        </w:rPr>
        <w:t xml:space="preserve"> </w:t>
      </w:r>
      <w:r>
        <w:rPr>
          <w:rFonts w:ascii="Times New Roman;Times;serif" w:hAnsi="Times New Roman;Times;serif"/>
          <w:sz w:val="24"/>
        </w:rPr>
        <w:t>the</w:t>
      </w:r>
      <w:r>
        <w:rPr>
          <w:rFonts w:ascii="Times New Roman;Times;serif" w:hAnsi="Times New Roman;Times;serif"/>
          <w:spacing w:val="-5"/>
          <w:sz w:val="24"/>
        </w:rPr>
        <w:t xml:space="preserve"> </w:t>
      </w:r>
      <w:r>
        <w:rPr>
          <w:rFonts w:ascii="Times New Roman;Times;serif" w:hAnsi="Times New Roman;Times;serif"/>
          <w:sz w:val="24"/>
        </w:rPr>
        <w:t>Company’s</w:t>
      </w:r>
      <w:r>
        <w:rPr>
          <w:rFonts w:ascii="Times New Roman;Times;serif" w:hAnsi="Times New Roman;Times;serif"/>
          <w:spacing w:val="-4"/>
          <w:sz w:val="24"/>
        </w:rPr>
        <w:t xml:space="preserve"> </w:t>
      </w:r>
      <w:r>
        <w:rPr>
          <w:rFonts w:ascii="Times New Roman;Times;serif" w:hAnsi="Times New Roman;Times;serif"/>
          <w:sz w:val="24"/>
        </w:rPr>
        <w:t>securities</w:t>
      </w:r>
      <w:r>
        <w:rPr>
          <w:rFonts w:ascii="Times New Roman;Times;serif" w:hAnsi="Times New Roman;Times;serif"/>
          <w:spacing w:val="-4"/>
          <w:sz w:val="24"/>
        </w:rPr>
        <w:t xml:space="preserve"> </w:t>
      </w:r>
      <w:r>
        <w:rPr>
          <w:rFonts w:ascii="Times New Roman;Times;serif" w:hAnsi="Times New Roman;Times;serif"/>
          <w:sz w:val="24"/>
        </w:rPr>
        <w:t>(including,</w:t>
      </w:r>
      <w:r>
        <w:rPr>
          <w:rFonts w:ascii="Times New Roman;Times;serif" w:hAnsi="Times New Roman;Times;serif"/>
          <w:spacing w:val="-4"/>
          <w:sz w:val="24"/>
        </w:rPr>
        <w:t xml:space="preserve"> </w:t>
      </w:r>
      <w:r>
        <w:rPr>
          <w:rFonts w:ascii="Times New Roman;Times;serif" w:hAnsi="Times New Roman;Times;serif"/>
          <w:sz w:val="24"/>
        </w:rPr>
        <w:t>without</w:t>
      </w:r>
      <w:r>
        <w:rPr>
          <w:rFonts w:ascii="Times New Roman;Times;serif" w:hAnsi="Times New Roman;Times;serif"/>
          <w:spacing w:val="-6"/>
          <w:sz w:val="24"/>
        </w:rPr>
        <w:t xml:space="preserve"> </w:t>
      </w:r>
      <w:r>
        <w:rPr>
          <w:rFonts w:ascii="Times New Roman;Times;serif" w:hAnsi="Times New Roman;Times;serif"/>
          <w:sz w:val="24"/>
        </w:rPr>
        <w:t>limitation,</w:t>
      </w:r>
      <w:r>
        <w:rPr>
          <w:rFonts w:ascii="Times New Roman;Times;serif" w:hAnsi="Times New Roman;Times;serif"/>
          <w:spacing w:val="-4"/>
          <w:sz w:val="24"/>
        </w:rPr>
        <w:t xml:space="preserve"> </w:t>
      </w:r>
      <w:r>
        <w:rPr>
          <w:rFonts w:ascii="Times New Roman;Times;serif" w:hAnsi="Times New Roman;Times;serif"/>
          <w:sz w:val="24"/>
        </w:rPr>
        <w:t>acquisitions and dispositions of Company stock, the exercise of stock options, elective transactions under 401(k)/ESPP/deferred compensation plans, and the sale of Company stock issued upon exercise of stock options) by directors and officers subject to the provisions of Section 16  of the 1934 Act (each, a “</w:t>
      </w:r>
      <w:r>
        <w:rPr>
          <w:rFonts w:ascii="Times New Roman;Times;serif" w:hAnsi="Times New Roman;Times;serif"/>
          <w:sz w:val="24"/>
          <w:u w:val="single"/>
        </w:rPr>
        <w:t>Preclearance Person</w:t>
      </w:r>
      <w:r>
        <w:rPr>
          <w:rFonts w:ascii="Times New Roman;Times;serif" w:hAnsi="Times New Roman;Times;serif"/>
          <w:sz w:val="24"/>
        </w:rPr>
        <w:t>”), with their controlled entities and household members, must be precleared by the Company’s Compliance Officer, except for certain</w:t>
      </w:r>
      <w:r>
        <w:rPr>
          <w:rFonts w:ascii="Times New Roman;Times;serif" w:hAnsi="Times New Roman;Times;serif"/>
          <w:spacing w:val="-15"/>
          <w:sz w:val="24"/>
        </w:rPr>
        <w:t xml:space="preserve"> </w:t>
      </w:r>
      <w:r>
        <w:rPr>
          <w:rFonts w:ascii="Times New Roman;Times;serif" w:hAnsi="Times New Roman;Times;serif"/>
          <w:sz w:val="24"/>
        </w:rPr>
        <w:t>exempt</w:t>
      </w:r>
      <w:r>
        <w:rPr>
          <w:rFonts w:ascii="Times New Roman;Times;serif" w:hAnsi="Times New Roman;Times;serif"/>
          <w:spacing w:val="-15"/>
          <w:sz w:val="24"/>
        </w:rPr>
        <w:t xml:space="preserve"> </w:t>
      </w:r>
      <w:r>
        <w:rPr>
          <w:rFonts w:ascii="Times New Roman;Times;serif" w:hAnsi="Times New Roman;Times;serif"/>
          <w:sz w:val="24"/>
        </w:rPr>
        <w:t>transactions</w:t>
      </w:r>
      <w:r>
        <w:rPr>
          <w:rFonts w:ascii="Times New Roman;Times;serif" w:hAnsi="Times New Roman;Times;serif"/>
          <w:spacing w:val="-15"/>
          <w:sz w:val="24"/>
        </w:rPr>
        <w:t xml:space="preserve"> </w:t>
      </w:r>
      <w:r>
        <w:rPr>
          <w:rFonts w:ascii="Times New Roman;Times;serif" w:hAnsi="Times New Roman;Times;serif"/>
          <w:sz w:val="24"/>
        </w:rPr>
        <w:t>as</w:t>
      </w:r>
      <w:r>
        <w:rPr>
          <w:rFonts w:ascii="Times New Roman;Times;serif" w:hAnsi="Times New Roman;Times;serif"/>
          <w:spacing w:val="-15"/>
          <w:sz w:val="24"/>
        </w:rPr>
        <w:t xml:space="preserve"> </w:t>
      </w:r>
      <w:r>
        <w:rPr>
          <w:rFonts w:ascii="Times New Roman;Times;serif" w:hAnsi="Times New Roman;Times;serif"/>
          <w:sz w:val="24"/>
        </w:rPr>
        <w:t>explained</w:t>
      </w:r>
      <w:r>
        <w:rPr>
          <w:rFonts w:ascii="Times New Roman;Times;serif" w:hAnsi="Times New Roman;Times;serif"/>
          <w:spacing w:val="-15"/>
          <w:sz w:val="24"/>
        </w:rPr>
        <w:t xml:space="preserve"> </w:t>
      </w:r>
      <w:r>
        <w:rPr>
          <w:rFonts w:ascii="Times New Roman;Times;serif" w:hAnsi="Times New Roman;Times;serif"/>
          <w:sz w:val="24"/>
        </w:rPr>
        <w:t>in</w:t>
      </w:r>
      <w:r>
        <w:rPr>
          <w:rFonts w:ascii="Times New Roman;Times;serif" w:hAnsi="Times New Roman;Times;serif"/>
          <w:spacing w:val="-15"/>
          <w:sz w:val="24"/>
        </w:rPr>
        <w:t xml:space="preserve"> </w:t>
      </w:r>
      <w:r>
        <w:rPr>
          <w:rFonts w:ascii="Times New Roman;Times;serif" w:hAnsi="Times New Roman;Times;serif"/>
          <w:sz w:val="24"/>
        </w:rPr>
        <w:t>this</w:t>
      </w:r>
      <w:r>
        <w:rPr>
          <w:rFonts w:ascii="Times New Roman;Times;serif" w:hAnsi="Times New Roman;Times;serif"/>
          <w:spacing w:val="-15"/>
          <w:sz w:val="24"/>
        </w:rPr>
        <w:t xml:space="preserve"> </w:t>
      </w:r>
      <w:r>
        <w:rPr>
          <w:rFonts w:ascii="Times New Roman;Times;serif" w:hAnsi="Times New Roman;Times;serif"/>
          <w:sz w:val="24"/>
        </w:rPr>
        <w:t>Policy.</w:t>
      </w:r>
      <w:r>
        <w:rPr>
          <w:rFonts w:ascii="Times New Roman;Times;serif" w:hAnsi="Times New Roman;Times;serif"/>
          <w:spacing w:val="31"/>
          <w:sz w:val="24"/>
        </w:rPr>
        <w:t xml:space="preserve"> </w:t>
      </w:r>
      <w:r>
        <w:rPr>
          <w:rFonts w:ascii="Times New Roman;Times;serif" w:hAnsi="Times New Roman;Times;serif"/>
          <w:sz w:val="24"/>
        </w:rPr>
        <w:t>Preclearance</w:t>
      </w:r>
      <w:r>
        <w:rPr>
          <w:rFonts w:ascii="Times New Roman;Times;serif" w:hAnsi="Times New Roman;Times;serif"/>
          <w:spacing w:val="-15"/>
          <w:sz w:val="24"/>
        </w:rPr>
        <w:t xml:space="preserve"> </w:t>
      </w:r>
      <w:r>
        <w:rPr>
          <w:rFonts w:ascii="Times New Roman;Times;serif" w:hAnsi="Times New Roman;Times;serif"/>
          <w:sz w:val="24"/>
        </w:rPr>
        <w:t>does</w:t>
      </w:r>
      <w:r>
        <w:rPr>
          <w:rFonts w:ascii="Times New Roman;Times;serif" w:hAnsi="Times New Roman;Times;serif"/>
          <w:spacing w:val="-15"/>
          <w:sz w:val="24"/>
        </w:rPr>
        <w:t xml:space="preserve"> </w:t>
      </w:r>
      <w:r>
        <w:rPr>
          <w:rFonts w:ascii="Times New Roman;Times;serif" w:hAnsi="Times New Roman;Times;serif"/>
          <w:sz w:val="24"/>
        </w:rPr>
        <w:t>not</w:t>
      </w:r>
      <w:r>
        <w:rPr>
          <w:rFonts w:ascii="Times New Roman;Times;serif" w:hAnsi="Times New Roman;Times;serif"/>
          <w:spacing w:val="-15"/>
          <w:sz w:val="24"/>
        </w:rPr>
        <w:t xml:space="preserve"> </w:t>
      </w:r>
      <w:r>
        <w:rPr>
          <w:rFonts w:ascii="Times New Roman;Times;serif" w:hAnsi="Times New Roman;Times;serif"/>
          <w:sz w:val="24"/>
        </w:rPr>
        <w:t>relieve you of your responsibility under SEC rules.</w:t>
      </w:r>
    </w:p>
    <w:p>
      <w:pPr>
        <w:pStyle w:val="TextBody"/>
        <w:bidi w:val="0"/>
        <w:spacing w:before="240" w:after="0"/>
        <w:ind w:left="120" w:right="116" w:firstLine="72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pacing w:val="-9"/>
          <w:sz w:val="24"/>
        </w:rPr>
        <w:t xml:space="preserve"> </w:t>
      </w:r>
      <w:r>
        <w:rPr>
          <w:rFonts w:ascii="Times New Roman;Times;serif" w:hAnsi="Times New Roman;Times;serif"/>
          <w:sz w:val="24"/>
        </w:rPr>
        <w:t>request</w:t>
      </w:r>
      <w:r>
        <w:rPr>
          <w:rFonts w:ascii="Times New Roman;Times;serif" w:hAnsi="Times New Roman;Times;serif"/>
          <w:spacing w:val="-8"/>
          <w:sz w:val="24"/>
        </w:rPr>
        <w:t xml:space="preserve"> </w:t>
      </w:r>
      <w:r>
        <w:rPr>
          <w:rFonts w:ascii="Times New Roman;Times;serif" w:hAnsi="Times New Roman;Times;serif"/>
          <w:sz w:val="24"/>
        </w:rPr>
        <w:t>for</w:t>
      </w:r>
      <w:r>
        <w:rPr>
          <w:rFonts w:ascii="Times New Roman;Times;serif" w:hAnsi="Times New Roman;Times;serif"/>
          <w:spacing w:val="-9"/>
          <w:sz w:val="24"/>
        </w:rPr>
        <w:t xml:space="preserve"> </w:t>
      </w:r>
      <w:r>
        <w:rPr>
          <w:rFonts w:ascii="Times New Roman;Times;serif" w:hAnsi="Times New Roman;Times;serif"/>
          <w:sz w:val="24"/>
        </w:rPr>
        <w:t>preclearance</w:t>
      </w:r>
      <w:r>
        <w:rPr>
          <w:rFonts w:ascii="Times New Roman;Times;serif" w:hAnsi="Times New Roman;Times;serif"/>
          <w:spacing w:val="-9"/>
          <w:sz w:val="24"/>
        </w:rPr>
        <w:t xml:space="preserve"> must be in </w:t>
      </w:r>
      <w:r>
        <w:rPr>
          <w:rFonts w:ascii="Times New Roman;Times;serif" w:hAnsi="Times New Roman;Times;serif"/>
          <w:sz w:val="24"/>
        </w:rPr>
        <w:t>writing</w:t>
      </w:r>
      <w:r>
        <w:rPr>
          <w:rFonts w:ascii="Times New Roman;Times;serif" w:hAnsi="Times New Roman;Times;serif"/>
          <w:spacing w:val="-8"/>
          <w:sz w:val="24"/>
        </w:rPr>
        <w:t xml:space="preserve"> </w:t>
      </w:r>
      <w:r>
        <w:rPr>
          <w:rFonts w:ascii="Times New Roman;Times;serif" w:hAnsi="Times New Roman;Times;serif"/>
          <w:sz w:val="24"/>
        </w:rPr>
        <w:t>(including</w:t>
      </w:r>
      <w:r>
        <w:rPr>
          <w:rFonts w:ascii="Times New Roman;Times;serif" w:hAnsi="Times New Roman;Times;serif"/>
          <w:spacing w:val="-8"/>
          <w:sz w:val="24"/>
        </w:rPr>
        <w:t xml:space="preserve"> </w:t>
      </w:r>
      <w:r>
        <w:rPr>
          <w:rFonts w:ascii="Times New Roman;Times;serif" w:hAnsi="Times New Roman;Times;serif"/>
          <w:sz w:val="24"/>
        </w:rPr>
        <w:t>by</w:t>
      </w:r>
      <w:r>
        <w:rPr>
          <w:rFonts w:ascii="Times New Roman;Times;serif" w:hAnsi="Times New Roman;Times;serif"/>
          <w:spacing w:val="-8"/>
          <w:sz w:val="24"/>
        </w:rPr>
        <w:t xml:space="preserve"> </w:t>
      </w:r>
      <w:r>
        <w:rPr>
          <w:rFonts w:ascii="Times New Roman;Times;serif" w:hAnsi="Times New Roman;Times;serif"/>
          <w:sz w:val="24"/>
        </w:rPr>
        <w:t>e-mail),</w:t>
      </w:r>
      <w:r>
        <w:rPr>
          <w:rFonts w:ascii="Times New Roman;Times;serif" w:hAnsi="Times New Roman;Times;serif"/>
          <w:spacing w:val="-8"/>
          <w:sz w:val="24"/>
        </w:rPr>
        <w:t xml:space="preserve"> </w:t>
      </w:r>
      <w:r>
        <w:rPr>
          <w:rFonts w:ascii="Times New Roman;Times;serif" w:hAnsi="Times New Roman;Times;serif"/>
          <w:sz w:val="24"/>
        </w:rPr>
        <w:t>should</w:t>
      </w:r>
      <w:r>
        <w:rPr>
          <w:rFonts w:ascii="Times New Roman;Times;serif" w:hAnsi="Times New Roman;Times;serif"/>
          <w:spacing w:val="-8"/>
          <w:sz w:val="24"/>
        </w:rPr>
        <w:t xml:space="preserve"> </w:t>
      </w:r>
      <w:r>
        <w:rPr>
          <w:rFonts w:ascii="Times New Roman;Times;serif" w:hAnsi="Times New Roman;Times;serif"/>
          <w:sz w:val="24"/>
        </w:rPr>
        <w:t>be</w:t>
      </w:r>
      <w:r>
        <w:rPr>
          <w:rFonts w:ascii="Times New Roman;Times;serif" w:hAnsi="Times New Roman;Times;serif"/>
          <w:spacing w:val="-9"/>
          <w:sz w:val="24"/>
        </w:rPr>
        <w:t xml:space="preserve"> </w:t>
      </w:r>
      <w:r>
        <w:rPr>
          <w:rFonts w:ascii="Times New Roman;Times;serif" w:hAnsi="Times New Roman;Times;serif"/>
          <w:sz w:val="24"/>
        </w:rPr>
        <w:t>made at least two business days in advance of the proposed transaction, and should include the identity of the Preclearance Person, the type of proposed transaction (for example, an open market purchase,</w:t>
      </w:r>
      <w:r>
        <w:rPr>
          <w:rFonts w:ascii="Times New Roman;Times;serif" w:hAnsi="Times New Roman;Times;serif"/>
          <w:spacing w:val="-11"/>
          <w:sz w:val="24"/>
        </w:rPr>
        <w:t xml:space="preserve"> </w:t>
      </w:r>
      <w:r>
        <w:rPr>
          <w:rFonts w:ascii="Times New Roman;Times;serif" w:hAnsi="Times New Roman;Times;serif"/>
          <w:sz w:val="24"/>
        </w:rPr>
        <w:t>a</w:t>
      </w:r>
      <w:r>
        <w:rPr>
          <w:rFonts w:ascii="Times New Roman;Times;serif" w:hAnsi="Times New Roman;Times;serif"/>
          <w:spacing w:val="-14"/>
          <w:sz w:val="24"/>
        </w:rPr>
        <w:t xml:space="preserve"> </w:t>
      </w:r>
      <w:r>
        <w:rPr>
          <w:rFonts w:ascii="Times New Roman;Times;serif" w:hAnsi="Times New Roman;Times;serif"/>
          <w:sz w:val="24"/>
        </w:rPr>
        <w:t>privately</w:t>
      </w:r>
      <w:r>
        <w:rPr>
          <w:rFonts w:ascii="Times New Roman;Times;serif" w:hAnsi="Times New Roman;Times;serif"/>
          <w:spacing w:val="-13"/>
          <w:sz w:val="24"/>
        </w:rPr>
        <w:t xml:space="preserve"> </w:t>
      </w:r>
      <w:r>
        <w:rPr>
          <w:rFonts w:ascii="Times New Roman;Times;serif" w:hAnsi="Times New Roman;Times;serif"/>
          <w:sz w:val="24"/>
        </w:rPr>
        <w:t>negotiated</w:t>
      </w:r>
      <w:r>
        <w:rPr>
          <w:rFonts w:ascii="Times New Roman;Times;serif" w:hAnsi="Times New Roman;Times;serif"/>
          <w:spacing w:val="-13"/>
          <w:sz w:val="24"/>
        </w:rPr>
        <w:t xml:space="preserve"> </w:t>
      </w:r>
      <w:r>
        <w:rPr>
          <w:rFonts w:ascii="Times New Roman;Times;serif" w:hAnsi="Times New Roman;Times;serif"/>
          <w:sz w:val="24"/>
        </w:rPr>
        <w:t>sale,</w:t>
      </w:r>
      <w:r>
        <w:rPr>
          <w:rFonts w:ascii="Times New Roman;Times;serif" w:hAnsi="Times New Roman;Times;serif"/>
          <w:spacing w:val="-13"/>
          <w:sz w:val="24"/>
        </w:rPr>
        <w:t xml:space="preserve"> </w:t>
      </w:r>
      <w:r>
        <w:rPr>
          <w:rFonts w:ascii="Times New Roman;Times;serif" w:hAnsi="Times New Roman;Times;serif"/>
          <w:sz w:val="24"/>
        </w:rPr>
        <w:t>an</w:t>
      </w:r>
      <w:r>
        <w:rPr>
          <w:rFonts w:ascii="Times New Roman;Times;serif" w:hAnsi="Times New Roman;Times;serif"/>
          <w:spacing w:val="-13"/>
          <w:sz w:val="24"/>
        </w:rPr>
        <w:t xml:space="preserve"> </w:t>
      </w:r>
      <w:r>
        <w:rPr>
          <w:rFonts w:ascii="Times New Roman;Times;serif" w:hAnsi="Times New Roman;Times;serif"/>
          <w:sz w:val="24"/>
        </w:rPr>
        <w:t>option</w:t>
      </w:r>
      <w:r>
        <w:rPr>
          <w:rFonts w:ascii="Times New Roman;Times;serif" w:hAnsi="Times New Roman;Times;serif"/>
          <w:spacing w:val="-11"/>
          <w:sz w:val="24"/>
        </w:rPr>
        <w:t xml:space="preserve"> </w:t>
      </w:r>
      <w:r>
        <w:rPr>
          <w:rFonts w:ascii="Times New Roman;Times;serif" w:hAnsi="Times New Roman;Times;serif"/>
          <w:sz w:val="24"/>
        </w:rPr>
        <w:t>exercise,</w:t>
      </w:r>
      <w:r>
        <w:rPr>
          <w:rFonts w:ascii="Times New Roman;Times;serif" w:hAnsi="Times New Roman;Times;serif"/>
          <w:spacing w:val="-11"/>
          <w:sz w:val="24"/>
        </w:rPr>
        <w:t xml:space="preserve"> </w:t>
      </w:r>
      <w:r>
        <w:rPr>
          <w:rFonts w:ascii="Times New Roman;Times;serif" w:hAnsi="Times New Roman;Times;serif"/>
          <w:sz w:val="24"/>
        </w:rPr>
        <w:t>etc.),</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4"/>
          <w:sz w:val="24"/>
        </w:rPr>
        <w:t xml:space="preserve"> </w:t>
      </w:r>
      <w:r>
        <w:rPr>
          <w:rFonts w:ascii="Times New Roman;Times;serif" w:hAnsi="Times New Roman;Times;serif"/>
          <w:sz w:val="24"/>
        </w:rPr>
        <w:t>proposed</w:t>
      </w:r>
      <w:r>
        <w:rPr>
          <w:rFonts w:ascii="Times New Roman;Times;serif" w:hAnsi="Times New Roman;Times;serif"/>
          <w:spacing w:val="-11"/>
          <w:sz w:val="24"/>
        </w:rPr>
        <w:t xml:space="preserve"> </w:t>
      </w:r>
      <w:r>
        <w:rPr>
          <w:rFonts w:ascii="Times New Roman;Times;serif" w:hAnsi="Times New Roman;Times;serif"/>
          <w:sz w:val="24"/>
        </w:rPr>
        <w:t>date</w:t>
      </w:r>
      <w:r>
        <w:rPr>
          <w:rFonts w:ascii="Times New Roman;Times;serif" w:hAnsi="Times New Roman;Times;serif"/>
          <w:spacing w:val="-14"/>
          <w:sz w:val="24"/>
        </w:rPr>
        <w:t xml:space="preserve"> </w:t>
      </w:r>
      <w:r>
        <w:rPr>
          <w:rFonts w:ascii="Times New Roman;Times;serif" w:hAnsi="Times New Roman;Times;serif"/>
          <w:sz w:val="24"/>
        </w:rPr>
        <w:t>of</w:t>
      </w:r>
      <w:r>
        <w:rPr>
          <w:rFonts w:ascii="Times New Roman;Times;serif" w:hAnsi="Times New Roman;Times;serif"/>
          <w:spacing w:val="-14"/>
          <w:sz w:val="24"/>
        </w:rPr>
        <w:t xml:space="preserve"> </w:t>
      </w:r>
      <w:r>
        <w:rPr>
          <w:rFonts w:ascii="Times New Roman;Times;serif" w:hAnsi="Times New Roman;Times;serif"/>
          <w:sz w:val="24"/>
        </w:rPr>
        <w:t>the</w:t>
      </w:r>
      <w:r>
        <w:rPr>
          <w:rFonts w:ascii="Times New Roman;Times;serif" w:hAnsi="Times New Roman;Times;serif"/>
          <w:spacing w:val="-12"/>
          <w:sz w:val="24"/>
        </w:rPr>
        <w:t xml:space="preserve"> </w:t>
      </w:r>
      <w:r>
        <w:rPr>
          <w:rFonts w:ascii="Times New Roman;Times;serif" w:hAnsi="Times New Roman;Times;serif"/>
          <w:sz w:val="24"/>
        </w:rPr>
        <w:t>transaction, and the number of shares or other securities to be involved.</w:t>
      </w:r>
      <w:r>
        <w:rPr>
          <w:rFonts w:ascii="Times New Roman;Times;serif" w:hAnsi="Times New Roman;Times;serif"/>
          <w:spacing w:val="40"/>
          <w:sz w:val="24"/>
        </w:rPr>
        <w:t xml:space="preserve"> </w:t>
      </w:r>
      <w:r>
        <w:rPr>
          <w:rFonts w:ascii="Times New Roman;Times;serif" w:hAnsi="Times New Roman;Times;serif"/>
          <w:sz w:val="24"/>
        </w:rPr>
        <w:t>In addition, the Preclearance Person must execute a certification (in the form approved by the Compliance Officer) that he or she is not aware of material nonpublic information about the Company.</w:t>
      </w:r>
      <w:r>
        <w:rPr>
          <w:rFonts w:ascii="Times New Roman;Times;serif" w:hAnsi="Times New Roman;Times;serif"/>
          <w:spacing w:val="40"/>
          <w:sz w:val="24"/>
        </w:rPr>
        <w:t xml:space="preserve"> </w:t>
      </w:r>
      <w:r>
        <w:rPr>
          <w:rFonts w:ascii="Times New Roman;Times;serif" w:hAnsi="Times New Roman;Times;serif"/>
          <w:sz w:val="24"/>
        </w:rPr>
        <w:t>The Compliance Officer, or the Chief Financial Officer for transactions by the Compliance Officer, shall have sole discretion to decide whether to clear any</w:t>
      </w:r>
      <w:r>
        <w:rPr>
          <w:rFonts w:ascii="Times New Roman;Times;serif" w:hAnsi="Times New Roman;Times;serif"/>
          <w:spacing w:val="-5"/>
          <w:sz w:val="24"/>
        </w:rPr>
        <w:t xml:space="preserve"> </w:t>
      </w:r>
      <w:r>
        <w:rPr>
          <w:rFonts w:ascii="Times New Roman;Times;serif" w:hAnsi="Times New Roman;Times;serif"/>
          <w:sz w:val="24"/>
        </w:rPr>
        <w:t>contemplated</w:t>
      </w:r>
      <w:r>
        <w:rPr>
          <w:rFonts w:ascii="Times New Roman;Times;serif" w:hAnsi="Times New Roman;Times;serif"/>
          <w:spacing w:val="-5"/>
          <w:sz w:val="24"/>
        </w:rPr>
        <w:t xml:space="preserve"> </w:t>
      </w:r>
      <w:r>
        <w:rPr>
          <w:rFonts w:ascii="Times New Roman;Times;serif" w:hAnsi="Times New Roman;Times;serif"/>
          <w:sz w:val="24"/>
        </w:rPr>
        <w:t>transaction.</w:t>
      </w:r>
      <w:r>
        <w:rPr>
          <w:rFonts w:ascii="Times New Roman;Times;serif" w:hAnsi="Times New Roman;Times;serif"/>
          <w:spacing w:val="40"/>
          <w:sz w:val="24"/>
        </w:rPr>
        <w:t xml:space="preserve"> </w:t>
      </w:r>
      <w:r>
        <w:rPr>
          <w:rFonts w:ascii="Times New Roman;Times;serif" w:hAnsi="Times New Roman;Times;serif"/>
          <w:sz w:val="24"/>
        </w:rPr>
        <w:t>All</w:t>
      </w:r>
      <w:r>
        <w:rPr>
          <w:rFonts w:ascii="Times New Roman;Times;serif" w:hAnsi="Times New Roman;Times;serif"/>
          <w:spacing w:val="-5"/>
          <w:sz w:val="24"/>
        </w:rPr>
        <w:t xml:space="preserve"> </w:t>
      </w:r>
      <w:r>
        <w:rPr>
          <w:rFonts w:ascii="Times New Roman;Times;serif" w:hAnsi="Times New Roman;Times;serif"/>
          <w:sz w:val="24"/>
        </w:rPr>
        <w:t>trades</w:t>
      </w:r>
      <w:r>
        <w:rPr>
          <w:rFonts w:ascii="Times New Roman;Times;serif" w:hAnsi="Times New Roman;Times;serif"/>
          <w:spacing w:val="-5"/>
          <w:sz w:val="24"/>
        </w:rPr>
        <w:t xml:space="preserve"> </w:t>
      </w:r>
      <w:r>
        <w:rPr>
          <w:rFonts w:ascii="Times New Roman;Times;serif" w:hAnsi="Times New Roman;Times;serif"/>
          <w:sz w:val="24"/>
        </w:rPr>
        <w:t>that</w:t>
      </w:r>
      <w:r>
        <w:rPr>
          <w:rFonts w:ascii="Times New Roman;Times;serif" w:hAnsi="Times New Roman;Times;serif"/>
          <w:spacing w:val="-5"/>
          <w:sz w:val="24"/>
        </w:rPr>
        <w:t xml:space="preserve"> </w:t>
      </w:r>
      <w:r>
        <w:rPr>
          <w:rFonts w:ascii="Times New Roman;Times;serif" w:hAnsi="Times New Roman;Times;serif"/>
          <w:sz w:val="24"/>
        </w:rPr>
        <w:t>are</w:t>
      </w:r>
      <w:r>
        <w:rPr>
          <w:rFonts w:ascii="Times New Roman;Times;serif" w:hAnsi="Times New Roman;Times;serif"/>
          <w:spacing w:val="-6"/>
          <w:sz w:val="24"/>
        </w:rPr>
        <w:t xml:space="preserve"> </w:t>
      </w:r>
      <w:r>
        <w:rPr>
          <w:rFonts w:ascii="Times New Roman;Times;serif" w:hAnsi="Times New Roman;Times;serif"/>
          <w:sz w:val="24"/>
        </w:rPr>
        <w:t>precleared</w:t>
      </w:r>
      <w:r>
        <w:rPr>
          <w:rFonts w:ascii="Times New Roman;Times;serif" w:hAnsi="Times New Roman;Times;serif"/>
          <w:spacing w:val="-5"/>
          <w:sz w:val="24"/>
        </w:rPr>
        <w:t xml:space="preserve"> </w:t>
      </w:r>
      <w:r>
        <w:rPr>
          <w:rFonts w:ascii="Times New Roman;Times;serif" w:hAnsi="Times New Roman;Times;serif"/>
          <w:sz w:val="24"/>
        </w:rPr>
        <w:t>must</w:t>
      </w:r>
      <w:r>
        <w:rPr>
          <w:rFonts w:ascii="Times New Roman;Times;serif" w:hAnsi="Times New Roman;Times;serif"/>
          <w:spacing w:val="-5"/>
          <w:sz w:val="24"/>
        </w:rPr>
        <w:t xml:space="preserve"> </w:t>
      </w:r>
      <w:r>
        <w:rPr>
          <w:rFonts w:ascii="Times New Roman;Times;serif" w:hAnsi="Times New Roman;Times;serif"/>
          <w:sz w:val="24"/>
        </w:rPr>
        <w:t>be</w:t>
      </w:r>
      <w:r>
        <w:rPr>
          <w:rFonts w:ascii="Times New Roman;Times;serif" w:hAnsi="Times New Roman;Times;serif"/>
          <w:spacing w:val="-4"/>
          <w:sz w:val="24"/>
        </w:rPr>
        <w:t xml:space="preserve"> </w:t>
      </w:r>
      <w:r>
        <w:rPr>
          <w:rFonts w:ascii="Times New Roman;Times;serif" w:hAnsi="Times New Roman;Times;serif"/>
          <w:sz w:val="24"/>
        </w:rPr>
        <w:t>effected</w:t>
      </w:r>
      <w:r>
        <w:rPr>
          <w:rFonts w:ascii="Times New Roman;Times;serif" w:hAnsi="Times New Roman;Times;serif"/>
          <w:spacing w:val="-5"/>
          <w:sz w:val="24"/>
        </w:rPr>
        <w:t xml:space="preserve"> </w:t>
      </w:r>
      <w:r>
        <w:rPr>
          <w:rFonts w:ascii="Times New Roman;Times;serif" w:hAnsi="Times New Roman;Times;serif"/>
          <w:sz w:val="24"/>
        </w:rPr>
        <w:t>within</w:t>
      </w:r>
      <w:r>
        <w:rPr>
          <w:rFonts w:ascii="Times New Roman;Times;serif" w:hAnsi="Times New Roman;Times;serif"/>
          <w:spacing w:val="-5"/>
          <w:sz w:val="24"/>
        </w:rPr>
        <w:t xml:space="preserve"> </w:t>
      </w:r>
      <w:r>
        <w:rPr>
          <w:rFonts w:ascii="Times New Roman;Times;serif" w:hAnsi="Times New Roman;Times;serif"/>
          <w:sz w:val="24"/>
        </w:rPr>
        <w:t>five</w:t>
      </w:r>
      <w:r>
        <w:rPr>
          <w:rFonts w:ascii="Times New Roman;Times;serif" w:hAnsi="Times New Roman;Times;serif"/>
          <w:spacing w:val="-6"/>
          <w:sz w:val="24"/>
        </w:rPr>
        <w:t xml:space="preserve"> </w:t>
      </w:r>
      <w:r>
        <w:rPr>
          <w:rFonts w:ascii="Times New Roman;Times;serif" w:hAnsi="Times New Roman;Times;serif"/>
          <w:sz w:val="24"/>
        </w:rPr>
        <w:t>business days of receipt of the preclearance, unless a specific exception has been granted by the Compliance Officer.</w:t>
      </w:r>
      <w:r>
        <w:rPr>
          <w:rFonts w:ascii="Times New Roman;Times;serif" w:hAnsi="Times New Roman;Times;serif"/>
          <w:spacing w:val="40"/>
          <w:sz w:val="24"/>
        </w:rPr>
        <w:t xml:space="preserve"> </w:t>
      </w:r>
      <w:r>
        <w:rPr>
          <w:rFonts w:ascii="Times New Roman;Times;serif" w:hAnsi="Times New Roman;Times;serif"/>
          <w:sz w:val="24"/>
        </w:rPr>
        <w:t>A</w:t>
      </w:r>
      <w:r>
        <w:rPr>
          <w:rFonts w:ascii="Times New Roman;Times;serif" w:hAnsi="Times New Roman;Times;serif"/>
          <w:spacing w:val="-1"/>
          <w:sz w:val="24"/>
        </w:rPr>
        <w:t xml:space="preserve"> </w:t>
      </w:r>
      <w:r>
        <w:rPr>
          <w:rFonts w:ascii="Times New Roman;Times;serif" w:hAnsi="Times New Roman;Times;serif"/>
          <w:sz w:val="24"/>
        </w:rPr>
        <w:t>precleared trade</w:t>
      </w:r>
      <w:r>
        <w:rPr>
          <w:rFonts w:ascii="Times New Roman;Times;serif" w:hAnsi="Times New Roman;Times;serif"/>
          <w:spacing w:val="-1"/>
          <w:sz w:val="24"/>
        </w:rPr>
        <w:t xml:space="preserve"> </w:t>
      </w:r>
      <w:r>
        <w:rPr>
          <w:rFonts w:ascii="Times New Roman;Times;serif" w:hAnsi="Times New Roman;Times;serif"/>
          <w:sz w:val="24"/>
        </w:rPr>
        <w:t>(or any portion of</w:t>
      </w:r>
      <w:r>
        <w:rPr>
          <w:rFonts w:ascii="Times New Roman;Times;serif" w:hAnsi="Times New Roman;Times;serif"/>
          <w:spacing w:val="-1"/>
          <w:sz w:val="24"/>
        </w:rPr>
        <w:t xml:space="preserve"> </w:t>
      </w:r>
      <w:r>
        <w:rPr>
          <w:rFonts w:ascii="Times New Roman;Times;serif" w:hAnsi="Times New Roman;Times;serif"/>
          <w:sz w:val="24"/>
        </w:rPr>
        <w:t>a precleared trade)</w:t>
      </w:r>
      <w:r>
        <w:rPr>
          <w:rFonts w:ascii="Times New Roman;Times;serif" w:hAnsi="Times New Roman;Times;serif"/>
          <w:spacing w:val="-1"/>
          <w:sz w:val="24"/>
        </w:rPr>
        <w:t xml:space="preserve"> </w:t>
      </w:r>
      <w:r>
        <w:rPr>
          <w:rFonts w:ascii="Times New Roman;Times;serif" w:hAnsi="Times New Roman;Times;serif"/>
          <w:sz w:val="24"/>
        </w:rPr>
        <w:t>that has not been effected during the five-business day period must be precleared again prior to execution.</w:t>
      </w:r>
      <w:r>
        <w:rPr>
          <w:rFonts w:ascii="Times New Roman;Times;serif" w:hAnsi="Times New Roman;Times;serif"/>
          <w:spacing w:val="40"/>
          <w:sz w:val="24"/>
        </w:rPr>
        <w:t xml:space="preserve"> </w:t>
      </w:r>
      <w:r>
        <w:rPr>
          <w:rFonts w:ascii="Times New Roman;Times;serif" w:hAnsi="Times New Roman;Times;serif"/>
          <w:sz w:val="24"/>
        </w:rPr>
        <w:t>Notwithstanding</w:t>
      </w:r>
      <w:r>
        <w:rPr>
          <w:rFonts w:ascii="Times New Roman;Times;serif" w:hAnsi="Times New Roman;Times;serif"/>
          <w:spacing w:val="-4"/>
          <w:sz w:val="24"/>
        </w:rPr>
        <w:t xml:space="preserve"> </w:t>
      </w:r>
      <w:r>
        <w:rPr>
          <w:rFonts w:ascii="Times New Roman;Times;serif" w:hAnsi="Times New Roman;Times;serif"/>
          <w:sz w:val="24"/>
        </w:rPr>
        <w:t>receipt</w:t>
      </w:r>
      <w:r>
        <w:rPr>
          <w:rFonts w:ascii="Times New Roman;Times;serif" w:hAnsi="Times New Roman;Times;serif"/>
          <w:spacing w:val="-4"/>
          <w:sz w:val="24"/>
        </w:rPr>
        <w:t xml:space="preserve"> </w:t>
      </w:r>
      <w:r>
        <w:rPr>
          <w:rFonts w:ascii="Times New Roman;Times;serif" w:hAnsi="Times New Roman;Times;serif"/>
          <w:sz w:val="24"/>
        </w:rPr>
        <w:t>of</w:t>
      </w:r>
      <w:r>
        <w:rPr>
          <w:rFonts w:ascii="Times New Roman;Times;serif" w:hAnsi="Times New Roman;Times;serif"/>
          <w:spacing w:val="-5"/>
          <w:sz w:val="24"/>
        </w:rPr>
        <w:t xml:space="preserve"> </w:t>
      </w:r>
      <w:r>
        <w:rPr>
          <w:rFonts w:ascii="Times New Roman;Times;serif" w:hAnsi="Times New Roman;Times;serif"/>
          <w:sz w:val="24"/>
        </w:rPr>
        <w:t>preclearance,</w:t>
      </w:r>
      <w:r>
        <w:rPr>
          <w:rFonts w:ascii="Times New Roman;Times;serif" w:hAnsi="Times New Roman;Times;serif"/>
          <w:spacing w:val="-4"/>
          <w:sz w:val="24"/>
        </w:rPr>
        <w:t xml:space="preserve"> </w:t>
      </w:r>
      <w:r>
        <w:rPr>
          <w:rFonts w:ascii="Times New Roman;Times;serif" w:hAnsi="Times New Roman;Times;serif"/>
          <w:sz w:val="24"/>
        </w:rPr>
        <w:t>if</w:t>
      </w:r>
      <w:r>
        <w:rPr>
          <w:rFonts w:ascii="Times New Roman;Times;serif" w:hAnsi="Times New Roman;Times;serif"/>
          <w:spacing w:val="-5"/>
          <w:sz w:val="24"/>
        </w:rPr>
        <w:t xml:space="preserve"> </w:t>
      </w:r>
      <w:r>
        <w:rPr>
          <w:rFonts w:ascii="Times New Roman;Times;serif" w:hAnsi="Times New Roman;Times;serif"/>
          <w:sz w:val="24"/>
        </w:rPr>
        <w:t>the</w:t>
      </w:r>
      <w:r>
        <w:rPr>
          <w:rFonts w:ascii="Times New Roman;Times;serif" w:hAnsi="Times New Roman;Times;serif"/>
          <w:spacing w:val="-5"/>
          <w:sz w:val="24"/>
        </w:rPr>
        <w:t xml:space="preserve"> </w:t>
      </w:r>
      <w:r>
        <w:rPr>
          <w:rFonts w:ascii="Times New Roman;Times;serif" w:hAnsi="Times New Roman;Times;serif"/>
          <w:sz w:val="24"/>
        </w:rPr>
        <w:t>Preclearance</w:t>
      </w:r>
      <w:r>
        <w:rPr>
          <w:rFonts w:ascii="Times New Roman;Times;serif" w:hAnsi="Times New Roman;Times;serif"/>
          <w:spacing w:val="-5"/>
          <w:sz w:val="24"/>
        </w:rPr>
        <w:t xml:space="preserve"> </w:t>
      </w:r>
      <w:r>
        <w:rPr>
          <w:rFonts w:ascii="Times New Roman;Times;serif" w:hAnsi="Times New Roman;Times;serif"/>
          <w:sz w:val="24"/>
        </w:rPr>
        <w:t>Person</w:t>
      </w:r>
      <w:r>
        <w:rPr>
          <w:rFonts w:ascii="Times New Roman;Times;serif" w:hAnsi="Times New Roman;Times;serif"/>
          <w:spacing w:val="-4"/>
          <w:sz w:val="24"/>
        </w:rPr>
        <w:t xml:space="preserve"> </w:t>
      </w:r>
      <w:r>
        <w:rPr>
          <w:rFonts w:ascii="Times New Roman;Times;serif" w:hAnsi="Times New Roman;Times;serif"/>
          <w:sz w:val="24"/>
        </w:rPr>
        <w:t>becomes</w:t>
      </w:r>
      <w:r>
        <w:rPr>
          <w:rFonts w:ascii="Times New Roman;Times;serif" w:hAnsi="Times New Roman;Times;serif"/>
          <w:spacing w:val="-4"/>
          <w:sz w:val="24"/>
        </w:rPr>
        <w:t xml:space="preserve"> </w:t>
      </w:r>
      <w:r>
        <w:rPr>
          <w:rFonts w:ascii="Times New Roman;Times;serif" w:hAnsi="Times New Roman;Times;serif"/>
          <w:sz w:val="24"/>
        </w:rPr>
        <w:t>aware</w:t>
      </w:r>
      <w:r>
        <w:rPr>
          <w:rFonts w:ascii="Times New Roman;Times;serif" w:hAnsi="Times New Roman;Times;serif"/>
          <w:spacing w:val="-5"/>
          <w:sz w:val="24"/>
        </w:rPr>
        <w:t xml:space="preserve"> </w:t>
      </w:r>
      <w:r>
        <w:rPr>
          <w:rFonts w:ascii="Times New Roman;Times;serif" w:hAnsi="Times New Roman;Times;serif"/>
          <w:sz w:val="24"/>
        </w:rPr>
        <w:t>of material nonpublic information or becomes subject to a blackout period before the transaction is effected, the transaction may not be completed.</w:t>
      </w:r>
    </w:p>
    <w:p>
      <w:pPr>
        <w:pStyle w:val="TextBody"/>
        <w:bidi w:val="0"/>
        <w:spacing w:before="240" w:after="0"/>
        <w:ind w:left="0" w:right="116" w:firstLine="720"/>
        <w:jc w:val="both"/>
        <w:rPr>
          <w:rFonts w:ascii="Times New Roman;Times;serif" w:hAnsi="Times New Roman;Times;serif"/>
          <w:sz w:val="24"/>
        </w:rPr>
      </w:pPr>
      <w:r>
        <w:rPr>
          <w:rFonts w:ascii="Times New Roman;Times;serif" w:hAnsi="Times New Roman;Times;serif"/>
          <w:sz w:val="24"/>
        </w:rPr>
        <w:t>None</w:t>
      </w:r>
      <w:r>
        <w:rPr>
          <w:rFonts w:ascii="Times New Roman;Times;serif" w:hAnsi="Times New Roman;Times;serif"/>
          <w:spacing w:val="-2"/>
          <w:sz w:val="24"/>
        </w:rPr>
        <w:t xml:space="preserve"> </w:t>
      </w:r>
      <w:r>
        <w:rPr>
          <w:rFonts w:ascii="Times New Roman;Times;serif" w:hAnsi="Times New Roman;Times;serif"/>
          <w:sz w:val="24"/>
        </w:rPr>
        <w:t>of</w:t>
      </w:r>
      <w:r>
        <w:rPr>
          <w:rFonts w:ascii="Times New Roman;Times;serif" w:hAnsi="Times New Roman;Times;serif"/>
          <w:spacing w:val="-2"/>
          <w:sz w:val="24"/>
        </w:rPr>
        <w:t xml:space="preserve"> </w:t>
      </w:r>
      <w:r>
        <w:rPr>
          <w:rFonts w:ascii="Times New Roman;Times;serif" w:hAnsi="Times New Roman;Times;serif"/>
          <w:sz w:val="24"/>
        </w:rPr>
        <w:t>the Company,</w:t>
      </w:r>
      <w:r>
        <w:rPr>
          <w:rFonts w:ascii="Times New Roman;Times;serif" w:hAnsi="Times New Roman;Times;serif"/>
          <w:spacing w:val="-1"/>
          <w:sz w:val="24"/>
        </w:rPr>
        <w:t xml:space="preserve"> </w:t>
      </w:r>
      <w:r>
        <w:rPr>
          <w:rFonts w:ascii="Times New Roman;Times;serif" w:hAnsi="Times New Roman;Times;serif"/>
          <w:sz w:val="24"/>
        </w:rPr>
        <w:t>the</w:t>
      </w:r>
      <w:r>
        <w:rPr>
          <w:rFonts w:ascii="Times New Roman;Times;serif" w:hAnsi="Times New Roman;Times;serif"/>
          <w:spacing w:val="-2"/>
          <w:sz w:val="24"/>
        </w:rPr>
        <w:t xml:space="preserve"> </w:t>
      </w:r>
      <w:r>
        <w:rPr>
          <w:rFonts w:ascii="Times New Roman;Times;serif" w:hAnsi="Times New Roman;Times;serif"/>
          <w:sz w:val="24"/>
        </w:rPr>
        <w:t>General</w:t>
      </w:r>
      <w:r>
        <w:rPr>
          <w:rFonts w:ascii="Times New Roman;Times;serif" w:hAnsi="Times New Roman;Times;serif"/>
          <w:spacing w:val="-1"/>
          <w:sz w:val="24"/>
        </w:rPr>
        <w:t xml:space="preserve"> </w:t>
      </w:r>
      <w:r>
        <w:rPr>
          <w:rFonts w:ascii="Times New Roman;Times;serif" w:hAnsi="Times New Roman;Times;serif"/>
          <w:sz w:val="24"/>
        </w:rPr>
        <w:t>Counsel</w:t>
      </w:r>
      <w:r>
        <w:rPr>
          <w:rFonts w:ascii="Times New Roman;Times;serif" w:hAnsi="Times New Roman;Times;serif"/>
          <w:spacing w:val="-1"/>
          <w:sz w:val="24"/>
        </w:rPr>
        <w:t xml:space="preserve"> </w:t>
      </w:r>
      <w:r>
        <w:rPr>
          <w:rFonts w:ascii="Times New Roman;Times;serif" w:hAnsi="Times New Roman;Times;serif"/>
          <w:sz w:val="24"/>
        </w:rPr>
        <w:t>or Chief</w:t>
      </w:r>
      <w:r>
        <w:rPr>
          <w:rFonts w:ascii="Times New Roman;Times;serif" w:hAnsi="Times New Roman;Times;serif"/>
          <w:spacing w:val="-2"/>
          <w:sz w:val="24"/>
        </w:rPr>
        <w:t xml:space="preserve"> </w:t>
      </w:r>
      <w:r>
        <w:rPr>
          <w:rFonts w:ascii="Times New Roman;Times;serif" w:hAnsi="Times New Roman;Times;serif"/>
          <w:sz w:val="24"/>
        </w:rPr>
        <w:t>Financial</w:t>
      </w:r>
      <w:r>
        <w:rPr>
          <w:rFonts w:ascii="Times New Roman;Times;serif" w:hAnsi="Times New Roman;Times;serif"/>
          <w:spacing w:val="-1"/>
          <w:sz w:val="24"/>
        </w:rPr>
        <w:t xml:space="preserve"> </w:t>
      </w:r>
      <w:r>
        <w:rPr>
          <w:rFonts w:ascii="Times New Roman;Times;serif" w:hAnsi="Times New Roman;Times;serif"/>
          <w:sz w:val="24"/>
        </w:rPr>
        <w:t>Officer,</w:t>
      </w:r>
      <w:r>
        <w:rPr>
          <w:rFonts w:ascii="Times New Roman;Times;serif" w:hAnsi="Times New Roman;Times;serif"/>
          <w:spacing w:val="-1"/>
          <w:sz w:val="24"/>
        </w:rPr>
        <w:t xml:space="preserve"> </w:t>
      </w:r>
      <w:r>
        <w:rPr>
          <w:rFonts w:ascii="Times New Roman;Times;serif" w:hAnsi="Times New Roman;Times;serif"/>
          <w:sz w:val="24"/>
        </w:rPr>
        <w:t>or</w:t>
      </w:r>
      <w:r>
        <w:rPr>
          <w:rFonts w:ascii="Times New Roman;Times;serif" w:hAnsi="Times New Roman;Times;serif"/>
          <w:spacing w:val="-2"/>
          <w:sz w:val="24"/>
        </w:rPr>
        <w:t xml:space="preserve"> </w:t>
      </w:r>
      <w:r>
        <w:rPr>
          <w:rFonts w:ascii="Times New Roman;Times;serif" w:hAnsi="Times New Roman;Times;serif"/>
          <w:sz w:val="24"/>
        </w:rPr>
        <w:t>the</w:t>
      </w:r>
      <w:r>
        <w:rPr>
          <w:rFonts w:ascii="Times New Roman;Times;serif" w:hAnsi="Times New Roman;Times;serif"/>
          <w:spacing w:val="-2"/>
          <w:sz w:val="24"/>
        </w:rPr>
        <w:t xml:space="preserve"> </w:t>
      </w:r>
      <w:r>
        <w:rPr>
          <w:rFonts w:ascii="Times New Roman;Times;serif" w:hAnsi="Times New Roman;Times;serif"/>
          <w:sz w:val="24"/>
        </w:rPr>
        <w:t xml:space="preserve">Company’s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116" w:hanging="0"/>
        <w:jc w:val="both"/>
        <w:rPr>
          <w:rFonts w:ascii="Times New Roman;Times;serif" w:hAnsi="Times New Roman;Times;serif"/>
          <w:sz w:val="24"/>
        </w:rPr>
      </w:pPr>
      <w:r>
        <w:rPr>
          <w:rFonts w:ascii="Times New Roman;Times;serif" w:hAnsi="Times New Roman;Times;serif"/>
          <w:sz w:val="24"/>
        </w:rPr>
        <w:t>other</w:t>
      </w:r>
      <w:r>
        <w:rPr>
          <w:rFonts w:ascii="Times New Roman;Times;serif" w:hAnsi="Times New Roman;Times;serif"/>
          <w:spacing w:val="23"/>
          <w:sz w:val="24"/>
        </w:rPr>
        <w:t xml:space="preserve"> </w:t>
      </w:r>
      <w:r>
        <w:rPr>
          <w:rFonts w:ascii="Times New Roman;Times;serif" w:hAnsi="Times New Roman;Times;serif"/>
          <w:sz w:val="24"/>
        </w:rPr>
        <w:t>employees</w:t>
      </w:r>
      <w:r>
        <w:rPr>
          <w:rFonts w:ascii="Times New Roman;Times;serif" w:hAnsi="Times New Roman;Times;serif"/>
          <w:spacing w:val="25"/>
          <w:sz w:val="24"/>
        </w:rPr>
        <w:t xml:space="preserve"> </w:t>
      </w:r>
      <w:r>
        <w:rPr>
          <w:rFonts w:ascii="Times New Roman;Times;serif" w:hAnsi="Times New Roman;Times;serif"/>
          <w:sz w:val="24"/>
        </w:rPr>
        <w:t>will</w:t>
      </w:r>
      <w:r>
        <w:rPr>
          <w:rFonts w:ascii="Times New Roman;Times;serif" w:hAnsi="Times New Roman;Times;serif"/>
          <w:spacing w:val="25"/>
          <w:sz w:val="24"/>
        </w:rPr>
        <w:t xml:space="preserve"> </w:t>
      </w:r>
      <w:r>
        <w:rPr>
          <w:rFonts w:ascii="Times New Roman;Times;serif" w:hAnsi="Times New Roman;Times;serif"/>
          <w:sz w:val="24"/>
        </w:rPr>
        <w:t>have</w:t>
      </w:r>
      <w:r>
        <w:rPr>
          <w:rFonts w:ascii="Times New Roman;Times;serif" w:hAnsi="Times New Roman;Times;serif"/>
          <w:spacing w:val="24"/>
          <w:sz w:val="24"/>
        </w:rPr>
        <w:t xml:space="preserve"> </w:t>
      </w:r>
      <w:r>
        <w:rPr>
          <w:rFonts w:ascii="Times New Roman;Times;serif" w:hAnsi="Times New Roman;Times;serif"/>
          <w:sz w:val="24"/>
        </w:rPr>
        <w:t>any</w:t>
      </w:r>
      <w:r>
        <w:rPr>
          <w:rFonts w:ascii="Times New Roman;Times;serif" w:hAnsi="Times New Roman;Times;serif"/>
          <w:spacing w:val="25"/>
          <w:sz w:val="24"/>
        </w:rPr>
        <w:t xml:space="preserve"> </w:t>
      </w:r>
      <w:r>
        <w:rPr>
          <w:rFonts w:ascii="Times New Roman;Times;serif" w:hAnsi="Times New Roman;Times;serif"/>
          <w:sz w:val="24"/>
        </w:rPr>
        <w:t>liability</w:t>
      </w:r>
      <w:r>
        <w:rPr>
          <w:rFonts w:ascii="Times New Roman;Times;serif" w:hAnsi="Times New Roman;Times;serif"/>
          <w:spacing w:val="25"/>
          <w:sz w:val="24"/>
        </w:rPr>
        <w:t xml:space="preserve"> </w:t>
      </w:r>
      <w:r>
        <w:rPr>
          <w:rFonts w:ascii="Times New Roman;Times;serif" w:hAnsi="Times New Roman;Times;serif"/>
          <w:sz w:val="24"/>
        </w:rPr>
        <w:t>for</w:t>
      </w:r>
      <w:r>
        <w:rPr>
          <w:rFonts w:ascii="Times New Roman;Times;serif" w:hAnsi="Times New Roman;Times;serif"/>
          <w:spacing w:val="24"/>
          <w:sz w:val="24"/>
        </w:rPr>
        <w:t xml:space="preserve"> </w:t>
      </w:r>
      <w:r>
        <w:rPr>
          <w:rFonts w:ascii="Times New Roman;Times;serif" w:hAnsi="Times New Roman;Times;serif"/>
          <w:sz w:val="24"/>
        </w:rPr>
        <w:t>any</w:t>
      </w:r>
      <w:r>
        <w:rPr>
          <w:rFonts w:ascii="Times New Roman;Times;serif" w:hAnsi="Times New Roman;Times;serif"/>
          <w:spacing w:val="25"/>
          <w:sz w:val="24"/>
        </w:rPr>
        <w:t xml:space="preserve"> </w:t>
      </w:r>
      <w:r>
        <w:rPr>
          <w:rFonts w:ascii="Times New Roman;Times;serif" w:hAnsi="Times New Roman;Times;serif"/>
          <w:sz w:val="24"/>
        </w:rPr>
        <w:t>delay</w:t>
      </w:r>
      <w:r>
        <w:rPr>
          <w:rFonts w:ascii="Times New Roman;Times;serif" w:hAnsi="Times New Roman;Times;serif"/>
          <w:spacing w:val="24"/>
          <w:sz w:val="24"/>
        </w:rPr>
        <w:t xml:space="preserve"> </w:t>
      </w:r>
      <w:r>
        <w:rPr>
          <w:rFonts w:ascii="Times New Roman;Times;serif" w:hAnsi="Times New Roman;Times;serif"/>
          <w:sz w:val="24"/>
        </w:rPr>
        <w:t>in</w:t>
      </w:r>
      <w:r>
        <w:rPr>
          <w:rFonts w:ascii="Times New Roman;Times;serif" w:hAnsi="Times New Roman;Times;serif"/>
          <w:spacing w:val="25"/>
          <w:sz w:val="24"/>
        </w:rPr>
        <w:t xml:space="preserve"> </w:t>
      </w:r>
      <w:r>
        <w:rPr>
          <w:rFonts w:ascii="Times New Roman;Times;serif" w:hAnsi="Times New Roman;Times;serif"/>
          <w:sz w:val="24"/>
        </w:rPr>
        <w:t>reviewing,</w:t>
      </w:r>
      <w:r>
        <w:rPr>
          <w:rFonts w:ascii="Times New Roman;Times;serif" w:hAnsi="Times New Roman;Times;serif"/>
          <w:spacing w:val="25"/>
          <w:sz w:val="24"/>
        </w:rPr>
        <w:t xml:space="preserve"> </w:t>
      </w:r>
      <w:r>
        <w:rPr>
          <w:rFonts w:ascii="Times New Roman;Times;serif" w:hAnsi="Times New Roman;Times;serif"/>
          <w:sz w:val="24"/>
        </w:rPr>
        <w:t>or</w:t>
      </w:r>
      <w:r>
        <w:rPr>
          <w:rFonts w:ascii="Times New Roman;Times;serif" w:hAnsi="Times New Roman;Times;serif"/>
          <w:spacing w:val="24"/>
          <w:sz w:val="24"/>
        </w:rPr>
        <w:t xml:space="preserve"> </w:t>
      </w:r>
      <w:r>
        <w:rPr>
          <w:rFonts w:ascii="Times New Roman;Times;serif" w:hAnsi="Times New Roman;Times;serif"/>
          <w:sz w:val="24"/>
        </w:rPr>
        <w:t>refusal</w:t>
      </w:r>
      <w:r>
        <w:rPr>
          <w:rFonts w:ascii="Times New Roman;Times;serif" w:hAnsi="Times New Roman;Times;serif"/>
          <w:spacing w:val="25"/>
          <w:sz w:val="24"/>
        </w:rPr>
        <w:t xml:space="preserve"> </w:t>
      </w:r>
      <w:r>
        <w:rPr>
          <w:rFonts w:ascii="Times New Roman;Times;serif" w:hAnsi="Times New Roman;Times;serif"/>
          <w:sz w:val="24"/>
        </w:rPr>
        <w:t>of,</w:t>
      </w:r>
      <w:r>
        <w:rPr>
          <w:rFonts w:ascii="Times New Roman;Times;serif" w:hAnsi="Times New Roman;Times;serif"/>
          <w:spacing w:val="25"/>
          <w:sz w:val="24"/>
        </w:rPr>
        <w:t xml:space="preserve"> </w:t>
      </w:r>
      <w:r>
        <w:rPr>
          <w:rFonts w:ascii="Times New Roman;Times;serif" w:hAnsi="Times New Roman;Times;serif"/>
          <w:sz w:val="24"/>
        </w:rPr>
        <w:t>a</w:t>
      </w:r>
      <w:r>
        <w:rPr>
          <w:rFonts w:ascii="Times New Roman;Times;serif" w:hAnsi="Times New Roman;Times;serif"/>
          <w:spacing w:val="24"/>
          <w:sz w:val="24"/>
        </w:rPr>
        <w:t xml:space="preserve"> </w:t>
      </w:r>
      <w:r>
        <w:rPr>
          <w:rFonts w:ascii="Times New Roman;Times;serif" w:hAnsi="Times New Roman;Times;serif"/>
          <w:sz w:val="24"/>
        </w:rPr>
        <w:t>request</w:t>
      </w:r>
      <w:r>
        <w:rPr>
          <w:rFonts w:ascii="Times New Roman;Times;serif" w:hAnsi="Times New Roman;Times;serif"/>
          <w:spacing w:val="25"/>
          <w:sz w:val="24"/>
        </w:rPr>
        <w:t xml:space="preserve"> </w:t>
      </w:r>
      <w:r>
        <w:rPr>
          <w:rFonts w:ascii="Times New Roman;Times;serif" w:hAnsi="Times New Roman;Times;serif"/>
          <w:spacing w:val="-5"/>
          <w:sz w:val="24"/>
        </w:rPr>
        <w:t>fo</w:t>
      </w:r>
      <w:r>
        <w:rPr>
          <w:rFonts w:ascii="Times New Roman;Times;serif" w:hAnsi="Times New Roman;Times;serif"/>
          <w:sz w:val="24"/>
        </w:rPr>
        <w:t>r preclearance submitted pursuant to this section.</w:t>
      </w:r>
      <w:r>
        <w:rPr>
          <w:rFonts w:ascii="Times New Roman;Times;serif" w:hAnsi="Times New Roman;Times;serif"/>
          <w:spacing w:val="40"/>
          <w:sz w:val="24"/>
        </w:rPr>
        <w:t xml:space="preserve"> </w:t>
      </w:r>
      <w:r>
        <w:rPr>
          <w:rFonts w:ascii="Times New Roman;Times;serif" w:hAnsi="Times New Roman;Times;serif"/>
          <w:sz w:val="24"/>
        </w:rPr>
        <w:t>Pre-clearance should not be understood to represent legal advice by the Company that a proposed transaction complies with the law.  Notwithstanding any preclearance of a transaction pursuant to this section, none of the Company, the General Counsel or Chief Financial Officer, or the Company’s other employees assumes any liability for the legality or consequences of such transaction to the person engaging in such transaction.</w:t>
      </w:r>
    </w:p>
    <w:p>
      <w:pPr>
        <w:pStyle w:val="TextBody"/>
        <w:bidi w:val="0"/>
        <w:spacing w:before="240" w:after="283"/>
        <w:ind w:left="120" w:right="116" w:hanging="0"/>
        <w:jc w:val="both"/>
        <w:rPr/>
      </w:pPr>
      <w:r>
        <w:rPr/>
        <w:t>​</w:t>
      </w:r>
    </w:p>
    <w:p>
      <w:pPr>
        <w:pStyle w:val="TextBody"/>
        <w:bidi w:val="0"/>
        <w:spacing w:before="79" w:after="240"/>
        <w:ind w:left="120" w:right="116" w:hanging="0"/>
        <w:jc w:val="both"/>
        <w:rPr>
          <w:rFonts w:ascii="Times New Roman;Times;serif" w:hAnsi="Times New Roman;Times;serif"/>
          <w:b/>
          <w:sz w:val="24"/>
        </w:rPr>
      </w:pPr>
      <w:r>
        <w:rPr>
          <w:rFonts w:ascii="Times New Roman;Times;serif" w:hAnsi="Times New Roman;Times;serif"/>
          <w:b/>
          <w:sz w:val="24"/>
        </w:rPr>
        <w:t>Exempt Transactions</w:t>
      </w:r>
    </w:p>
    <w:p>
      <w:pPr>
        <w:pStyle w:val="TextBody"/>
        <w:bidi w:val="0"/>
        <w:spacing w:before="0" w:after="240"/>
        <w:ind w:left="0" w:right="0" w:firstLine="720"/>
        <w:jc w:val="both"/>
        <w:rPr>
          <w:rFonts w:ascii="Calibri;Helvetica;sans-serif" w:hAnsi="Calibri;Helvetica;sans-serif"/>
          <w:sz w:val="24"/>
        </w:rPr>
      </w:pPr>
      <w:r>
        <w:rPr>
          <w:rFonts w:ascii="Times New Roman;Times;serif" w:hAnsi="Times New Roman;Times;serif"/>
          <w:sz w:val="24"/>
        </w:rPr>
        <w:t>This Policy</w:t>
      </w:r>
      <w:bookmarkStart w:id="2422" w:name="_Hlk171524834"/>
      <w:bookmarkEnd w:id="2422"/>
      <w:r>
        <w:rPr>
          <w:rFonts w:ascii="Times New Roman;Times;serif" w:hAnsi="Times New Roman;Times;serif"/>
          <w:sz w:val="24"/>
        </w:rPr>
        <w:t>, except for provisions set forth in the Prohibited Transactions section below,</w:t>
      </w:r>
      <w:r>
        <w:rPr>
          <w:rFonts w:ascii="Calibri;Helvetica;sans-serif" w:hAnsi="Calibri;Helvetica;sans-serif"/>
          <w:sz w:val="24"/>
        </w:rPr>
        <w:t xml:space="preserve"> </w:t>
      </w:r>
      <w:r>
        <w:rPr>
          <w:rFonts w:ascii="Times New Roman;Times;serif" w:hAnsi="Times New Roman;Times;serif"/>
          <w:sz w:val="24"/>
        </w:rPr>
        <w:t>does not apply to:</w:t>
      </w:r>
    </w:p>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purchases of the Company’s securities from the Company or sales of the Company’s securities to the Company;</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exercises of stock options or other equity awards or the surrender of shares to the Company</w:t>
            </w:r>
            <w:r>
              <w:rPr>
                <w:caps w:val="false"/>
                <w:smallCaps w:val="false"/>
                <w:spacing w:val="-6"/>
              </w:rPr>
              <w:t xml:space="preserve"> </w:t>
            </w:r>
            <w:r>
              <w:rPr>
                <w:rFonts w:ascii="Times New Roman;Times;serif" w:hAnsi="Times New Roman;Times;serif"/>
                <w:b w:val="false"/>
                <w:i w:val="false"/>
                <w:caps w:val="false"/>
                <w:smallCaps w:val="false"/>
                <w:sz w:val="24"/>
              </w:rPr>
              <w:t>in</w:t>
            </w:r>
            <w:r>
              <w:rPr>
                <w:caps w:val="false"/>
                <w:smallCaps w:val="false"/>
                <w:spacing w:val="-6"/>
              </w:rPr>
              <w:t xml:space="preserve"> </w:t>
            </w:r>
            <w:r>
              <w:rPr>
                <w:rFonts w:ascii="Times New Roman;Times;serif" w:hAnsi="Times New Roman;Times;serif"/>
                <w:b w:val="false"/>
                <w:i w:val="false"/>
                <w:caps w:val="false"/>
                <w:smallCaps w:val="false"/>
                <w:sz w:val="24"/>
              </w:rPr>
              <w:t>payment</w:t>
            </w:r>
            <w:r>
              <w:rPr>
                <w:caps w:val="false"/>
                <w:smallCaps w:val="false"/>
                <w:spacing w:val="-5"/>
              </w:rPr>
              <w:t xml:space="preserve"> </w:t>
            </w:r>
            <w:r>
              <w:rPr>
                <w:rFonts w:ascii="Times New Roman;Times;serif" w:hAnsi="Times New Roman;Times;serif"/>
                <w:b w:val="false"/>
                <w:i w:val="false"/>
                <w:caps w:val="false"/>
                <w:smallCaps w:val="false"/>
                <w:sz w:val="24"/>
              </w:rPr>
              <w:t>of</w:t>
            </w:r>
            <w:r>
              <w:rPr>
                <w:caps w:val="false"/>
                <w:smallCaps w:val="false"/>
                <w:spacing w:val="-9"/>
              </w:rPr>
              <w:t xml:space="preserve"> </w:t>
            </w:r>
            <w:r>
              <w:rPr>
                <w:rFonts w:ascii="Times New Roman;Times;serif" w:hAnsi="Times New Roman;Times;serif"/>
                <w:b w:val="false"/>
                <w:i w:val="false"/>
                <w:caps w:val="false"/>
                <w:smallCaps w:val="false"/>
                <w:sz w:val="24"/>
              </w:rPr>
              <w:t>the</w:t>
            </w:r>
            <w:r>
              <w:rPr>
                <w:caps w:val="false"/>
                <w:smallCaps w:val="false"/>
                <w:spacing w:val="-7"/>
              </w:rPr>
              <w:t xml:space="preserve"> </w:t>
            </w:r>
            <w:r>
              <w:rPr>
                <w:rFonts w:ascii="Times New Roman;Times;serif" w:hAnsi="Times New Roman;Times;serif"/>
                <w:b w:val="false"/>
                <w:i w:val="false"/>
                <w:caps w:val="false"/>
                <w:smallCaps w:val="false"/>
                <w:sz w:val="24"/>
              </w:rPr>
              <w:t>exercise</w:t>
            </w:r>
            <w:r>
              <w:rPr>
                <w:caps w:val="false"/>
                <w:smallCaps w:val="false"/>
                <w:spacing w:val="-7"/>
              </w:rPr>
              <w:t xml:space="preserve"> </w:t>
            </w:r>
            <w:r>
              <w:rPr>
                <w:rFonts w:ascii="Times New Roman;Times;serif" w:hAnsi="Times New Roman;Times;serif"/>
                <w:b w:val="false"/>
                <w:i w:val="false"/>
                <w:caps w:val="false"/>
                <w:smallCaps w:val="false"/>
                <w:sz w:val="24"/>
              </w:rPr>
              <w:t>price</w:t>
            </w:r>
            <w:r>
              <w:rPr>
                <w:caps w:val="false"/>
                <w:smallCaps w:val="false"/>
                <w:spacing w:val="-7"/>
              </w:rPr>
              <w:t xml:space="preserve"> </w:t>
            </w:r>
            <w:r>
              <w:rPr>
                <w:rFonts w:ascii="Times New Roman;Times;serif" w:hAnsi="Times New Roman;Times;serif"/>
                <w:b w:val="false"/>
                <w:i w:val="false"/>
                <w:caps w:val="false"/>
                <w:smallCaps w:val="false"/>
                <w:sz w:val="24"/>
              </w:rPr>
              <w:t>or</w:t>
            </w:r>
            <w:r>
              <w:rPr>
                <w:caps w:val="false"/>
                <w:smallCaps w:val="false"/>
                <w:spacing w:val="-7"/>
              </w:rPr>
              <w:t xml:space="preserve"> </w:t>
            </w:r>
            <w:r>
              <w:rPr>
                <w:rFonts w:ascii="Times New Roman;Times;serif" w:hAnsi="Times New Roman;Times;serif"/>
                <w:b w:val="false"/>
                <w:i w:val="false"/>
                <w:caps w:val="false"/>
                <w:smallCaps w:val="false"/>
                <w:sz w:val="24"/>
              </w:rPr>
              <w:t>in</w:t>
            </w:r>
            <w:r>
              <w:rPr>
                <w:caps w:val="false"/>
                <w:smallCaps w:val="false"/>
                <w:spacing w:val="-6"/>
              </w:rPr>
              <w:t xml:space="preserve"> </w:t>
            </w:r>
            <w:r>
              <w:rPr>
                <w:rFonts w:ascii="Times New Roman;Times;serif" w:hAnsi="Times New Roman;Times;serif"/>
                <w:b w:val="false"/>
                <w:i w:val="false"/>
                <w:caps w:val="false"/>
                <w:smallCaps w:val="false"/>
                <w:sz w:val="24"/>
              </w:rPr>
              <w:t>satisfaction</w:t>
            </w:r>
            <w:r>
              <w:rPr>
                <w:caps w:val="false"/>
                <w:smallCaps w:val="false"/>
                <w:spacing w:val="-6"/>
              </w:rPr>
              <w:t xml:space="preserve"> </w:t>
            </w:r>
            <w:r>
              <w:rPr>
                <w:rFonts w:ascii="Times New Roman;Times;serif" w:hAnsi="Times New Roman;Times;serif"/>
                <w:b w:val="false"/>
                <w:i w:val="false"/>
                <w:caps w:val="false"/>
                <w:smallCaps w:val="false"/>
                <w:sz w:val="24"/>
              </w:rPr>
              <w:t>of</w:t>
            </w:r>
            <w:r>
              <w:rPr>
                <w:caps w:val="false"/>
                <w:smallCaps w:val="false"/>
                <w:spacing w:val="-7"/>
              </w:rPr>
              <w:t xml:space="preserve"> </w:t>
            </w:r>
            <w:r>
              <w:rPr>
                <w:rFonts w:ascii="Times New Roman;Times;serif" w:hAnsi="Times New Roman;Times;serif"/>
                <w:b w:val="false"/>
                <w:i w:val="false"/>
                <w:caps w:val="false"/>
                <w:smallCaps w:val="false"/>
                <w:sz w:val="24"/>
              </w:rPr>
              <w:t>any</w:t>
            </w:r>
            <w:r>
              <w:rPr>
                <w:caps w:val="false"/>
                <w:smallCaps w:val="false"/>
                <w:spacing w:val="-6"/>
              </w:rPr>
              <w:t xml:space="preserve"> </w:t>
            </w:r>
            <w:r>
              <w:rPr>
                <w:rFonts w:ascii="Times New Roman;Times;serif" w:hAnsi="Times New Roman;Times;serif"/>
                <w:b w:val="false"/>
                <w:i w:val="false"/>
                <w:caps w:val="false"/>
                <w:smallCaps w:val="false"/>
                <w:sz w:val="24"/>
              </w:rPr>
              <w:t>tax</w:t>
            </w:r>
            <w:r>
              <w:rPr>
                <w:caps w:val="false"/>
                <w:smallCaps w:val="false"/>
                <w:spacing w:val="-6"/>
              </w:rPr>
              <w:t xml:space="preserve"> </w:t>
            </w:r>
            <w:r>
              <w:rPr>
                <w:rFonts w:ascii="Times New Roman;Times;serif" w:hAnsi="Times New Roman;Times;serif"/>
                <w:b w:val="false"/>
                <w:i w:val="false"/>
                <w:caps w:val="false"/>
                <w:smallCaps w:val="false"/>
                <w:sz w:val="24"/>
              </w:rPr>
              <w:t>withholding obligations in a manner permitted by the applicable equity award agreement, or vesting of equity-based awards that, in each case, do not involve a market sale of the Company’s securities (the “</w:t>
            </w:r>
            <w:r>
              <w:rPr>
                <w:rFonts w:ascii="Times New Roman;Times;serif" w:hAnsi="Times New Roman;Times;serif"/>
                <w:b w:val="false"/>
                <w:i w:val="false"/>
                <w:caps w:val="false"/>
                <w:smallCaps w:val="false"/>
                <w:sz w:val="24"/>
                <w:u w:val="single"/>
              </w:rPr>
              <w:t>cashless exercise</w:t>
            </w:r>
            <w:r>
              <w:rPr>
                <w:caps w:val="false"/>
                <w:smallCaps w:val="false"/>
              </w:rPr>
              <w:t xml:space="preserve">” </w:t>
            </w:r>
            <w:r>
              <w:rPr>
                <w:rFonts w:ascii="Times New Roman;Times;serif" w:hAnsi="Times New Roman;Times;serif"/>
                <w:b w:val="false"/>
                <w:i w:val="false"/>
                <w:caps w:val="false"/>
                <w:smallCaps w:val="false"/>
                <w:sz w:val="24"/>
              </w:rPr>
              <w:t xml:space="preserve">of a Company stock option through a broker </w:t>
            </w:r>
            <w:r>
              <w:rPr>
                <w:rFonts w:ascii="Times New Roman;Times;serif" w:hAnsi="Times New Roman;Times;serif"/>
                <w:b w:val="false"/>
                <w:i/>
                <w:sz w:val="24"/>
              </w:rPr>
              <w:t xml:space="preserve">does </w:t>
            </w:r>
            <w:r>
              <w:rPr>
                <w:rFonts w:ascii="Times New Roman;Times;serif" w:hAnsi="Times New Roman;Times;serif"/>
                <w:b w:val="false"/>
                <w:i w:val="false"/>
                <w:caps w:val="false"/>
                <w:smallCaps w:val="false"/>
                <w:sz w:val="24"/>
              </w:rPr>
              <w:t>involve a market sale of the Company’s securities, and therefore would not qualify under this exception);</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4"/>
              </w:rPr>
              <w:t>bona</w:t>
            </w:r>
            <w:r>
              <w:rPr>
                <w:spacing w:val="-3"/>
              </w:rPr>
              <w:t xml:space="preserve"> </w:t>
            </w:r>
            <w:r>
              <w:rPr>
                <w:rFonts w:ascii="Times New Roman;Times;serif" w:hAnsi="Times New Roman;Times;serif"/>
                <w:b w:val="false"/>
                <w:i/>
                <w:sz w:val="24"/>
              </w:rPr>
              <w:t>fide</w:t>
            </w:r>
            <w:r>
              <w:rPr>
                <w:spacing w:val="-2"/>
              </w:rPr>
              <w:t xml:space="preserve"> </w:t>
            </w:r>
            <w:r>
              <w:rPr>
                <w:rFonts w:ascii="Times New Roman;Times;serif" w:hAnsi="Times New Roman;Times;serif"/>
                <w:b w:val="false"/>
                <w:i w:val="false"/>
                <w:caps w:val="false"/>
                <w:smallCaps w:val="false"/>
                <w:sz w:val="24"/>
              </w:rPr>
              <w:t>gifts</w:t>
            </w:r>
            <w:r>
              <w:rPr>
                <w:caps w:val="false"/>
                <w:smallCaps w:val="false"/>
                <w:spacing w:val="-1"/>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Company’s</w:t>
            </w:r>
            <w:r>
              <w:rPr>
                <w:caps w:val="false"/>
                <w:smallCaps w:val="false"/>
                <w:spacing w:val="-1"/>
              </w:rPr>
              <w:t xml:space="preserve"> </w:t>
            </w:r>
            <w:r>
              <w:rPr>
                <w:rFonts w:ascii="Times New Roman;Times;serif" w:hAnsi="Times New Roman;Times;serif"/>
                <w:b w:val="false"/>
                <w:i w:val="false"/>
                <w:caps w:val="false"/>
                <w:smallCaps w:val="false"/>
                <w:sz w:val="24"/>
              </w:rPr>
              <w:t>securities, except that gift transactions involving Company securities are subject to pre-clearance;</w:t>
            </w:r>
            <w:r>
              <w:rPr>
                <w:caps w:val="false"/>
                <w:smallCaps w:val="false"/>
                <w:spacing w:val="-1"/>
              </w:rPr>
              <w:t xml:space="preserve"> </w:t>
            </w:r>
            <w:r>
              <w:rPr>
                <w:rFonts w:ascii="Times New Roman;Times;serif" w:hAnsi="Times New Roman;Times;serif"/>
                <w:b w:val="false"/>
                <w:i w:val="false"/>
                <w:caps w:val="false"/>
                <w:smallCaps w:val="false"/>
                <w:spacing w:val="-5"/>
                <w:sz w:val="24"/>
              </w:rPr>
              <w:t>or</w:t>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purchases or sales of the Company’s securities made pursuant to any binding contract, specific instruction or written plan entered into while the purchaser or seller,</w:t>
            </w:r>
            <w:r>
              <w:rPr>
                <w:caps w:val="false"/>
                <w:smallCaps w:val="false"/>
                <w:spacing w:val="-14"/>
              </w:rPr>
              <w:t xml:space="preserve"> </w:t>
            </w:r>
            <w:r>
              <w:rPr>
                <w:rFonts w:ascii="Times New Roman;Times;serif" w:hAnsi="Times New Roman;Times;serif"/>
                <w:b w:val="false"/>
                <w:i w:val="false"/>
                <w:caps w:val="false"/>
                <w:smallCaps w:val="false"/>
                <w:sz w:val="24"/>
              </w:rPr>
              <w:t>as</w:t>
            </w:r>
            <w:r>
              <w:rPr>
                <w:caps w:val="false"/>
                <w:smallCaps w:val="false"/>
                <w:spacing w:val="-14"/>
              </w:rPr>
              <w:t xml:space="preserve"> </w:t>
            </w:r>
            <w:r>
              <w:rPr>
                <w:rFonts w:ascii="Times New Roman;Times;serif" w:hAnsi="Times New Roman;Times;serif"/>
                <w:b w:val="false"/>
                <w:i w:val="false"/>
                <w:caps w:val="false"/>
                <w:smallCaps w:val="false"/>
                <w:sz w:val="24"/>
              </w:rPr>
              <w:t>applicable,</w:t>
            </w:r>
            <w:r>
              <w:rPr>
                <w:caps w:val="false"/>
                <w:smallCaps w:val="false"/>
                <w:spacing w:val="-14"/>
              </w:rPr>
              <w:t xml:space="preserve"> </w:t>
            </w:r>
            <w:r>
              <w:rPr>
                <w:rFonts w:ascii="Times New Roman;Times;serif" w:hAnsi="Times New Roman;Times;serif"/>
                <w:b w:val="false"/>
                <w:i w:val="false"/>
                <w:caps w:val="false"/>
                <w:smallCaps w:val="false"/>
                <w:sz w:val="24"/>
              </w:rPr>
              <w:t>was</w:t>
            </w:r>
            <w:r>
              <w:rPr>
                <w:caps w:val="false"/>
                <w:smallCaps w:val="false"/>
                <w:spacing w:val="-11"/>
              </w:rPr>
              <w:t xml:space="preserve"> </w:t>
            </w:r>
            <w:r>
              <w:rPr>
                <w:rFonts w:ascii="Times New Roman;Times;serif" w:hAnsi="Times New Roman;Times;serif"/>
                <w:b w:val="false"/>
                <w:i w:val="false"/>
                <w:caps w:val="false"/>
                <w:smallCaps w:val="false"/>
                <w:sz w:val="24"/>
              </w:rPr>
              <w:t>unaware</w:t>
            </w:r>
            <w:r>
              <w:rPr>
                <w:caps w:val="false"/>
                <w:smallCaps w:val="false"/>
                <w:spacing w:val="-15"/>
              </w:rPr>
              <w:t xml:space="preserve"> </w:t>
            </w:r>
            <w:r>
              <w:rPr>
                <w:rFonts w:ascii="Times New Roman;Times;serif" w:hAnsi="Times New Roman;Times;serif"/>
                <w:b w:val="false"/>
                <w:i w:val="false"/>
                <w:caps w:val="false"/>
                <w:smallCaps w:val="false"/>
                <w:sz w:val="24"/>
              </w:rPr>
              <w:t>of</w:t>
            </w:r>
            <w:r>
              <w:rPr>
                <w:caps w:val="false"/>
                <w:smallCaps w:val="false"/>
                <w:spacing w:val="-15"/>
              </w:rPr>
              <w:t xml:space="preserve"> </w:t>
            </w:r>
            <w:r>
              <w:rPr>
                <w:rFonts w:ascii="Times New Roman;Times;serif" w:hAnsi="Times New Roman;Times;serif"/>
                <w:b w:val="false"/>
                <w:i w:val="false"/>
                <w:caps w:val="false"/>
                <w:smallCaps w:val="false"/>
                <w:sz w:val="24"/>
              </w:rPr>
              <w:t>any</w:t>
            </w:r>
            <w:r>
              <w:rPr>
                <w:caps w:val="false"/>
                <w:smallCaps w:val="false"/>
                <w:spacing w:val="-14"/>
              </w:rPr>
              <w:t xml:space="preserve"> </w:t>
            </w:r>
            <w:r>
              <w:rPr>
                <w:rFonts w:ascii="Times New Roman;Times;serif" w:hAnsi="Times New Roman;Times;serif"/>
                <w:b w:val="false"/>
                <w:i w:val="false"/>
                <w:caps w:val="false"/>
                <w:smallCaps w:val="false"/>
                <w:sz w:val="24"/>
              </w:rPr>
              <w:t>material</w:t>
            </w:r>
            <w:r>
              <w:rPr>
                <w:caps w:val="false"/>
                <w:smallCaps w:val="false"/>
                <w:spacing w:val="-14"/>
              </w:rPr>
              <w:t xml:space="preserve"> </w:t>
            </w:r>
            <w:r>
              <w:rPr>
                <w:rFonts w:ascii="Times New Roman;Times;serif" w:hAnsi="Times New Roman;Times;serif"/>
                <w:b w:val="false"/>
                <w:i w:val="false"/>
                <w:caps w:val="false"/>
                <w:smallCaps w:val="false"/>
                <w:sz w:val="24"/>
              </w:rPr>
              <w:t>nonpublic</w:t>
            </w:r>
            <w:r>
              <w:rPr>
                <w:caps w:val="false"/>
                <w:smallCaps w:val="false"/>
                <w:spacing w:val="-15"/>
              </w:rPr>
              <w:t xml:space="preserve"> </w:t>
            </w:r>
            <w:r>
              <w:rPr>
                <w:rFonts w:ascii="Times New Roman;Times;serif" w:hAnsi="Times New Roman;Times;serif"/>
                <w:b w:val="false"/>
                <w:i w:val="false"/>
                <w:caps w:val="false"/>
                <w:smallCaps w:val="false"/>
                <w:sz w:val="24"/>
              </w:rPr>
              <w:t>information</w:t>
            </w:r>
            <w:r>
              <w:rPr>
                <w:caps w:val="false"/>
                <w:smallCaps w:val="false"/>
                <w:spacing w:val="-14"/>
              </w:rPr>
              <w:t xml:space="preserve"> </w:t>
            </w:r>
            <w:r>
              <w:rPr>
                <w:rFonts w:ascii="Times New Roman;Times;serif" w:hAnsi="Times New Roman;Times;serif"/>
                <w:b w:val="false"/>
                <w:i w:val="false"/>
                <w:caps w:val="false"/>
                <w:smallCaps w:val="false"/>
                <w:sz w:val="24"/>
              </w:rPr>
              <w:t>and</w:t>
            </w:r>
            <w:r>
              <w:rPr>
                <w:caps w:val="false"/>
                <w:smallCaps w:val="false"/>
                <w:spacing w:val="-14"/>
              </w:rPr>
              <w:t xml:space="preserve"> </w:t>
            </w:r>
            <w:r>
              <w:rPr>
                <w:rFonts w:ascii="Times New Roman;Times;serif" w:hAnsi="Times New Roman;Times;serif"/>
                <w:b w:val="false"/>
                <w:i w:val="false"/>
                <w:caps w:val="false"/>
                <w:smallCaps w:val="false"/>
                <w:sz w:val="24"/>
              </w:rPr>
              <w:t>which contract, instruction, or plan (i) meets all requirements of the affirmative defense provided by Rule 10b5-1 (“</w:t>
            </w:r>
            <w:r>
              <w:rPr>
                <w:rFonts w:ascii="Times New Roman;Times;serif" w:hAnsi="Times New Roman;Times;serif"/>
                <w:b w:val="false"/>
                <w:i w:val="false"/>
                <w:caps w:val="false"/>
                <w:smallCaps w:val="false"/>
                <w:sz w:val="24"/>
                <w:u w:val="single"/>
              </w:rPr>
              <w:t>Rule 10b5-1</w:t>
            </w:r>
            <w:r>
              <w:rPr>
                <w:caps w:val="false"/>
                <w:smallCaps w:val="false"/>
              </w:rPr>
              <w:t>”</w:t>
            </w:r>
            <w:r>
              <w:rPr>
                <w:rFonts w:ascii="Times New Roman;Times;serif" w:hAnsi="Times New Roman;Times;serif"/>
                <w:b w:val="false"/>
                <w:i w:val="false"/>
                <w:caps w:val="false"/>
                <w:smallCaps w:val="false"/>
                <w:sz w:val="24"/>
              </w:rPr>
              <w:t xml:space="preserve">) promulgated under the </w:t>
            </w:r>
            <w:r>
              <w:rPr>
                <w:rFonts w:ascii="Times New Roman;Times;serif" w:hAnsi="Times New Roman;Times;serif"/>
                <w:b w:val="false"/>
                <w:i w:val="false"/>
                <w:caps w:val="false"/>
                <w:smallCaps w:val="false"/>
                <w:sz w:val="24"/>
                <w:u w:val="single"/>
              </w:rPr>
              <w:t>1934</w:t>
            </w:r>
            <w:r>
              <w:rPr>
                <w:caps w:val="false"/>
                <w:smallCaps w:val="false"/>
                <w:spacing w:val="-13"/>
                <w:u w:val="single"/>
              </w:rPr>
              <w:t xml:space="preserve"> </w:t>
            </w:r>
            <w:r>
              <w:rPr>
                <w:rFonts w:ascii="Times New Roman;Times;serif" w:hAnsi="Times New Roman;Times;serif"/>
                <w:b w:val="false"/>
                <w:i w:val="false"/>
                <w:caps w:val="false"/>
                <w:smallCaps w:val="false"/>
                <w:sz w:val="24"/>
                <w:u w:val="single"/>
              </w:rPr>
              <w:t>Act</w:t>
            </w:r>
            <w:r>
              <w:rPr>
                <w:rFonts w:ascii="Times New Roman;Times;serif" w:hAnsi="Times New Roman;Times;serif"/>
                <w:b w:val="false"/>
                <w:i w:val="false"/>
                <w:caps w:val="false"/>
                <w:smallCaps w:val="false"/>
                <w:sz w:val="24"/>
              </w:rPr>
              <w:t>,</w:t>
            </w:r>
            <w:r>
              <w:rPr>
                <w:caps w:val="false"/>
                <w:smallCaps w:val="false"/>
                <w:spacing w:val="-15"/>
              </w:rPr>
              <w:t xml:space="preserve"> </w:t>
            </w:r>
            <w:r>
              <w:rPr>
                <w:rFonts w:ascii="Times New Roman;Times;serif" w:hAnsi="Times New Roman;Times;serif"/>
                <w:b w:val="false"/>
                <w:i w:val="false"/>
                <w:caps w:val="false"/>
                <w:smallCaps w:val="false"/>
                <w:sz w:val="24"/>
              </w:rPr>
              <w:t>(ii)</w:t>
            </w:r>
            <w:r>
              <w:rPr>
                <w:caps w:val="false"/>
                <w:smallCaps w:val="false"/>
                <w:spacing w:val="-15"/>
              </w:rPr>
              <w:t xml:space="preserve"> </w:t>
            </w:r>
            <w:r>
              <w:rPr>
                <w:rFonts w:ascii="Times New Roman;Times;serif" w:hAnsi="Times New Roman;Times;serif"/>
                <w:b w:val="false"/>
                <w:i w:val="false"/>
                <w:caps w:val="false"/>
                <w:smallCaps w:val="false"/>
                <w:sz w:val="24"/>
              </w:rPr>
              <w:t>was</w:t>
            </w:r>
            <w:r>
              <w:rPr>
                <w:caps w:val="false"/>
                <w:smallCaps w:val="false"/>
                <w:spacing w:val="-15"/>
              </w:rPr>
              <w:t xml:space="preserve"> </w:t>
            </w:r>
            <w:r>
              <w:rPr>
                <w:rFonts w:ascii="Times New Roman;Times;serif" w:hAnsi="Times New Roman;Times;serif"/>
                <w:b w:val="false"/>
                <w:i w:val="false"/>
                <w:caps w:val="false"/>
                <w:smallCaps w:val="false"/>
                <w:sz w:val="24"/>
              </w:rPr>
              <w:t>precleared</w:t>
            </w:r>
            <w:r>
              <w:rPr>
                <w:caps w:val="false"/>
                <w:smallCaps w:val="false"/>
                <w:spacing w:val="-13"/>
              </w:rPr>
              <w:t xml:space="preserve"> </w:t>
            </w:r>
            <w:r>
              <w:rPr>
                <w:rFonts w:ascii="Times New Roman;Times;serif" w:hAnsi="Times New Roman;Times;serif"/>
                <w:b w:val="false"/>
                <w:i w:val="false"/>
                <w:caps w:val="false"/>
                <w:smallCaps w:val="false"/>
                <w:sz w:val="24"/>
              </w:rPr>
              <w:t>in</w:t>
            </w:r>
            <w:r>
              <w:rPr>
                <w:caps w:val="false"/>
                <w:smallCaps w:val="false"/>
                <w:spacing w:val="-15"/>
              </w:rPr>
              <w:t xml:space="preserve"> </w:t>
            </w:r>
            <w:r>
              <w:rPr>
                <w:rFonts w:ascii="Times New Roman;Times;serif" w:hAnsi="Times New Roman;Times;serif"/>
                <w:b w:val="false"/>
                <w:i w:val="false"/>
                <w:caps w:val="false"/>
                <w:smallCaps w:val="false"/>
                <w:sz w:val="24"/>
              </w:rPr>
              <w:t>advance pursuant to this Policy and (iii) has not been amended or modified in any respect after such initial preclearance without such amendment or modification being precleared in advance pursuant to this Policy.</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240" w:after="0"/>
        <w:ind w:left="180" w:right="0" w:hanging="1379"/>
        <w:jc w:val="left"/>
        <w:rPr>
          <w:rFonts w:ascii="Times New Roman;Times;serif" w:hAnsi="Times New Roman;Times;serif"/>
          <w:b/>
          <w:sz w:val="24"/>
        </w:rPr>
      </w:pPr>
      <w:bookmarkStart w:id="2423" w:name="_Toc184126915"/>
      <w:bookmarkStart w:id="2424" w:name="E._Limitations_on_Access_to_Company_Info"/>
      <w:bookmarkStart w:id="2425" w:name="2._Inquiries_From_Third_Parties"/>
      <w:bookmarkStart w:id="2426" w:name="1._Access_to_Information"/>
      <w:bookmarkStart w:id="2427" w:name="D._Information_Relating_to_the_Company"/>
      <w:bookmarkStart w:id="2428" w:name="C._Post-Termination_Transactions"/>
      <w:bookmarkEnd w:id="2423"/>
      <w:bookmarkEnd w:id="2424"/>
      <w:bookmarkEnd w:id="2425"/>
      <w:bookmarkEnd w:id="2426"/>
      <w:bookmarkEnd w:id="2427"/>
      <w:bookmarkEnd w:id="2428"/>
      <w:r>
        <w:rPr>
          <w:rFonts w:ascii="Times New Roman;Times;serif" w:hAnsi="Times New Roman;Times;serif"/>
          <w:b/>
          <w:sz w:val="24"/>
        </w:rPr>
        <w:t>Additional</w:t>
      </w:r>
      <w:r>
        <w:rPr>
          <w:rFonts w:ascii="Times New Roman;Times;serif" w:hAnsi="Times New Roman;Times;serif"/>
          <w:b/>
          <w:spacing w:val="-5"/>
          <w:sz w:val="24"/>
        </w:rPr>
        <w:t xml:space="preserve"> </w:t>
      </w:r>
      <w:r>
        <w:rPr>
          <w:rFonts w:ascii="Times New Roman;Times;serif" w:hAnsi="Times New Roman;Times;serif"/>
          <w:b/>
          <w:sz w:val="24"/>
        </w:rPr>
        <w:t>Prohibited</w:t>
      </w:r>
      <w:r>
        <w:rPr>
          <w:rFonts w:ascii="Times New Roman;Times;serif" w:hAnsi="Times New Roman;Times;serif"/>
          <w:b/>
          <w:spacing w:val="-5"/>
          <w:sz w:val="24"/>
        </w:rPr>
        <w:t xml:space="preserve"> </w:t>
      </w:r>
      <w:r>
        <w:rPr>
          <w:rFonts w:ascii="Times New Roman;Times;serif" w:hAnsi="Times New Roman;Times;serif"/>
          <w:b/>
          <w:spacing w:val="-2"/>
          <w:sz w:val="24"/>
        </w:rPr>
        <w:t>Transactions</w:t>
      </w:r>
    </w:p>
    <w:p>
      <w:pPr>
        <w:pStyle w:val="TextBody"/>
        <w:bidi w:val="0"/>
        <w:spacing w:before="240" w:after="0"/>
        <w:ind w:left="120" w:right="116" w:firstLine="720"/>
        <w:jc w:val="both"/>
        <w:rPr>
          <w:rFonts w:ascii="Times New Roman;Times;serif" w:hAnsi="Times New Roman;Times;serif"/>
          <w:sz w:val="24"/>
        </w:rPr>
      </w:pPr>
      <w:r>
        <w:rPr>
          <w:rFonts w:ascii="Times New Roman;Times;serif" w:hAnsi="Times New Roman;Times;serif"/>
          <w:sz w:val="24"/>
        </w:rPr>
        <w:t>The</w:t>
      </w:r>
      <w:r>
        <w:rPr>
          <w:rFonts w:ascii="Times New Roman;Times;serif" w:hAnsi="Times New Roman;Times;serif"/>
          <w:spacing w:val="-9"/>
          <w:sz w:val="24"/>
        </w:rPr>
        <w:t xml:space="preserve"> </w:t>
      </w:r>
      <w:r>
        <w:rPr>
          <w:rFonts w:ascii="Times New Roman;Times;serif" w:hAnsi="Times New Roman;Times;serif"/>
          <w:sz w:val="24"/>
        </w:rPr>
        <w:t>Company</w:t>
      </w:r>
      <w:r>
        <w:rPr>
          <w:rFonts w:ascii="Times New Roman;Times;serif" w:hAnsi="Times New Roman;Times;serif"/>
          <w:spacing w:val="-8"/>
          <w:sz w:val="24"/>
        </w:rPr>
        <w:t xml:space="preserve"> </w:t>
      </w:r>
      <w:r>
        <w:rPr>
          <w:rFonts w:ascii="Times New Roman;Times;serif" w:hAnsi="Times New Roman;Times;serif"/>
          <w:sz w:val="24"/>
        </w:rPr>
        <w:t>has</w:t>
      </w:r>
      <w:r>
        <w:rPr>
          <w:rFonts w:ascii="Times New Roman;Times;serif" w:hAnsi="Times New Roman;Times;serif"/>
          <w:spacing w:val="-8"/>
          <w:sz w:val="24"/>
        </w:rPr>
        <w:t xml:space="preserve"> </w:t>
      </w:r>
      <w:r>
        <w:rPr>
          <w:rFonts w:ascii="Times New Roman;Times;serif" w:hAnsi="Times New Roman;Times;serif"/>
          <w:sz w:val="24"/>
        </w:rPr>
        <w:t>determined</w:t>
      </w:r>
      <w:r>
        <w:rPr>
          <w:rFonts w:ascii="Times New Roman;Times;serif" w:hAnsi="Times New Roman;Times;serif"/>
          <w:spacing w:val="-8"/>
          <w:sz w:val="24"/>
        </w:rPr>
        <w:t xml:space="preserve"> </w:t>
      </w:r>
      <w:r>
        <w:rPr>
          <w:rFonts w:ascii="Times New Roman;Times;serif" w:hAnsi="Times New Roman;Times;serif"/>
          <w:sz w:val="24"/>
        </w:rPr>
        <w:t>that</w:t>
      </w:r>
      <w:r>
        <w:rPr>
          <w:rFonts w:ascii="Times New Roman;Times;serif" w:hAnsi="Times New Roman;Times;serif"/>
          <w:spacing w:val="-8"/>
          <w:sz w:val="24"/>
        </w:rPr>
        <w:t xml:space="preserve"> </w:t>
      </w:r>
      <w:r>
        <w:rPr>
          <w:rFonts w:ascii="Times New Roman;Times;serif" w:hAnsi="Times New Roman;Times;serif"/>
          <w:sz w:val="24"/>
        </w:rPr>
        <w:t>there</w:t>
      </w:r>
      <w:r>
        <w:rPr>
          <w:rFonts w:ascii="Times New Roman;Times;serif" w:hAnsi="Times New Roman;Times;serif"/>
          <w:spacing w:val="-9"/>
          <w:sz w:val="24"/>
        </w:rPr>
        <w:t xml:space="preserve"> </w:t>
      </w:r>
      <w:r>
        <w:rPr>
          <w:rFonts w:ascii="Times New Roman;Times;serif" w:hAnsi="Times New Roman;Times;serif"/>
          <w:sz w:val="24"/>
        </w:rPr>
        <w:t>is</w:t>
      </w:r>
      <w:r>
        <w:rPr>
          <w:rFonts w:ascii="Times New Roman;Times;serif" w:hAnsi="Times New Roman;Times;serif"/>
          <w:spacing w:val="-8"/>
          <w:sz w:val="24"/>
        </w:rPr>
        <w:t xml:space="preserve"> </w:t>
      </w:r>
      <w:r>
        <w:rPr>
          <w:rFonts w:ascii="Times New Roman;Times;serif" w:hAnsi="Times New Roman;Times;serif"/>
          <w:sz w:val="24"/>
        </w:rPr>
        <w:t>a</w:t>
      </w:r>
      <w:r>
        <w:rPr>
          <w:rFonts w:ascii="Times New Roman;Times;serif" w:hAnsi="Times New Roman;Times;serif"/>
          <w:spacing w:val="-9"/>
          <w:sz w:val="24"/>
        </w:rPr>
        <w:t xml:space="preserve"> </w:t>
      </w:r>
      <w:r>
        <w:rPr>
          <w:rFonts w:ascii="Times New Roman;Times;serif" w:hAnsi="Times New Roman;Times;serif"/>
          <w:sz w:val="24"/>
        </w:rPr>
        <w:t>heightened</w:t>
      </w:r>
      <w:r>
        <w:rPr>
          <w:rFonts w:ascii="Times New Roman;Times;serif" w:hAnsi="Times New Roman;Times;serif"/>
          <w:spacing w:val="-8"/>
          <w:sz w:val="24"/>
        </w:rPr>
        <w:t xml:space="preserve"> </w:t>
      </w:r>
      <w:r>
        <w:rPr>
          <w:rFonts w:ascii="Times New Roman;Times;serif" w:hAnsi="Times New Roman;Times;serif"/>
          <w:sz w:val="24"/>
        </w:rPr>
        <w:t>legal</w:t>
      </w:r>
      <w:r>
        <w:rPr>
          <w:rFonts w:ascii="Times New Roman;Times;serif" w:hAnsi="Times New Roman;Times;serif"/>
          <w:spacing w:val="-8"/>
          <w:sz w:val="24"/>
        </w:rPr>
        <w:t xml:space="preserve"> </w:t>
      </w:r>
      <w:r>
        <w:rPr>
          <w:rFonts w:ascii="Times New Roman;Times;serif" w:hAnsi="Times New Roman;Times;serif"/>
          <w:sz w:val="24"/>
        </w:rPr>
        <w:t>risk</w:t>
      </w:r>
      <w:r>
        <w:rPr>
          <w:rFonts w:ascii="Times New Roman;Times;serif" w:hAnsi="Times New Roman;Times;serif"/>
          <w:spacing w:val="-8"/>
          <w:sz w:val="24"/>
        </w:rPr>
        <w:t xml:space="preserve"> </w:t>
      </w:r>
      <w:r>
        <w:rPr>
          <w:rFonts w:ascii="Times New Roman;Times;serif" w:hAnsi="Times New Roman;Times;serif"/>
          <w:sz w:val="24"/>
        </w:rPr>
        <w:t>and/or</w:t>
      </w:r>
      <w:r>
        <w:rPr>
          <w:rFonts w:ascii="Times New Roman;Times;serif" w:hAnsi="Times New Roman;Times;serif"/>
          <w:spacing w:val="-9"/>
          <w:sz w:val="24"/>
        </w:rPr>
        <w:t xml:space="preserve"> </w:t>
      </w:r>
      <w:r>
        <w:rPr>
          <w:rFonts w:ascii="Times New Roman;Times;serif" w:hAnsi="Times New Roman;Times;serif"/>
          <w:sz w:val="24"/>
        </w:rPr>
        <w:t>the</w:t>
      </w:r>
      <w:r>
        <w:rPr>
          <w:rFonts w:ascii="Times New Roman;Times;serif" w:hAnsi="Times New Roman;Times;serif"/>
          <w:spacing w:val="-9"/>
          <w:sz w:val="24"/>
        </w:rPr>
        <w:t xml:space="preserve"> </w:t>
      </w:r>
      <w:r>
        <w:rPr>
          <w:rFonts w:ascii="Times New Roman;Times;serif" w:hAnsi="Times New Roman;Times;serif"/>
          <w:sz w:val="24"/>
        </w:rPr>
        <w:t>appearance</w:t>
      </w:r>
      <w:r>
        <w:rPr>
          <w:rFonts w:ascii="Times New Roman;Times;serif" w:hAnsi="Times New Roman;Times;serif"/>
          <w:spacing w:val="-9"/>
          <w:sz w:val="24"/>
        </w:rPr>
        <w:t xml:space="preserve"> </w:t>
      </w:r>
      <w:r>
        <w:rPr>
          <w:rFonts w:ascii="Times New Roman;Times;serif" w:hAnsi="Times New Roman;Times;serif"/>
          <w:sz w:val="24"/>
        </w:rPr>
        <w:t>of improper or inappropriate conduct if the persons subject to this Policy engage in certain types of transactions.</w:t>
      </w:r>
      <w:r>
        <w:rPr>
          <w:rFonts w:ascii="Times New Roman;Times;serif" w:hAnsi="Times New Roman;Times;serif"/>
          <w:spacing w:val="40"/>
          <w:sz w:val="24"/>
        </w:rPr>
        <w:t xml:space="preserve"> </w:t>
      </w:r>
      <w:r>
        <w:rPr>
          <w:rFonts w:ascii="Times New Roman;Times;serif" w:hAnsi="Times New Roman;Times;serif"/>
          <w:sz w:val="24"/>
        </w:rPr>
        <w:t>Therefore, officers, directors, and employees shall comply with the following policies with respect to certain transactions in the Company securities:</w:t>
      </w:r>
    </w:p>
    <w:p>
      <w:pPr>
        <w:pStyle w:val="TextBody"/>
        <w:pBdr/>
        <w:bidi w:val="0"/>
        <w:spacing w:before="240" w:after="0"/>
        <w:ind w:left="840" w:right="0" w:hanging="719"/>
        <w:jc w:val="left"/>
        <w:rPr>
          <w:rFonts w:ascii="Times New Roman;Times;serif" w:hAnsi="Times New Roman;Times;serif"/>
          <w:sz w:val="22"/>
        </w:rPr>
      </w:pPr>
      <w:bookmarkStart w:id="2429" w:name="A._Short_Sales"/>
      <w:bookmarkEnd w:id="2429"/>
      <w:r>
        <w:rPr>
          <w:rFonts w:ascii="Times New Roman;Times;serif" w:hAnsi="Times New Roman;Times;serif"/>
          <w:b/>
          <w:sz w:val="24"/>
        </w:rPr>
        <w:t>Short</w:t>
      </w:r>
      <w:r>
        <w:rPr>
          <w:rFonts w:ascii="Times New Roman;Times;serif" w:hAnsi="Times New Roman;Times;serif"/>
          <w:spacing w:val="-2"/>
          <w:sz w:val="22"/>
        </w:rPr>
        <w:t xml:space="preserve"> </w:t>
      </w:r>
      <w:r>
        <w:rPr>
          <w:rFonts w:ascii="Times New Roman;Times;serif" w:hAnsi="Times New Roman;Times;serif"/>
          <w:b/>
          <w:spacing w:val="-2"/>
          <w:sz w:val="24"/>
        </w:rPr>
        <w:t>Sales</w:t>
      </w:r>
    </w:p>
    <w:p>
      <w:pPr>
        <w:pStyle w:val="TextBody"/>
        <w:bidi w:val="0"/>
        <w:spacing w:before="240" w:after="0"/>
        <w:ind w:left="119" w:right="112" w:firstLine="720"/>
        <w:jc w:val="both"/>
        <w:rPr>
          <w:rFonts w:ascii="Times New Roman;Times;serif" w:hAnsi="Times New Roman;Times;serif"/>
          <w:sz w:val="24"/>
        </w:rPr>
      </w:pPr>
      <w:r>
        <w:rPr>
          <w:rFonts w:ascii="Times New Roman;Times;serif" w:hAnsi="Times New Roman;Times;serif"/>
          <w:sz w:val="24"/>
        </w:rPr>
        <w:t>Short sales are s</w:t>
      </w:r>
      <w:r>
        <w:rPr>
          <w:rFonts w:ascii="Times New Roman;Times;serif" w:hAnsi="Times New Roman;Times;serif"/>
          <w:spacing w:val="-3"/>
          <w:sz w:val="24"/>
        </w:rPr>
        <w:t>ales of shares that the insider does not own at the time of sale, or sales of shares against which the insider does not deliver the shares within 20 days after the sale</w:t>
      </w:r>
      <w:r>
        <w:rPr>
          <w:rFonts w:ascii="Times New Roman;Times;serif" w:hAnsi="Times New Roman;Times;serif"/>
          <w:sz w:val="24"/>
        </w:rPr>
        <w:t>. Short sales of the Company’s securities evidence an expectation on the part of the seller that the securities will decline in value, and therefore signal to the market that the seller has no confidence in the Company or its short-term prospects.</w:t>
      </w:r>
      <w:r>
        <w:rPr>
          <w:rFonts w:ascii="Times New Roman;Times;serif" w:hAnsi="Times New Roman;Times;serif"/>
          <w:spacing w:val="40"/>
          <w:sz w:val="24"/>
        </w:rPr>
        <w:t xml:space="preserve"> </w:t>
      </w:r>
      <w:r>
        <w:rPr>
          <w:rFonts w:ascii="Times New Roman;Times;serif" w:hAnsi="Times New Roman;Times;serif"/>
          <w:sz w:val="24"/>
        </w:rPr>
        <w:t>In addition, short sales may reduce the seller’s incentive to improve the Company’s performance.</w:t>
      </w:r>
      <w:r>
        <w:rPr>
          <w:rFonts w:ascii="Times New Roman;Times;serif" w:hAnsi="Times New Roman;Times;serif"/>
          <w:spacing w:val="40"/>
          <w:sz w:val="24"/>
        </w:rPr>
        <w:t xml:space="preserve"> </w:t>
      </w:r>
      <w:r>
        <w:rPr>
          <w:rFonts w:ascii="Times New Roman;Times;serif" w:hAnsi="Times New Roman;Times;serif"/>
          <w:sz w:val="24"/>
        </w:rPr>
        <w:t xml:space="preserve">For these reasons, short sales of the Company’s securities are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19" w:right="112" w:hanging="0"/>
        <w:jc w:val="both"/>
        <w:rPr>
          <w:rFonts w:ascii="Times New Roman;Times;serif" w:hAnsi="Times New Roman;Times;serif"/>
          <w:sz w:val="24"/>
        </w:rPr>
      </w:pPr>
      <w:r>
        <w:rPr>
          <w:rFonts w:ascii="Times New Roman;Times;serif" w:hAnsi="Times New Roman;Times;serif"/>
          <w:sz w:val="24"/>
        </w:rPr>
        <w:t>prohibited by this Policy.</w:t>
      </w:r>
      <w:r>
        <w:rPr>
          <w:rFonts w:ascii="Times New Roman;Times;serif" w:hAnsi="Times New Roman;Times;serif"/>
          <w:spacing w:val="40"/>
          <w:sz w:val="24"/>
        </w:rPr>
        <w:t xml:space="preserve"> </w:t>
      </w:r>
      <w:r>
        <w:rPr>
          <w:rFonts w:ascii="Times New Roman;Times;serif" w:hAnsi="Times New Roman;Times;serif"/>
          <w:sz w:val="24"/>
        </w:rPr>
        <w:t>In</w:t>
      </w:r>
      <w:r>
        <w:rPr>
          <w:rFonts w:ascii="Times New Roman;Times;serif" w:hAnsi="Times New Roman;Times;serif"/>
          <w:spacing w:val="-1"/>
          <w:sz w:val="24"/>
        </w:rPr>
        <w:t xml:space="preserve"> </w:t>
      </w:r>
      <w:r>
        <w:rPr>
          <w:rFonts w:ascii="Times New Roman;Times;serif" w:hAnsi="Times New Roman;Times;serif"/>
          <w:sz w:val="24"/>
        </w:rPr>
        <w:t>addition,</w:t>
      </w:r>
      <w:r>
        <w:rPr>
          <w:rFonts w:ascii="Times New Roman;Times;serif" w:hAnsi="Times New Roman;Times;serif"/>
          <w:spacing w:val="-1"/>
          <w:sz w:val="24"/>
        </w:rPr>
        <w:t xml:space="preserve"> </w:t>
      </w:r>
      <w:r>
        <w:rPr>
          <w:rFonts w:ascii="Times New Roman;Times;serif" w:hAnsi="Times New Roman;Times;serif"/>
          <w:sz w:val="24"/>
        </w:rPr>
        <w:t>as</w:t>
      </w:r>
      <w:r>
        <w:rPr>
          <w:rFonts w:ascii="Times New Roman;Times;serif" w:hAnsi="Times New Roman;Times;serif"/>
          <w:spacing w:val="-3"/>
          <w:sz w:val="24"/>
        </w:rPr>
        <w:t xml:space="preserve"> </w:t>
      </w:r>
      <w:r>
        <w:rPr>
          <w:rFonts w:ascii="Times New Roman;Times;serif" w:hAnsi="Times New Roman;Times;serif"/>
          <w:sz w:val="24"/>
        </w:rPr>
        <w:t>noted</w:t>
      </w:r>
      <w:r>
        <w:rPr>
          <w:rFonts w:ascii="Times New Roman;Times;serif" w:hAnsi="Times New Roman;Times;serif"/>
          <w:spacing w:val="-4"/>
          <w:sz w:val="24"/>
        </w:rPr>
        <w:t xml:space="preserve"> </w:t>
      </w:r>
      <w:r>
        <w:rPr>
          <w:rFonts w:ascii="Times New Roman;Times;serif" w:hAnsi="Times New Roman;Times;serif"/>
          <w:sz w:val="24"/>
        </w:rPr>
        <w:t>below,</w:t>
      </w:r>
      <w:r>
        <w:rPr>
          <w:rFonts w:ascii="Times New Roman;Times;serif" w:hAnsi="Times New Roman;Times;serif"/>
          <w:spacing w:val="-4"/>
          <w:sz w:val="24"/>
        </w:rPr>
        <w:t xml:space="preserve"> </w:t>
      </w:r>
      <w:r>
        <w:rPr>
          <w:rFonts w:ascii="Times New Roman;Times;serif" w:hAnsi="Times New Roman;Times;serif"/>
          <w:sz w:val="24"/>
        </w:rPr>
        <w:t>Section</w:t>
      </w:r>
      <w:r>
        <w:rPr>
          <w:rFonts w:ascii="Times New Roman;Times;serif" w:hAnsi="Times New Roman;Times;serif"/>
          <w:spacing w:val="-1"/>
          <w:sz w:val="24"/>
        </w:rPr>
        <w:t xml:space="preserve"> </w:t>
      </w:r>
      <w:r>
        <w:rPr>
          <w:rFonts w:ascii="Times New Roman;Times;serif" w:hAnsi="Times New Roman;Times;serif"/>
          <w:sz w:val="24"/>
        </w:rPr>
        <w:t>16(c)</w:t>
      </w:r>
      <w:r>
        <w:rPr>
          <w:rFonts w:ascii="Times New Roman;Times;serif" w:hAnsi="Times New Roman;Times;serif"/>
          <w:spacing w:val="-2"/>
          <w:sz w:val="24"/>
        </w:rPr>
        <w:t xml:space="preserve"> </w:t>
      </w:r>
      <w:r>
        <w:rPr>
          <w:rFonts w:ascii="Times New Roman;Times;serif" w:hAnsi="Times New Roman;Times;serif"/>
          <w:sz w:val="24"/>
        </w:rPr>
        <w:t>of the 1934 Act absolutely prohibits Section 16 reporting persons from making short sales of the Company’s</w:t>
      </w:r>
      <w:r>
        <w:rPr>
          <w:rFonts w:ascii="Times New Roman;Times;serif" w:hAnsi="Times New Roman;Times;serif"/>
          <w:spacing w:val="-13"/>
          <w:sz w:val="24"/>
        </w:rPr>
        <w:t xml:space="preserve"> </w:t>
      </w:r>
      <w:r>
        <w:rPr>
          <w:rFonts w:ascii="Times New Roman;Times;serif" w:hAnsi="Times New Roman;Times;serif"/>
          <w:sz w:val="24"/>
        </w:rPr>
        <w:t>equity</w:t>
      </w:r>
      <w:r>
        <w:rPr>
          <w:rFonts w:ascii="Times New Roman;Times;serif" w:hAnsi="Times New Roman;Times;serif"/>
          <w:spacing w:val="-15"/>
          <w:sz w:val="24"/>
        </w:rPr>
        <w:t xml:space="preserve"> </w:t>
      </w:r>
      <w:r>
        <w:rPr>
          <w:rFonts w:ascii="Times New Roman;Times;serif" w:hAnsi="Times New Roman;Times;serif"/>
          <w:sz w:val="24"/>
        </w:rPr>
        <w:t>securities.</w:t>
      </w:r>
    </w:p>
    <w:p>
      <w:pPr>
        <w:pStyle w:val="TextBody"/>
        <w:bidi w:val="0"/>
        <w:spacing w:before="240" w:after="0"/>
        <w:ind w:left="119" w:right="112" w:firstLine="720"/>
        <w:jc w:val="both"/>
        <w:rPr/>
      </w:pPr>
      <w:r>
        <w:rPr/>
        <w:t>​</w:t>
      </w:r>
    </w:p>
    <w:p>
      <w:pPr>
        <w:pStyle w:val="TextBody"/>
        <w:bidi w:val="0"/>
        <w:spacing w:before="240" w:after="0"/>
        <w:ind w:left="119" w:right="112" w:firstLine="720"/>
        <w:jc w:val="both"/>
        <w:rPr/>
      </w:pPr>
      <w:r>
        <w:rPr/>
        <w:t>​</w:t>
      </w:r>
    </w:p>
    <w:p>
      <w:pPr>
        <w:pStyle w:val="TextBody"/>
        <w:pBdr/>
        <w:bidi w:val="0"/>
        <w:spacing w:before="238" w:after="0"/>
        <w:ind w:left="840" w:right="0" w:hanging="719"/>
        <w:jc w:val="left"/>
        <w:rPr>
          <w:rFonts w:ascii="Times New Roman;Times;serif" w:hAnsi="Times New Roman;Times;serif"/>
          <w:sz w:val="22"/>
        </w:rPr>
      </w:pPr>
      <w:bookmarkStart w:id="2430" w:name="B._Publicly_Traded_Options"/>
      <w:bookmarkEnd w:id="2430"/>
      <w:r>
        <w:rPr>
          <w:rFonts w:ascii="Times New Roman;Times;serif" w:hAnsi="Times New Roman;Times;serif"/>
          <w:b/>
          <w:sz w:val="24"/>
        </w:rPr>
        <w:t>Publicly</w:t>
      </w:r>
      <w:r>
        <w:rPr>
          <w:rFonts w:ascii="Times New Roman;Times;serif" w:hAnsi="Times New Roman;Times;serif"/>
          <w:spacing w:val="-2"/>
          <w:sz w:val="22"/>
        </w:rPr>
        <w:t xml:space="preserve"> </w:t>
      </w:r>
      <w:r>
        <w:rPr>
          <w:rFonts w:ascii="Times New Roman;Times;serif" w:hAnsi="Times New Roman;Times;serif"/>
          <w:b/>
          <w:sz w:val="24"/>
        </w:rPr>
        <w:t>Traded</w:t>
      </w:r>
      <w:r>
        <w:rPr>
          <w:rFonts w:ascii="Times New Roman;Times;serif" w:hAnsi="Times New Roman;Times;serif"/>
          <w:spacing w:val="-2"/>
          <w:sz w:val="22"/>
        </w:rPr>
        <w:t xml:space="preserve"> </w:t>
      </w:r>
      <w:r>
        <w:rPr>
          <w:rFonts w:ascii="Times New Roman;Times;serif" w:hAnsi="Times New Roman;Times;serif"/>
          <w:b/>
          <w:spacing w:val="-2"/>
          <w:sz w:val="24"/>
        </w:rPr>
        <w:t>Options</w:t>
      </w:r>
    </w:p>
    <w:p>
      <w:pPr>
        <w:pStyle w:val="TextBody"/>
        <w:bidi w:val="0"/>
        <w:spacing w:before="240" w:after="0"/>
        <w:ind w:left="120" w:right="0" w:firstLine="600"/>
        <w:jc w:val="both"/>
        <w:rPr>
          <w:rFonts w:ascii="Times New Roman;Times;serif" w:hAnsi="Times New Roman;Times;serif"/>
          <w:sz w:val="24"/>
        </w:rPr>
      </w:pPr>
      <w:r>
        <w:rPr>
          <w:rFonts w:ascii="Times New Roman;Times;serif" w:hAnsi="Times New Roman;Times;serif"/>
          <w:sz w:val="24"/>
        </w:rPr>
        <w:t>A transaction in options is, in effect, a bet on the short-term movement of the Company’s stock and therefore creates the appearance that an officer, director, or employee is trading based on</w:t>
      </w:r>
      <w:r>
        <w:rPr>
          <w:rFonts w:ascii="Times New Roman;Times;serif" w:hAnsi="Times New Roman;Times;serif"/>
          <w:spacing w:val="-13"/>
          <w:sz w:val="24"/>
        </w:rPr>
        <w:t xml:space="preserve"> </w:t>
      </w:r>
      <w:r>
        <w:rPr>
          <w:rFonts w:ascii="Times New Roman;Times;serif" w:hAnsi="Times New Roman;Times;serif"/>
          <w:sz w:val="24"/>
        </w:rPr>
        <w:t>material</w:t>
      </w:r>
      <w:r>
        <w:rPr>
          <w:rFonts w:ascii="Times New Roman;Times;serif" w:hAnsi="Times New Roman;Times;serif"/>
          <w:spacing w:val="-13"/>
          <w:sz w:val="24"/>
        </w:rPr>
        <w:t xml:space="preserve"> </w:t>
      </w:r>
      <w:r>
        <w:rPr>
          <w:rFonts w:ascii="Times New Roman;Times;serif" w:hAnsi="Times New Roman;Times;serif"/>
          <w:sz w:val="24"/>
        </w:rPr>
        <w:t>nonpublic</w:t>
      </w:r>
      <w:r>
        <w:rPr>
          <w:rFonts w:ascii="Times New Roman;Times;serif" w:hAnsi="Times New Roman;Times;serif"/>
          <w:spacing w:val="-14"/>
          <w:sz w:val="24"/>
        </w:rPr>
        <w:t xml:space="preserve"> </w:t>
      </w:r>
      <w:r>
        <w:rPr>
          <w:rFonts w:ascii="Times New Roman;Times;serif" w:hAnsi="Times New Roman;Times;serif"/>
          <w:sz w:val="24"/>
        </w:rPr>
        <w:t>information.</w:t>
      </w:r>
      <w:r>
        <w:rPr>
          <w:rFonts w:ascii="Times New Roman;Times;serif" w:hAnsi="Times New Roman;Times;serif"/>
          <w:spacing w:val="35"/>
          <w:sz w:val="24"/>
        </w:rPr>
        <w:t xml:space="preserve"> </w:t>
      </w:r>
      <w:r>
        <w:rPr>
          <w:rFonts w:ascii="Times New Roman;Times;serif" w:hAnsi="Times New Roman;Times;serif"/>
          <w:sz w:val="24"/>
        </w:rPr>
        <w:t>Transactions</w:t>
      </w:r>
      <w:r>
        <w:rPr>
          <w:rFonts w:ascii="Times New Roman;Times;serif" w:hAnsi="Times New Roman;Times;serif"/>
          <w:spacing w:val="-13"/>
          <w:sz w:val="24"/>
        </w:rPr>
        <w:t xml:space="preserve"> </w:t>
      </w:r>
      <w:r>
        <w:rPr>
          <w:rFonts w:ascii="Times New Roman;Times;serif" w:hAnsi="Times New Roman;Times;serif"/>
          <w:sz w:val="24"/>
        </w:rPr>
        <w:t>in</w:t>
      </w:r>
      <w:r>
        <w:rPr>
          <w:rFonts w:ascii="Times New Roman;Times;serif" w:hAnsi="Times New Roman;Times;serif"/>
          <w:spacing w:val="-13"/>
          <w:sz w:val="24"/>
        </w:rPr>
        <w:t xml:space="preserve"> </w:t>
      </w:r>
      <w:r>
        <w:rPr>
          <w:rFonts w:ascii="Times New Roman;Times;serif" w:hAnsi="Times New Roman;Times;serif"/>
          <w:sz w:val="24"/>
        </w:rPr>
        <w:t>options</w:t>
      </w:r>
      <w:r>
        <w:rPr>
          <w:rFonts w:ascii="Times New Roman;Times;serif" w:hAnsi="Times New Roman;Times;serif"/>
          <w:spacing w:val="-13"/>
          <w:sz w:val="24"/>
        </w:rPr>
        <w:t xml:space="preserve"> </w:t>
      </w:r>
      <w:r>
        <w:rPr>
          <w:rFonts w:ascii="Times New Roman;Times;serif" w:hAnsi="Times New Roman;Times;serif"/>
          <w:sz w:val="24"/>
        </w:rPr>
        <w:t>may</w:t>
      </w:r>
      <w:r>
        <w:rPr>
          <w:rFonts w:ascii="Times New Roman;Times;serif" w:hAnsi="Times New Roman;Times;serif"/>
          <w:spacing w:val="-13"/>
          <w:sz w:val="24"/>
        </w:rPr>
        <w:t xml:space="preserve"> </w:t>
      </w:r>
      <w:r>
        <w:rPr>
          <w:rFonts w:ascii="Times New Roman;Times;serif" w:hAnsi="Times New Roman;Times;serif"/>
          <w:sz w:val="24"/>
        </w:rPr>
        <w:t>also</w:t>
      </w:r>
      <w:r>
        <w:rPr>
          <w:rFonts w:ascii="Times New Roman;Times;serif" w:hAnsi="Times New Roman;Times;serif"/>
          <w:spacing w:val="-13"/>
          <w:sz w:val="24"/>
        </w:rPr>
        <w:t xml:space="preserve"> </w:t>
      </w:r>
      <w:r>
        <w:rPr>
          <w:rFonts w:ascii="Times New Roman;Times;serif" w:hAnsi="Times New Roman;Times;serif"/>
          <w:sz w:val="24"/>
        </w:rPr>
        <w:t>focus</w:t>
      </w:r>
      <w:r>
        <w:rPr>
          <w:rFonts w:ascii="Times New Roman;Times;serif" w:hAnsi="Times New Roman;Times;serif"/>
          <w:spacing w:val="-8"/>
          <w:sz w:val="24"/>
        </w:rPr>
        <w:t xml:space="preserve"> </w:t>
      </w:r>
      <w:r>
        <w:rPr>
          <w:rFonts w:ascii="Times New Roman;Times;serif" w:hAnsi="Times New Roman;Times;serif"/>
          <w:sz w:val="24"/>
        </w:rPr>
        <w:t>an</w:t>
      </w:r>
      <w:r>
        <w:rPr>
          <w:rFonts w:ascii="Times New Roman;Times;serif" w:hAnsi="Times New Roman;Times;serif"/>
          <w:spacing w:val="-13"/>
          <w:sz w:val="24"/>
        </w:rPr>
        <w:t xml:space="preserve"> </w:t>
      </w:r>
      <w:r>
        <w:rPr>
          <w:rFonts w:ascii="Times New Roman;Times;serif" w:hAnsi="Times New Roman;Times;serif"/>
          <w:sz w:val="24"/>
        </w:rPr>
        <w:t>officer’s,</w:t>
      </w:r>
      <w:r>
        <w:rPr>
          <w:rFonts w:ascii="Times New Roman;Times;serif" w:hAnsi="Times New Roman;Times;serif"/>
          <w:spacing w:val="-11"/>
          <w:sz w:val="24"/>
        </w:rPr>
        <w:t xml:space="preserve"> </w:t>
      </w:r>
      <w:r>
        <w:rPr>
          <w:rFonts w:ascii="Times New Roman;Times;serif" w:hAnsi="Times New Roman;Times;serif"/>
          <w:sz w:val="24"/>
        </w:rPr>
        <w:t>director’s, or employee’s attention on short-term performance at the expense of the Company’s long-term objectives.</w:t>
      </w:r>
      <w:r>
        <w:rPr>
          <w:rFonts w:ascii="Times New Roman;Times;serif" w:hAnsi="Times New Roman;Times;serif"/>
          <w:spacing w:val="72"/>
          <w:sz w:val="24"/>
        </w:rPr>
        <w:t xml:space="preserve"> </w:t>
      </w:r>
      <w:r>
        <w:rPr>
          <w:rFonts w:ascii="Times New Roman;Times;serif" w:hAnsi="Times New Roman;Times;serif"/>
          <w:sz w:val="24"/>
        </w:rPr>
        <w:t>Accordingly,</w:t>
      </w:r>
      <w:r>
        <w:rPr>
          <w:rFonts w:ascii="Times New Roman;Times;serif" w:hAnsi="Times New Roman;Times;serif"/>
          <w:spacing w:val="23"/>
          <w:sz w:val="24"/>
        </w:rPr>
        <w:t xml:space="preserve"> </w:t>
      </w:r>
      <w:r>
        <w:rPr>
          <w:rFonts w:ascii="Times New Roman;Times;serif" w:hAnsi="Times New Roman;Times;serif"/>
          <w:sz w:val="24"/>
        </w:rPr>
        <w:t>transactions</w:t>
      </w:r>
      <w:r>
        <w:rPr>
          <w:rFonts w:ascii="Times New Roman;Times;serif" w:hAnsi="Times New Roman;Times;serif"/>
          <w:spacing w:val="22"/>
          <w:sz w:val="24"/>
        </w:rPr>
        <w:t xml:space="preserve"> </w:t>
      </w:r>
      <w:r>
        <w:rPr>
          <w:rFonts w:ascii="Times New Roman;Times;serif" w:hAnsi="Times New Roman;Times;serif"/>
          <w:sz w:val="24"/>
        </w:rPr>
        <w:t>in</w:t>
      </w:r>
      <w:r>
        <w:rPr>
          <w:rFonts w:ascii="Times New Roman;Times;serif" w:hAnsi="Times New Roman;Times;serif"/>
          <w:spacing w:val="23"/>
          <w:sz w:val="24"/>
        </w:rPr>
        <w:t xml:space="preserve"> </w:t>
      </w:r>
      <w:r>
        <w:rPr>
          <w:rFonts w:ascii="Times New Roman;Times;serif" w:hAnsi="Times New Roman;Times;serif"/>
          <w:sz w:val="24"/>
        </w:rPr>
        <w:t>puts,</w:t>
      </w:r>
      <w:r>
        <w:rPr>
          <w:rFonts w:ascii="Times New Roman;Times;serif" w:hAnsi="Times New Roman;Times;serif"/>
          <w:spacing w:val="22"/>
          <w:sz w:val="24"/>
        </w:rPr>
        <w:t xml:space="preserve"> </w:t>
      </w:r>
      <w:r>
        <w:rPr>
          <w:rFonts w:ascii="Times New Roman;Times;serif" w:hAnsi="Times New Roman;Times;serif"/>
          <w:sz w:val="24"/>
        </w:rPr>
        <w:t>calls,</w:t>
      </w:r>
      <w:r>
        <w:rPr>
          <w:rFonts w:ascii="Times New Roman;Times;serif" w:hAnsi="Times New Roman;Times;serif"/>
          <w:spacing w:val="22"/>
          <w:sz w:val="24"/>
        </w:rPr>
        <w:t xml:space="preserve"> </w:t>
      </w:r>
      <w:r>
        <w:rPr>
          <w:rFonts w:ascii="Times New Roman;Times;serif" w:hAnsi="Times New Roman;Times;serif"/>
          <w:sz w:val="24"/>
        </w:rPr>
        <w:t>or</w:t>
      </w:r>
      <w:r>
        <w:rPr>
          <w:rFonts w:ascii="Times New Roman;Times;serif" w:hAnsi="Times New Roman;Times;serif"/>
          <w:spacing w:val="22"/>
          <w:sz w:val="24"/>
        </w:rPr>
        <w:t xml:space="preserve"> </w:t>
      </w:r>
      <w:r>
        <w:rPr>
          <w:rFonts w:ascii="Times New Roman;Times;serif" w:hAnsi="Times New Roman;Times;serif"/>
          <w:sz w:val="24"/>
        </w:rPr>
        <w:t>other</w:t>
      </w:r>
      <w:r>
        <w:rPr>
          <w:rFonts w:ascii="Times New Roman;Times;serif" w:hAnsi="Times New Roman;Times;serif"/>
          <w:spacing w:val="21"/>
          <w:sz w:val="24"/>
        </w:rPr>
        <w:t xml:space="preserve"> </w:t>
      </w:r>
      <w:r>
        <w:rPr>
          <w:rFonts w:ascii="Times New Roman;Times;serif" w:hAnsi="Times New Roman;Times;serif"/>
          <w:sz w:val="24"/>
        </w:rPr>
        <w:t>derivative</w:t>
      </w:r>
      <w:r>
        <w:rPr>
          <w:rFonts w:ascii="Times New Roman;Times;serif" w:hAnsi="Times New Roman;Times;serif"/>
          <w:spacing w:val="22"/>
          <w:sz w:val="24"/>
        </w:rPr>
        <w:t xml:space="preserve"> </w:t>
      </w:r>
      <w:r>
        <w:rPr>
          <w:rFonts w:ascii="Times New Roman;Times;serif" w:hAnsi="Times New Roman;Times;serif"/>
          <w:sz w:val="24"/>
        </w:rPr>
        <w:t>securities</w:t>
      </w:r>
      <w:r>
        <w:rPr>
          <w:rFonts w:ascii="Times New Roman;Times;serif" w:hAnsi="Times New Roman;Times;serif"/>
          <w:spacing w:val="22"/>
          <w:sz w:val="24"/>
        </w:rPr>
        <w:t xml:space="preserve"> </w:t>
      </w:r>
      <w:r>
        <w:rPr>
          <w:rFonts w:ascii="Times New Roman;Times;serif" w:hAnsi="Times New Roman;Times;serif"/>
          <w:sz w:val="24"/>
        </w:rPr>
        <w:t>involving</w:t>
      </w:r>
      <w:r>
        <w:rPr>
          <w:rFonts w:ascii="Times New Roman;Times;serif" w:hAnsi="Times New Roman;Times;serif"/>
          <w:spacing w:val="23"/>
          <w:sz w:val="24"/>
        </w:rPr>
        <w:t xml:space="preserve"> </w:t>
      </w:r>
      <w:r>
        <w:rPr>
          <w:rFonts w:ascii="Times New Roman;Times;serif" w:hAnsi="Times New Roman;Times;serif"/>
          <w:spacing w:val="-5"/>
          <w:sz w:val="24"/>
        </w:rPr>
        <w:t>the</w:t>
      </w:r>
      <w:r>
        <w:rPr>
          <w:rFonts w:ascii="Times New Roman;Times;serif" w:hAnsi="Times New Roman;Times;serif"/>
          <w:sz w:val="24"/>
        </w:rPr>
        <w:t xml:space="preserve"> Company’s equity securities, on an exchange, on an over-the-counter market, or in any other organized market, are prohibited by this Policy.</w:t>
      </w:r>
    </w:p>
    <w:p>
      <w:pPr>
        <w:pStyle w:val="TextBody"/>
        <w:pBdr/>
        <w:bidi w:val="0"/>
        <w:spacing w:before="240" w:after="0"/>
        <w:ind w:left="840" w:right="0" w:hanging="719"/>
        <w:jc w:val="left"/>
        <w:rPr>
          <w:rFonts w:ascii="Times New Roman;Times;serif" w:hAnsi="Times New Roman;Times;serif"/>
          <w:sz w:val="22"/>
        </w:rPr>
      </w:pPr>
      <w:bookmarkStart w:id="2431" w:name="C._Hedging_Transactions"/>
      <w:bookmarkEnd w:id="2431"/>
      <w:r>
        <w:rPr>
          <w:rFonts w:ascii="Times New Roman;Times;serif" w:hAnsi="Times New Roman;Times;serif"/>
          <w:b/>
          <w:sz w:val="24"/>
        </w:rPr>
        <w:t>Hedging</w:t>
      </w:r>
      <w:r>
        <w:rPr>
          <w:rFonts w:ascii="Times New Roman;Times;serif" w:hAnsi="Times New Roman;Times;serif"/>
          <w:spacing w:val="-1"/>
          <w:sz w:val="22"/>
        </w:rPr>
        <w:t xml:space="preserve"> </w:t>
      </w:r>
      <w:r>
        <w:rPr>
          <w:rFonts w:ascii="Times New Roman;Times;serif" w:hAnsi="Times New Roman;Times;serif"/>
          <w:b/>
          <w:spacing w:val="-2"/>
          <w:sz w:val="24"/>
        </w:rPr>
        <w:t>Transactions</w:t>
      </w:r>
    </w:p>
    <w:p>
      <w:pPr>
        <w:pStyle w:val="TextBody"/>
        <w:bidi w:val="0"/>
        <w:spacing w:before="240" w:after="0"/>
        <w:ind w:left="119" w:right="118" w:firstLine="720"/>
        <w:jc w:val="both"/>
        <w:rPr>
          <w:rFonts w:ascii="Times New Roman;Times;serif" w:hAnsi="Times New Roman;Times;serif"/>
          <w:sz w:val="24"/>
        </w:rPr>
      </w:pPr>
      <w:r>
        <w:rPr>
          <w:rFonts w:ascii="Times New Roman;Times;serif" w:hAnsi="Times New Roman;Times;serif"/>
          <w:sz w:val="24"/>
        </w:rPr>
        <w:t>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w:t>
      </w:r>
      <w:r>
        <w:rPr>
          <w:rFonts w:ascii="Times New Roman;Times;serif" w:hAnsi="Times New Roman;Times;serif"/>
          <w:spacing w:val="-15"/>
          <w:sz w:val="24"/>
        </w:rPr>
        <w:t xml:space="preserve"> </w:t>
      </w:r>
      <w:r>
        <w:rPr>
          <w:rFonts w:ascii="Times New Roman;Times;serif" w:hAnsi="Times New Roman;Times;serif"/>
          <w:sz w:val="24"/>
        </w:rPr>
        <w:t>stock.</w:t>
      </w:r>
      <w:r>
        <w:rPr>
          <w:rFonts w:ascii="Times New Roman;Times;serif" w:hAnsi="Times New Roman;Times;serif"/>
          <w:spacing w:val="12"/>
          <w:sz w:val="24"/>
        </w:rPr>
        <w:t xml:space="preserve"> </w:t>
      </w:r>
      <w:r>
        <w:rPr>
          <w:rFonts w:ascii="Times New Roman;Times;serif" w:hAnsi="Times New Roman;Times;serif"/>
          <w:sz w:val="24"/>
        </w:rPr>
        <w:t>Such</w:t>
      </w:r>
      <w:r>
        <w:rPr>
          <w:rFonts w:ascii="Times New Roman;Times;serif" w:hAnsi="Times New Roman;Times;serif"/>
          <w:spacing w:val="-13"/>
          <w:sz w:val="24"/>
        </w:rPr>
        <w:t xml:space="preserve"> </w:t>
      </w:r>
      <w:r>
        <w:rPr>
          <w:rFonts w:ascii="Times New Roman;Times;serif" w:hAnsi="Times New Roman;Times;serif"/>
          <w:sz w:val="24"/>
        </w:rPr>
        <w:t>transactions</w:t>
      </w:r>
      <w:r>
        <w:rPr>
          <w:rFonts w:ascii="Times New Roman;Times;serif" w:hAnsi="Times New Roman;Times;serif"/>
          <w:spacing w:val="-15"/>
          <w:sz w:val="24"/>
        </w:rPr>
        <w:t xml:space="preserve"> </w:t>
      </w:r>
      <w:r>
        <w:rPr>
          <w:rFonts w:ascii="Times New Roman;Times;serif" w:hAnsi="Times New Roman;Times;serif"/>
          <w:sz w:val="24"/>
        </w:rPr>
        <w:t>allow</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officer,</w:t>
      </w:r>
      <w:r>
        <w:rPr>
          <w:rFonts w:ascii="Times New Roman;Times;serif" w:hAnsi="Times New Roman;Times;serif"/>
          <w:spacing w:val="-15"/>
          <w:sz w:val="24"/>
        </w:rPr>
        <w:t xml:space="preserve"> </w:t>
      </w:r>
      <w:r>
        <w:rPr>
          <w:rFonts w:ascii="Times New Roman;Times;serif" w:hAnsi="Times New Roman;Times;serif"/>
          <w:sz w:val="24"/>
        </w:rPr>
        <w:t>director,</w:t>
      </w:r>
      <w:r>
        <w:rPr>
          <w:rFonts w:ascii="Times New Roman;Times;serif" w:hAnsi="Times New Roman;Times;serif"/>
          <w:spacing w:val="-15"/>
          <w:sz w:val="24"/>
        </w:rPr>
        <w:t xml:space="preserve"> </w:t>
      </w:r>
      <w:r>
        <w:rPr>
          <w:rFonts w:ascii="Times New Roman;Times;serif" w:hAnsi="Times New Roman;Times;serif"/>
          <w:sz w:val="24"/>
        </w:rPr>
        <w:t>or</w:t>
      </w:r>
      <w:r>
        <w:rPr>
          <w:rFonts w:ascii="Times New Roman;Times;serif" w:hAnsi="Times New Roman;Times;serif"/>
          <w:spacing w:val="-15"/>
          <w:sz w:val="24"/>
        </w:rPr>
        <w:t xml:space="preserve"> </w:t>
      </w:r>
      <w:r>
        <w:rPr>
          <w:rFonts w:ascii="Times New Roman;Times;serif" w:hAnsi="Times New Roman;Times;serif"/>
          <w:sz w:val="24"/>
        </w:rPr>
        <w:t>employee</w:t>
      </w:r>
      <w:r>
        <w:rPr>
          <w:rFonts w:ascii="Times New Roman;Times;serif" w:hAnsi="Times New Roman;Times;serif"/>
          <w:spacing w:val="-15"/>
          <w:sz w:val="24"/>
        </w:rPr>
        <w:t xml:space="preserve"> </w:t>
      </w:r>
      <w:r>
        <w:rPr>
          <w:rFonts w:ascii="Times New Roman;Times;serif" w:hAnsi="Times New Roman;Times;serif"/>
          <w:sz w:val="24"/>
        </w:rPr>
        <w:t>to</w:t>
      </w:r>
      <w:r>
        <w:rPr>
          <w:rFonts w:ascii="Times New Roman;Times;serif" w:hAnsi="Times New Roman;Times;serif"/>
          <w:spacing w:val="-15"/>
          <w:sz w:val="24"/>
        </w:rPr>
        <w:t xml:space="preserve"> </w:t>
      </w:r>
      <w:r>
        <w:rPr>
          <w:rFonts w:ascii="Times New Roman;Times;serif" w:hAnsi="Times New Roman;Times;serif"/>
          <w:sz w:val="24"/>
        </w:rPr>
        <w:t>continue</w:t>
      </w:r>
      <w:r>
        <w:rPr>
          <w:rFonts w:ascii="Times New Roman;Times;serif" w:hAnsi="Times New Roman;Times;serif"/>
          <w:spacing w:val="-15"/>
          <w:sz w:val="24"/>
        </w:rPr>
        <w:t xml:space="preserve"> </w:t>
      </w:r>
      <w:r>
        <w:rPr>
          <w:rFonts w:ascii="Times New Roman;Times;serif" w:hAnsi="Times New Roman;Times;serif"/>
          <w:sz w:val="24"/>
        </w:rPr>
        <w:t>to</w:t>
      </w:r>
      <w:r>
        <w:rPr>
          <w:rFonts w:ascii="Times New Roman;Times;serif" w:hAnsi="Times New Roman;Times;serif"/>
          <w:spacing w:val="-15"/>
          <w:sz w:val="24"/>
        </w:rPr>
        <w:t xml:space="preserve"> </w:t>
      </w:r>
      <w:r>
        <w:rPr>
          <w:rFonts w:ascii="Times New Roman;Times;serif" w:hAnsi="Times New Roman;Times;serif"/>
          <w:sz w:val="24"/>
        </w:rPr>
        <w:t>own</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covered securities, but without the full risks and rewards of ownership.</w:t>
      </w:r>
      <w:r>
        <w:rPr>
          <w:rFonts w:ascii="Times New Roman;Times;serif" w:hAnsi="Times New Roman;Times;serif"/>
          <w:spacing w:val="40"/>
          <w:sz w:val="24"/>
        </w:rPr>
        <w:t xml:space="preserve"> </w:t>
      </w:r>
      <w:r>
        <w:rPr>
          <w:rFonts w:ascii="Times New Roman;Times;serif" w:hAnsi="Times New Roman;Times;serif"/>
          <w:sz w:val="24"/>
        </w:rPr>
        <w:t>When that occurs, the officer, director, or employee may no longer have the same objectives as the Company’s other stockholders.</w:t>
      </w:r>
      <w:r>
        <w:rPr>
          <w:rFonts w:ascii="Times New Roman;Times;serif" w:hAnsi="Times New Roman;Times;serif"/>
          <w:spacing w:val="40"/>
          <w:sz w:val="24"/>
        </w:rPr>
        <w:t xml:space="preserve"> </w:t>
      </w:r>
      <w:r>
        <w:rPr>
          <w:rFonts w:ascii="Times New Roman;Times;serif" w:hAnsi="Times New Roman;Times;serif"/>
          <w:sz w:val="24"/>
        </w:rPr>
        <w:t>Therefore, such transactions involving the Company’s equity securities are prohibited by this Policy.</w:t>
      </w:r>
    </w:p>
    <w:p>
      <w:pPr>
        <w:pStyle w:val="TextBody"/>
        <w:pBdr/>
        <w:bidi w:val="0"/>
        <w:spacing w:lineRule="auto" w:line="271" w:before="249" w:after="0"/>
        <w:ind w:left="810" w:right="271" w:hanging="360"/>
        <w:jc w:val="left"/>
        <w:rPr>
          <w:rFonts w:ascii="Times New Roman;Times;serif" w:hAnsi="Times New Roman;Times;serif"/>
          <w:sz w:val="22"/>
        </w:rPr>
      </w:pPr>
      <w:bookmarkStart w:id="2432" w:name="D._Purchases_of_the_Company’s_Securities"/>
      <w:bookmarkEnd w:id="2432"/>
      <w:r>
        <w:rPr>
          <w:rFonts w:ascii="Times New Roman;Times;serif" w:hAnsi="Times New Roman;Times;serif"/>
          <w:b/>
          <w:sz w:val="24"/>
        </w:rPr>
        <w:t>Purchases</w:t>
      </w:r>
      <w:r>
        <w:rPr>
          <w:rFonts w:ascii="Times New Roman;Times;serif" w:hAnsi="Times New Roman;Times;serif"/>
          <w:spacing w:val="-4"/>
          <w:sz w:val="22"/>
        </w:rPr>
        <w:t xml:space="preserve"> </w:t>
      </w:r>
      <w:r>
        <w:rPr>
          <w:rFonts w:ascii="Times New Roman;Times;serif" w:hAnsi="Times New Roman;Times;serif"/>
          <w:b/>
          <w:sz w:val="24"/>
        </w:rPr>
        <w:t>of</w:t>
      </w:r>
      <w:r>
        <w:rPr>
          <w:rFonts w:ascii="Times New Roman;Times;serif" w:hAnsi="Times New Roman;Times;serif"/>
          <w:spacing w:val="-5"/>
          <w:sz w:val="22"/>
        </w:rPr>
        <w:t xml:space="preserve"> </w:t>
      </w:r>
      <w:r>
        <w:rPr>
          <w:rFonts w:ascii="Times New Roman;Times;serif" w:hAnsi="Times New Roman;Times;serif"/>
          <w:b/>
          <w:sz w:val="24"/>
        </w:rPr>
        <w:t>the</w:t>
      </w:r>
      <w:r>
        <w:rPr>
          <w:rFonts w:ascii="Times New Roman;Times;serif" w:hAnsi="Times New Roman;Times;serif"/>
          <w:spacing w:val="-5"/>
          <w:sz w:val="22"/>
        </w:rPr>
        <w:t xml:space="preserve"> </w:t>
      </w:r>
      <w:r>
        <w:rPr>
          <w:rFonts w:ascii="Times New Roman;Times;serif" w:hAnsi="Times New Roman;Times;serif"/>
          <w:b/>
          <w:sz w:val="24"/>
        </w:rPr>
        <w:t>Company’s</w:t>
      </w:r>
      <w:r>
        <w:rPr>
          <w:rFonts w:ascii="Times New Roman;Times;serif" w:hAnsi="Times New Roman;Times;serif"/>
          <w:spacing w:val="-4"/>
          <w:sz w:val="22"/>
        </w:rPr>
        <w:t xml:space="preserve"> </w:t>
      </w:r>
      <w:r>
        <w:rPr>
          <w:rFonts w:ascii="Times New Roman;Times;serif" w:hAnsi="Times New Roman;Times;serif"/>
          <w:b/>
          <w:sz w:val="24"/>
        </w:rPr>
        <w:t>Securities</w:t>
      </w:r>
      <w:r>
        <w:rPr>
          <w:rFonts w:ascii="Times New Roman;Times;serif" w:hAnsi="Times New Roman;Times;serif"/>
          <w:spacing w:val="-4"/>
          <w:sz w:val="22"/>
        </w:rPr>
        <w:t xml:space="preserve"> </w:t>
      </w:r>
      <w:r>
        <w:rPr>
          <w:rFonts w:ascii="Times New Roman;Times;serif" w:hAnsi="Times New Roman;Times;serif"/>
          <w:b/>
          <w:sz w:val="24"/>
        </w:rPr>
        <w:t>on</w:t>
      </w:r>
      <w:r>
        <w:rPr>
          <w:rFonts w:ascii="Times New Roman;Times;serif" w:hAnsi="Times New Roman;Times;serif"/>
          <w:spacing w:val="-4"/>
          <w:sz w:val="22"/>
        </w:rPr>
        <w:t xml:space="preserve"> </w:t>
      </w:r>
      <w:r>
        <w:rPr>
          <w:rFonts w:ascii="Times New Roman;Times;serif" w:hAnsi="Times New Roman;Times;serif"/>
          <w:b/>
          <w:sz w:val="24"/>
        </w:rPr>
        <w:t>Margin;</w:t>
      </w:r>
      <w:r>
        <w:rPr>
          <w:rFonts w:ascii="Times New Roman;Times;serif" w:hAnsi="Times New Roman;Times;serif"/>
          <w:spacing w:val="-5"/>
          <w:sz w:val="22"/>
        </w:rPr>
        <w:t xml:space="preserve"> </w:t>
      </w:r>
      <w:r>
        <w:rPr>
          <w:rFonts w:ascii="Times New Roman;Times;serif" w:hAnsi="Times New Roman;Times;serif"/>
          <w:b/>
          <w:sz w:val="24"/>
        </w:rPr>
        <w:t>Pledging</w:t>
      </w:r>
      <w:r>
        <w:rPr>
          <w:rFonts w:ascii="Times New Roman;Times;serif" w:hAnsi="Times New Roman;Times;serif"/>
          <w:spacing w:val="-4"/>
          <w:sz w:val="22"/>
        </w:rPr>
        <w:t xml:space="preserve"> </w:t>
      </w:r>
      <w:r>
        <w:rPr>
          <w:rFonts w:ascii="Times New Roman;Times;serif" w:hAnsi="Times New Roman;Times;serif"/>
          <w:b/>
          <w:sz w:val="24"/>
        </w:rPr>
        <w:t>the</w:t>
      </w:r>
      <w:r>
        <w:rPr>
          <w:rFonts w:ascii="Times New Roman;Times;serif" w:hAnsi="Times New Roman;Times;serif"/>
          <w:spacing w:val="-5"/>
          <w:sz w:val="22"/>
        </w:rPr>
        <w:t xml:space="preserve"> </w:t>
      </w:r>
      <w:r>
        <w:rPr>
          <w:rFonts w:ascii="Times New Roman;Times;serif" w:hAnsi="Times New Roman;Times;serif"/>
          <w:b/>
          <w:sz w:val="24"/>
        </w:rPr>
        <w:t>Company’s Securities to Secure Margin or Other Loans</w:t>
      </w:r>
    </w:p>
    <w:p>
      <w:pPr>
        <w:pStyle w:val="TextBody"/>
        <w:bidi w:val="0"/>
        <w:spacing w:before="240" w:after="0"/>
        <w:ind w:left="119" w:right="115" w:firstLine="720"/>
        <w:jc w:val="both"/>
        <w:rPr>
          <w:rFonts w:ascii="Times New Roman;Times;serif" w:hAnsi="Times New Roman;Times;serif"/>
          <w:sz w:val="24"/>
        </w:rPr>
      </w:pPr>
      <w:r>
        <w:rPr>
          <w:rFonts w:ascii="Times New Roman;Times;serif" w:hAnsi="Times New Roman;Times;serif"/>
          <w:sz w:val="24"/>
        </w:rPr>
        <w:t>Purchasing on margin means borrowing from a brokerage firm, bank, or other entity in order to purchase the Company’s securities (other than in connection with a cashless exercise of stock</w:t>
      </w:r>
      <w:r>
        <w:rPr>
          <w:rFonts w:ascii="Times New Roman;Times;serif" w:hAnsi="Times New Roman;Times;serif"/>
          <w:spacing w:val="-2"/>
          <w:sz w:val="24"/>
        </w:rPr>
        <w:t xml:space="preserve"> </w:t>
      </w:r>
      <w:r>
        <w:rPr>
          <w:rFonts w:ascii="Times New Roman;Times;serif" w:hAnsi="Times New Roman;Times;serif"/>
          <w:sz w:val="24"/>
        </w:rPr>
        <w:t>options</w:t>
      </w:r>
      <w:r>
        <w:rPr>
          <w:rFonts w:ascii="Times New Roman;Times;serif" w:hAnsi="Times New Roman;Times;serif"/>
          <w:spacing w:val="-2"/>
          <w:sz w:val="24"/>
        </w:rPr>
        <w:t xml:space="preserve"> </w:t>
      </w:r>
      <w:r>
        <w:rPr>
          <w:rFonts w:ascii="Times New Roman;Times;serif" w:hAnsi="Times New Roman;Times;serif"/>
          <w:sz w:val="24"/>
        </w:rPr>
        <w:t>under</w:t>
      </w:r>
      <w:r>
        <w:rPr>
          <w:rFonts w:ascii="Times New Roman;Times;serif" w:hAnsi="Times New Roman;Times;serif"/>
          <w:spacing w:val="-1"/>
          <w:sz w:val="24"/>
        </w:rPr>
        <w:t xml:space="preserve"> </w:t>
      </w:r>
      <w:r>
        <w:rPr>
          <w:rFonts w:ascii="Times New Roman;Times;serif" w:hAnsi="Times New Roman;Times;serif"/>
          <w:sz w:val="24"/>
        </w:rPr>
        <w:t>the</w:t>
      </w:r>
      <w:r>
        <w:rPr>
          <w:rFonts w:ascii="Times New Roman;Times;serif" w:hAnsi="Times New Roman;Times;serif"/>
          <w:spacing w:val="-1"/>
          <w:sz w:val="24"/>
        </w:rPr>
        <w:t xml:space="preserve"> </w:t>
      </w:r>
      <w:r>
        <w:rPr>
          <w:rFonts w:ascii="Times New Roman;Times;serif" w:hAnsi="Times New Roman;Times;serif"/>
          <w:sz w:val="24"/>
        </w:rPr>
        <w:t>Company’s</w:t>
      </w:r>
      <w:r>
        <w:rPr>
          <w:rFonts w:ascii="Times New Roman;Times;serif" w:hAnsi="Times New Roman;Times;serif"/>
          <w:spacing w:val="-2"/>
          <w:sz w:val="24"/>
        </w:rPr>
        <w:t xml:space="preserve"> </w:t>
      </w:r>
      <w:r>
        <w:rPr>
          <w:rFonts w:ascii="Times New Roman;Times;serif" w:hAnsi="Times New Roman;Times;serif"/>
          <w:sz w:val="24"/>
        </w:rPr>
        <w:t>equity</w:t>
      </w:r>
      <w:r>
        <w:rPr>
          <w:rFonts w:ascii="Times New Roman;Times;serif" w:hAnsi="Times New Roman;Times;serif"/>
          <w:spacing w:val="-2"/>
          <w:sz w:val="24"/>
        </w:rPr>
        <w:t xml:space="preserve"> </w:t>
      </w:r>
      <w:r>
        <w:rPr>
          <w:rFonts w:ascii="Times New Roman;Times;serif" w:hAnsi="Times New Roman;Times;serif"/>
          <w:sz w:val="24"/>
        </w:rPr>
        <w:t>plans).</w:t>
      </w:r>
      <w:r>
        <w:rPr>
          <w:rFonts w:ascii="Times New Roman;Times;serif" w:hAnsi="Times New Roman;Times;serif"/>
          <w:spacing w:val="40"/>
          <w:sz w:val="24"/>
        </w:rPr>
        <w:t xml:space="preserve"> </w:t>
      </w:r>
      <w:r>
        <w:rPr>
          <w:rFonts w:ascii="Times New Roman;Times;serif" w:hAnsi="Times New Roman;Times;serif"/>
          <w:sz w:val="24"/>
        </w:rPr>
        <w:t>Margin</w:t>
      </w:r>
      <w:r>
        <w:rPr>
          <w:rFonts w:ascii="Times New Roman;Times;serif" w:hAnsi="Times New Roman;Times;serif"/>
          <w:spacing w:val="-2"/>
          <w:sz w:val="24"/>
        </w:rPr>
        <w:t xml:space="preserve"> </w:t>
      </w:r>
      <w:r>
        <w:rPr>
          <w:rFonts w:ascii="Times New Roman;Times;serif" w:hAnsi="Times New Roman;Times;serif"/>
          <w:sz w:val="24"/>
        </w:rPr>
        <w:t>purchases of</w:t>
      </w:r>
      <w:r>
        <w:rPr>
          <w:rFonts w:ascii="Times New Roman;Times;serif" w:hAnsi="Times New Roman;Times;serif"/>
          <w:spacing w:val="-3"/>
          <w:sz w:val="24"/>
        </w:rPr>
        <w:t xml:space="preserve"> </w:t>
      </w:r>
      <w:r>
        <w:rPr>
          <w:rFonts w:ascii="Times New Roman;Times;serif" w:hAnsi="Times New Roman;Times;serif"/>
          <w:sz w:val="24"/>
        </w:rPr>
        <w:t>the</w:t>
      </w:r>
      <w:r>
        <w:rPr>
          <w:rFonts w:ascii="Times New Roman;Times;serif" w:hAnsi="Times New Roman;Times;serif"/>
          <w:spacing w:val="-3"/>
          <w:sz w:val="24"/>
        </w:rPr>
        <w:t xml:space="preserve"> </w:t>
      </w:r>
      <w:r>
        <w:rPr>
          <w:rFonts w:ascii="Times New Roman;Times;serif" w:hAnsi="Times New Roman;Times;serif"/>
          <w:sz w:val="24"/>
        </w:rPr>
        <w:t>Company’s</w:t>
      </w:r>
      <w:r>
        <w:rPr>
          <w:rFonts w:ascii="Times New Roman;Times;serif" w:hAnsi="Times New Roman;Times;serif"/>
          <w:spacing w:val="-2"/>
          <w:sz w:val="24"/>
        </w:rPr>
        <w:t xml:space="preserve"> </w:t>
      </w:r>
      <w:r>
        <w:rPr>
          <w:rFonts w:ascii="Times New Roman;Times;serif" w:hAnsi="Times New Roman;Times;serif"/>
          <w:sz w:val="24"/>
        </w:rPr>
        <w:t>securities are prohibited by this Policy.</w:t>
      </w:r>
      <w:r>
        <w:rPr>
          <w:rFonts w:ascii="Times New Roman;Times;serif" w:hAnsi="Times New Roman;Times;serif"/>
          <w:spacing w:val="40"/>
          <w:sz w:val="24"/>
        </w:rPr>
        <w:t xml:space="preserve"> </w:t>
      </w:r>
      <w:r>
        <w:rPr>
          <w:rFonts w:ascii="Times New Roman;Times;serif" w:hAnsi="Times New Roman;Times;serif"/>
          <w:sz w:val="24"/>
        </w:rPr>
        <w:t>Pledging the Company’s securities as collateral to secure loans is also</w:t>
      </w:r>
      <w:r>
        <w:rPr>
          <w:rFonts w:ascii="Times New Roman;Times;serif" w:hAnsi="Times New Roman;Times;serif"/>
          <w:spacing w:val="-7"/>
          <w:sz w:val="24"/>
        </w:rPr>
        <w:t xml:space="preserve"> </w:t>
      </w:r>
      <w:r>
        <w:rPr>
          <w:rFonts w:ascii="Times New Roman;Times;serif" w:hAnsi="Times New Roman;Times;serif"/>
          <w:sz w:val="24"/>
        </w:rPr>
        <w:t>prohibited.</w:t>
      </w:r>
      <w:r>
        <w:rPr>
          <w:rFonts w:ascii="Times New Roman;Times;serif" w:hAnsi="Times New Roman;Times;serif"/>
          <w:spacing w:val="40"/>
          <w:sz w:val="24"/>
        </w:rPr>
        <w:t xml:space="preserve"> </w:t>
      </w:r>
      <w:r>
        <w:rPr>
          <w:rFonts w:ascii="Times New Roman;Times;serif" w:hAnsi="Times New Roman;Times;serif"/>
          <w:sz w:val="24"/>
        </w:rPr>
        <w:t>This</w:t>
      </w:r>
      <w:r>
        <w:rPr>
          <w:rFonts w:ascii="Times New Roman;Times;serif" w:hAnsi="Times New Roman;Times;serif"/>
          <w:spacing w:val="-7"/>
          <w:sz w:val="24"/>
        </w:rPr>
        <w:t xml:space="preserve"> </w:t>
      </w:r>
      <w:r>
        <w:rPr>
          <w:rFonts w:ascii="Times New Roman;Times;serif" w:hAnsi="Times New Roman;Times;serif"/>
          <w:sz w:val="24"/>
        </w:rPr>
        <w:t>prohibition</w:t>
      </w:r>
      <w:r>
        <w:rPr>
          <w:rFonts w:ascii="Times New Roman;Times;serif" w:hAnsi="Times New Roman;Times;serif"/>
          <w:spacing w:val="-7"/>
          <w:sz w:val="24"/>
        </w:rPr>
        <w:t xml:space="preserve"> </w:t>
      </w:r>
      <w:r>
        <w:rPr>
          <w:rFonts w:ascii="Times New Roman;Times;serif" w:hAnsi="Times New Roman;Times;serif"/>
          <w:sz w:val="24"/>
        </w:rPr>
        <w:t>means,</w:t>
      </w:r>
      <w:r>
        <w:rPr>
          <w:rFonts w:ascii="Times New Roman;Times;serif" w:hAnsi="Times New Roman;Times;serif"/>
          <w:spacing w:val="-7"/>
          <w:sz w:val="24"/>
        </w:rPr>
        <w:t xml:space="preserve"> </w:t>
      </w:r>
      <w:r>
        <w:rPr>
          <w:rFonts w:ascii="Times New Roman;Times;serif" w:hAnsi="Times New Roman;Times;serif"/>
          <w:sz w:val="24"/>
        </w:rPr>
        <w:t>among</w:t>
      </w:r>
      <w:r>
        <w:rPr>
          <w:rFonts w:ascii="Times New Roman;Times;serif" w:hAnsi="Times New Roman;Times;serif"/>
          <w:spacing w:val="-7"/>
          <w:sz w:val="24"/>
        </w:rPr>
        <w:t xml:space="preserve"> </w:t>
      </w:r>
      <w:r>
        <w:rPr>
          <w:rFonts w:ascii="Times New Roman;Times;serif" w:hAnsi="Times New Roman;Times;serif"/>
          <w:sz w:val="24"/>
        </w:rPr>
        <w:t>other</w:t>
      </w:r>
      <w:r>
        <w:rPr>
          <w:rFonts w:ascii="Times New Roman;Times;serif" w:hAnsi="Times New Roman;Times;serif"/>
          <w:spacing w:val="-8"/>
          <w:sz w:val="24"/>
        </w:rPr>
        <w:t xml:space="preserve"> </w:t>
      </w:r>
      <w:r>
        <w:rPr>
          <w:rFonts w:ascii="Times New Roman;Times;serif" w:hAnsi="Times New Roman;Times;serif"/>
          <w:sz w:val="24"/>
        </w:rPr>
        <w:t>things,</w:t>
      </w:r>
      <w:r>
        <w:rPr>
          <w:rFonts w:ascii="Times New Roman;Times;serif" w:hAnsi="Times New Roman;Times;serif"/>
          <w:spacing w:val="-7"/>
          <w:sz w:val="24"/>
        </w:rPr>
        <w:t xml:space="preserve"> </w:t>
      </w:r>
      <w:r>
        <w:rPr>
          <w:rFonts w:ascii="Times New Roman;Times;serif" w:hAnsi="Times New Roman;Times;serif"/>
          <w:sz w:val="24"/>
        </w:rPr>
        <w:t>that</w:t>
      </w:r>
      <w:r>
        <w:rPr>
          <w:rFonts w:ascii="Times New Roman;Times;serif" w:hAnsi="Times New Roman;Times;serif"/>
          <w:spacing w:val="-7"/>
          <w:sz w:val="24"/>
        </w:rPr>
        <w:t xml:space="preserve"> </w:t>
      </w:r>
      <w:r>
        <w:rPr>
          <w:rFonts w:ascii="Times New Roman;Times;serif" w:hAnsi="Times New Roman;Times;serif"/>
          <w:sz w:val="24"/>
        </w:rPr>
        <w:t>you</w:t>
      </w:r>
      <w:r>
        <w:rPr>
          <w:rFonts w:ascii="Times New Roman;Times;serif" w:hAnsi="Times New Roman;Times;serif"/>
          <w:spacing w:val="-5"/>
          <w:sz w:val="24"/>
        </w:rPr>
        <w:t xml:space="preserve"> </w:t>
      </w:r>
      <w:r>
        <w:rPr>
          <w:rFonts w:ascii="Times New Roman;Times;serif" w:hAnsi="Times New Roman;Times;serif"/>
          <w:sz w:val="24"/>
        </w:rPr>
        <w:t>cannot</w:t>
      </w:r>
      <w:r>
        <w:rPr>
          <w:rFonts w:ascii="Times New Roman;Times;serif" w:hAnsi="Times New Roman;Times;serif"/>
          <w:spacing w:val="-7"/>
          <w:sz w:val="24"/>
        </w:rPr>
        <w:t xml:space="preserve"> </w:t>
      </w:r>
      <w:r>
        <w:rPr>
          <w:rFonts w:ascii="Times New Roman;Times;serif" w:hAnsi="Times New Roman;Times;serif"/>
          <w:sz w:val="24"/>
        </w:rPr>
        <w:t>hold</w:t>
      </w:r>
      <w:r>
        <w:rPr>
          <w:rFonts w:ascii="Times New Roman;Times;serif" w:hAnsi="Times New Roman;Times;serif"/>
          <w:spacing w:val="-7"/>
          <w:sz w:val="24"/>
        </w:rPr>
        <w:t xml:space="preserve"> </w:t>
      </w:r>
      <w:r>
        <w:rPr>
          <w:rFonts w:ascii="Times New Roman;Times;serif" w:hAnsi="Times New Roman;Times;serif"/>
          <w:sz w:val="24"/>
        </w:rPr>
        <w:t>the</w:t>
      </w:r>
      <w:r>
        <w:rPr>
          <w:rFonts w:ascii="Times New Roman;Times;serif" w:hAnsi="Times New Roman;Times;serif"/>
          <w:spacing w:val="-8"/>
          <w:sz w:val="24"/>
        </w:rPr>
        <w:t xml:space="preserve"> </w:t>
      </w:r>
      <w:r>
        <w:rPr>
          <w:rFonts w:ascii="Times New Roman;Times;serif" w:hAnsi="Times New Roman;Times;serif"/>
          <w:sz w:val="24"/>
        </w:rPr>
        <w:t xml:space="preserve">Company’s securities in a “margin account” (which would allow you to borrow against your holdings to buy </w:t>
      </w:r>
      <w:r>
        <w:rPr>
          <w:rFonts w:ascii="Times New Roman;Times;serif" w:hAnsi="Times New Roman;Times;serif"/>
          <w:spacing w:val="-2"/>
          <w:sz w:val="24"/>
        </w:rPr>
        <w:t>securities).</w:t>
      </w:r>
      <w:r>
        <w:rPr>
          <w:rFonts w:ascii="Times New Roman;Times;serif" w:hAnsi="Times New Roman;Times;serif"/>
          <w:sz w:val="24"/>
        </w:rPr>
        <w:t xml:space="preserve"> This prohibition does not apply to cashless exercises of stock options under the Company’s equity plans. </w:t>
      </w:r>
    </w:p>
    <w:p>
      <w:pPr>
        <w:pStyle w:val="TextBody"/>
        <w:pBdr/>
        <w:bidi w:val="0"/>
        <w:spacing w:before="240" w:after="0"/>
        <w:ind w:left="840" w:right="0" w:hanging="719"/>
        <w:jc w:val="left"/>
        <w:rPr>
          <w:rFonts w:ascii="Times New Roman;Times;serif" w:hAnsi="Times New Roman;Times;serif"/>
          <w:sz w:val="22"/>
        </w:rPr>
      </w:pPr>
      <w:bookmarkStart w:id="2433" w:name="E._Director_and_Executive_Officer_Cashle"/>
      <w:bookmarkEnd w:id="2433"/>
      <w:r>
        <w:rPr>
          <w:rFonts w:ascii="Times New Roman;Times;serif" w:hAnsi="Times New Roman;Times;serif"/>
          <w:b/>
          <w:sz w:val="24"/>
        </w:rPr>
        <w:t>Director</w:t>
      </w:r>
      <w:r>
        <w:rPr>
          <w:rFonts w:ascii="Times New Roman;Times;serif" w:hAnsi="Times New Roman;Times;serif"/>
          <w:spacing w:val="-4"/>
          <w:sz w:val="22"/>
        </w:rPr>
        <w:t xml:space="preserve"> </w:t>
      </w:r>
      <w:r>
        <w:rPr>
          <w:rFonts w:ascii="Times New Roman;Times;serif" w:hAnsi="Times New Roman;Times;serif"/>
          <w:b/>
          <w:sz w:val="24"/>
        </w:rPr>
        <w:t>and</w:t>
      </w:r>
      <w:r>
        <w:rPr>
          <w:rFonts w:ascii="Times New Roman;Times;serif" w:hAnsi="Times New Roman;Times;serif"/>
          <w:spacing w:val="-2"/>
          <w:sz w:val="22"/>
        </w:rPr>
        <w:t xml:space="preserve"> </w:t>
      </w:r>
      <w:r>
        <w:rPr>
          <w:rFonts w:ascii="Times New Roman;Times;serif" w:hAnsi="Times New Roman;Times;serif"/>
          <w:b/>
          <w:sz w:val="24"/>
        </w:rPr>
        <w:t>Executive</w:t>
      </w:r>
      <w:r>
        <w:rPr>
          <w:rFonts w:ascii="Times New Roman;Times;serif" w:hAnsi="Times New Roman;Times;serif"/>
          <w:spacing w:val="-2"/>
          <w:sz w:val="22"/>
        </w:rPr>
        <w:t xml:space="preserve"> </w:t>
      </w:r>
      <w:r>
        <w:rPr>
          <w:rFonts w:ascii="Times New Roman;Times;serif" w:hAnsi="Times New Roman;Times;serif"/>
          <w:b/>
          <w:sz w:val="24"/>
        </w:rPr>
        <w:t>Officer</w:t>
      </w:r>
      <w:r>
        <w:rPr>
          <w:rFonts w:ascii="Times New Roman;Times;serif" w:hAnsi="Times New Roman;Times;serif"/>
          <w:spacing w:val="-1"/>
          <w:sz w:val="22"/>
        </w:rPr>
        <w:t xml:space="preserve"> </w:t>
      </w:r>
      <w:r>
        <w:rPr>
          <w:rFonts w:ascii="Times New Roman;Times;serif" w:hAnsi="Times New Roman;Times;serif"/>
          <w:b/>
          <w:sz w:val="24"/>
        </w:rPr>
        <w:t>Cashless</w:t>
      </w:r>
      <w:r>
        <w:rPr>
          <w:rFonts w:ascii="Times New Roman;Times;serif" w:hAnsi="Times New Roman;Times;serif"/>
          <w:spacing w:val="-2"/>
          <w:sz w:val="22"/>
        </w:rPr>
        <w:t xml:space="preserve"> </w:t>
      </w:r>
      <w:r>
        <w:rPr>
          <w:rFonts w:ascii="Times New Roman;Times;serif" w:hAnsi="Times New Roman;Times;serif"/>
          <w:b/>
          <w:spacing w:val="-2"/>
          <w:sz w:val="24"/>
        </w:rPr>
        <w:t>Exercises</w:t>
      </w:r>
    </w:p>
    <w:p>
      <w:pPr>
        <w:pStyle w:val="TextBody"/>
        <w:bidi w:val="0"/>
        <w:spacing w:before="240" w:after="0"/>
        <w:ind w:left="120" w:right="117" w:firstLine="720"/>
        <w:jc w:val="both"/>
        <w:rPr>
          <w:rFonts w:ascii="Times New Roman;Times;serif" w:hAnsi="Times New Roman;Times;serif"/>
          <w:sz w:val="24"/>
        </w:rPr>
      </w:pPr>
      <w:r>
        <w:rPr>
          <w:rFonts w:ascii="Times New Roman;Times;serif" w:hAnsi="Times New Roman;Times;serif"/>
          <w:sz w:val="24"/>
        </w:rPr>
        <w:t>The Company will not arrange with brokers to administer cashless exercises on behalf of directors</w:t>
      </w:r>
      <w:r>
        <w:rPr>
          <w:rFonts w:ascii="Times New Roman;Times;serif" w:hAnsi="Times New Roman;Times;serif"/>
          <w:spacing w:val="-10"/>
          <w:sz w:val="24"/>
        </w:rPr>
        <w:t xml:space="preserve"> </w:t>
      </w:r>
      <w:r>
        <w:rPr>
          <w:rFonts w:ascii="Times New Roman;Times;serif" w:hAnsi="Times New Roman;Times;serif"/>
          <w:sz w:val="24"/>
        </w:rPr>
        <w:t>and</w:t>
      </w:r>
      <w:r>
        <w:rPr>
          <w:rFonts w:ascii="Times New Roman;Times;serif" w:hAnsi="Times New Roman;Times;serif"/>
          <w:spacing w:val="-13"/>
          <w:sz w:val="24"/>
        </w:rPr>
        <w:t xml:space="preserve"> </w:t>
      </w:r>
      <w:r>
        <w:rPr>
          <w:rFonts w:ascii="Times New Roman;Times;serif" w:hAnsi="Times New Roman;Times;serif"/>
          <w:sz w:val="24"/>
        </w:rPr>
        <w:t>executive</w:t>
      </w:r>
      <w:r>
        <w:rPr>
          <w:rFonts w:ascii="Times New Roman;Times;serif" w:hAnsi="Times New Roman;Times;serif"/>
          <w:spacing w:val="-14"/>
          <w:sz w:val="24"/>
        </w:rPr>
        <w:t xml:space="preserve"> </w:t>
      </w:r>
      <w:r>
        <w:rPr>
          <w:rFonts w:ascii="Times New Roman;Times;serif" w:hAnsi="Times New Roman;Times;serif"/>
          <w:sz w:val="24"/>
        </w:rPr>
        <w:t>officers</w:t>
      </w:r>
      <w:r>
        <w:rPr>
          <w:rFonts w:ascii="Times New Roman;Times;serif" w:hAnsi="Times New Roman;Times;serif"/>
          <w:spacing w:val="-10"/>
          <w:sz w:val="24"/>
        </w:rPr>
        <w:t xml:space="preserve"> </w:t>
      </w:r>
      <w:r>
        <w:rPr>
          <w:rFonts w:ascii="Times New Roman;Times;serif" w:hAnsi="Times New Roman;Times;serif"/>
          <w:sz w:val="24"/>
        </w:rPr>
        <w:t>of</w:t>
      </w:r>
      <w:r>
        <w:rPr>
          <w:rFonts w:ascii="Times New Roman;Times;serif" w:hAnsi="Times New Roman;Times;serif"/>
          <w:spacing w:val="-14"/>
          <w:sz w:val="24"/>
        </w:rPr>
        <w:t xml:space="preserve"> </w:t>
      </w:r>
      <w:r>
        <w:rPr>
          <w:rFonts w:ascii="Times New Roman;Times;serif" w:hAnsi="Times New Roman;Times;serif"/>
          <w:sz w:val="24"/>
        </w:rPr>
        <w:t>the</w:t>
      </w:r>
      <w:r>
        <w:rPr>
          <w:rFonts w:ascii="Times New Roman;Times;serif" w:hAnsi="Times New Roman;Times;serif"/>
          <w:spacing w:val="-14"/>
          <w:sz w:val="24"/>
        </w:rPr>
        <w:t xml:space="preserve"> </w:t>
      </w:r>
      <w:r>
        <w:rPr>
          <w:rFonts w:ascii="Times New Roman;Times;serif" w:hAnsi="Times New Roman;Times;serif"/>
          <w:sz w:val="24"/>
        </w:rPr>
        <w:t>Company.</w:t>
      </w:r>
      <w:r>
        <w:rPr>
          <w:rFonts w:ascii="Times New Roman;Times;serif" w:hAnsi="Times New Roman;Times;serif"/>
          <w:spacing w:val="38"/>
          <w:sz w:val="24"/>
        </w:rPr>
        <w:t xml:space="preserve"> </w:t>
      </w:r>
      <w:r>
        <w:rPr>
          <w:rFonts w:ascii="Times New Roman;Times;serif" w:hAnsi="Times New Roman;Times;serif"/>
          <w:sz w:val="24"/>
        </w:rPr>
        <w:t>Directors</w:t>
      </w:r>
      <w:r>
        <w:rPr>
          <w:rFonts w:ascii="Times New Roman;Times;serif" w:hAnsi="Times New Roman;Times;serif"/>
          <w:spacing w:val="-10"/>
          <w:sz w:val="24"/>
        </w:rPr>
        <w:t xml:space="preserve"> </w:t>
      </w:r>
      <w:r>
        <w:rPr>
          <w:rFonts w:ascii="Times New Roman;Times;serif" w:hAnsi="Times New Roman;Times;serif"/>
          <w:sz w:val="24"/>
        </w:rPr>
        <w:t>and</w:t>
      </w:r>
      <w:r>
        <w:rPr>
          <w:rFonts w:ascii="Times New Roman;Times;serif" w:hAnsi="Times New Roman;Times;serif"/>
          <w:spacing w:val="-11"/>
          <w:sz w:val="24"/>
        </w:rPr>
        <w:t xml:space="preserve"> </w:t>
      </w:r>
      <w:r>
        <w:rPr>
          <w:rFonts w:ascii="Times New Roman;Times;serif" w:hAnsi="Times New Roman;Times;serif"/>
          <w:sz w:val="24"/>
        </w:rPr>
        <w:t>executive</w:t>
      </w:r>
      <w:r>
        <w:rPr>
          <w:rFonts w:ascii="Times New Roman;Times;serif" w:hAnsi="Times New Roman;Times;serif"/>
          <w:spacing w:val="-12"/>
          <w:sz w:val="24"/>
        </w:rPr>
        <w:t xml:space="preserve"> </w:t>
      </w:r>
      <w:r>
        <w:rPr>
          <w:rFonts w:ascii="Times New Roman;Times;serif" w:hAnsi="Times New Roman;Times;serif"/>
          <w:sz w:val="24"/>
        </w:rPr>
        <w:t>officers</w:t>
      </w:r>
      <w:r>
        <w:rPr>
          <w:rFonts w:ascii="Times New Roman;Times;serif" w:hAnsi="Times New Roman;Times;serif"/>
          <w:spacing w:val="-10"/>
          <w:sz w:val="24"/>
        </w:rPr>
        <w:t xml:space="preserve"> </w:t>
      </w:r>
      <w:r>
        <w:rPr>
          <w:rFonts w:ascii="Times New Roman;Times;serif" w:hAnsi="Times New Roman;Times;serif"/>
          <w:sz w:val="24"/>
        </w:rPr>
        <w:t>of</w:t>
      </w:r>
      <w:r>
        <w:rPr>
          <w:rFonts w:ascii="Times New Roman;Times;serif" w:hAnsi="Times New Roman;Times;serif"/>
          <w:spacing w:val="-14"/>
          <w:sz w:val="24"/>
        </w:rPr>
        <w:t xml:space="preserve"> </w:t>
      </w:r>
      <w:r>
        <w:rPr>
          <w:rFonts w:ascii="Times New Roman;Times;serif" w:hAnsi="Times New Roman;Times;serif"/>
          <w:sz w:val="24"/>
        </w:rPr>
        <w:t>the</w:t>
      </w:r>
      <w:r>
        <w:rPr>
          <w:rFonts w:ascii="Times New Roman;Times;serif" w:hAnsi="Times New Roman;Times;serif"/>
          <w:spacing w:val="-14"/>
          <w:sz w:val="24"/>
        </w:rPr>
        <w:t xml:space="preserve"> </w:t>
      </w:r>
      <w:r>
        <w:rPr>
          <w:rFonts w:ascii="Times New Roman;Times;serif" w:hAnsi="Times New Roman;Times;serif"/>
          <w:sz w:val="24"/>
        </w:rPr>
        <w:t>Company may</w:t>
      </w:r>
      <w:r>
        <w:rPr>
          <w:rFonts w:ascii="Times New Roman;Times;serif" w:hAnsi="Times New Roman;Times;serif"/>
          <w:spacing w:val="-14"/>
          <w:sz w:val="24"/>
        </w:rPr>
        <w:t xml:space="preserve"> </w:t>
      </w:r>
      <w:r>
        <w:rPr>
          <w:rFonts w:ascii="Times New Roman;Times;serif" w:hAnsi="Times New Roman;Times;serif"/>
          <w:sz w:val="24"/>
        </w:rPr>
        <w:t>use</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cashless</w:t>
      </w:r>
      <w:r>
        <w:rPr>
          <w:rFonts w:ascii="Times New Roman;Times;serif" w:hAnsi="Times New Roman;Times;serif"/>
          <w:spacing w:val="-12"/>
          <w:sz w:val="24"/>
        </w:rPr>
        <w:t xml:space="preserve"> </w:t>
      </w:r>
      <w:r>
        <w:rPr>
          <w:rFonts w:ascii="Times New Roman;Times;serif" w:hAnsi="Times New Roman;Times;serif"/>
          <w:sz w:val="24"/>
        </w:rPr>
        <w:t>exercise</w:t>
      </w:r>
      <w:r>
        <w:rPr>
          <w:rFonts w:ascii="Times New Roman;Times;serif" w:hAnsi="Times New Roman;Times;serif"/>
          <w:spacing w:val="-13"/>
          <w:sz w:val="24"/>
        </w:rPr>
        <w:t xml:space="preserve"> </w:t>
      </w:r>
      <w:r>
        <w:rPr>
          <w:rFonts w:ascii="Times New Roman;Times;serif" w:hAnsi="Times New Roman;Times;serif"/>
          <w:sz w:val="24"/>
        </w:rPr>
        <w:t>feature</w:t>
      </w:r>
      <w:r>
        <w:rPr>
          <w:rFonts w:ascii="Times New Roman;Times;serif" w:hAnsi="Times New Roman;Times;serif"/>
          <w:spacing w:val="-11"/>
          <w:sz w:val="24"/>
        </w:rPr>
        <w:t xml:space="preserve"> </w:t>
      </w:r>
      <w:r>
        <w:rPr>
          <w:rFonts w:ascii="Times New Roman;Times;serif" w:hAnsi="Times New Roman;Times;serif"/>
          <w:sz w:val="24"/>
        </w:rPr>
        <w:t>of</w:t>
      </w:r>
      <w:r>
        <w:rPr>
          <w:rFonts w:ascii="Times New Roman;Times;serif" w:hAnsi="Times New Roman;Times;serif"/>
          <w:spacing w:val="-13"/>
          <w:sz w:val="24"/>
        </w:rPr>
        <w:t xml:space="preserve"> </w:t>
      </w:r>
      <w:r>
        <w:rPr>
          <w:rFonts w:ascii="Times New Roman;Times;serif" w:hAnsi="Times New Roman;Times;serif"/>
          <w:sz w:val="24"/>
        </w:rPr>
        <w:t>their</w:t>
      </w:r>
      <w:r>
        <w:rPr>
          <w:rFonts w:ascii="Times New Roman;Times;serif" w:hAnsi="Times New Roman;Times;serif"/>
          <w:spacing w:val="-10"/>
          <w:sz w:val="24"/>
        </w:rPr>
        <w:t xml:space="preserve"> </w:t>
      </w:r>
      <w:r>
        <w:rPr>
          <w:rFonts w:ascii="Times New Roman;Times;serif" w:hAnsi="Times New Roman;Times;serif"/>
          <w:sz w:val="24"/>
        </w:rPr>
        <w:t>equity</w:t>
      </w:r>
      <w:r>
        <w:rPr>
          <w:rFonts w:ascii="Times New Roman;Times;serif" w:hAnsi="Times New Roman;Times;serif"/>
          <w:spacing w:val="-12"/>
          <w:sz w:val="24"/>
        </w:rPr>
        <w:t xml:space="preserve"> </w:t>
      </w:r>
      <w:r>
        <w:rPr>
          <w:rFonts w:ascii="Times New Roman;Times;serif" w:hAnsi="Times New Roman;Times;serif"/>
          <w:sz w:val="24"/>
        </w:rPr>
        <w:t>awards</w:t>
      </w:r>
      <w:r>
        <w:rPr>
          <w:rFonts w:ascii="Times New Roman;Times;serif" w:hAnsi="Times New Roman;Times;serif"/>
          <w:spacing w:val="-12"/>
          <w:sz w:val="24"/>
        </w:rPr>
        <w:t xml:space="preserve"> </w:t>
      </w:r>
      <w:r>
        <w:rPr>
          <w:rFonts w:ascii="Times New Roman;Times;serif" w:hAnsi="Times New Roman;Times;serif"/>
          <w:sz w:val="24"/>
        </w:rPr>
        <w:t>only</w:t>
      </w:r>
      <w:r>
        <w:rPr>
          <w:rFonts w:ascii="Times New Roman;Times;serif" w:hAnsi="Times New Roman;Times;serif"/>
          <w:spacing w:val="-12"/>
          <w:sz w:val="24"/>
        </w:rPr>
        <w:t xml:space="preserve"> </w:t>
      </w:r>
      <w:r>
        <w:rPr>
          <w:rFonts w:ascii="Times New Roman;Times;serif" w:hAnsi="Times New Roman;Times;serif"/>
          <w:sz w:val="24"/>
        </w:rPr>
        <w:t>if</w:t>
      </w:r>
      <w:r>
        <w:rPr>
          <w:rFonts w:ascii="Times New Roman;Times;serif" w:hAnsi="Times New Roman;Times;serif"/>
          <w:spacing w:val="-13"/>
          <w:sz w:val="24"/>
        </w:rPr>
        <w:t xml:space="preserve"> </w:t>
      </w:r>
      <w:r>
        <w:rPr>
          <w:rFonts w:ascii="Times New Roman;Times;serif" w:hAnsi="Times New Roman;Times;serif"/>
          <w:sz w:val="24"/>
        </w:rPr>
        <w:t>(i)</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director</w:t>
      </w:r>
      <w:r>
        <w:rPr>
          <w:rFonts w:ascii="Times New Roman;Times;serif" w:hAnsi="Times New Roman;Times;serif"/>
          <w:spacing w:val="-13"/>
          <w:sz w:val="24"/>
        </w:rPr>
        <w:t xml:space="preserve"> </w:t>
      </w:r>
      <w:r>
        <w:rPr>
          <w:rFonts w:ascii="Times New Roman;Times;serif" w:hAnsi="Times New Roman;Times;serif"/>
          <w:sz w:val="24"/>
        </w:rPr>
        <w:t>or</w:t>
      </w:r>
      <w:r>
        <w:rPr>
          <w:rFonts w:ascii="Times New Roman;Times;serif" w:hAnsi="Times New Roman;Times;serif"/>
          <w:spacing w:val="-13"/>
          <w:sz w:val="24"/>
        </w:rPr>
        <w:t xml:space="preserve"> </w:t>
      </w:r>
      <w:r>
        <w:rPr>
          <w:rFonts w:ascii="Times New Roman;Times;serif" w:hAnsi="Times New Roman;Times;serif"/>
          <w:sz w:val="24"/>
        </w:rPr>
        <w:t>officer</w:t>
      </w:r>
      <w:r>
        <w:rPr>
          <w:rFonts w:ascii="Times New Roman;Times;serif" w:hAnsi="Times New Roman;Times;serif"/>
          <w:spacing w:val="-10"/>
          <w:sz w:val="24"/>
        </w:rPr>
        <w:t xml:space="preserve"> </w:t>
      </w:r>
      <w:r>
        <w:rPr>
          <w:rFonts w:ascii="Times New Roman;Times;serif" w:hAnsi="Times New Roman;Times;serif"/>
          <w:sz w:val="24"/>
        </w:rPr>
        <w:t>retains a</w:t>
      </w:r>
      <w:r>
        <w:rPr>
          <w:rFonts w:ascii="Times New Roman;Times;serif" w:hAnsi="Times New Roman;Times;serif"/>
          <w:spacing w:val="-3"/>
          <w:sz w:val="24"/>
        </w:rPr>
        <w:t xml:space="preserve"> </w:t>
      </w:r>
      <w:r>
        <w:rPr>
          <w:rFonts w:ascii="Times New Roman;Times;serif" w:hAnsi="Times New Roman;Times;serif"/>
          <w:sz w:val="24"/>
        </w:rPr>
        <w:t>broker</w:t>
      </w:r>
      <w:r>
        <w:rPr>
          <w:rFonts w:ascii="Times New Roman;Times;serif" w:hAnsi="Times New Roman;Times;serif"/>
          <w:spacing w:val="-3"/>
          <w:sz w:val="24"/>
        </w:rPr>
        <w:t xml:space="preserve"> </w:t>
      </w:r>
      <w:r>
        <w:rPr>
          <w:rFonts w:ascii="Times New Roman;Times;serif" w:hAnsi="Times New Roman;Times;serif"/>
          <w:sz w:val="24"/>
        </w:rPr>
        <w:t>independently</w:t>
      </w:r>
      <w:r>
        <w:rPr>
          <w:rFonts w:ascii="Times New Roman;Times;serif" w:hAnsi="Times New Roman;Times;serif"/>
          <w:spacing w:val="-2"/>
          <w:sz w:val="24"/>
        </w:rPr>
        <w:t xml:space="preserve"> </w:t>
      </w:r>
      <w:r>
        <w:rPr>
          <w:rFonts w:ascii="Times New Roman;Times;serif" w:hAnsi="Times New Roman;Times;serif"/>
          <w:sz w:val="24"/>
        </w:rPr>
        <w:t>of</w:t>
      </w:r>
      <w:r>
        <w:rPr>
          <w:rFonts w:ascii="Times New Roman;Times;serif" w:hAnsi="Times New Roman;Times;serif"/>
          <w:spacing w:val="-3"/>
          <w:sz w:val="24"/>
        </w:rPr>
        <w:t xml:space="preserve"> </w:t>
      </w:r>
      <w:r>
        <w:rPr>
          <w:rFonts w:ascii="Times New Roman;Times;serif" w:hAnsi="Times New Roman;Times;serif"/>
          <w:sz w:val="24"/>
        </w:rPr>
        <w:t>the</w:t>
      </w:r>
      <w:r>
        <w:rPr>
          <w:rFonts w:ascii="Times New Roman;Times;serif" w:hAnsi="Times New Roman;Times;serif"/>
          <w:spacing w:val="-3"/>
          <w:sz w:val="24"/>
        </w:rPr>
        <w:t xml:space="preserve"> </w:t>
      </w:r>
      <w:r>
        <w:rPr>
          <w:rFonts w:ascii="Times New Roman;Times;serif" w:hAnsi="Times New Roman;Times;serif"/>
          <w:sz w:val="24"/>
        </w:rPr>
        <w:t>Company, (ii)</w:t>
      </w:r>
      <w:r>
        <w:rPr>
          <w:rFonts w:ascii="Times New Roman;Times;serif" w:hAnsi="Times New Roman;Times;serif"/>
          <w:spacing w:val="-1"/>
          <w:sz w:val="24"/>
        </w:rPr>
        <w:t xml:space="preserve"> </w:t>
      </w:r>
      <w:r>
        <w:rPr>
          <w:rFonts w:ascii="Times New Roman;Times;serif" w:hAnsi="Times New Roman;Times;serif"/>
          <w:sz w:val="24"/>
        </w:rPr>
        <w:t>the</w:t>
      </w:r>
      <w:r>
        <w:rPr>
          <w:rFonts w:ascii="Times New Roman;Times;serif" w:hAnsi="Times New Roman;Times;serif"/>
          <w:spacing w:val="-3"/>
          <w:sz w:val="24"/>
        </w:rPr>
        <w:t xml:space="preserve"> </w:t>
      </w:r>
      <w:r>
        <w:rPr>
          <w:rFonts w:ascii="Times New Roman;Times;serif" w:hAnsi="Times New Roman;Times;serif"/>
          <w:sz w:val="24"/>
        </w:rPr>
        <w:t>Company’s</w:t>
      </w:r>
      <w:r>
        <w:rPr>
          <w:rFonts w:ascii="Times New Roman;Times;serif" w:hAnsi="Times New Roman;Times;serif"/>
          <w:spacing w:val="-2"/>
          <w:sz w:val="24"/>
        </w:rPr>
        <w:t xml:space="preserve"> </w:t>
      </w:r>
      <w:r>
        <w:rPr>
          <w:rFonts w:ascii="Times New Roman;Times;serif" w:hAnsi="Times New Roman;Times;serif"/>
          <w:sz w:val="24"/>
        </w:rPr>
        <w:t>involvement</w:t>
      </w:r>
      <w:r>
        <w:rPr>
          <w:rFonts w:ascii="Times New Roman;Times;serif" w:hAnsi="Times New Roman;Times;serif"/>
          <w:spacing w:val="-2"/>
          <w:sz w:val="24"/>
        </w:rPr>
        <w:t xml:space="preserve"> </w:t>
      </w:r>
      <w:r>
        <w:rPr>
          <w:rFonts w:ascii="Times New Roman;Times;serif" w:hAnsi="Times New Roman;Times;serif"/>
          <w:sz w:val="24"/>
        </w:rPr>
        <w:t>is limited</w:t>
      </w:r>
      <w:r>
        <w:rPr>
          <w:rFonts w:ascii="Times New Roman;Times;serif" w:hAnsi="Times New Roman;Times;serif"/>
          <w:spacing w:val="-2"/>
          <w:sz w:val="24"/>
        </w:rPr>
        <w:t xml:space="preserve"> </w:t>
      </w:r>
      <w:r>
        <w:rPr>
          <w:rFonts w:ascii="Times New Roman;Times;serif" w:hAnsi="Times New Roman;Times;serif"/>
          <w:sz w:val="24"/>
        </w:rPr>
        <w:t>to</w:t>
      </w:r>
      <w:r>
        <w:rPr>
          <w:rFonts w:ascii="Times New Roman;Times;serif" w:hAnsi="Times New Roman;Times;serif"/>
          <w:spacing w:val="-2"/>
          <w:sz w:val="24"/>
        </w:rPr>
        <w:t xml:space="preserve"> </w:t>
      </w:r>
      <w:r>
        <w:rPr>
          <w:rFonts w:ascii="Times New Roman;Times;serif" w:hAnsi="Times New Roman;Times;serif"/>
          <w:sz w:val="24"/>
        </w:rPr>
        <w:t>confirming that it will deliver the stock promptly upon payment of the exercise price, and (iii) the director or officer</w:t>
      </w:r>
      <w:r>
        <w:rPr>
          <w:rFonts w:ascii="Times New Roman;Times;serif" w:hAnsi="Times New Roman;Times;serif"/>
          <w:spacing w:val="-11"/>
          <w:sz w:val="24"/>
        </w:rPr>
        <w:t xml:space="preserve"> </w:t>
      </w:r>
      <w:r>
        <w:rPr>
          <w:rFonts w:ascii="Times New Roman;Times;serif" w:hAnsi="Times New Roman;Times;serif"/>
          <w:sz w:val="24"/>
        </w:rPr>
        <w:t>uses</w:t>
      </w:r>
      <w:r>
        <w:rPr>
          <w:rFonts w:ascii="Times New Roman;Times;serif" w:hAnsi="Times New Roman;Times;serif"/>
          <w:spacing w:val="-10"/>
          <w:sz w:val="24"/>
        </w:rPr>
        <w:t xml:space="preserve"> </w:t>
      </w:r>
      <w:r>
        <w:rPr>
          <w:rFonts w:ascii="Times New Roman;Times;serif" w:hAnsi="Times New Roman;Times;serif"/>
          <w:sz w:val="24"/>
        </w:rPr>
        <w:t>a</w:t>
      </w:r>
      <w:r>
        <w:rPr>
          <w:rFonts w:ascii="Times New Roman;Times;serif" w:hAnsi="Times New Roman;Times;serif"/>
          <w:spacing w:val="-14"/>
          <w:sz w:val="24"/>
        </w:rPr>
        <w:t xml:space="preserve"> </w:t>
      </w:r>
      <w:r>
        <w:rPr>
          <w:rFonts w:ascii="Times New Roman;Times;serif" w:hAnsi="Times New Roman;Times;serif"/>
          <w:sz w:val="24"/>
        </w:rPr>
        <w:t>cashless</w:t>
      </w:r>
      <w:r>
        <w:rPr>
          <w:rFonts w:ascii="Times New Roman;Times;serif" w:hAnsi="Times New Roman;Times;serif"/>
          <w:spacing w:val="-10"/>
          <w:sz w:val="24"/>
        </w:rPr>
        <w:t xml:space="preserve"> </w:t>
      </w:r>
      <w:r>
        <w:rPr>
          <w:rFonts w:ascii="Times New Roman;Times;serif" w:hAnsi="Times New Roman;Times;serif"/>
          <w:sz w:val="24"/>
        </w:rPr>
        <w:t>exercise</w:t>
      </w:r>
      <w:r>
        <w:rPr>
          <w:rFonts w:ascii="Times New Roman;Times;serif" w:hAnsi="Times New Roman;Times;serif"/>
          <w:spacing w:val="-12"/>
          <w:sz w:val="24"/>
        </w:rPr>
        <w:t xml:space="preserve"> </w:t>
      </w:r>
      <w:r>
        <w:rPr>
          <w:rFonts w:ascii="Times New Roman;Times;serif" w:hAnsi="Times New Roman;Times;serif"/>
          <w:sz w:val="24"/>
        </w:rPr>
        <w:t>arrangement,</w:t>
      </w:r>
      <w:r>
        <w:rPr>
          <w:rFonts w:ascii="Times New Roman;Times;serif" w:hAnsi="Times New Roman;Times;serif"/>
          <w:spacing w:val="-11"/>
          <w:sz w:val="24"/>
        </w:rPr>
        <w:t xml:space="preserve"> </w:t>
      </w:r>
      <w:r>
        <w:rPr>
          <w:rFonts w:ascii="Times New Roman;Times;serif" w:hAnsi="Times New Roman;Times;serif"/>
          <w:sz w:val="24"/>
        </w:rPr>
        <w:t>in</w:t>
      </w:r>
      <w:r>
        <w:rPr>
          <w:rFonts w:ascii="Times New Roman;Times;serif" w:hAnsi="Times New Roman;Times;serif"/>
          <w:spacing w:val="-13"/>
          <w:sz w:val="24"/>
        </w:rPr>
        <w:t xml:space="preserve"> </w:t>
      </w:r>
      <w:r>
        <w:rPr>
          <w:rFonts w:ascii="Times New Roman;Times;serif" w:hAnsi="Times New Roman;Times;serif"/>
          <w:sz w:val="24"/>
        </w:rPr>
        <w:t>which</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4"/>
          <w:sz w:val="24"/>
        </w:rPr>
        <w:t xml:space="preserve"> </w:t>
      </w:r>
      <w:r>
        <w:rPr>
          <w:rFonts w:ascii="Times New Roman;Times;serif" w:hAnsi="Times New Roman;Times;serif"/>
          <w:sz w:val="24"/>
        </w:rPr>
        <w:t>Company</w:t>
      </w:r>
      <w:r>
        <w:rPr>
          <w:rFonts w:ascii="Times New Roman;Times;serif" w:hAnsi="Times New Roman;Times;serif"/>
          <w:spacing w:val="-11"/>
          <w:sz w:val="24"/>
        </w:rPr>
        <w:t xml:space="preserve"> </w:t>
      </w:r>
      <w:r>
        <w:rPr>
          <w:rFonts w:ascii="Times New Roman;Times;serif" w:hAnsi="Times New Roman;Times;serif"/>
          <w:sz w:val="24"/>
        </w:rPr>
        <w:t>agrees</w:t>
      </w:r>
      <w:r>
        <w:rPr>
          <w:rFonts w:ascii="Times New Roman;Times;serif" w:hAnsi="Times New Roman;Times;serif"/>
          <w:spacing w:val="-13"/>
          <w:sz w:val="24"/>
        </w:rPr>
        <w:t xml:space="preserve"> </w:t>
      </w:r>
      <w:r>
        <w:rPr>
          <w:rFonts w:ascii="Times New Roman;Times;serif" w:hAnsi="Times New Roman;Times;serif"/>
          <w:sz w:val="24"/>
        </w:rPr>
        <w:t>to</w:t>
      </w:r>
      <w:r>
        <w:rPr>
          <w:rFonts w:ascii="Times New Roman;Times;serif" w:hAnsi="Times New Roman;Times;serif"/>
          <w:spacing w:val="-13"/>
          <w:sz w:val="24"/>
        </w:rPr>
        <w:t xml:space="preserve"> </w:t>
      </w:r>
      <w:r>
        <w:rPr>
          <w:rFonts w:ascii="Times New Roman;Times;serif" w:hAnsi="Times New Roman;Times;serif"/>
          <w:sz w:val="24"/>
        </w:rPr>
        <w:t>deliver</w:t>
      </w:r>
      <w:r>
        <w:rPr>
          <w:rFonts w:ascii="Times New Roman;Times;serif" w:hAnsi="Times New Roman;Times;serif"/>
          <w:spacing w:val="-14"/>
          <w:sz w:val="24"/>
        </w:rPr>
        <w:t xml:space="preserve"> </w:t>
      </w:r>
      <w:r>
        <w:rPr>
          <w:rFonts w:ascii="Times New Roman;Times;serif" w:hAnsi="Times New Roman;Times;serif"/>
          <w:sz w:val="24"/>
        </w:rPr>
        <w:t>stock</w:t>
      </w:r>
      <w:r>
        <w:rPr>
          <w:rFonts w:ascii="Times New Roman;Times;serif" w:hAnsi="Times New Roman;Times;serif"/>
          <w:spacing w:val="-11"/>
          <w:sz w:val="24"/>
        </w:rPr>
        <w:t xml:space="preserve"> </w:t>
      </w:r>
      <w:r>
        <w:rPr>
          <w:rFonts w:ascii="Times New Roman;Times;serif" w:hAnsi="Times New Roman;Times;serif"/>
          <w:sz w:val="24"/>
        </w:rPr>
        <w:t>against the</w:t>
      </w:r>
      <w:r>
        <w:rPr>
          <w:rFonts w:ascii="Times New Roman;Times;serif" w:hAnsi="Times New Roman;Times;serif"/>
          <w:spacing w:val="-15"/>
          <w:sz w:val="24"/>
        </w:rPr>
        <w:t xml:space="preserve"> </w:t>
      </w:r>
      <w:r>
        <w:rPr>
          <w:rFonts w:ascii="Times New Roman;Times;serif" w:hAnsi="Times New Roman;Times;serif"/>
          <w:sz w:val="24"/>
        </w:rPr>
        <w:t>payment</w:t>
      </w:r>
      <w:r>
        <w:rPr>
          <w:rFonts w:ascii="Times New Roman;Times;serif" w:hAnsi="Times New Roman;Times;serif"/>
          <w:spacing w:val="-14"/>
          <w:sz w:val="24"/>
        </w:rPr>
        <w:t xml:space="preserve"> </w:t>
      </w:r>
      <w:r>
        <w:rPr>
          <w:rFonts w:ascii="Times New Roman;Times;serif" w:hAnsi="Times New Roman;Times;serif"/>
          <w:sz w:val="24"/>
        </w:rPr>
        <w:t>of</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purchase</w:t>
      </w:r>
      <w:r>
        <w:rPr>
          <w:rFonts w:ascii="Times New Roman;Times;serif" w:hAnsi="Times New Roman;Times;serif"/>
          <w:spacing w:val="-15"/>
          <w:sz w:val="24"/>
        </w:rPr>
        <w:t xml:space="preserve"> </w:t>
      </w:r>
      <w:r>
        <w:rPr>
          <w:rFonts w:ascii="Times New Roman;Times;serif" w:hAnsi="Times New Roman;Times;serif"/>
          <w:sz w:val="24"/>
        </w:rPr>
        <w:t>price</w:t>
      </w:r>
      <w:r>
        <w:rPr>
          <w:rFonts w:ascii="Times New Roman;Times;serif" w:hAnsi="Times New Roman;Times;serif"/>
          <w:spacing w:val="-15"/>
          <w:sz w:val="24"/>
        </w:rPr>
        <w:t xml:space="preserve"> </w:t>
      </w:r>
      <w:r>
        <w:rPr>
          <w:rFonts w:ascii="Times New Roman;Times;serif" w:hAnsi="Times New Roman;Times;serif"/>
          <w:sz w:val="24"/>
        </w:rPr>
        <w:t>on</w:t>
      </w:r>
      <w:r>
        <w:rPr>
          <w:rFonts w:ascii="Times New Roman;Times;serif" w:hAnsi="Times New Roman;Times;serif"/>
          <w:spacing w:val="-14"/>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same</w:t>
      </w:r>
      <w:r>
        <w:rPr>
          <w:rFonts w:ascii="Times New Roman;Times;serif" w:hAnsi="Times New Roman;Times;serif"/>
          <w:spacing w:val="-15"/>
          <w:sz w:val="24"/>
        </w:rPr>
        <w:t xml:space="preserve"> </w:t>
      </w:r>
      <w:r>
        <w:rPr>
          <w:rFonts w:ascii="Times New Roman;Times;serif" w:hAnsi="Times New Roman;Times;serif"/>
          <w:sz w:val="24"/>
        </w:rPr>
        <w:t>day</w:t>
      </w:r>
      <w:r>
        <w:rPr>
          <w:rFonts w:ascii="Times New Roman;Times;serif" w:hAnsi="Times New Roman;Times;serif"/>
          <w:spacing w:val="-14"/>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sale</w:t>
      </w:r>
      <w:r>
        <w:rPr>
          <w:rFonts w:ascii="Times New Roman;Times;serif" w:hAnsi="Times New Roman;Times;serif"/>
          <w:spacing w:val="-15"/>
          <w:sz w:val="24"/>
        </w:rPr>
        <w:t xml:space="preserve"> </w:t>
      </w:r>
      <w:r>
        <w:rPr>
          <w:rFonts w:ascii="Times New Roman;Times;serif" w:hAnsi="Times New Roman;Times;serif"/>
          <w:sz w:val="24"/>
        </w:rPr>
        <w:t>of</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stock</w:t>
      </w:r>
      <w:r>
        <w:rPr>
          <w:rFonts w:ascii="Times New Roman;Times;serif" w:hAnsi="Times New Roman;Times;serif"/>
          <w:spacing w:val="-14"/>
          <w:sz w:val="24"/>
        </w:rPr>
        <w:t xml:space="preserve"> </w:t>
      </w:r>
      <w:r>
        <w:rPr>
          <w:rFonts w:ascii="Times New Roman;Times;serif" w:hAnsi="Times New Roman;Times;serif"/>
          <w:sz w:val="24"/>
        </w:rPr>
        <w:t>underlying</w:t>
      </w:r>
      <w:r>
        <w:rPr>
          <w:rFonts w:ascii="Times New Roman;Times;serif" w:hAnsi="Times New Roman;Times;serif"/>
          <w:spacing w:val="-14"/>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equity</w:t>
      </w:r>
      <w:r>
        <w:rPr>
          <w:rFonts w:ascii="Times New Roman;Times;serif" w:hAnsi="Times New Roman;Times;serif"/>
          <w:spacing w:val="-14"/>
          <w:sz w:val="24"/>
        </w:rPr>
        <w:t xml:space="preserve"> </w:t>
      </w:r>
      <w:r>
        <w:rPr>
          <w:rFonts w:ascii="Times New Roman;Times;serif" w:hAnsi="Times New Roman;Times;serif"/>
          <w:sz w:val="24"/>
        </w:rPr>
        <w:t>award settles.</w:t>
      </w:r>
      <w:r>
        <w:rPr>
          <w:rFonts w:ascii="Times New Roman;Times;serif" w:hAnsi="Times New Roman;Times;serif"/>
          <w:spacing w:val="22"/>
          <w:sz w:val="24"/>
        </w:rPr>
        <w:t xml:space="preserve"> </w:t>
      </w:r>
      <w:r>
        <w:rPr>
          <w:rFonts w:ascii="Times New Roman;Times;serif" w:hAnsi="Times New Roman;Times;serif"/>
          <w:sz w:val="24"/>
        </w:rPr>
        <w:t>Under</w:t>
      </w:r>
      <w:r>
        <w:rPr>
          <w:rFonts w:ascii="Times New Roman;Times;serif" w:hAnsi="Times New Roman;Times;serif"/>
          <w:spacing w:val="-15"/>
          <w:sz w:val="24"/>
        </w:rPr>
        <w:t xml:space="preserve"> </w:t>
      </w:r>
      <w:r>
        <w:rPr>
          <w:rFonts w:ascii="Times New Roman;Times;serif" w:hAnsi="Times New Roman;Times;serif"/>
          <w:sz w:val="24"/>
        </w:rPr>
        <w:t>a</w:t>
      </w:r>
      <w:r>
        <w:rPr>
          <w:rFonts w:ascii="Times New Roman;Times;serif" w:hAnsi="Times New Roman;Times;serif"/>
          <w:spacing w:val="-15"/>
          <w:sz w:val="24"/>
        </w:rPr>
        <w:t xml:space="preserve"> </w:t>
      </w:r>
      <w:r>
        <w:rPr>
          <w:rFonts w:ascii="Times New Roman;Times;serif" w:hAnsi="Times New Roman;Times;serif"/>
          <w:sz w:val="24"/>
        </w:rPr>
        <w:t>cashless</w:t>
      </w:r>
      <w:r>
        <w:rPr>
          <w:rFonts w:ascii="Times New Roman;Times;serif" w:hAnsi="Times New Roman;Times;serif"/>
          <w:spacing w:val="-15"/>
          <w:sz w:val="24"/>
        </w:rPr>
        <w:t xml:space="preserve"> </w:t>
      </w:r>
      <w:r>
        <w:rPr>
          <w:rFonts w:ascii="Times New Roman;Times;serif" w:hAnsi="Times New Roman;Times;serif"/>
          <w:sz w:val="24"/>
        </w:rPr>
        <w:t>exercise,</w:t>
      </w:r>
      <w:r>
        <w:rPr>
          <w:rFonts w:ascii="Times New Roman;Times;serif" w:hAnsi="Times New Roman;Times;serif"/>
          <w:spacing w:val="-15"/>
          <w:sz w:val="24"/>
        </w:rPr>
        <w:t xml:space="preserve"> </w:t>
      </w:r>
      <w:r>
        <w:rPr>
          <w:rFonts w:ascii="Times New Roman;Times;serif" w:hAnsi="Times New Roman;Times;serif"/>
          <w:sz w:val="24"/>
        </w:rPr>
        <w:t>a</w:t>
      </w:r>
      <w:r>
        <w:rPr>
          <w:rFonts w:ascii="Times New Roman;Times;serif" w:hAnsi="Times New Roman;Times;serif"/>
          <w:spacing w:val="-15"/>
          <w:sz w:val="24"/>
        </w:rPr>
        <w:t xml:space="preserve"> </w:t>
      </w:r>
      <w:r>
        <w:rPr>
          <w:rFonts w:ascii="Times New Roman;Times;serif" w:hAnsi="Times New Roman;Times;serif"/>
          <w:sz w:val="24"/>
        </w:rPr>
        <w:t>broker,</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issuer,</w:t>
      </w:r>
      <w:r>
        <w:rPr>
          <w:rFonts w:ascii="Times New Roman;Times;serif" w:hAnsi="Times New Roman;Times;serif"/>
          <w:spacing w:val="-15"/>
          <w:sz w:val="24"/>
        </w:rPr>
        <w:t xml:space="preserve"> </w:t>
      </w:r>
      <w:r>
        <w:rPr>
          <w:rFonts w:ascii="Times New Roman;Times;serif" w:hAnsi="Times New Roman;Times;serif"/>
          <w:sz w:val="24"/>
        </w:rPr>
        <w:t>and</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issuer’s</w:t>
      </w:r>
      <w:r>
        <w:rPr>
          <w:rFonts w:ascii="Times New Roman;Times;serif" w:hAnsi="Times New Roman;Times;serif"/>
          <w:spacing w:val="-15"/>
          <w:sz w:val="24"/>
        </w:rPr>
        <w:t xml:space="preserve"> </w:t>
      </w:r>
      <w:r>
        <w:rPr>
          <w:rFonts w:ascii="Times New Roman;Times;serif" w:hAnsi="Times New Roman;Times;serif"/>
          <w:sz w:val="24"/>
        </w:rPr>
        <w:t>transfer</w:t>
      </w:r>
      <w:r>
        <w:rPr>
          <w:rFonts w:ascii="Times New Roman;Times;serif" w:hAnsi="Times New Roman;Times;serif"/>
          <w:spacing w:val="-15"/>
          <w:sz w:val="24"/>
        </w:rPr>
        <w:t xml:space="preserve"> </w:t>
      </w:r>
      <w:r>
        <w:rPr>
          <w:rFonts w:ascii="Times New Roman;Times;serif" w:hAnsi="Times New Roman;Times;serif"/>
          <w:sz w:val="24"/>
        </w:rPr>
        <w:t>agent</w:t>
      </w:r>
      <w:r>
        <w:rPr>
          <w:rFonts w:ascii="Times New Roman;Times;serif" w:hAnsi="Times New Roman;Times;serif"/>
          <w:spacing w:val="-15"/>
          <w:sz w:val="24"/>
        </w:rPr>
        <w:t xml:space="preserve"> </w:t>
      </w:r>
      <w:r>
        <w:rPr>
          <w:rFonts w:ascii="Times New Roman;Times;serif" w:hAnsi="Times New Roman;Times;serif"/>
          <w:sz w:val="24"/>
        </w:rPr>
        <w:t>work</w:t>
      </w:r>
      <w:r>
        <w:rPr>
          <w:rFonts w:ascii="Times New Roman;Times;serif" w:hAnsi="Times New Roman;Times;serif"/>
          <w:spacing w:val="-15"/>
          <w:sz w:val="24"/>
        </w:rPr>
        <w:t xml:space="preserve"> </w:t>
      </w:r>
      <w:r>
        <w:rPr>
          <w:rFonts w:ascii="Times New Roman;Times;serif" w:hAnsi="Times New Roman;Times;serif"/>
          <w:sz w:val="24"/>
        </w:rPr>
        <w:t>together to make all transactions settle simultaneously.</w:t>
      </w:r>
      <w:r>
        <w:rPr>
          <w:rFonts w:ascii="Times New Roman;Times;serif" w:hAnsi="Times New Roman;Times;serif"/>
          <w:spacing w:val="40"/>
          <w:sz w:val="24"/>
        </w:rPr>
        <w:t xml:space="preserve"> </w:t>
      </w:r>
      <w:r>
        <w:rPr>
          <w:rFonts w:ascii="Times New Roman;Times;serif" w:hAnsi="Times New Roman;Times;serif"/>
          <w:sz w:val="24"/>
        </w:rPr>
        <w:t xml:space="preserve">This approach is to avoid any inference that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20" w:right="117" w:hanging="0"/>
        <w:jc w:val="both"/>
        <w:rPr>
          <w:rFonts w:ascii="Times New Roman;Times;serif" w:hAnsi="Times New Roman;Times;serif"/>
          <w:sz w:val="24"/>
        </w:rPr>
      </w:pPr>
      <w:r>
        <w:rPr>
          <w:rFonts w:ascii="Times New Roman;Times;serif" w:hAnsi="Times New Roman;Times;serif"/>
          <w:sz w:val="24"/>
        </w:rPr>
        <w:t>Company</w:t>
      </w:r>
      <w:r>
        <w:rPr>
          <w:rFonts w:ascii="Times New Roman;Times;serif" w:hAnsi="Times New Roman;Times;serif"/>
          <w:spacing w:val="-3"/>
          <w:sz w:val="24"/>
        </w:rPr>
        <w:t xml:space="preserve"> </w:t>
      </w:r>
      <w:r>
        <w:rPr>
          <w:rFonts w:ascii="Times New Roman;Times;serif" w:hAnsi="Times New Roman;Times;serif"/>
          <w:sz w:val="24"/>
        </w:rPr>
        <w:t>has</w:t>
      </w:r>
      <w:r>
        <w:rPr>
          <w:rFonts w:ascii="Times New Roman;Times;serif" w:hAnsi="Times New Roman;Times;serif"/>
          <w:spacing w:val="-3"/>
          <w:sz w:val="24"/>
        </w:rPr>
        <w:t xml:space="preserve"> </w:t>
      </w:r>
      <w:r>
        <w:rPr>
          <w:rFonts w:ascii="Times New Roman;Times;serif" w:hAnsi="Times New Roman;Times;serif"/>
          <w:sz w:val="24"/>
        </w:rPr>
        <w:t>“extended</w:t>
      </w:r>
      <w:r>
        <w:rPr>
          <w:rFonts w:ascii="Times New Roman;Times;serif" w:hAnsi="Times New Roman;Times;serif"/>
          <w:spacing w:val="-1"/>
          <w:sz w:val="24"/>
        </w:rPr>
        <w:t xml:space="preserve"> </w:t>
      </w:r>
      <w:r>
        <w:rPr>
          <w:rFonts w:ascii="Times New Roman;Times;serif" w:hAnsi="Times New Roman;Times;serif"/>
          <w:sz w:val="24"/>
        </w:rPr>
        <w:t>credit”</w:t>
      </w:r>
      <w:r>
        <w:rPr>
          <w:rFonts w:ascii="Times New Roman;Times;serif" w:hAnsi="Times New Roman;Times;serif"/>
          <w:spacing w:val="-4"/>
          <w:sz w:val="24"/>
        </w:rPr>
        <w:t xml:space="preserve"> </w:t>
      </w:r>
      <w:r>
        <w:rPr>
          <w:rFonts w:ascii="Times New Roman;Times;serif" w:hAnsi="Times New Roman;Times;serif"/>
          <w:sz w:val="24"/>
        </w:rPr>
        <w:t>in</w:t>
      </w:r>
      <w:r>
        <w:rPr>
          <w:rFonts w:ascii="Times New Roman;Times;serif" w:hAnsi="Times New Roman;Times;serif"/>
          <w:spacing w:val="-3"/>
          <w:sz w:val="24"/>
        </w:rPr>
        <w:t xml:space="preserve"> </w:t>
      </w:r>
      <w:r>
        <w:rPr>
          <w:rFonts w:ascii="Times New Roman;Times;serif" w:hAnsi="Times New Roman;Times;serif"/>
          <w:sz w:val="24"/>
        </w:rPr>
        <w:t>the</w:t>
      </w:r>
      <w:r>
        <w:rPr>
          <w:rFonts w:ascii="Times New Roman;Times;serif" w:hAnsi="Times New Roman;Times;serif"/>
          <w:spacing w:val="-4"/>
          <w:sz w:val="24"/>
        </w:rPr>
        <w:t xml:space="preserve"> </w:t>
      </w:r>
      <w:r>
        <w:rPr>
          <w:rFonts w:ascii="Times New Roman;Times;serif" w:hAnsi="Times New Roman;Times;serif"/>
          <w:sz w:val="24"/>
        </w:rPr>
        <w:t>form</w:t>
      </w:r>
      <w:r>
        <w:rPr>
          <w:rFonts w:ascii="Times New Roman;Times;serif" w:hAnsi="Times New Roman;Times;serif"/>
          <w:spacing w:val="-3"/>
          <w:sz w:val="24"/>
        </w:rPr>
        <w:t xml:space="preserve"> </w:t>
      </w:r>
      <w:r>
        <w:rPr>
          <w:rFonts w:ascii="Times New Roman;Times;serif" w:hAnsi="Times New Roman;Times;serif"/>
          <w:sz w:val="24"/>
        </w:rPr>
        <w:t>of</w:t>
      </w:r>
      <w:r>
        <w:rPr>
          <w:rFonts w:ascii="Times New Roman;Times;serif" w:hAnsi="Times New Roman;Times;serif"/>
          <w:spacing w:val="-2"/>
          <w:sz w:val="24"/>
        </w:rPr>
        <w:t xml:space="preserve"> </w:t>
      </w:r>
      <w:r>
        <w:rPr>
          <w:rFonts w:ascii="Times New Roman;Times;serif" w:hAnsi="Times New Roman;Times;serif"/>
          <w:sz w:val="24"/>
        </w:rPr>
        <w:t>a</w:t>
      </w:r>
      <w:r>
        <w:rPr>
          <w:rFonts w:ascii="Times New Roman;Times;serif" w:hAnsi="Times New Roman;Times;serif"/>
          <w:spacing w:val="-4"/>
          <w:sz w:val="24"/>
        </w:rPr>
        <w:t xml:space="preserve"> </w:t>
      </w:r>
      <w:r>
        <w:rPr>
          <w:rFonts w:ascii="Times New Roman;Times;serif" w:hAnsi="Times New Roman;Times;serif"/>
          <w:sz w:val="24"/>
        </w:rPr>
        <w:t>personal</w:t>
      </w:r>
      <w:r>
        <w:rPr>
          <w:rFonts w:ascii="Times New Roman;Times;serif" w:hAnsi="Times New Roman;Times;serif"/>
          <w:spacing w:val="-3"/>
          <w:sz w:val="24"/>
        </w:rPr>
        <w:t xml:space="preserve"> </w:t>
      </w:r>
      <w:r>
        <w:rPr>
          <w:rFonts w:ascii="Times New Roman;Times;serif" w:hAnsi="Times New Roman;Times;serif"/>
          <w:sz w:val="24"/>
        </w:rPr>
        <w:t>loan</w:t>
      </w:r>
      <w:r>
        <w:rPr>
          <w:rFonts w:ascii="Times New Roman;Times;serif" w:hAnsi="Times New Roman;Times;serif"/>
          <w:spacing w:val="-3"/>
          <w:sz w:val="24"/>
        </w:rPr>
        <w:t xml:space="preserve"> </w:t>
      </w:r>
      <w:r>
        <w:rPr>
          <w:rFonts w:ascii="Times New Roman;Times;serif" w:hAnsi="Times New Roman;Times;serif"/>
          <w:sz w:val="24"/>
        </w:rPr>
        <w:t>to</w:t>
      </w:r>
      <w:r>
        <w:rPr>
          <w:rFonts w:ascii="Times New Roman;Times;serif" w:hAnsi="Times New Roman;Times;serif"/>
          <w:spacing w:val="-3"/>
          <w:sz w:val="24"/>
        </w:rPr>
        <w:t xml:space="preserve"> </w:t>
      </w:r>
      <w:r>
        <w:rPr>
          <w:rFonts w:ascii="Times New Roman;Times;serif" w:hAnsi="Times New Roman;Times;serif"/>
          <w:sz w:val="24"/>
        </w:rPr>
        <w:t>the</w:t>
      </w:r>
      <w:r>
        <w:rPr>
          <w:rFonts w:ascii="Times New Roman;Times;serif" w:hAnsi="Times New Roman;Times;serif"/>
          <w:spacing w:val="-4"/>
          <w:sz w:val="24"/>
        </w:rPr>
        <w:t xml:space="preserve"> </w:t>
      </w:r>
      <w:r>
        <w:rPr>
          <w:rFonts w:ascii="Times New Roman;Times;serif" w:hAnsi="Times New Roman;Times;serif"/>
          <w:sz w:val="24"/>
        </w:rPr>
        <w:t>director</w:t>
      </w:r>
      <w:r>
        <w:rPr>
          <w:rFonts w:ascii="Times New Roman;Times;serif" w:hAnsi="Times New Roman;Times;serif"/>
          <w:spacing w:val="-4"/>
          <w:sz w:val="24"/>
        </w:rPr>
        <w:t xml:space="preserve"> </w:t>
      </w:r>
      <w:r>
        <w:rPr>
          <w:rFonts w:ascii="Times New Roman;Times;serif" w:hAnsi="Times New Roman;Times;serif"/>
          <w:sz w:val="24"/>
        </w:rPr>
        <w:t>or</w:t>
      </w:r>
      <w:r>
        <w:rPr>
          <w:rFonts w:ascii="Times New Roman;Times;serif" w:hAnsi="Times New Roman;Times;serif"/>
          <w:spacing w:val="-4"/>
          <w:sz w:val="24"/>
        </w:rPr>
        <w:t xml:space="preserve"> </w:t>
      </w:r>
      <w:r>
        <w:rPr>
          <w:rFonts w:ascii="Times New Roman;Times;serif" w:hAnsi="Times New Roman;Times;serif"/>
          <w:sz w:val="24"/>
        </w:rPr>
        <w:t>executive</w:t>
      </w:r>
      <w:r>
        <w:rPr>
          <w:rFonts w:ascii="Times New Roman;Times;serif" w:hAnsi="Times New Roman;Times;serif"/>
          <w:spacing w:val="-4"/>
          <w:sz w:val="24"/>
        </w:rPr>
        <w:t xml:space="preserve"> </w:t>
      </w:r>
      <w:r>
        <w:rPr>
          <w:rFonts w:ascii="Times New Roman;Times;serif" w:hAnsi="Times New Roman;Times;serif"/>
          <w:sz w:val="24"/>
        </w:rPr>
        <w:t>officer. Questions about cashless exercises should be directed to the Compliance Officer.</w:t>
      </w:r>
    </w:p>
    <w:p>
      <w:pPr>
        <w:pStyle w:val="TextBody"/>
        <w:bidi w:val="0"/>
        <w:spacing w:before="240" w:after="283"/>
        <w:ind w:left="120" w:right="117" w:firstLine="720"/>
        <w:jc w:val="both"/>
        <w:rPr/>
      </w:pPr>
      <w:r>
        <w:rPr/>
        <w:t>​</w:t>
      </w:r>
    </w:p>
    <w:p>
      <w:pPr>
        <w:pStyle w:val="TextBody"/>
        <w:bidi w:val="0"/>
        <w:spacing w:before="240" w:after="283"/>
        <w:ind w:left="120" w:right="117" w:firstLine="720"/>
        <w:jc w:val="both"/>
        <w:rPr/>
      </w:pPr>
      <w:r>
        <w:rPr/>
        <w:t>​</w:t>
      </w:r>
    </w:p>
    <w:p>
      <w:pPr>
        <w:pStyle w:val="TextBody"/>
        <w:bidi w:val="0"/>
        <w:spacing w:before="240" w:after="283"/>
        <w:ind w:left="120" w:right="117" w:firstLine="720"/>
        <w:jc w:val="both"/>
        <w:rPr/>
      </w:pPr>
      <w:r>
        <w:rPr/>
        <w:t>​</w:t>
      </w:r>
    </w:p>
    <w:p>
      <w:pPr>
        <w:pStyle w:val="TextBody"/>
        <w:bidi w:val="0"/>
        <w:spacing w:before="40" w:after="0"/>
        <w:ind w:left="0" w:right="0" w:firstLine="720"/>
        <w:jc w:val="left"/>
        <w:rPr>
          <w:rFonts w:ascii="Times New Roman;Times;serif" w:hAnsi="Times New Roman;Times;serif"/>
          <w:b/>
          <w:color w:val="000000"/>
          <w:sz w:val="24"/>
        </w:rPr>
      </w:pPr>
      <w:bookmarkStart w:id="2434" w:name="_cp_text_1_143"/>
      <w:bookmarkEnd w:id="2434"/>
      <w:r>
        <w:rPr>
          <w:rFonts w:ascii="Times New Roman;Times;serif" w:hAnsi="Times New Roman;Times;serif"/>
          <w:b/>
          <w:color w:val="000000"/>
          <w:sz w:val="24"/>
        </w:rPr>
        <w:t>Partnership Distributions</w:t>
      </w:r>
    </w:p>
    <w:p>
      <w:pPr>
        <w:pStyle w:val="TextBody"/>
        <w:bidi w:val="0"/>
        <w:spacing w:before="240" w:after="0"/>
        <w:ind w:left="120" w:right="0" w:firstLine="720"/>
        <w:jc w:val="both"/>
        <w:rPr>
          <w:rFonts w:ascii="Times New Roman;Times;serif" w:hAnsi="Times New Roman;Times;serif"/>
          <w:sz w:val="24"/>
        </w:rPr>
      </w:pPr>
      <w:bookmarkStart w:id="2435" w:name="_cp_text_1_144"/>
      <w:bookmarkStart w:id="2436" w:name="OLE_LINK4"/>
      <w:bookmarkStart w:id="2437" w:name="OLE_LINK3"/>
      <w:bookmarkEnd w:id="2435"/>
      <w:bookmarkEnd w:id="2436"/>
      <w:bookmarkEnd w:id="2437"/>
      <w:r>
        <w:rPr>
          <w:rFonts w:ascii="Times New Roman;Times;serif" w:hAnsi="Times New Roman;Times;serif"/>
          <w:sz w:val="24"/>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241" w:after="0"/>
        <w:ind w:left="0" w:right="0" w:hanging="0"/>
        <w:jc w:val="left"/>
        <w:rPr>
          <w:rFonts w:ascii="Times New Roman;Times;serif" w:hAnsi="Times New Roman;Times;serif"/>
          <w:b/>
          <w:sz w:val="24"/>
        </w:rPr>
      </w:pPr>
      <w:bookmarkStart w:id="2438" w:name="_Toc184126916"/>
      <w:bookmarkEnd w:id="2438"/>
      <w:r>
        <w:rPr>
          <w:rFonts w:ascii="Times New Roman;Times;serif" w:hAnsi="Times New Roman;Times;serif"/>
          <w:b/>
          <w:sz w:val="24"/>
        </w:rPr>
        <w:t>Rule</w:t>
      </w:r>
      <w:r>
        <w:rPr>
          <w:rFonts w:ascii="Times New Roman;Times;serif" w:hAnsi="Times New Roman;Times;serif"/>
          <w:b/>
          <w:spacing w:val="-2"/>
          <w:sz w:val="24"/>
        </w:rPr>
        <w:t xml:space="preserve"> </w:t>
      </w:r>
      <w:r>
        <w:rPr>
          <w:rFonts w:ascii="Times New Roman;Times;serif" w:hAnsi="Times New Roman;Times;serif"/>
          <w:b/>
          <w:sz w:val="24"/>
        </w:rPr>
        <w:t>10b5-1</w:t>
      </w:r>
      <w:r>
        <w:rPr>
          <w:rFonts w:ascii="Times New Roman;Times;serif" w:hAnsi="Times New Roman;Times;serif"/>
          <w:b/>
          <w:spacing w:val="-1"/>
          <w:sz w:val="24"/>
        </w:rPr>
        <w:t xml:space="preserve"> </w:t>
      </w:r>
      <w:r>
        <w:rPr>
          <w:rFonts w:ascii="Times New Roman;Times;serif" w:hAnsi="Times New Roman;Times;serif"/>
          <w:b/>
          <w:sz w:val="24"/>
        </w:rPr>
        <w:t>Trading</w:t>
      </w:r>
      <w:r>
        <w:rPr>
          <w:rFonts w:ascii="Times New Roman;Times;serif" w:hAnsi="Times New Roman;Times;serif"/>
          <w:b/>
          <w:spacing w:val="-1"/>
          <w:sz w:val="24"/>
        </w:rPr>
        <w:t xml:space="preserve"> </w:t>
      </w:r>
      <w:r>
        <w:rPr>
          <w:rFonts w:ascii="Times New Roman;Times;serif" w:hAnsi="Times New Roman;Times;serif"/>
          <w:b/>
          <w:spacing w:val="-2"/>
          <w:sz w:val="24"/>
        </w:rPr>
        <w:t>Plans</w:t>
      </w:r>
    </w:p>
    <w:p>
      <w:pPr>
        <w:pStyle w:val="TextBody"/>
        <w:bidi w:val="0"/>
        <w:spacing w:before="240" w:after="0"/>
        <w:ind w:left="120" w:right="116" w:firstLine="720"/>
        <w:jc w:val="both"/>
        <w:rPr>
          <w:rFonts w:ascii="Times New Roman;Times;serif" w:hAnsi="Times New Roman;Times;serif"/>
          <w:sz w:val="24"/>
        </w:rPr>
      </w:pP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trading</w:t>
      </w:r>
      <w:r>
        <w:rPr>
          <w:rFonts w:ascii="Times New Roman;Times;serif" w:hAnsi="Times New Roman;Times;serif"/>
          <w:spacing w:val="-13"/>
          <w:sz w:val="24"/>
        </w:rPr>
        <w:t xml:space="preserve"> </w:t>
      </w:r>
      <w:r>
        <w:rPr>
          <w:rFonts w:ascii="Times New Roman;Times;serif" w:hAnsi="Times New Roman;Times;serif"/>
          <w:sz w:val="24"/>
        </w:rPr>
        <w:t>restrictions</w:t>
      </w:r>
      <w:r>
        <w:rPr>
          <w:rFonts w:ascii="Times New Roman;Times;serif" w:hAnsi="Times New Roman;Times;serif"/>
          <w:spacing w:val="-13"/>
          <w:sz w:val="24"/>
        </w:rPr>
        <w:t xml:space="preserve"> </w:t>
      </w:r>
      <w:r>
        <w:rPr>
          <w:rFonts w:ascii="Times New Roman;Times;serif" w:hAnsi="Times New Roman;Times;serif"/>
          <w:sz w:val="24"/>
        </w:rPr>
        <w:t>set</w:t>
      </w:r>
      <w:r>
        <w:rPr>
          <w:rFonts w:ascii="Times New Roman;Times;serif" w:hAnsi="Times New Roman;Times;serif"/>
          <w:spacing w:val="-13"/>
          <w:sz w:val="24"/>
        </w:rPr>
        <w:t xml:space="preserve"> </w:t>
      </w:r>
      <w:r>
        <w:rPr>
          <w:rFonts w:ascii="Times New Roman;Times;serif" w:hAnsi="Times New Roman;Times;serif"/>
          <w:sz w:val="24"/>
        </w:rPr>
        <w:t>forth</w:t>
      </w:r>
      <w:r>
        <w:rPr>
          <w:rFonts w:ascii="Times New Roman;Times;serif" w:hAnsi="Times New Roman;Times;serif"/>
          <w:spacing w:val="-13"/>
          <w:sz w:val="24"/>
        </w:rPr>
        <w:t xml:space="preserve"> </w:t>
      </w:r>
      <w:r>
        <w:rPr>
          <w:rFonts w:ascii="Times New Roman;Times;serif" w:hAnsi="Times New Roman;Times;serif"/>
          <w:sz w:val="24"/>
        </w:rPr>
        <w:t>do</w:t>
      </w:r>
      <w:r>
        <w:rPr>
          <w:rFonts w:ascii="Times New Roman;Times;serif" w:hAnsi="Times New Roman;Times;serif"/>
          <w:spacing w:val="-13"/>
          <w:sz w:val="24"/>
        </w:rPr>
        <w:t xml:space="preserve"> </w:t>
      </w:r>
      <w:r>
        <w:rPr>
          <w:rFonts w:ascii="Times New Roman;Times;serif" w:hAnsi="Times New Roman;Times;serif"/>
          <w:sz w:val="24"/>
        </w:rPr>
        <w:t>not</w:t>
      </w:r>
      <w:r>
        <w:rPr>
          <w:rFonts w:ascii="Times New Roman;Times;serif" w:hAnsi="Times New Roman;Times;serif"/>
          <w:spacing w:val="-13"/>
          <w:sz w:val="24"/>
        </w:rPr>
        <w:t xml:space="preserve"> </w:t>
      </w:r>
      <w:r>
        <w:rPr>
          <w:rFonts w:ascii="Times New Roman;Times;serif" w:hAnsi="Times New Roman;Times;serif"/>
          <w:sz w:val="24"/>
        </w:rPr>
        <w:t>apply</w:t>
      </w:r>
      <w:r>
        <w:rPr>
          <w:rFonts w:ascii="Times New Roman;Times;serif" w:hAnsi="Times New Roman;Times;serif"/>
          <w:spacing w:val="-15"/>
          <w:sz w:val="24"/>
        </w:rPr>
        <w:t xml:space="preserve"> </w:t>
      </w:r>
      <w:r>
        <w:rPr>
          <w:rFonts w:ascii="Times New Roman;Times;serif" w:hAnsi="Times New Roman;Times;serif"/>
          <w:sz w:val="24"/>
        </w:rPr>
        <w:t>to</w:t>
      </w:r>
      <w:r>
        <w:rPr>
          <w:rFonts w:ascii="Times New Roman;Times;serif" w:hAnsi="Times New Roman;Times;serif"/>
          <w:spacing w:val="-13"/>
          <w:sz w:val="24"/>
        </w:rPr>
        <w:t xml:space="preserve"> </w:t>
      </w:r>
      <w:r>
        <w:rPr>
          <w:rFonts w:ascii="Times New Roman;Times;serif" w:hAnsi="Times New Roman;Times;serif"/>
          <w:sz w:val="24"/>
        </w:rPr>
        <w:t>transactions</w:t>
      </w:r>
      <w:r>
        <w:rPr>
          <w:rFonts w:ascii="Times New Roman;Times;serif" w:hAnsi="Times New Roman;Times;serif"/>
          <w:spacing w:val="-13"/>
          <w:sz w:val="24"/>
        </w:rPr>
        <w:t xml:space="preserve"> </w:t>
      </w:r>
      <w:r>
        <w:rPr>
          <w:rFonts w:ascii="Times New Roman;Times;serif" w:hAnsi="Times New Roman;Times;serif"/>
          <w:sz w:val="24"/>
        </w:rPr>
        <w:t>under</w:t>
      </w:r>
      <w:r>
        <w:rPr>
          <w:rFonts w:ascii="Times New Roman;Times;serif" w:hAnsi="Times New Roman;Times;serif"/>
          <w:spacing w:val="-14"/>
          <w:sz w:val="24"/>
        </w:rPr>
        <w:t xml:space="preserve"> </w:t>
      </w:r>
      <w:r>
        <w:rPr>
          <w:rFonts w:ascii="Times New Roman;Times;serif" w:hAnsi="Times New Roman;Times;serif"/>
          <w:sz w:val="24"/>
        </w:rPr>
        <w:t>a</w:t>
      </w:r>
      <w:r>
        <w:rPr>
          <w:rFonts w:ascii="Times New Roman;Times;serif" w:hAnsi="Times New Roman;Times;serif"/>
          <w:spacing w:val="-14"/>
          <w:sz w:val="24"/>
        </w:rPr>
        <w:t xml:space="preserve"> </w:t>
      </w:r>
      <w:r>
        <w:rPr>
          <w:rFonts w:ascii="Times New Roman;Times;serif" w:hAnsi="Times New Roman;Times;serif"/>
          <w:sz w:val="24"/>
        </w:rPr>
        <w:t>previously</w:t>
      </w:r>
      <w:r>
        <w:rPr>
          <w:rFonts w:ascii="Times New Roman;Times;serif" w:hAnsi="Times New Roman;Times;serif"/>
          <w:spacing w:val="-13"/>
          <w:sz w:val="24"/>
        </w:rPr>
        <w:t xml:space="preserve"> </w:t>
      </w:r>
      <w:r>
        <w:rPr>
          <w:rFonts w:ascii="Times New Roman;Times;serif" w:hAnsi="Times New Roman;Times;serif"/>
          <w:sz w:val="24"/>
        </w:rPr>
        <w:t>established contract,</w:t>
      </w:r>
      <w:r>
        <w:rPr>
          <w:rFonts w:ascii="Times New Roman;Times;serif" w:hAnsi="Times New Roman;Times;serif"/>
          <w:spacing w:val="-7"/>
          <w:sz w:val="24"/>
        </w:rPr>
        <w:t xml:space="preserve"> </w:t>
      </w:r>
      <w:r>
        <w:rPr>
          <w:rFonts w:ascii="Times New Roman;Times;serif" w:hAnsi="Times New Roman;Times;serif"/>
          <w:sz w:val="24"/>
        </w:rPr>
        <w:t>plan,</w:t>
      </w:r>
      <w:r>
        <w:rPr>
          <w:rFonts w:ascii="Times New Roman;Times;serif" w:hAnsi="Times New Roman;Times;serif"/>
          <w:spacing w:val="-7"/>
          <w:sz w:val="24"/>
        </w:rPr>
        <w:t xml:space="preserve"> </w:t>
      </w:r>
      <w:r>
        <w:rPr>
          <w:rFonts w:ascii="Times New Roman;Times;serif" w:hAnsi="Times New Roman;Times;serif"/>
          <w:sz w:val="24"/>
        </w:rPr>
        <w:t>or</w:t>
      </w:r>
      <w:r>
        <w:rPr>
          <w:rFonts w:ascii="Times New Roman;Times;serif" w:hAnsi="Times New Roman;Times;serif"/>
          <w:spacing w:val="-7"/>
          <w:sz w:val="24"/>
        </w:rPr>
        <w:t xml:space="preserve"> </w:t>
      </w:r>
      <w:r>
        <w:rPr>
          <w:rFonts w:ascii="Times New Roman;Times;serif" w:hAnsi="Times New Roman;Times;serif"/>
          <w:sz w:val="24"/>
        </w:rPr>
        <w:t>instruction</w:t>
      </w:r>
      <w:r>
        <w:rPr>
          <w:rFonts w:ascii="Times New Roman;Times;serif" w:hAnsi="Times New Roman;Times;serif"/>
          <w:spacing w:val="-7"/>
          <w:sz w:val="24"/>
        </w:rPr>
        <w:t xml:space="preserve"> </w:t>
      </w:r>
      <w:r>
        <w:rPr>
          <w:rFonts w:ascii="Times New Roman;Times;serif" w:hAnsi="Times New Roman;Times;serif"/>
          <w:sz w:val="24"/>
        </w:rPr>
        <w:t>to</w:t>
      </w:r>
      <w:r>
        <w:rPr>
          <w:rFonts w:ascii="Times New Roman;Times;serif" w:hAnsi="Times New Roman;Times;serif"/>
          <w:spacing w:val="-7"/>
          <w:sz w:val="24"/>
        </w:rPr>
        <w:t xml:space="preserve"> </w:t>
      </w:r>
      <w:r>
        <w:rPr>
          <w:rFonts w:ascii="Times New Roman;Times;serif" w:hAnsi="Times New Roman;Times;serif"/>
          <w:sz w:val="24"/>
        </w:rPr>
        <w:t>trade</w:t>
      </w:r>
      <w:r>
        <w:rPr>
          <w:rFonts w:ascii="Times New Roman;Times;serif" w:hAnsi="Times New Roman;Times;serif"/>
          <w:spacing w:val="-7"/>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Company’s</w:t>
      </w:r>
      <w:r>
        <w:rPr>
          <w:rFonts w:ascii="Times New Roman;Times;serif" w:hAnsi="Times New Roman;Times;serif"/>
          <w:spacing w:val="-7"/>
          <w:sz w:val="24"/>
        </w:rPr>
        <w:t xml:space="preserve"> </w:t>
      </w:r>
      <w:r>
        <w:rPr>
          <w:rFonts w:ascii="Times New Roman;Times;serif" w:hAnsi="Times New Roman;Times;serif"/>
          <w:sz w:val="24"/>
        </w:rPr>
        <w:t>stock</w:t>
      </w:r>
      <w:r>
        <w:rPr>
          <w:rFonts w:ascii="Times New Roman;Times;serif" w:hAnsi="Times New Roman;Times;serif"/>
          <w:spacing w:val="-7"/>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accordance</w:t>
      </w:r>
      <w:r>
        <w:rPr>
          <w:rFonts w:ascii="Times New Roman;Times;serif" w:hAnsi="Times New Roman;Times;serif"/>
          <w:spacing w:val="-5"/>
          <w:sz w:val="24"/>
        </w:rPr>
        <w:t xml:space="preserve"> </w:t>
      </w:r>
      <w:r>
        <w:rPr>
          <w:rFonts w:ascii="Times New Roman;Times;serif" w:hAnsi="Times New Roman;Times;serif"/>
          <w:sz w:val="24"/>
        </w:rPr>
        <w:t>with</w:t>
      </w:r>
      <w:r>
        <w:rPr>
          <w:rFonts w:ascii="Times New Roman;Times;serif" w:hAnsi="Times New Roman;Times;serif"/>
          <w:spacing w:val="-7"/>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terms</w:t>
      </w:r>
      <w:r>
        <w:rPr>
          <w:rFonts w:ascii="Times New Roman;Times;serif" w:hAnsi="Times New Roman;Times;serif"/>
          <w:spacing w:val="-7"/>
          <w:sz w:val="24"/>
        </w:rPr>
        <w:t xml:space="preserve"> </w:t>
      </w:r>
      <w:r>
        <w:rPr>
          <w:rFonts w:ascii="Times New Roman;Times;serif" w:hAnsi="Times New Roman;Times;serif"/>
          <w:sz w:val="24"/>
        </w:rPr>
        <w:t>of</w:t>
      </w:r>
      <w:r>
        <w:rPr>
          <w:rFonts w:ascii="Times New Roman;Times;serif" w:hAnsi="Times New Roman;Times;serif"/>
          <w:spacing w:val="-7"/>
          <w:sz w:val="24"/>
        </w:rPr>
        <w:t xml:space="preserve"> </w:t>
      </w:r>
      <w:r>
        <w:rPr>
          <w:rFonts w:ascii="Times New Roman;Times;serif" w:hAnsi="Times New Roman;Times;serif"/>
          <w:sz w:val="24"/>
        </w:rPr>
        <w:t>Rule 10b5-1 and all applicable state laws (a “</w:t>
      </w:r>
      <w:r>
        <w:rPr>
          <w:rFonts w:ascii="Times New Roman;Times;serif" w:hAnsi="Times New Roman;Times;serif"/>
          <w:sz w:val="24"/>
          <w:u w:val="single"/>
        </w:rPr>
        <w:t>Trading Plan</w:t>
      </w:r>
      <w:r>
        <w:rPr>
          <w:rFonts w:ascii="Times New Roman;Times;serif" w:hAnsi="Times New Roman;Times;serif"/>
          <w:sz w:val="24"/>
        </w:rPr>
        <w:t>”) that: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has been submitted to and preapproved by the Company’s</w:t>
            </w:r>
            <w:r>
              <w:rPr>
                <w:caps w:val="false"/>
                <w:smallCaps w:val="false"/>
                <w:spacing w:val="-5"/>
              </w:rPr>
              <w:t xml:space="preserve"> </w:t>
            </w:r>
            <w:r>
              <w:rPr>
                <w:rFonts w:ascii="Times New Roman;Times;serif" w:hAnsi="Times New Roman;Times;serif"/>
                <w:b w:val="false"/>
                <w:i w:val="false"/>
                <w:caps w:val="false"/>
                <w:smallCaps w:val="false"/>
                <w:sz w:val="24"/>
              </w:rPr>
              <w:t>General</w:t>
            </w:r>
            <w:r>
              <w:rPr>
                <w:caps w:val="false"/>
                <w:smallCaps w:val="false"/>
                <w:spacing w:val="-8"/>
              </w:rPr>
              <w:t xml:space="preserve"> </w:t>
            </w:r>
            <w:r>
              <w:rPr>
                <w:rFonts w:ascii="Times New Roman;Times;serif" w:hAnsi="Times New Roman;Times;serif"/>
                <w:b w:val="false"/>
                <w:i w:val="false"/>
                <w:caps w:val="false"/>
                <w:smallCaps w:val="false"/>
                <w:sz w:val="24"/>
              </w:rPr>
              <w:t>Counsel,</w:t>
            </w:r>
            <w:r>
              <w:rPr>
                <w:caps w:val="false"/>
                <w:smallCaps w:val="false"/>
                <w:spacing w:val="-3"/>
              </w:rPr>
              <w:t xml:space="preserve"> </w:t>
            </w:r>
            <w:r>
              <w:rPr>
                <w:rFonts w:ascii="Times New Roman;Times;serif" w:hAnsi="Times New Roman;Times;serif"/>
                <w:b w:val="false"/>
                <w:i w:val="false"/>
                <w:caps w:val="false"/>
                <w:smallCaps w:val="false"/>
                <w:sz w:val="24"/>
              </w:rPr>
              <w:t>Chief Financial</w:t>
            </w:r>
            <w:r>
              <w:rPr>
                <w:caps w:val="false"/>
                <w:smallCaps w:val="false"/>
                <w:spacing w:val="16"/>
              </w:rPr>
              <w:t xml:space="preserve"> </w:t>
            </w:r>
            <w:r>
              <w:rPr>
                <w:rFonts w:ascii="Times New Roman;Times;serif" w:hAnsi="Times New Roman;Times;serif"/>
                <w:b w:val="false"/>
                <w:i w:val="false"/>
                <w:caps w:val="false"/>
                <w:smallCaps w:val="false"/>
                <w:sz w:val="24"/>
              </w:rPr>
              <w:t>Officer,</w:t>
            </w:r>
            <w:r>
              <w:rPr>
                <w:caps w:val="false"/>
                <w:smallCaps w:val="false"/>
                <w:spacing w:val="21"/>
              </w:rPr>
              <w:t xml:space="preserve"> </w:t>
            </w:r>
            <w:r>
              <w:rPr>
                <w:rFonts w:ascii="Times New Roman;Times;serif" w:hAnsi="Times New Roman;Times;serif"/>
                <w:b w:val="false"/>
                <w:i w:val="false"/>
                <w:caps w:val="false"/>
                <w:smallCaps w:val="false"/>
                <w:sz w:val="24"/>
              </w:rPr>
              <w:t>or</w:t>
            </w:r>
            <w:r>
              <w:rPr>
                <w:caps w:val="false"/>
                <w:smallCaps w:val="false"/>
                <w:spacing w:val="21"/>
              </w:rPr>
              <w:t xml:space="preserve"> </w:t>
            </w:r>
            <w:r>
              <w:rPr>
                <w:rFonts w:ascii="Times New Roman;Times;serif" w:hAnsi="Times New Roman;Times;serif"/>
                <w:b w:val="false"/>
                <w:i w:val="false"/>
                <w:caps w:val="false"/>
                <w:smallCaps w:val="false"/>
                <w:sz w:val="24"/>
              </w:rPr>
              <w:t>such</w:t>
            </w:r>
            <w:r>
              <w:rPr>
                <w:caps w:val="false"/>
                <w:smallCaps w:val="false"/>
                <w:spacing w:val="21"/>
              </w:rPr>
              <w:t xml:space="preserve"> </w:t>
            </w:r>
            <w:r>
              <w:rPr>
                <w:rFonts w:ascii="Times New Roman;Times;serif" w:hAnsi="Times New Roman;Times;serif"/>
                <w:b w:val="false"/>
                <w:i w:val="false"/>
                <w:caps w:val="false"/>
                <w:smallCaps w:val="false"/>
                <w:sz w:val="24"/>
              </w:rPr>
              <w:t>other</w:t>
            </w:r>
            <w:r>
              <w:rPr>
                <w:caps w:val="false"/>
                <w:smallCaps w:val="false"/>
                <w:spacing w:val="21"/>
              </w:rPr>
              <w:t xml:space="preserve"> </w:t>
            </w:r>
            <w:r>
              <w:rPr>
                <w:rFonts w:ascii="Times New Roman;Times;serif" w:hAnsi="Times New Roman;Times;serif"/>
                <w:b w:val="false"/>
                <w:i w:val="false"/>
                <w:caps w:val="false"/>
                <w:smallCaps w:val="false"/>
                <w:sz w:val="24"/>
              </w:rPr>
              <w:t>person</w:t>
            </w:r>
            <w:r>
              <w:rPr>
                <w:caps w:val="false"/>
                <w:smallCaps w:val="false"/>
                <w:spacing w:val="21"/>
              </w:rPr>
              <w:t xml:space="preserve"> </w:t>
            </w:r>
            <w:r>
              <w:rPr>
                <w:rFonts w:ascii="Times New Roman;Times;serif" w:hAnsi="Times New Roman;Times;serif"/>
                <w:b w:val="false"/>
                <w:i w:val="false"/>
                <w:caps w:val="false"/>
                <w:smallCaps w:val="false"/>
                <w:sz w:val="24"/>
              </w:rPr>
              <w:t>as</w:t>
            </w:r>
            <w:r>
              <w:rPr>
                <w:caps w:val="false"/>
                <w:smallCaps w:val="false"/>
                <w:spacing w:val="22"/>
              </w:rPr>
              <w:t xml:space="preserve"> </w:t>
            </w:r>
            <w:r>
              <w:rPr>
                <w:rFonts w:ascii="Times New Roman;Times;serif" w:hAnsi="Times New Roman;Times;serif"/>
                <w:b w:val="false"/>
                <w:i w:val="false"/>
                <w:caps w:val="false"/>
                <w:smallCaps w:val="false"/>
                <w:sz w:val="24"/>
              </w:rPr>
              <w:t>the</w:t>
            </w:r>
            <w:r>
              <w:rPr>
                <w:caps w:val="false"/>
                <w:smallCaps w:val="false"/>
                <w:spacing w:val="20"/>
              </w:rPr>
              <w:t xml:space="preserve"> </w:t>
            </w:r>
            <w:r>
              <w:rPr>
                <w:rFonts w:ascii="Times New Roman;Times;serif" w:hAnsi="Times New Roman;Times;serif"/>
                <w:b w:val="false"/>
                <w:i w:val="false"/>
                <w:caps w:val="false"/>
                <w:smallCaps w:val="false"/>
                <w:sz w:val="24"/>
              </w:rPr>
              <w:t>Board</w:t>
            </w:r>
            <w:r>
              <w:rPr>
                <w:caps w:val="false"/>
                <w:smallCaps w:val="false"/>
                <w:spacing w:val="21"/>
              </w:rPr>
              <w:t xml:space="preserve"> </w:t>
            </w:r>
            <w:r>
              <w:rPr>
                <w:rFonts w:ascii="Times New Roman;Times;serif" w:hAnsi="Times New Roman;Times;serif"/>
                <w:b w:val="false"/>
                <w:i w:val="false"/>
                <w:caps w:val="false"/>
                <w:smallCaps w:val="false"/>
                <w:sz w:val="24"/>
              </w:rPr>
              <w:t>of</w:t>
            </w:r>
            <w:r>
              <w:rPr>
                <w:caps w:val="false"/>
                <w:smallCaps w:val="false"/>
                <w:spacing w:val="21"/>
              </w:rPr>
              <w:t xml:space="preserve"> </w:t>
            </w:r>
            <w:r>
              <w:rPr>
                <w:rFonts w:ascii="Times New Roman;Times;serif" w:hAnsi="Times New Roman;Times;serif"/>
                <w:b w:val="false"/>
                <w:i w:val="false"/>
                <w:caps w:val="false"/>
                <w:smallCaps w:val="false"/>
                <w:sz w:val="24"/>
              </w:rPr>
              <w:t>Directors</w:t>
            </w:r>
            <w:r>
              <w:rPr>
                <w:caps w:val="false"/>
                <w:smallCaps w:val="false"/>
                <w:spacing w:val="22"/>
              </w:rPr>
              <w:t xml:space="preserve"> </w:t>
            </w:r>
            <w:r>
              <w:rPr>
                <w:rFonts w:ascii="Times New Roman;Times;serif" w:hAnsi="Times New Roman;Times;serif"/>
                <w:b w:val="false"/>
                <w:i w:val="false"/>
                <w:caps w:val="false"/>
                <w:smallCaps w:val="false"/>
                <w:sz w:val="24"/>
              </w:rPr>
              <w:t>may</w:t>
            </w:r>
            <w:r>
              <w:rPr>
                <w:caps w:val="false"/>
                <w:smallCaps w:val="false"/>
                <w:spacing w:val="21"/>
              </w:rPr>
              <w:t xml:space="preserve"> </w:t>
            </w:r>
            <w:r>
              <w:rPr>
                <w:rFonts w:ascii="Times New Roman;Times;serif" w:hAnsi="Times New Roman;Times;serif"/>
                <w:b w:val="false"/>
                <w:i w:val="false"/>
                <w:caps w:val="false"/>
                <w:smallCaps w:val="false"/>
                <w:sz w:val="24"/>
              </w:rPr>
              <w:t>designate from</w:t>
            </w:r>
            <w:r>
              <w:rPr>
                <w:caps w:val="false"/>
                <w:smallCaps w:val="false"/>
                <w:spacing w:val="74"/>
              </w:rPr>
              <w:t xml:space="preserve"> </w:t>
            </w:r>
            <w:r>
              <w:rPr>
                <w:rFonts w:ascii="Times New Roman;Times;serif" w:hAnsi="Times New Roman;Times;serif"/>
                <w:b w:val="false"/>
                <w:i w:val="false"/>
                <w:caps w:val="false"/>
                <w:smallCaps w:val="false"/>
                <w:sz w:val="24"/>
              </w:rPr>
              <w:t>time</w:t>
            </w:r>
            <w:r>
              <w:rPr>
                <w:caps w:val="false"/>
                <w:smallCaps w:val="false"/>
                <w:spacing w:val="72"/>
              </w:rPr>
              <w:t xml:space="preserve"> </w:t>
            </w:r>
            <w:r>
              <w:rPr>
                <w:rFonts w:ascii="Times New Roman;Times;serif" w:hAnsi="Times New Roman;Times;serif"/>
                <w:b w:val="false"/>
                <w:i w:val="false"/>
                <w:caps w:val="false"/>
                <w:smallCaps w:val="false"/>
                <w:sz w:val="24"/>
              </w:rPr>
              <w:t>to</w:t>
            </w:r>
            <w:r>
              <w:rPr>
                <w:caps w:val="false"/>
                <w:smallCaps w:val="false"/>
                <w:spacing w:val="73"/>
              </w:rPr>
              <w:t xml:space="preserve"> </w:t>
            </w:r>
            <w:r>
              <w:rPr>
                <w:rFonts w:ascii="Times New Roman;Times;serif" w:hAnsi="Times New Roman;Times;serif"/>
                <w:b w:val="false"/>
                <w:i w:val="false"/>
                <w:caps w:val="false"/>
                <w:smallCaps w:val="false"/>
                <w:sz w:val="24"/>
              </w:rPr>
              <w:t>time</w:t>
            </w:r>
            <w:r>
              <w:rPr>
                <w:caps w:val="false"/>
                <w:smallCaps w:val="false"/>
                <w:spacing w:val="72"/>
              </w:rPr>
              <w:t xml:space="preserve"> </w:t>
            </w:r>
            <w:r>
              <w:rPr>
                <w:rFonts w:ascii="Times New Roman;Times;serif" w:hAnsi="Times New Roman;Times;serif"/>
                <w:b w:val="false"/>
                <w:i w:val="false"/>
                <w:caps w:val="false"/>
                <w:smallCaps w:val="false"/>
                <w:sz w:val="24"/>
              </w:rPr>
              <w:t>(the</w:t>
            </w:r>
            <w:r>
              <w:rPr>
                <w:caps w:val="false"/>
                <w:smallCaps w:val="false"/>
                <w:spacing w:val="70"/>
              </w:rPr>
              <w:t xml:space="preserve"> </w:t>
            </w:r>
            <w:r>
              <w:rPr>
                <w:caps w:val="false"/>
                <w:smallCaps w:val="false"/>
              </w:rPr>
              <w:t>“</w:t>
            </w:r>
            <w:r>
              <w:rPr>
                <w:rFonts w:ascii="Times New Roman;Times;serif" w:hAnsi="Times New Roman;Times;serif"/>
                <w:b w:val="false"/>
                <w:i w:val="false"/>
                <w:caps w:val="false"/>
                <w:smallCaps w:val="false"/>
                <w:sz w:val="24"/>
                <w:u w:val="single"/>
              </w:rPr>
              <w:t>Authorizing</w:t>
            </w:r>
            <w:r>
              <w:rPr>
                <w:caps w:val="false"/>
                <w:smallCaps w:val="false"/>
                <w:spacing w:val="73"/>
                <w:u w:val="single"/>
              </w:rPr>
              <w:t xml:space="preserve"> </w:t>
            </w:r>
            <w:r>
              <w:rPr>
                <w:rFonts w:ascii="Times New Roman;Times;serif" w:hAnsi="Times New Roman;Times;serif"/>
                <w:b w:val="false"/>
                <w:i w:val="false"/>
                <w:caps w:val="false"/>
                <w:smallCaps w:val="false"/>
                <w:sz w:val="24"/>
                <w:u w:val="single"/>
              </w:rPr>
              <w:t>Officer</w:t>
            </w:r>
            <w:r>
              <w:rPr>
                <w:caps w:val="false"/>
                <w:smallCaps w:val="false"/>
              </w:rPr>
              <w:t>”</w:t>
            </w:r>
            <w:r>
              <w:rPr>
                <w:rFonts w:ascii="Times New Roman;Times;serif" w:hAnsi="Times New Roman;Times;serif"/>
                <w:b w:val="false"/>
                <w:i w:val="false"/>
                <w:caps w:val="false"/>
                <w:smallCaps w:val="false"/>
                <w:sz w:val="24"/>
              </w:rPr>
              <w:t>),</w:t>
            </w:r>
            <w:r>
              <w:rPr>
                <w:caps w:val="false"/>
                <w:smallCaps w:val="false"/>
                <w:spacing w:val="73"/>
              </w:rPr>
              <w:t xml:space="preserve"> </w:t>
            </w:r>
            <w:r>
              <w:rPr>
                <w:rFonts w:ascii="Times New Roman;Times;serif" w:hAnsi="Times New Roman;Times;serif"/>
                <w:b w:val="false"/>
                <w:i w:val="false"/>
                <w:caps w:val="false"/>
                <w:smallCaps w:val="false"/>
                <w:sz w:val="24"/>
              </w:rPr>
              <w:t>at</w:t>
            </w:r>
            <w:r>
              <w:rPr>
                <w:caps w:val="false"/>
                <w:smallCaps w:val="false"/>
                <w:spacing w:val="74"/>
              </w:rPr>
              <w:t xml:space="preserve"> </w:t>
            </w:r>
            <w:r>
              <w:rPr>
                <w:rFonts w:ascii="Times New Roman;Times;serif" w:hAnsi="Times New Roman;Times;serif"/>
                <w:b w:val="false"/>
                <w:i w:val="false"/>
                <w:caps w:val="false"/>
                <w:smallCaps w:val="false"/>
                <w:sz w:val="24"/>
              </w:rPr>
              <w:t>least</w:t>
            </w:r>
            <w:r>
              <w:rPr>
                <w:caps w:val="false"/>
                <w:smallCaps w:val="false"/>
                <w:spacing w:val="74"/>
              </w:rPr>
              <w:t xml:space="preserve"> </w:t>
            </w:r>
            <w:r>
              <w:rPr>
                <w:rFonts w:ascii="Times New Roman;Times;serif" w:hAnsi="Times New Roman;Times;serif"/>
                <w:b w:val="false"/>
                <w:i w:val="false"/>
                <w:caps w:val="false"/>
                <w:smallCaps w:val="false"/>
                <w:sz w:val="24"/>
              </w:rPr>
              <w:t>30</w:t>
            </w:r>
            <w:r>
              <w:rPr>
                <w:caps w:val="false"/>
                <w:smallCaps w:val="false"/>
                <w:spacing w:val="73"/>
              </w:rPr>
              <w:t xml:space="preserve"> </w:t>
            </w:r>
            <w:r>
              <w:rPr>
                <w:rFonts w:ascii="Times New Roman;Times;serif" w:hAnsi="Times New Roman;Times;serif"/>
                <w:b w:val="false"/>
                <w:i w:val="false"/>
                <w:caps w:val="false"/>
                <w:smallCaps w:val="false"/>
                <w:sz w:val="24"/>
              </w:rPr>
              <w:t>days</w:t>
            </w:r>
            <w:r>
              <w:rPr>
                <w:caps w:val="false"/>
                <w:smallCaps w:val="false"/>
                <w:spacing w:val="74"/>
              </w:rPr>
              <w:t xml:space="preserve"> </w:t>
            </w:r>
            <w:r>
              <w:rPr>
                <w:rFonts w:ascii="Times New Roman;Times;serif" w:hAnsi="Times New Roman;Times;serif"/>
                <w:b w:val="false"/>
                <w:i w:val="false"/>
                <w:caps w:val="false"/>
                <w:smallCaps w:val="false"/>
                <w:sz w:val="24"/>
              </w:rPr>
              <w:t>before</w:t>
            </w:r>
            <w:r>
              <w:rPr>
                <w:caps w:val="false"/>
                <w:smallCaps w:val="false"/>
                <w:spacing w:val="72"/>
              </w:rPr>
              <w:t xml:space="preserve"> </w:t>
            </w:r>
            <w:r>
              <w:rPr>
                <w:rFonts w:ascii="Times New Roman;Times;serif" w:hAnsi="Times New Roman;Times;serif"/>
                <w:b w:val="false"/>
                <w:i w:val="false"/>
                <w:caps w:val="false"/>
                <w:smallCaps w:val="false"/>
                <w:sz w:val="24"/>
              </w:rPr>
              <w:t>the commencement of any transactions under the Trading Plan;</w:t>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you</w:t>
            </w:r>
            <w:r>
              <w:rPr>
                <w:caps w:val="false"/>
                <w:smallCaps w:val="false"/>
                <w:spacing w:val="-12"/>
              </w:rPr>
              <w:t xml:space="preserve"> </w:t>
            </w:r>
            <w:r>
              <w:rPr>
                <w:rFonts w:ascii="Times New Roman;Times;serif" w:hAnsi="Times New Roman;Times;serif"/>
                <w:b w:val="false"/>
                <w:i w:val="false"/>
                <w:caps w:val="false"/>
                <w:smallCaps w:val="false"/>
                <w:sz w:val="24"/>
              </w:rPr>
              <w:t>entered</w:t>
            </w:r>
            <w:r>
              <w:rPr>
                <w:caps w:val="false"/>
                <w:smallCaps w:val="false"/>
                <w:spacing w:val="-12"/>
              </w:rPr>
              <w:t xml:space="preserve"> </w:t>
            </w:r>
            <w:r>
              <w:rPr>
                <w:rFonts w:ascii="Times New Roman;Times;serif" w:hAnsi="Times New Roman;Times;serif"/>
                <w:b w:val="false"/>
                <w:i w:val="false"/>
                <w:caps w:val="false"/>
                <w:smallCaps w:val="false"/>
                <w:sz w:val="24"/>
              </w:rPr>
              <w:t>into</w:t>
            </w:r>
            <w:r>
              <w:rPr>
                <w:caps w:val="false"/>
                <w:smallCaps w:val="false"/>
                <w:spacing w:val="-12"/>
              </w:rPr>
              <w:t xml:space="preserve"> </w:t>
            </w:r>
            <w:r>
              <w:rPr>
                <w:rFonts w:ascii="Times New Roman;Times;serif" w:hAnsi="Times New Roman;Times;serif"/>
                <w:b w:val="false"/>
                <w:i w:val="false"/>
                <w:caps w:val="false"/>
                <w:smallCaps w:val="false"/>
                <w:sz w:val="24"/>
              </w:rPr>
              <w:t>in</w:t>
            </w:r>
            <w:r>
              <w:rPr>
                <w:caps w:val="false"/>
                <w:smallCaps w:val="false"/>
                <w:spacing w:val="-12"/>
              </w:rPr>
              <w:t xml:space="preserve"> </w:t>
            </w:r>
            <w:r>
              <w:rPr>
                <w:rFonts w:ascii="Times New Roman;Times;serif" w:hAnsi="Times New Roman;Times;serif"/>
                <w:b w:val="false"/>
                <w:i w:val="false"/>
                <w:caps w:val="false"/>
                <w:smallCaps w:val="false"/>
                <w:sz w:val="24"/>
              </w:rPr>
              <w:t>good</w:t>
            </w:r>
            <w:r>
              <w:rPr>
                <w:caps w:val="false"/>
                <w:smallCaps w:val="false"/>
                <w:spacing w:val="-12"/>
              </w:rPr>
              <w:t xml:space="preserve"> </w:t>
            </w:r>
            <w:r>
              <w:rPr>
                <w:rFonts w:ascii="Times New Roman;Times;serif" w:hAnsi="Times New Roman;Times;serif"/>
                <w:b w:val="false"/>
                <w:i w:val="false"/>
                <w:caps w:val="false"/>
                <w:smallCaps w:val="false"/>
                <w:sz w:val="24"/>
              </w:rPr>
              <w:t>faith</w:t>
            </w:r>
            <w:r>
              <w:rPr>
                <w:caps w:val="false"/>
                <w:smallCaps w:val="false"/>
                <w:spacing w:val="-12"/>
              </w:rPr>
              <w:t xml:space="preserve"> </w:t>
            </w:r>
            <w:r>
              <w:rPr>
                <w:rFonts w:ascii="Times New Roman;Times;serif" w:hAnsi="Times New Roman;Times;serif"/>
                <w:b w:val="false"/>
                <w:i w:val="false"/>
                <w:caps w:val="false"/>
                <w:smallCaps w:val="false"/>
                <w:sz w:val="24"/>
              </w:rPr>
              <w:t>at</w:t>
            </w:r>
            <w:r>
              <w:rPr>
                <w:caps w:val="false"/>
                <w:smallCaps w:val="false"/>
                <w:spacing w:val="-12"/>
              </w:rPr>
              <w:t xml:space="preserve"> </w:t>
            </w:r>
            <w:r>
              <w:rPr>
                <w:rFonts w:ascii="Times New Roman;Times;serif" w:hAnsi="Times New Roman;Times;serif"/>
                <w:b w:val="false"/>
                <w:i w:val="false"/>
                <w:caps w:val="false"/>
                <w:smallCaps w:val="false"/>
                <w:sz w:val="24"/>
              </w:rPr>
              <w:t>a</w:t>
            </w:r>
            <w:r>
              <w:rPr>
                <w:caps w:val="false"/>
                <w:smallCaps w:val="false"/>
                <w:spacing w:val="-13"/>
              </w:rPr>
              <w:t xml:space="preserve"> </w:t>
            </w:r>
            <w:r>
              <w:rPr>
                <w:rFonts w:ascii="Times New Roman;Times;serif" w:hAnsi="Times New Roman;Times;serif"/>
                <w:b w:val="false"/>
                <w:i w:val="false"/>
                <w:caps w:val="false"/>
                <w:smallCaps w:val="false"/>
                <w:sz w:val="24"/>
              </w:rPr>
              <w:t>time</w:t>
            </w:r>
            <w:r>
              <w:rPr>
                <w:caps w:val="false"/>
                <w:smallCaps w:val="false"/>
                <w:spacing w:val="-13"/>
              </w:rPr>
              <w:t xml:space="preserve"> </w:t>
            </w:r>
            <w:r>
              <w:rPr>
                <w:rFonts w:ascii="Times New Roman;Times;serif" w:hAnsi="Times New Roman;Times;serif"/>
                <w:b w:val="false"/>
                <w:i w:val="false"/>
                <w:caps w:val="false"/>
                <w:smallCaps w:val="false"/>
                <w:sz w:val="24"/>
              </w:rPr>
              <w:t>when</w:t>
            </w:r>
            <w:r>
              <w:rPr>
                <w:caps w:val="false"/>
                <w:smallCaps w:val="false"/>
                <w:spacing w:val="-12"/>
              </w:rPr>
              <w:t xml:space="preserve"> </w:t>
            </w:r>
            <w:r>
              <w:rPr>
                <w:rFonts w:ascii="Times New Roman;Times;serif" w:hAnsi="Times New Roman;Times;serif"/>
                <w:b w:val="false"/>
                <w:i w:val="false"/>
                <w:caps w:val="false"/>
                <w:smallCaps w:val="false"/>
                <w:sz w:val="24"/>
              </w:rPr>
              <w:t>you</w:t>
            </w:r>
            <w:r>
              <w:rPr>
                <w:caps w:val="false"/>
                <w:smallCaps w:val="false"/>
                <w:spacing w:val="-10"/>
              </w:rPr>
              <w:t xml:space="preserve"> </w:t>
            </w:r>
            <w:r>
              <w:rPr>
                <w:rFonts w:ascii="Times New Roman;Times;serif" w:hAnsi="Times New Roman;Times;serif"/>
                <w:b w:val="false"/>
                <w:i w:val="false"/>
                <w:caps w:val="false"/>
                <w:smallCaps w:val="false"/>
                <w:sz w:val="24"/>
              </w:rPr>
              <w:t>were</w:t>
            </w:r>
            <w:r>
              <w:rPr>
                <w:caps w:val="false"/>
                <w:smallCaps w:val="false"/>
                <w:spacing w:val="-13"/>
              </w:rPr>
              <w:t xml:space="preserve"> </w:t>
            </w:r>
            <w:r>
              <w:rPr>
                <w:rFonts w:ascii="Times New Roman;Times;serif" w:hAnsi="Times New Roman;Times;serif"/>
                <w:b w:val="false"/>
                <w:i w:val="false"/>
                <w:caps w:val="false"/>
                <w:smallCaps w:val="false"/>
                <w:sz w:val="24"/>
              </w:rPr>
              <w:t>not</w:t>
            </w:r>
            <w:r>
              <w:rPr>
                <w:caps w:val="false"/>
                <w:smallCaps w:val="false"/>
                <w:spacing w:val="-12"/>
              </w:rPr>
              <w:t xml:space="preserve"> </w:t>
            </w:r>
            <w:r>
              <w:rPr>
                <w:rFonts w:ascii="Times New Roman;Times;serif" w:hAnsi="Times New Roman;Times;serif"/>
                <w:b w:val="false"/>
                <w:i w:val="false"/>
                <w:caps w:val="false"/>
                <w:smallCaps w:val="false"/>
                <w:sz w:val="24"/>
              </w:rPr>
              <w:t>in</w:t>
            </w:r>
            <w:r>
              <w:rPr>
                <w:caps w:val="false"/>
                <w:smallCaps w:val="false"/>
                <w:spacing w:val="-12"/>
              </w:rPr>
              <w:t xml:space="preserve"> </w:t>
            </w:r>
            <w:r>
              <w:rPr>
                <w:rFonts w:ascii="Times New Roman;Times;serif" w:hAnsi="Times New Roman;Times;serif"/>
                <w:b w:val="false"/>
                <w:i w:val="false"/>
                <w:caps w:val="false"/>
                <w:smallCaps w:val="false"/>
                <w:sz w:val="24"/>
              </w:rPr>
              <w:t>possession</w:t>
            </w:r>
            <w:r>
              <w:rPr>
                <w:caps w:val="false"/>
                <w:smallCaps w:val="false"/>
                <w:spacing w:val="-12"/>
              </w:rPr>
              <w:t xml:space="preserve"> </w:t>
            </w:r>
            <w:r>
              <w:rPr>
                <w:rFonts w:ascii="Times New Roman;Times;serif" w:hAnsi="Times New Roman;Times;serif"/>
                <w:b w:val="false"/>
                <w:i w:val="false"/>
                <w:caps w:val="false"/>
                <w:smallCaps w:val="false"/>
                <w:sz w:val="24"/>
              </w:rPr>
              <w:t>of</w:t>
            </w:r>
            <w:r>
              <w:rPr>
                <w:caps w:val="false"/>
                <w:smallCaps w:val="false"/>
                <w:spacing w:val="-13"/>
              </w:rPr>
              <w:t xml:space="preserve"> </w:t>
            </w:r>
            <w:r>
              <w:rPr>
                <w:rFonts w:ascii="Times New Roman;Times;serif" w:hAnsi="Times New Roman;Times;serif"/>
                <w:b w:val="false"/>
                <w:i w:val="false"/>
                <w:caps w:val="false"/>
                <w:smallCaps w:val="false"/>
                <w:sz w:val="24"/>
              </w:rPr>
              <w:t>material nonpublic information about the Company; and</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either (i) specifies the amounts, prices, and dates of all security transactions under the Trading Plan, (ii) provides a written formula, algorithm, or computer program for</w:t>
            </w:r>
            <w:r>
              <w:rPr>
                <w:caps w:val="false"/>
                <w:smallCaps w:val="false"/>
                <w:spacing w:val="-14"/>
              </w:rPr>
              <w:t xml:space="preserve"> </w:t>
            </w:r>
            <w:r>
              <w:rPr>
                <w:rFonts w:ascii="Times New Roman;Times;serif" w:hAnsi="Times New Roman;Times;serif"/>
                <w:b w:val="false"/>
                <w:i w:val="false"/>
                <w:caps w:val="false"/>
                <w:smallCaps w:val="false"/>
                <w:sz w:val="24"/>
              </w:rPr>
              <w:t>determining</w:t>
            </w:r>
            <w:r>
              <w:rPr>
                <w:caps w:val="false"/>
                <w:smallCaps w:val="false"/>
                <w:spacing w:val="-13"/>
              </w:rPr>
              <w:t xml:space="preserve"> </w:t>
            </w:r>
            <w:r>
              <w:rPr>
                <w:rFonts w:ascii="Times New Roman;Times;serif" w:hAnsi="Times New Roman;Times;serif"/>
                <w:b w:val="false"/>
                <w:i w:val="false"/>
                <w:caps w:val="false"/>
                <w:smallCaps w:val="false"/>
                <w:sz w:val="24"/>
              </w:rPr>
              <w:t>the</w:t>
            </w:r>
            <w:r>
              <w:rPr>
                <w:caps w:val="false"/>
                <w:smallCaps w:val="false"/>
                <w:spacing w:val="-14"/>
              </w:rPr>
              <w:t xml:space="preserve"> </w:t>
            </w:r>
            <w:r>
              <w:rPr>
                <w:rFonts w:ascii="Times New Roman;Times;serif" w:hAnsi="Times New Roman;Times;serif"/>
                <w:b w:val="false"/>
                <w:i w:val="false"/>
                <w:caps w:val="false"/>
                <w:smallCaps w:val="false"/>
                <w:sz w:val="24"/>
              </w:rPr>
              <w:t>amount,</w:t>
            </w:r>
            <w:r>
              <w:rPr>
                <w:caps w:val="false"/>
                <w:smallCaps w:val="false"/>
                <w:spacing w:val="-13"/>
              </w:rPr>
              <w:t xml:space="preserve"> </w:t>
            </w:r>
            <w:r>
              <w:rPr>
                <w:rFonts w:ascii="Times New Roman;Times;serif" w:hAnsi="Times New Roman;Times;serif"/>
                <w:b w:val="false"/>
                <w:i w:val="false"/>
                <w:caps w:val="false"/>
                <w:smallCaps w:val="false"/>
                <w:sz w:val="24"/>
              </w:rPr>
              <w:t>price,</w:t>
            </w:r>
            <w:r>
              <w:rPr>
                <w:caps w:val="false"/>
                <w:smallCaps w:val="false"/>
                <w:spacing w:val="-13"/>
              </w:rPr>
              <w:t xml:space="preserve"> </w:t>
            </w:r>
            <w:r>
              <w:rPr>
                <w:rFonts w:ascii="Times New Roman;Times;serif" w:hAnsi="Times New Roman;Times;serif"/>
                <w:b w:val="false"/>
                <w:i w:val="false"/>
                <w:caps w:val="false"/>
                <w:smallCaps w:val="false"/>
                <w:sz w:val="24"/>
              </w:rPr>
              <w:t>and</w:t>
            </w:r>
            <w:r>
              <w:rPr>
                <w:caps w:val="false"/>
                <w:smallCaps w:val="false"/>
                <w:spacing w:val="-13"/>
              </w:rPr>
              <w:t xml:space="preserve"> </w:t>
            </w:r>
            <w:r>
              <w:rPr>
                <w:rFonts w:ascii="Times New Roman;Times;serif" w:hAnsi="Times New Roman;Times;serif"/>
                <w:b w:val="false"/>
                <w:i w:val="false"/>
                <w:caps w:val="false"/>
                <w:smallCaps w:val="false"/>
                <w:sz w:val="24"/>
              </w:rPr>
              <w:t>date</w:t>
            </w:r>
            <w:r>
              <w:rPr>
                <w:caps w:val="false"/>
                <w:smallCaps w:val="false"/>
                <w:spacing w:val="-14"/>
              </w:rPr>
              <w:t xml:space="preserve"> </w:t>
            </w:r>
            <w:r>
              <w:rPr>
                <w:rFonts w:ascii="Times New Roman;Times;serif" w:hAnsi="Times New Roman;Times;serif"/>
                <w:b w:val="false"/>
                <w:i w:val="false"/>
                <w:caps w:val="false"/>
                <w:smallCaps w:val="false"/>
                <w:sz w:val="24"/>
              </w:rPr>
              <w:t>of</w:t>
            </w:r>
            <w:r>
              <w:rPr>
                <w:caps w:val="false"/>
                <w:smallCaps w:val="false"/>
                <w:spacing w:val="-14"/>
              </w:rPr>
              <w:t xml:space="preserve"> </w:t>
            </w:r>
            <w:r>
              <w:rPr>
                <w:rFonts w:ascii="Times New Roman;Times;serif" w:hAnsi="Times New Roman;Times;serif"/>
                <w:b w:val="false"/>
                <w:i w:val="false"/>
                <w:caps w:val="false"/>
                <w:smallCaps w:val="false"/>
                <w:sz w:val="24"/>
              </w:rPr>
              <w:t>the</w:t>
            </w:r>
            <w:r>
              <w:rPr>
                <w:caps w:val="false"/>
                <w:smallCaps w:val="false"/>
                <w:spacing w:val="-14"/>
              </w:rPr>
              <w:t xml:space="preserve"> </w:t>
            </w:r>
            <w:r>
              <w:rPr>
                <w:rFonts w:ascii="Times New Roman;Times;serif" w:hAnsi="Times New Roman;Times;serif"/>
                <w:b w:val="false"/>
                <w:i w:val="false"/>
                <w:caps w:val="false"/>
                <w:smallCaps w:val="false"/>
                <w:sz w:val="24"/>
              </w:rPr>
              <w:t>transactions,</w:t>
            </w:r>
            <w:r>
              <w:rPr>
                <w:caps w:val="false"/>
                <w:smallCaps w:val="false"/>
                <w:spacing w:val="-13"/>
              </w:rPr>
              <w:t xml:space="preserve"> </w:t>
            </w:r>
            <w:r>
              <w:rPr>
                <w:rFonts w:ascii="Times New Roman;Times;serif" w:hAnsi="Times New Roman;Times;serif"/>
                <w:b w:val="false"/>
                <w:i w:val="false"/>
                <w:caps w:val="false"/>
                <w:smallCaps w:val="false"/>
                <w:sz w:val="24"/>
              </w:rPr>
              <w:t>or</w:t>
            </w:r>
            <w:r>
              <w:rPr>
                <w:caps w:val="false"/>
                <w:smallCaps w:val="false"/>
                <w:spacing w:val="-14"/>
              </w:rPr>
              <w:t xml:space="preserve"> </w:t>
            </w:r>
            <w:r>
              <w:rPr>
                <w:rFonts w:ascii="Times New Roman;Times;serif" w:hAnsi="Times New Roman;Times;serif"/>
                <w:b w:val="false"/>
                <w:i w:val="false"/>
                <w:caps w:val="false"/>
                <w:smallCaps w:val="false"/>
                <w:sz w:val="24"/>
              </w:rPr>
              <w:t>(iii)</w:t>
            </w:r>
            <w:r>
              <w:rPr>
                <w:caps w:val="false"/>
                <w:smallCaps w:val="false"/>
                <w:spacing w:val="-14"/>
              </w:rPr>
              <w:t xml:space="preserve"> </w:t>
            </w:r>
            <w:r>
              <w:rPr>
                <w:rFonts w:ascii="Times New Roman;Times;serif" w:hAnsi="Times New Roman;Times;serif"/>
                <w:b w:val="false"/>
                <w:i w:val="false"/>
                <w:caps w:val="false"/>
                <w:smallCaps w:val="false"/>
                <w:sz w:val="24"/>
              </w:rPr>
              <w:t>prohibits</w:t>
            </w:r>
            <w:r>
              <w:rPr>
                <w:caps w:val="false"/>
                <w:smallCaps w:val="false"/>
                <w:spacing w:val="-13"/>
              </w:rPr>
              <w:t xml:space="preserve"> </w:t>
            </w:r>
            <w:r>
              <w:rPr>
                <w:rFonts w:ascii="Times New Roman;Times;serif" w:hAnsi="Times New Roman;Times;serif"/>
                <w:b w:val="false"/>
                <w:i w:val="false"/>
                <w:caps w:val="false"/>
                <w:smallCaps w:val="false"/>
                <w:sz w:val="24"/>
              </w:rPr>
              <w:t>you from exercising any subsequent influence over the transactions.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120" w:right="116" w:firstLine="720"/>
        <w:jc w:val="both"/>
        <w:rPr>
          <w:rFonts w:ascii="Times New Roman;Times;serif" w:hAnsi="Times New Roman;Times;serif"/>
          <w:sz w:val="24"/>
        </w:rPr>
      </w:pPr>
      <w:r>
        <w:rPr>
          <w:rFonts w:ascii="Times New Roman;Times;serif" w:hAnsi="Times New Roman;Times;serif"/>
          <w:sz w:val="24"/>
        </w:rPr>
        <w:t>You may adopt more than one Trading Plan at a time.</w:t>
      </w:r>
      <w:r>
        <w:rPr>
          <w:rFonts w:ascii="Times New Roman;Times;serif" w:hAnsi="Times New Roman;Times;serif"/>
          <w:spacing w:val="40"/>
          <w:sz w:val="24"/>
        </w:rPr>
        <w:t xml:space="preserve"> </w:t>
      </w:r>
      <w:r>
        <w:rPr>
          <w:rFonts w:ascii="Times New Roman;Times;serif" w:hAnsi="Times New Roman;Times;serif"/>
          <w:sz w:val="24"/>
        </w:rPr>
        <w:t>You may only amend or revoke a Trading Plan outside of quarterly trading blackout periods when you do not possess material nonpublic</w:t>
      </w:r>
      <w:r>
        <w:rPr>
          <w:rFonts w:ascii="Times New Roman;Times;serif" w:hAnsi="Times New Roman;Times;serif"/>
          <w:spacing w:val="-4"/>
          <w:sz w:val="24"/>
        </w:rPr>
        <w:t xml:space="preserve"> </w:t>
      </w:r>
      <w:r>
        <w:rPr>
          <w:rFonts w:ascii="Times New Roman;Times;serif" w:hAnsi="Times New Roman;Times;serif"/>
          <w:sz w:val="24"/>
        </w:rPr>
        <w:t>information.</w:t>
      </w:r>
      <w:r>
        <w:rPr>
          <w:rFonts w:ascii="Times New Roman;Times;serif" w:hAnsi="Times New Roman;Times;serif"/>
          <w:spacing w:val="40"/>
          <w:sz w:val="24"/>
        </w:rPr>
        <w:t xml:space="preserve"> </w:t>
      </w:r>
      <w:r>
        <w:rPr>
          <w:rFonts w:ascii="Times New Roman;Times;serif" w:hAnsi="Times New Roman;Times;serif"/>
          <w:sz w:val="24"/>
        </w:rPr>
        <w:t>Any</w:t>
      </w:r>
      <w:r>
        <w:rPr>
          <w:rFonts w:ascii="Times New Roman;Times;serif" w:hAnsi="Times New Roman;Times;serif"/>
          <w:spacing w:val="-3"/>
          <w:sz w:val="24"/>
        </w:rPr>
        <w:t xml:space="preserve"> </w:t>
      </w:r>
      <w:r>
        <w:rPr>
          <w:rFonts w:ascii="Times New Roman;Times;serif" w:hAnsi="Times New Roman;Times;serif"/>
          <w:sz w:val="24"/>
        </w:rPr>
        <w:t>amendment</w:t>
      </w:r>
      <w:r>
        <w:rPr>
          <w:rFonts w:ascii="Times New Roman;Times;serif" w:hAnsi="Times New Roman;Times;serif"/>
          <w:spacing w:val="-3"/>
          <w:sz w:val="24"/>
        </w:rPr>
        <w:t xml:space="preserve"> </w:t>
      </w:r>
      <w:r>
        <w:rPr>
          <w:rFonts w:ascii="Times New Roman;Times;serif" w:hAnsi="Times New Roman;Times;serif"/>
          <w:sz w:val="24"/>
        </w:rPr>
        <w:t>or</w:t>
      </w:r>
      <w:r>
        <w:rPr>
          <w:rFonts w:ascii="Times New Roman;Times;serif" w:hAnsi="Times New Roman;Times;serif"/>
          <w:spacing w:val="-4"/>
          <w:sz w:val="24"/>
        </w:rPr>
        <w:t xml:space="preserve"> </w:t>
      </w:r>
      <w:r>
        <w:rPr>
          <w:rFonts w:ascii="Times New Roman;Times;serif" w:hAnsi="Times New Roman;Times;serif"/>
          <w:sz w:val="24"/>
        </w:rPr>
        <w:t>revocation</w:t>
      </w:r>
      <w:r>
        <w:rPr>
          <w:rFonts w:ascii="Times New Roman;Times;serif" w:hAnsi="Times New Roman;Times;serif"/>
          <w:spacing w:val="-3"/>
          <w:sz w:val="24"/>
        </w:rPr>
        <w:t xml:space="preserve"> </w:t>
      </w:r>
      <w:r>
        <w:rPr>
          <w:rFonts w:ascii="Times New Roman;Times;serif" w:hAnsi="Times New Roman;Times;serif"/>
          <w:sz w:val="24"/>
        </w:rPr>
        <w:t>of</w:t>
      </w:r>
      <w:r>
        <w:rPr>
          <w:rFonts w:ascii="Times New Roman;Times;serif" w:hAnsi="Times New Roman;Times;serif"/>
          <w:spacing w:val="-4"/>
          <w:sz w:val="24"/>
        </w:rPr>
        <w:t xml:space="preserve"> </w:t>
      </w:r>
      <w:r>
        <w:rPr>
          <w:rFonts w:ascii="Times New Roman;Times;serif" w:hAnsi="Times New Roman;Times;serif"/>
          <w:sz w:val="24"/>
        </w:rPr>
        <w:t>a</w:t>
      </w:r>
      <w:r>
        <w:rPr>
          <w:rFonts w:ascii="Times New Roman;Times;serif" w:hAnsi="Times New Roman;Times;serif"/>
          <w:spacing w:val="-4"/>
          <w:sz w:val="24"/>
        </w:rPr>
        <w:t xml:space="preserve"> </w:t>
      </w:r>
      <w:r>
        <w:rPr>
          <w:rFonts w:ascii="Times New Roman;Times;serif" w:hAnsi="Times New Roman;Times;serif"/>
          <w:sz w:val="24"/>
        </w:rPr>
        <w:t>Trading</w:t>
      </w:r>
      <w:r>
        <w:rPr>
          <w:rFonts w:ascii="Times New Roman;Times;serif" w:hAnsi="Times New Roman;Times;serif"/>
          <w:spacing w:val="-3"/>
          <w:sz w:val="24"/>
        </w:rPr>
        <w:t xml:space="preserve"> </w:t>
      </w:r>
      <w:r>
        <w:rPr>
          <w:rFonts w:ascii="Times New Roman;Times;serif" w:hAnsi="Times New Roman;Times;serif"/>
          <w:sz w:val="24"/>
        </w:rPr>
        <w:t>Plan</w:t>
      </w:r>
      <w:r>
        <w:rPr>
          <w:rFonts w:ascii="Times New Roman;Times;serif" w:hAnsi="Times New Roman;Times;serif"/>
          <w:spacing w:val="-3"/>
          <w:sz w:val="24"/>
        </w:rPr>
        <w:t xml:space="preserve"> </w:t>
      </w:r>
      <w:r>
        <w:rPr>
          <w:rFonts w:ascii="Times New Roman;Times;serif" w:hAnsi="Times New Roman;Times;serif"/>
          <w:sz w:val="24"/>
        </w:rPr>
        <w:t>must</w:t>
      </w:r>
      <w:r>
        <w:rPr>
          <w:rFonts w:ascii="Times New Roman;Times;serif" w:hAnsi="Times New Roman;Times;serif"/>
          <w:spacing w:val="-3"/>
          <w:sz w:val="24"/>
        </w:rPr>
        <w:t xml:space="preserve"> </w:t>
      </w:r>
      <w:r>
        <w:rPr>
          <w:rFonts w:ascii="Times New Roman;Times;serif" w:hAnsi="Times New Roman;Times;serif"/>
          <w:sz w:val="24"/>
        </w:rPr>
        <w:t>be</w:t>
      </w:r>
      <w:r>
        <w:rPr>
          <w:rFonts w:ascii="Times New Roman;Times;serif" w:hAnsi="Times New Roman;Times;serif"/>
          <w:spacing w:val="-4"/>
          <w:sz w:val="24"/>
        </w:rPr>
        <w:t xml:space="preserve"> </w:t>
      </w:r>
      <w:r>
        <w:rPr>
          <w:rFonts w:ascii="Times New Roman;Times;serif" w:hAnsi="Times New Roman;Times;serif"/>
          <w:sz w:val="24"/>
        </w:rPr>
        <w:t>preapproved</w:t>
      </w:r>
      <w:r>
        <w:rPr>
          <w:rFonts w:ascii="Times New Roman;Times;serif" w:hAnsi="Times New Roman;Times;serif"/>
          <w:spacing w:val="-3"/>
          <w:sz w:val="24"/>
        </w:rPr>
        <w:t xml:space="preserve"> </w:t>
      </w:r>
      <w:r>
        <w:rPr>
          <w:rFonts w:ascii="Times New Roman;Times;serif" w:hAnsi="Times New Roman;Times;serif"/>
          <w:sz w:val="24"/>
        </w:rPr>
        <w:t>by the</w:t>
      </w:r>
      <w:r>
        <w:rPr>
          <w:rFonts w:ascii="Times New Roman;Times;serif" w:hAnsi="Times New Roman;Times;serif"/>
          <w:spacing w:val="-13"/>
          <w:sz w:val="24"/>
        </w:rPr>
        <w:t xml:space="preserve"> </w:t>
      </w:r>
      <w:r>
        <w:rPr>
          <w:rFonts w:ascii="Times New Roman;Times;serif" w:hAnsi="Times New Roman;Times;serif"/>
          <w:sz w:val="24"/>
        </w:rPr>
        <w:t>Authorizing</w:t>
      </w:r>
      <w:r>
        <w:rPr>
          <w:rFonts w:ascii="Times New Roman;Times;serif" w:hAnsi="Times New Roman;Times;serif"/>
          <w:spacing w:val="-12"/>
          <w:sz w:val="24"/>
        </w:rPr>
        <w:t xml:space="preserve"> </w:t>
      </w:r>
      <w:r>
        <w:rPr>
          <w:rFonts w:ascii="Times New Roman;Times;serif" w:hAnsi="Times New Roman;Times;serif"/>
          <w:sz w:val="24"/>
        </w:rPr>
        <w:t>Officer</w:t>
      </w:r>
      <w:r>
        <w:rPr>
          <w:rFonts w:ascii="Times New Roman;Times;serif" w:hAnsi="Times New Roman;Times;serif"/>
          <w:spacing w:val="-10"/>
          <w:sz w:val="24"/>
        </w:rPr>
        <w:t xml:space="preserve"> </w:t>
      </w:r>
      <w:r>
        <w:rPr>
          <w:rFonts w:ascii="Times New Roman;Times;serif" w:hAnsi="Times New Roman;Times;serif"/>
          <w:sz w:val="24"/>
        </w:rPr>
        <w:t>at</w:t>
      </w:r>
      <w:r>
        <w:rPr>
          <w:rFonts w:ascii="Times New Roman;Times;serif" w:hAnsi="Times New Roman;Times;serif"/>
          <w:spacing w:val="-12"/>
          <w:sz w:val="24"/>
        </w:rPr>
        <w:t xml:space="preserve"> </w:t>
      </w:r>
      <w:r>
        <w:rPr>
          <w:rFonts w:ascii="Times New Roman;Times;serif" w:hAnsi="Times New Roman;Times;serif"/>
          <w:sz w:val="24"/>
        </w:rPr>
        <w:t>least</w:t>
      </w:r>
      <w:r>
        <w:rPr>
          <w:rFonts w:ascii="Times New Roman;Times;serif" w:hAnsi="Times New Roman;Times;serif"/>
          <w:spacing w:val="-12"/>
          <w:sz w:val="24"/>
        </w:rPr>
        <w:t xml:space="preserve"> </w:t>
      </w:r>
      <w:r>
        <w:rPr>
          <w:rFonts w:ascii="Times New Roman;Times;serif" w:hAnsi="Times New Roman;Times;serif"/>
          <w:sz w:val="24"/>
        </w:rPr>
        <w:t>30</w:t>
      </w:r>
      <w:r>
        <w:rPr>
          <w:rFonts w:ascii="Times New Roman;Times;serif" w:hAnsi="Times New Roman;Times;serif"/>
          <w:spacing w:val="-12"/>
          <w:sz w:val="24"/>
        </w:rPr>
        <w:t xml:space="preserve"> </w:t>
      </w:r>
      <w:r>
        <w:rPr>
          <w:rFonts w:ascii="Times New Roman;Times;serif" w:hAnsi="Times New Roman;Times;serif"/>
          <w:sz w:val="24"/>
        </w:rPr>
        <w:t>days</w:t>
      </w:r>
      <w:r>
        <w:rPr>
          <w:rFonts w:ascii="Times New Roman;Times;serif" w:hAnsi="Times New Roman;Times;serif"/>
          <w:spacing w:val="-12"/>
          <w:sz w:val="24"/>
        </w:rPr>
        <w:t xml:space="preserve"> </w:t>
      </w:r>
      <w:r>
        <w:rPr>
          <w:rFonts w:ascii="Times New Roman;Times;serif" w:hAnsi="Times New Roman;Times;serif"/>
          <w:sz w:val="24"/>
        </w:rPr>
        <w:t>before</w:t>
      </w:r>
      <w:r>
        <w:rPr>
          <w:rFonts w:ascii="Times New Roman;Times;serif" w:hAnsi="Times New Roman;Times;serif"/>
          <w:spacing w:val="-13"/>
          <w:sz w:val="24"/>
        </w:rPr>
        <w:t xml:space="preserve"> </w:t>
      </w:r>
      <w:r>
        <w:rPr>
          <w:rFonts w:ascii="Times New Roman;Times;serif" w:hAnsi="Times New Roman;Times;serif"/>
          <w:sz w:val="24"/>
        </w:rPr>
        <w:t>you</w:t>
      </w:r>
      <w:r>
        <w:rPr>
          <w:rFonts w:ascii="Times New Roman;Times;serif" w:hAnsi="Times New Roman;Times;serif"/>
          <w:spacing w:val="-10"/>
          <w:sz w:val="24"/>
        </w:rPr>
        <w:t xml:space="preserve"> </w:t>
      </w:r>
      <w:r>
        <w:rPr>
          <w:rFonts w:ascii="Times New Roman;Times;serif" w:hAnsi="Times New Roman;Times;serif"/>
          <w:sz w:val="24"/>
        </w:rPr>
        <w:t>trade</w:t>
      </w:r>
      <w:r>
        <w:rPr>
          <w:rFonts w:ascii="Times New Roman;Times;serif" w:hAnsi="Times New Roman;Times;serif"/>
          <w:spacing w:val="-13"/>
          <w:sz w:val="24"/>
        </w:rPr>
        <w:t xml:space="preserve"> </w:t>
      </w:r>
      <w:r>
        <w:rPr>
          <w:rFonts w:ascii="Times New Roman;Times;serif" w:hAnsi="Times New Roman;Times;serif"/>
          <w:sz w:val="24"/>
        </w:rPr>
        <w:t>under</w:t>
      </w:r>
      <w:r>
        <w:rPr>
          <w:rFonts w:ascii="Times New Roman;Times;serif" w:hAnsi="Times New Roman;Times;serif"/>
          <w:spacing w:val="-13"/>
          <w:sz w:val="24"/>
        </w:rPr>
        <w:t xml:space="preserve"> </w:t>
      </w:r>
      <w:r>
        <w:rPr>
          <w:rFonts w:ascii="Times New Roman;Times;serif" w:hAnsi="Times New Roman;Times;serif"/>
          <w:sz w:val="24"/>
        </w:rPr>
        <w:t>an</w:t>
      </w:r>
      <w:r>
        <w:rPr>
          <w:rFonts w:ascii="Times New Roman;Times;serif" w:hAnsi="Times New Roman;Times;serif"/>
          <w:spacing w:val="-12"/>
          <w:sz w:val="24"/>
        </w:rPr>
        <w:t xml:space="preserve"> </w:t>
      </w:r>
      <w:r>
        <w:rPr>
          <w:rFonts w:ascii="Times New Roman;Times;serif" w:hAnsi="Times New Roman;Times;serif"/>
          <w:sz w:val="24"/>
        </w:rPr>
        <w:t>amended</w:t>
      </w:r>
      <w:r>
        <w:rPr>
          <w:rFonts w:ascii="Times New Roman;Times;serif" w:hAnsi="Times New Roman;Times;serif"/>
          <w:spacing w:val="-10"/>
          <w:sz w:val="24"/>
        </w:rPr>
        <w:t xml:space="preserve"> </w:t>
      </w:r>
      <w:r>
        <w:rPr>
          <w:rFonts w:ascii="Times New Roman;Times;serif" w:hAnsi="Times New Roman;Times;serif"/>
          <w:sz w:val="24"/>
        </w:rPr>
        <w:t>or</w:t>
      </w:r>
      <w:r>
        <w:rPr>
          <w:rFonts w:ascii="Times New Roman;Times;serif" w:hAnsi="Times New Roman;Times;serif"/>
          <w:spacing w:val="-13"/>
          <w:sz w:val="24"/>
        </w:rPr>
        <w:t xml:space="preserve"> </w:t>
      </w:r>
      <w:r>
        <w:rPr>
          <w:rFonts w:ascii="Times New Roman;Times;serif" w:hAnsi="Times New Roman;Times;serif"/>
          <w:sz w:val="24"/>
        </w:rPr>
        <w:t>outside</w:t>
      </w:r>
      <w:r>
        <w:rPr>
          <w:rFonts w:ascii="Times New Roman;Times;serif" w:hAnsi="Times New Roman;Times;serif"/>
          <w:spacing w:val="-13"/>
          <w:sz w:val="24"/>
        </w:rPr>
        <w:t xml:space="preserve"> </w:t>
      </w:r>
      <w:r>
        <w:rPr>
          <w:rFonts w:ascii="Times New Roman;Times;serif" w:hAnsi="Times New Roman;Times;serif"/>
          <w:sz w:val="24"/>
        </w:rPr>
        <w:t>of</w:t>
      </w:r>
      <w:r>
        <w:rPr>
          <w:rFonts w:ascii="Times New Roman;Times;serif" w:hAnsi="Times New Roman;Times;serif"/>
          <w:spacing w:val="-13"/>
          <w:sz w:val="24"/>
        </w:rPr>
        <w:t xml:space="preserve"> </w:t>
      </w:r>
      <w:r>
        <w:rPr>
          <w:rFonts w:ascii="Times New Roman;Times;serif" w:hAnsi="Times New Roman;Times;serif"/>
          <w:sz w:val="24"/>
        </w:rPr>
        <w:t>a</w:t>
      </w:r>
      <w:r>
        <w:rPr>
          <w:rFonts w:ascii="Times New Roman;Times;serif" w:hAnsi="Times New Roman;Times;serif"/>
          <w:spacing w:val="-13"/>
          <w:sz w:val="24"/>
        </w:rPr>
        <w:t xml:space="preserve"> </w:t>
      </w:r>
      <w:r>
        <w:rPr>
          <w:rFonts w:ascii="Times New Roman;Times;serif" w:hAnsi="Times New Roman;Times;serif"/>
          <w:sz w:val="24"/>
        </w:rPr>
        <w:t>revoked Trading Plan, and at least 180 days before you establish a new Trading Plan.</w:t>
      </w:r>
    </w:p>
    <w:p>
      <w:pPr>
        <w:pStyle w:val="TextBody"/>
        <w:bidi w:val="0"/>
        <w:spacing w:before="240" w:after="0"/>
        <w:ind w:left="120" w:right="117" w:firstLine="720"/>
        <w:jc w:val="both"/>
        <w:rPr>
          <w:rFonts w:ascii="Times New Roman;Times;serif" w:hAnsi="Times New Roman;Times;serif"/>
          <w:sz w:val="24"/>
        </w:rPr>
      </w:pPr>
      <w:r>
        <w:rPr>
          <w:rFonts w:ascii="Times New Roman;Times;serif" w:hAnsi="Times New Roman;Times;serif"/>
          <w:sz w:val="24"/>
        </w:rPr>
        <w:t>The Company reserves the right to publicly announce, or respond to inquiries from the media</w:t>
      </w:r>
      <w:r>
        <w:rPr>
          <w:rFonts w:ascii="Times New Roman;Times;serif" w:hAnsi="Times New Roman;Times;serif"/>
          <w:spacing w:val="-12"/>
          <w:sz w:val="24"/>
        </w:rPr>
        <w:t xml:space="preserve"> </w:t>
      </w:r>
      <w:r>
        <w:rPr>
          <w:rFonts w:ascii="Times New Roman;Times;serif" w:hAnsi="Times New Roman;Times;serif"/>
          <w:sz w:val="24"/>
        </w:rPr>
        <w:t>regarding,</w:t>
      </w:r>
      <w:r>
        <w:rPr>
          <w:rFonts w:ascii="Times New Roman;Times;serif" w:hAnsi="Times New Roman;Times;serif"/>
          <w:spacing w:val="-11"/>
          <w:sz w:val="24"/>
        </w:rPr>
        <w:t xml:space="preserve"> </w:t>
      </w:r>
      <w:r>
        <w:rPr>
          <w:rFonts w:ascii="Times New Roman;Times;serif" w:hAnsi="Times New Roman;Times;serif"/>
          <w:sz w:val="24"/>
        </w:rPr>
        <w:t>the</w:t>
      </w:r>
      <w:r>
        <w:rPr>
          <w:rFonts w:ascii="Times New Roman;Times;serif" w:hAnsi="Times New Roman;Times;serif"/>
          <w:spacing w:val="-12"/>
          <w:sz w:val="24"/>
        </w:rPr>
        <w:t xml:space="preserve"> </w:t>
      </w:r>
      <w:r>
        <w:rPr>
          <w:rFonts w:ascii="Times New Roman;Times;serif" w:hAnsi="Times New Roman;Times;serif"/>
          <w:sz w:val="24"/>
        </w:rPr>
        <w:t>implementation</w:t>
      </w:r>
      <w:r>
        <w:rPr>
          <w:rFonts w:ascii="Times New Roman;Times;serif" w:hAnsi="Times New Roman;Times;serif"/>
          <w:spacing w:val="-11"/>
          <w:sz w:val="24"/>
        </w:rPr>
        <w:t xml:space="preserve"> </w:t>
      </w:r>
      <w:r>
        <w:rPr>
          <w:rFonts w:ascii="Times New Roman;Times;serif" w:hAnsi="Times New Roman;Times;serif"/>
          <w:sz w:val="24"/>
        </w:rPr>
        <w:t>of</w:t>
      </w:r>
      <w:r>
        <w:rPr>
          <w:rFonts w:ascii="Times New Roman;Times;serif" w:hAnsi="Times New Roman;Times;serif"/>
          <w:spacing w:val="-11"/>
          <w:sz w:val="24"/>
        </w:rPr>
        <w:t xml:space="preserve"> </w:t>
      </w:r>
      <w:r>
        <w:rPr>
          <w:rFonts w:ascii="Times New Roman;Times;serif" w:hAnsi="Times New Roman;Times;serif"/>
          <w:sz w:val="24"/>
        </w:rPr>
        <w:t>Trading</w:t>
      </w:r>
      <w:r>
        <w:rPr>
          <w:rFonts w:ascii="Times New Roman;Times;serif" w:hAnsi="Times New Roman;Times;serif"/>
          <w:spacing w:val="-11"/>
          <w:sz w:val="24"/>
        </w:rPr>
        <w:t xml:space="preserve"> </w:t>
      </w:r>
      <w:r>
        <w:rPr>
          <w:rFonts w:ascii="Times New Roman;Times;serif" w:hAnsi="Times New Roman;Times;serif"/>
          <w:sz w:val="24"/>
        </w:rPr>
        <w:t>Plans</w:t>
      </w:r>
      <w:r>
        <w:rPr>
          <w:rFonts w:ascii="Times New Roman;Times;serif" w:hAnsi="Times New Roman;Times;serif"/>
          <w:spacing w:val="-10"/>
          <w:sz w:val="24"/>
        </w:rPr>
        <w:t xml:space="preserve"> </w:t>
      </w:r>
      <w:r>
        <w:rPr>
          <w:rFonts w:ascii="Times New Roman;Times;serif" w:hAnsi="Times New Roman;Times;serif"/>
          <w:sz w:val="24"/>
        </w:rPr>
        <w:t>or</w:t>
      </w:r>
      <w:r>
        <w:rPr>
          <w:rFonts w:ascii="Times New Roman;Times;serif" w:hAnsi="Times New Roman;Times;serif"/>
          <w:spacing w:val="-11"/>
          <w:sz w:val="24"/>
        </w:rPr>
        <w:t xml:space="preserve"> </w:t>
      </w:r>
      <w:r>
        <w:rPr>
          <w:rFonts w:ascii="Times New Roman;Times;serif" w:hAnsi="Times New Roman;Times;serif"/>
          <w:sz w:val="24"/>
        </w:rPr>
        <w:t>the</w:t>
      </w:r>
      <w:r>
        <w:rPr>
          <w:rFonts w:ascii="Times New Roman;Times;serif" w:hAnsi="Times New Roman;Times;serif"/>
          <w:spacing w:val="-12"/>
          <w:sz w:val="24"/>
        </w:rPr>
        <w:t xml:space="preserve"> </w:t>
      </w:r>
      <w:r>
        <w:rPr>
          <w:rFonts w:ascii="Times New Roman;Times;serif" w:hAnsi="Times New Roman;Times;serif"/>
          <w:sz w:val="24"/>
        </w:rPr>
        <w:t>execution</w:t>
      </w:r>
      <w:r>
        <w:rPr>
          <w:rFonts w:ascii="Times New Roman;Times;serif" w:hAnsi="Times New Roman;Times;serif"/>
          <w:spacing w:val="-11"/>
          <w:sz w:val="24"/>
        </w:rPr>
        <w:t xml:space="preserve"> </w:t>
      </w:r>
      <w:r>
        <w:rPr>
          <w:rFonts w:ascii="Times New Roman;Times;serif" w:hAnsi="Times New Roman;Times;serif"/>
          <w:sz w:val="24"/>
        </w:rPr>
        <w:t>of</w:t>
      </w:r>
      <w:r>
        <w:rPr>
          <w:rFonts w:ascii="Times New Roman;Times;serif" w:hAnsi="Times New Roman;Times;serif"/>
          <w:spacing w:val="-11"/>
          <w:sz w:val="24"/>
        </w:rPr>
        <w:t xml:space="preserve"> </w:t>
      </w:r>
      <w:r>
        <w:rPr>
          <w:rFonts w:ascii="Times New Roman;Times;serif" w:hAnsi="Times New Roman;Times;serif"/>
          <w:sz w:val="24"/>
        </w:rPr>
        <w:t>transactions</w:t>
      </w:r>
      <w:r>
        <w:rPr>
          <w:rFonts w:ascii="Times New Roman;Times;serif" w:hAnsi="Times New Roman;Times;serif"/>
          <w:spacing w:val="-10"/>
          <w:sz w:val="24"/>
        </w:rPr>
        <w:t xml:space="preserve"> </w:t>
      </w:r>
      <w:r>
        <w:rPr>
          <w:rFonts w:ascii="Times New Roman;Times;serif" w:hAnsi="Times New Roman;Times;serif"/>
          <w:sz w:val="24"/>
        </w:rPr>
        <w:t>made</w:t>
      </w:r>
      <w:r>
        <w:rPr>
          <w:rFonts w:ascii="Times New Roman;Times;serif" w:hAnsi="Times New Roman;Times;serif"/>
          <w:spacing w:val="-12"/>
          <w:sz w:val="24"/>
        </w:rPr>
        <w:t xml:space="preserve"> </w:t>
      </w:r>
      <w:r>
        <w:rPr>
          <w:rFonts w:ascii="Times New Roman;Times;serif" w:hAnsi="Times New Roman;Times;serif"/>
          <w:sz w:val="24"/>
        </w:rPr>
        <w:t>under a Trading Plan.</w:t>
      </w:r>
      <w:r>
        <w:rPr>
          <w:rFonts w:ascii="Times New Roman;Times;serif" w:hAnsi="Times New Roman;Times;serif"/>
          <w:spacing w:val="40"/>
          <w:sz w:val="24"/>
        </w:rPr>
        <w:t xml:space="preserve"> </w:t>
      </w:r>
      <w:r>
        <w:rPr>
          <w:rFonts w:ascii="Times New Roman;Times;serif" w:hAnsi="Times New Roman;Times;serif"/>
          <w:sz w:val="24"/>
        </w:rPr>
        <w:t>The Company also reserves the right from time to time to suspend, discontinue, or</w:t>
      </w:r>
      <w:r>
        <w:rPr>
          <w:rFonts w:ascii="Times New Roman;Times;serif" w:hAnsi="Times New Roman;Times;serif"/>
          <w:spacing w:val="-4"/>
          <w:sz w:val="24"/>
        </w:rPr>
        <w:t xml:space="preserve"> </w:t>
      </w:r>
      <w:r>
        <w:rPr>
          <w:rFonts w:ascii="Times New Roman;Times;serif" w:hAnsi="Times New Roman;Times;serif"/>
          <w:sz w:val="24"/>
        </w:rPr>
        <w:t>otherwise</w:t>
      </w:r>
      <w:r>
        <w:rPr>
          <w:rFonts w:ascii="Times New Roman;Times;serif" w:hAnsi="Times New Roman;Times;serif"/>
          <w:spacing w:val="-2"/>
          <w:sz w:val="24"/>
        </w:rPr>
        <w:t xml:space="preserve"> </w:t>
      </w:r>
      <w:r>
        <w:rPr>
          <w:rFonts w:ascii="Times New Roman;Times;serif" w:hAnsi="Times New Roman;Times;serif"/>
          <w:sz w:val="24"/>
        </w:rPr>
        <w:t>prohibit</w:t>
      </w:r>
      <w:r>
        <w:rPr>
          <w:rFonts w:ascii="Times New Roman;Times;serif" w:hAnsi="Times New Roman;Times;serif"/>
          <w:spacing w:val="-3"/>
          <w:sz w:val="24"/>
        </w:rPr>
        <w:t xml:space="preserve"> </w:t>
      </w:r>
      <w:r>
        <w:rPr>
          <w:rFonts w:ascii="Times New Roman;Times;serif" w:hAnsi="Times New Roman;Times;serif"/>
          <w:sz w:val="24"/>
        </w:rPr>
        <w:t>transactions</w:t>
      </w:r>
      <w:r>
        <w:rPr>
          <w:rFonts w:ascii="Times New Roman;Times;serif" w:hAnsi="Times New Roman;Times;serif"/>
          <w:spacing w:val="-3"/>
          <w:sz w:val="24"/>
        </w:rPr>
        <w:t xml:space="preserve"> </w:t>
      </w:r>
      <w:r>
        <w:rPr>
          <w:rFonts w:ascii="Times New Roman;Times;serif" w:hAnsi="Times New Roman;Times;serif"/>
          <w:sz w:val="24"/>
        </w:rPr>
        <w:t>under</w:t>
      </w:r>
      <w:r>
        <w:rPr>
          <w:rFonts w:ascii="Times New Roman;Times;serif" w:hAnsi="Times New Roman;Times;serif"/>
          <w:spacing w:val="-2"/>
          <w:sz w:val="24"/>
        </w:rPr>
        <w:t xml:space="preserve"> </w:t>
      </w:r>
      <w:r>
        <w:rPr>
          <w:rFonts w:ascii="Times New Roman;Times;serif" w:hAnsi="Times New Roman;Times;serif"/>
          <w:sz w:val="24"/>
        </w:rPr>
        <w:t>a</w:t>
      </w:r>
      <w:r>
        <w:rPr>
          <w:rFonts w:ascii="Times New Roman;Times;serif" w:hAnsi="Times New Roman;Times;serif"/>
          <w:spacing w:val="-4"/>
          <w:sz w:val="24"/>
        </w:rPr>
        <w:t xml:space="preserve"> </w:t>
      </w:r>
      <w:r>
        <w:rPr>
          <w:rFonts w:ascii="Times New Roman;Times;serif" w:hAnsi="Times New Roman;Times;serif"/>
          <w:sz w:val="24"/>
        </w:rPr>
        <w:t>Trading</w:t>
      </w:r>
      <w:r>
        <w:rPr>
          <w:rFonts w:ascii="Times New Roman;Times;serif" w:hAnsi="Times New Roman;Times;serif"/>
          <w:spacing w:val="-1"/>
          <w:sz w:val="24"/>
        </w:rPr>
        <w:t xml:space="preserve"> </w:t>
      </w:r>
      <w:r>
        <w:rPr>
          <w:rFonts w:ascii="Times New Roman;Times;serif" w:hAnsi="Times New Roman;Times;serif"/>
          <w:sz w:val="24"/>
        </w:rPr>
        <w:t>Plan</w:t>
      </w:r>
      <w:r>
        <w:rPr>
          <w:rFonts w:ascii="Times New Roman;Times;serif" w:hAnsi="Times New Roman;Times;serif"/>
          <w:spacing w:val="-3"/>
          <w:sz w:val="24"/>
        </w:rPr>
        <w:t xml:space="preserve"> </w:t>
      </w:r>
      <w:r>
        <w:rPr>
          <w:rFonts w:ascii="Times New Roman;Times;serif" w:hAnsi="Times New Roman;Times;serif"/>
          <w:sz w:val="24"/>
        </w:rPr>
        <w:t>if</w:t>
      </w:r>
      <w:r>
        <w:rPr>
          <w:rFonts w:ascii="Times New Roman;Times;serif" w:hAnsi="Times New Roman;Times;serif"/>
          <w:spacing w:val="-4"/>
          <w:sz w:val="24"/>
        </w:rPr>
        <w:t xml:space="preserve"> </w:t>
      </w:r>
      <w:r>
        <w:rPr>
          <w:rFonts w:ascii="Times New Roman;Times;serif" w:hAnsi="Times New Roman;Times;serif"/>
          <w:sz w:val="24"/>
        </w:rPr>
        <w:t>the</w:t>
      </w:r>
      <w:r>
        <w:rPr>
          <w:rFonts w:ascii="Times New Roman;Times;serif" w:hAnsi="Times New Roman;Times;serif"/>
          <w:spacing w:val="-4"/>
          <w:sz w:val="24"/>
        </w:rPr>
        <w:t xml:space="preserve"> </w:t>
      </w:r>
      <w:r>
        <w:rPr>
          <w:rFonts w:ascii="Times New Roman;Times;serif" w:hAnsi="Times New Roman;Times;serif"/>
          <w:sz w:val="24"/>
        </w:rPr>
        <w:t>Authorizing</w:t>
      </w:r>
      <w:r>
        <w:rPr>
          <w:rFonts w:ascii="Times New Roman;Times;serif" w:hAnsi="Times New Roman;Times;serif"/>
          <w:spacing w:val="-1"/>
          <w:sz w:val="24"/>
        </w:rPr>
        <w:t xml:space="preserve"> </w:t>
      </w:r>
      <w:r>
        <w:rPr>
          <w:rFonts w:ascii="Times New Roman;Times;serif" w:hAnsi="Times New Roman;Times;serif"/>
          <w:sz w:val="24"/>
        </w:rPr>
        <w:t>Officer</w:t>
      </w:r>
      <w:r>
        <w:rPr>
          <w:rFonts w:ascii="Times New Roman;Times;serif" w:hAnsi="Times New Roman;Times;serif"/>
          <w:spacing w:val="-2"/>
          <w:sz w:val="24"/>
        </w:rPr>
        <w:t xml:space="preserve"> </w:t>
      </w:r>
      <w:r>
        <w:rPr>
          <w:rFonts w:ascii="Times New Roman;Times;serif" w:hAnsi="Times New Roman;Times;serif"/>
          <w:sz w:val="24"/>
        </w:rPr>
        <w:t>or</w:t>
      </w:r>
      <w:r>
        <w:rPr>
          <w:rFonts w:ascii="Times New Roman;Times;serif" w:hAnsi="Times New Roman;Times;serif"/>
          <w:spacing w:val="-4"/>
          <w:sz w:val="24"/>
        </w:rPr>
        <w:t xml:space="preserve"> </w:t>
      </w:r>
      <w:r>
        <w:rPr>
          <w:rFonts w:ascii="Times New Roman;Times;serif" w:hAnsi="Times New Roman;Times;serif"/>
          <w:sz w:val="24"/>
        </w:rPr>
        <w:t>the</w:t>
      </w:r>
      <w:r>
        <w:rPr>
          <w:rFonts w:ascii="Times New Roman;Times;serif" w:hAnsi="Times New Roman;Times;serif"/>
          <w:spacing w:val="-2"/>
          <w:sz w:val="24"/>
        </w:rPr>
        <w:t xml:space="preserve"> </w:t>
      </w:r>
      <w:r>
        <w:rPr>
          <w:rFonts w:ascii="Times New Roman;Times;serif" w:hAnsi="Times New Roman;Times;serif"/>
          <w:sz w:val="24"/>
        </w:rPr>
        <w:t>Board</w:t>
      </w:r>
      <w:r>
        <w:rPr>
          <w:rFonts w:ascii="Times New Roman;Times;serif" w:hAnsi="Times New Roman;Times;serif"/>
          <w:spacing w:val="-3"/>
          <w:sz w:val="24"/>
        </w:rPr>
        <w:t xml:space="preserve"> </w:t>
      </w:r>
      <w:r>
        <w:rPr>
          <w:rFonts w:ascii="Times New Roman;Times;serif" w:hAnsi="Times New Roman;Times;serif"/>
          <w:sz w:val="24"/>
        </w:rPr>
        <w:t>of Directors, in its discretion, determines that such suspension, discontinuation, or other prohibition is in the best interests of the Company.</w:t>
      </w:r>
    </w:p>
    <w:p>
      <w:pPr>
        <w:pStyle w:val="TextBody"/>
        <w:bidi w:val="0"/>
        <w:spacing w:before="240" w:after="0"/>
        <w:ind w:left="119" w:right="119" w:firstLine="720"/>
        <w:jc w:val="both"/>
        <w:rPr>
          <w:rFonts w:ascii="Times New Roman;Times;serif" w:hAnsi="Times New Roman;Times;serif"/>
          <w:sz w:val="24"/>
        </w:rPr>
      </w:pPr>
      <w:r>
        <w:rPr>
          <w:rFonts w:ascii="Times New Roman;Times;serif" w:hAnsi="Times New Roman;Times;serif"/>
          <w:sz w:val="24"/>
        </w:rPr>
        <w:t>The</w:t>
      </w:r>
      <w:r>
        <w:rPr>
          <w:rFonts w:ascii="Times New Roman;Times;serif" w:hAnsi="Times New Roman;Times;serif"/>
          <w:spacing w:val="-8"/>
          <w:sz w:val="24"/>
        </w:rPr>
        <w:t xml:space="preserve"> </w:t>
      </w:r>
      <w:r>
        <w:rPr>
          <w:rFonts w:ascii="Times New Roman;Times;serif" w:hAnsi="Times New Roman;Times;serif"/>
          <w:sz w:val="24"/>
        </w:rPr>
        <w:t>cashless</w:t>
      </w:r>
      <w:r>
        <w:rPr>
          <w:rFonts w:ascii="Times New Roman;Times;serif" w:hAnsi="Times New Roman;Times;serif"/>
          <w:spacing w:val="-7"/>
          <w:sz w:val="24"/>
        </w:rPr>
        <w:t xml:space="preserve"> </w:t>
      </w:r>
      <w:r>
        <w:rPr>
          <w:rFonts w:ascii="Times New Roman;Times;serif" w:hAnsi="Times New Roman;Times;serif"/>
          <w:sz w:val="24"/>
        </w:rPr>
        <w:t>exercise</w:t>
      </w:r>
      <w:r>
        <w:rPr>
          <w:rFonts w:ascii="Times New Roman;Times;serif" w:hAnsi="Times New Roman;Times;serif"/>
          <w:spacing w:val="-8"/>
          <w:sz w:val="24"/>
        </w:rPr>
        <w:t xml:space="preserve"> </w:t>
      </w:r>
      <w:r>
        <w:rPr>
          <w:rFonts w:ascii="Times New Roman;Times;serif" w:hAnsi="Times New Roman;Times;serif"/>
          <w:sz w:val="24"/>
        </w:rPr>
        <w:t>of</w:t>
      </w:r>
      <w:r>
        <w:rPr>
          <w:rFonts w:ascii="Times New Roman;Times;serif" w:hAnsi="Times New Roman;Times;serif"/>
          <w:spacing w:val="-5"/>
          <w:sz w:val="24"/>
        </w:rPr>
        <w:t xml:space="preserve"> </w:t>
      </w:r>
      <w:r>
        <w:rPr>
          <w:rFonts w:ascii="Times New Roman;Times;serif" w:hAnsi="Times New Roman;Times;serif"/>
          <w:sz w:val="24"/>
        </w:rPr>
        <w:t>options</w:t>
      </w:r>
      <w:r>
        <w:rPr>
          <w:rFonts w:ascii="Times New Roman;Times;serif" w:hAnsi="Times New Roman;Times;serif"/>
          <w:spacing w:val="-7"/>
          <w:sz w:val="24"/>
        </w:rPr>
        <w:t xml:space="preserve"> </w:t>
      </w:r>
      <w:r>
        <w:rPr>
          <w:rFonts w:ascii="Times New Roman;Times;serif" w:hAnsi="Times New Roman;Times;serif"/>
          <w:sz w:val="24"/>
        </w:rPr>
        <w:t>under</w:t>
      </w:r>
      <w:r>
        <w:rPr>
          <w:rFonts w:ascii="Times New Roman;Times;serif" w:hAnsi="Times New Roman;Times;serif"/>
          <w:spacing w:val="-8"/>
          <w:sz w:val="24"/>
        </w:rPr>
        <w:t xml:space="preserve"> </w:t>
      </w:r>
      <w:r>
        <w:rPr>
          <w:rFonts w:ascii="Times New Roman;Times;serif" w:hAnsi="Times New Roman;Times;serif"/>
          <w:sz w:val="24"/>
        </w:rPr>
        <w:t>Trading</w:t>
      </w:r>
      <w:r>
        <w:rPr>
          <w:rFonts w:ascii="Times New Roman;Times;serif" w:hAnsi="Times New Roman;Times;serif"/>
          <w:spacing w:val="-7"/>
          <w:sz w:val="24"/>
        </w:rPr>
        <w:t xml:space="preserve"> </w:t>
      </w:r>
      <w:r>
        <w:rPr>
          <w:rFonts w:ascii="Times New Roman;Times;serif" w:hAnsi="Times New Roman;Times;serif"/>
          <w:sz w:val="24"/>
        </w:rPr>
        <w:t>Plans</w:t>
      </w:r>
      <w:r>
        <w:rPr>
          <w:rFonts w:ascii="Times New Roman;Times;serif" w:hAnsi="Times New Roman;Times;serif"/>
          <w:spacing w:val="-7"/>
          <w:sz w:val="24"/>
        </w:rPr>
        <w:t xml:space="preserve"> </w:t>
      </w:r>
      <w:r>
        <w:rPr>
          <w:rFonts w:ascii="Times New Roman;Times;serif" w:hAnsi="Times New Roman;Times;serif"/>
          <w:sz w:val="24"/>
        </w:rPr>
        <w:t>is</w:t>
      </w:r>
      <w:r>
        <w:rPr>
          <w:rFonts w:ascii="Times New Roman;Times;serif" w:hAnsi="Times New Roman;Times;serif"/>
          <w:spacing w:val="-7"/>
          <w:sz w:val="24"/>
        </w:rPr>
        <w:t xml:space="preserve"> </w:t>
      </w:r>
      <w:r>
        <w:rPr>
          <w:rFonts w:ascii="Times New Roman;Times;serif" w:hAnsi="Times New Roman;Times;serif"/>
          <w:sz w:val="24"/>
        </w:rPr>
        <w:t>permitted</w:t>
      </w:r>
      <w:r>
        <w:rPr>
          <w:rFonts w:ascii="Times New Roman;Times;serif" w:hAnsi="Times New Roman;Times;serif"/>
          <w:spacing w:val="-7"/>
          <w:sz w:val="24"/>
        </w:rPr>
        <w:t xml:space="preserve"> </w:t>
      </w:r>
      <w:r>
        <w:rPr>
          <w:rFonts w:ascii="Times New Roman;Times;serif" w:hAnsi="Times New Roman;Times;serif"/>
          <w:sz w:val="24"/>
        </w:rPr>
        <w:t>only</w:t>
      </w:r>
      <w:r>
        <w:rPr>
          <w:rFonts w:ascii="Times New Roman;Times;serif" w:hAnsi="Times New Roman;Times;serif"/>
          <w:spacing w:val="-7"/>
          <w:sz w:val="24"/>
        </w:rPr>
        <w:t xml:space="preserve"> </w:t>
      </w:r>
      <w:r>
        <w:rPr>
          <w:rFonts w:ascii="Times New Roman;Times;serif" w:hAnsi="Times New Roman;Times;serif"/>
          <w:sz w:val="24"/>
        </w:rPr>
        <w:t>through</w:t>
      </w:r>
      <w:r>
        <w:rPr>
          <w:rFonts w:ascii="Times New Roman;Times;serif" w:hAnsi="Times New Roman;Times;serif"/>
          <w:spacing w:val="-7"/>
          <w:sz w:val="24"/>
        </w:rPr>
        <w:t xml:space="preserve"> </w:t>
      </w:r>
      <w:r>
        <w:rPr>
          <w:rFonts w:ascii="Times New Roman;Times;serif" w:hAnsi="Times New Roman;Times;serif"/>
          <w:sz w:val="24"/>
        </w:rPr>
        <w:t>“</w:t>
      </w:r>
      <w:r>
        <w:rPr>
          <w:rFonts w:ascii="Times New Roman;Times;serif" w:hAnsi="Times New Roman;Times;serif"/>
          <w:sz w:val="24"/>
          <w:u w:val="single"/>
        </w:rPr>
        <w:t>same-day</w:t>
      </w:r>
      <w:r>
        <w:rPr>
          <w:rFonts w:ascii="Times New Roman;Times;serif" w:hAnsi="Times New Roman;Times;serif"/>
          <w:sz w:val="24"/>
        </w:rPr>
        <w:t xml:space="preserve"> </w:t>
      </w:r>
      <w:r>
        <w:rPr>
          <w:rFonts w:ascii="Times New Roman;Times;serif" w:hAnsi="Times New Roman;Times;serif"/>
          <w:sz w:val="24"/>
          <w:u w:val="single"/>
        </w:rPr>
        <w:t>sales</w:t>
      </w:r>
      <w:r>
        <w:rPr>
          <w:rFonts w:ascii="Times New Roman;Times;serif" w:hAnsi="Times New Roman;Times;serif"/>
          <w:sz w:val="24"/>
        </w:rPr>
        <w:t>,”</w:t>
      </w:r>
      <w:r>
        <w:rPr>
          <w:rFonts w:ascii="Times New Roman;Times;serif" w:hAnsi="Times New Roman;Times;serif"/>
          <w:spacing w:val="-13"/>
          <w:sz w:val="24"/>
        </w:rPr>
        <w:t xml:space="preserve"> </w:t>
      </w:r>
      <w:r>
        <w:rPr>
          <w:rFonts w:ascii="Times New Roman;Times;serif" w:hAnsi="Times New Roman;Times;serif"/>
          <w:sz w:val="24"/>
        </w:rPr>
        <w:t>in</w:t>
      </w:r>
      <w:r>
        <w:rPr>
          <w:rFonts w:ascii="Times New Roman;Times;serif" w:hAnsi="Times New Roman;Times;serif"/>
          <w:spacing w:val="-13"/>
          <w:sz w:val="24"/>
        </w:rPr>
        <w:t xml:space="preserve"> </w:t>
      </w:r>
      <w:r>
        <w:rPr>
          <w:rFonts w:ascii="Times New Roman;Times;serif" w:hAnsi="Times New Roman;Times;serif"/>
          <w:sz w:val="24"/>
        </w:rPr>
        <w:t>which</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option</w:t>
      </w:r>
      <w:r>
        <w:rPr>
          <w:rFonts w:ascii="Times New Roman;Times;serif" w:hAnsi="Times New Roman;Times;serif"/>
          <w:spacing w:val="-13"/>
          <w:sz w:val="24"/>
        </w:rPr>
        <w:t xml:space="preserve"> </w:t>
      </w:r>
      <w:r>
        <w:rPr>
          <w:rFonts w:ascii="Times New Roman;Times;serif" w:hAnsi="Times New Roman;Times;serif"/>
          <w:sz w:val="24"/>
        </w:rPr>
        <w:t>holder</w:t>
      </w:r>
      <w:r>
        <w:rPr>
          <w:rFonts w:ascii="Times New Roman;Times;serif" w:hAnsi="Times New Roman;Times;serif"/>
          <w:spacing w:val="-13"/>
          <w:sz w:val="24"/>
        </w:rPr>
        <w:t xml:space="preserve"> </w:t>
      </w:r>
      <w:r>
        <w:rPr>
          <w:rFonts w:ascii="Times New Roman;Times;serif" w:hAnsi="Times New Roman;Times;serif"/>
          <w:sz w:val="24"/>
        </w:rPr>
        <w:t>does</w:t>
      </w:r>
      <w:r>
        <w:rPr>
          <w:rFonts w:ascii="Times New Roman;Times;serif" w:hAnsi="Times New Roman;Times;serif"/>
          <w:spacing w:val="-13"/>
          <w:sz w:val="24"/>
        </w:rPr>
        <w:t xml:space="preserve"> </w:t>
      </w:r>
      <w:r>
        <w:rPr>
          <w:rFonts w:ascii="Times New Roman;Times;serif" w:hAnsi="Times New Roman;Times;serif"/>
          <w:sz w:val="24"/>
        </w:rPr>
        <w:t>not</w:t>
      </w:r>
      <w:r>
        <w:rPr>
          <w:rFonts w:ascii="Times New Roman;Times;serif" w:hAnsi="Times New Roman;Times;serif"/>
          <w:spacing w:val="-13"/>
          <w:sz w:val="24"/>
        </w:rPr>
        <w:t xml:space="preserve"> </w:t>
      </w:r>
      <w:r>
        <w:rPr>
          <w:rFonts w:ascii="Times New Roman;Times;serif" w:hAnsi="Times New Roman;Times;serif"/>
          <w:sz w:val="24"/>
        </w:rPr>
        <w:t>pay</w:t>
      </w:r>
      <w:r>
        <w:rPr>
          <w:rFonts w:ascii="Times New Roman;Times;serif" w:hAnsi="Times New Roman;Times;serif"/>
          <w:spacing w:val="-13"/>
          <w:sz w:val="24"/>
        </w:rPr>
        <w:t xml:space="preserve"> </w:t>
      </w:r>
      <w:r>
        <w:rPr>
          <w:rFonts w:ascii="Times New Roman;Times;serif" w:hAnsi="Times New Roman;Times;serif"/>
          <w:sz w:val="24"/>
        </w:rPr>
        <w:t>for</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stock</w:t>
      </w:r>
      <w:r>
        <w:rPr>
          <w:rFonts w:ascii="Times New Roman;Times;serif" w:hAnsi="Times New Roman;Times;serif"/>
          <w:spacing w:val="-13"/>
          <w:sz w:val="24"/>
        </w:rPr>
        <w:t xml:space="preserve"> </w:t>
      </w:r>
      <w:r>
        <w:rPr>
          <w:rFonts w:ascii="Times New Roman;Times;serif" w:hAnsi="Times New Roman;Times;serif"/>
          <w:sz w:val="24"/>
        </w:rPr>
        <w:t>up</w:t>
      </w:r>
      <w:r>
        <w:rPr>
          <w:rFonts w:ascii="Times New Roman;Times;serif" w:hAnsi="Times New Roman;Times;serif"/>
          <w:spacing w:val="-13"/>
          <w:sz w:val="24"/>
        </w:rPr>
        <w:t xml:space="preserve"> </w:t>
      </w:r>
      <w:r>
        <w:rPr>
          <w:rFonts w:ascii="Times New Roman;Times;serif" w:hAnsi="Times New Roman;Times;serif"/>
          <w:sz w:val="24"/>
        </w:rPr>
        <w:t>front,</w:t>
      </w:r>
      <w:r>
        <w:rPr>
          <w:rFonts w:ascii="Times New Roman;Times;serif" w:hAnsi="Times New Roman;Times;serif"/>
          <w:spacing w:val="-13"/>
          <w:sz w:val="24"/>
        </w:rPr>
        <w:t xml:space="preserve"> </w:t>
      </w:r>
      <w:r>
        <w:rPr>
          <w:rFonts w:ascii="Times New Roman;Times;serif" w:hAnsi="Times New Roman;Times;serif"/>
          <w:sz w:val="24"/>
        </w:rPr>
        <w:t>but</w:t>
      </w:r>
      <w:r>
        <w:rPr>
          <w:rFonts w:ascii="Times New Roman;Times;serif" w:hAnsi="Times New Roman;Times;serif"/>
          <w:spacing w:val="-13"/>
          <w:sz w:val="24"/>
        </w:rPr>
        <w:t xml:space="preserve"> </w:t>
      </w:r>
      <w:r>
        <w:rPr>
          <w:rFonts w:ascii="Times New Roman;Times;serif" w:hAnsi="Times New Roman;Times;serif"/>
          <w:sz w:val="24"/>
        </w:rPr>
        <w:t>rather</w:t>
      </w:r>
      <w:r>
        <w:rPr>
          <w:rFonts w:ascii="Times New Roman;Times;serif" w:hAnsi="Times New Roman;Times;serif"/>
          <w:spacing w:val="-13"/>
          <w:sz w:val="24"/>
        </w:rPr>
        <w:t xml:space="preserve"> </w:t>
      </w:r>
      <w:r>
        <w:rPr>
          <w:rFonts w:ascii="Times New Roman;Times;serif" w:hAnsi="Times New Roman;Times;serif"/>
          <w:sz w:val="24"/>
        </w:rPr>
        <w:t>receives</w:t>
      </w:r>
      <w:r>
        <w:rPr>
          <w:rFonts w:ascii="Times New Roman;Times;serif" w:hAnsi="Times New Roman;Times;serif"/>
          <w:spacing w:val="-13"/>
          <w:sz w:val="24"/>
        </w:rPr>
        <w:t xml:space="preserve"> </w:t>
      </w:r>
      <w:r>
        <w:rPr>
          <w:rFonts w:ascii="Times New Roman;Times;serif" w:hAnsi="Times New Roman;Times;serif"/>
          <w:sz w:val="24"/>
        </w:rPr>
        <w:t>cash</w:t>
      </w:r>
      <w:r>
        <w:rPr>
          <w:rFonts w:ascii="Times New Roman;Times;serif" w:hAnsi="Times New Roman;Times;serif"/>
          <w:spacing w:val="-13"/>
          <w:sz w:val="24"/>
        </w:rPr>
        <w:t xml:space="preserve"> </w:t>
      </w:r>
      <w:r>
        <w:rPr>
          <w:rFonts w:ascii="Times New Roman;Times;serif" w:hAnsi="Times New Roman;Times;serif"/>
          <w:sz w:val="24"/>
        </w:rPr>
        <w:t xml:space="preserve">equal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19" w:right="119" w:hanging="0"/>
        <w:jc w:val="both"/>
        <w:rPr>
          <w:rFonts w:ascii="Times New Roman;Times;serif" w:hAnsi="Times New Roman;Times;serif"/>
          <w:sz w:val="24"/>
        </w:rPr>
      </w:pPr>
      <w:r>
        <w:rPr>
          <w:rFonts w:ascii="Times New Roman;Times;serif" w:hAnsi="Times New Roman;Times;serif"/>
          <w:sz w:val="24"/>
        </w:rPr>
        <w:t>to</w:t>
      </w:r>
      <w:r>
        <w:rPr>
          <w:rFonts w:ascii="Times New Roman;Times;serif" w:hAnsi="Times New Roman;Times;serif"/>
          <w:spacing w:val="-11"/>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difference</w:t>
      </w:r>
      <w:r>
        <w:rPr>
          <w:rFonts w:ascii="Times New Roman;Times;serif" w:hAnsi="Times New Roman;Times;serif"/>
          <w:spacing w:val="-9"/>
          <w:sz w:val="24"/>
        </w:rPr>
        <w:t xml:space="preserve"> </w:t>
      </w:r>
      <w:r>
        <w:rPr>
          <w:rFonts w:ascii="Times New Roman;Times;serif" w:hAnsi="Times New Roman;Times;serif"/>
          <w:sz w:val="24"/>
        </w:rPr>
        <w:t>between</w:t>
      </w:r>
      <w:r>
        <w:rPr>
          <w:rFonts w:ascii="Times New Roman;Times;serif" w:hAnsi="Times New Roman;Times;serif"/>
          <w:spacing w:val="-8"/>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stock</w:t>
      </w:r>
      <w:r>
        <w:rPr>
          <w:rFonts w:ascii="Times New Roman;Times;serif" w:hAnsi="Times New Roman;Times;serif"/>
          <w:spacing w:val="-11"/>
          <w:sz w:val="24"/>
        </w:rPr>
        <w:t xml:space="preserve"> </w:t>
      </w:r>
      <w:r>
        <w:rPr>
          <w:rFonts w:ascii="Times New Roman;Times;serif" w:hAnsi="Times New Roman;Times;serif"/>
          <w:sz w:val="24"/>
        </w:rPr>
        <w:t>value</w:t>
      </w:r>
      <w:r>
        <w:rPr>
          <w:rFonts w:ascii="Times New Roman;Times;serif" w:hAnsi="Times New Roman;Times;serif"/>
          <w:spacing w:val="-9"/>
          <w:sz w:val="24"/>
        </w:rPr>
        <w:t xml:space="preserve"> </w:t>
      </w:r>
      <w:r>
        <w:rPr>
          <w:rFonts w:ascii="Times New Roman;Times;serif" w:hAnsi="Times New Roman;Times;serif"/>
          <w:sz w:val="24"/>
        </w:rPr>
        <w:t>and</w:t>
      </w:r>
      <w:r>
        <w:rPr>
          <w:rFonts w:ascii="Times New Roman;Times;serif" w:hAnsi="Times New Roman;Times;serif"/>
          <w:spacing w:val="-11"/>
          <w:sz w:val="24"/>
        </w:rPr>
        <w:t xml:space="preserve"> </w:t>
      </w:r>
      <w:r>
        <w:rPr>
          <w:rFonts w:ascii="Times New Roman;Times;serif" w:hAnsi="Times New Roman;Times;serif"/>
          <w:sz w:val="24"/>
        </w:rPr>
        <w:t>option</w:t>
      </w:r>
      <w:r>
        <w:rPr>
          <w:rFonts w:ascii="Times New Roman;Times;serif" w:hAnsi="Times New Roman;Times;serif"/>
          <w:spacing w:val="-11"/>
          <w:sz w:val="24"/>
        </w:rPr>
        <w:t xml:space="preserve"> </w:t>
      </w:r>
      <w:r>
        <w:rPr>
          <w:rFonts w:ascii="Times New Roman;Times;serif" w:hAnsi="Times New Roman;Times;serif"/>
          <w:sz w:val="24"/>
        </w:rPr>
        <w:t>exercise</w:t>
      </w:r>
      <w:r>
        <w:rPr>
          <w:rFonts w:ascii="Times New Roman;Times;serif" w:hAnsi="Times New Roman;Times;serif"/>
          <w:spacing w:val="-11"/>
          <w:sz w:val="24"/>
        </w:rPr>
        <w:t xml:space="preserve"> </w:t>
      </w:r>
      <w:r>
        <w:rPr>
          <w:rFonts w:ascii="Times New Roman;Times;serif" w:hAnsi="Times New Roman;Times;serif"/>
          <w:sz w:val="24"/>
        </w:rPr>
        <w:t>price.</w:t>
      </w:r>
      <w:r>
        <w:rPr>
          <w:rFonts w:ascii="Times New Roman;Times;serif" w:hAnsi="Times New Roman;Times;serif"/>
          <w:spacing w:val="40"/>
          <w:sz w:val="24"/>
        </w:rPr>
        <w:t xml:space="preserve"> </w:t>
      </w:r>
      <w:r>
        <w:rPr>
          <w:rFonts w:ascii="Times New Roman;Times;serif" w:hAnsi="Times New Roman;Times;serif"/>
          <w:sz w:val="24"/>
        </w:rPr>
        <w:t>Transactions</w:t>
      </w:r>
      <w:r>
        <w:rPr>
          <w:rFonts w:ascii="Times New Roman;Times;serif" w:hAnsi="Times New Roman;Times;serif"/>
          <w:spacing w:val="-10"/>
          <w:sz w:val="24"/>
        </w:rPr>
        <w:t xml:space="preserve"> </w:t>
      </w:r>
      <w:r>
        <w:rPr>
          <w:rFonts w:ascii="Times New Roman;Times;serif" w:hAnsi="Times New Roman;Times;serif"/>
          <w:sz w:val="24"/>
        </w:rPr>
        <w:t>prohibited</w:t>
      </w:r>
      <w:r>
        <w:rPr>
          <w:rFonts w:ascii="Times New Roman;Times;serif" w:hAnsi="Times New Roman;Times;serif"/>
          <w:spacing w:val="-11"/>
          <w:sz w:val="24"/>
        </w:rPr>
        <w:t xml:space="preserve"> </w:t>
      </w:r>
      <w:r>
        <w:rPr>
          <w:rFonts w:ascii="Times New Roman;Times;serif" w:hAnsi="Times New Roman;Times;serif"/>
          <w:sz w:val="24"/>
        </w:rPr>
        <w:t>under this Policy, including short sales and hedging transactions, may not be carried out through a Trading Plan.</w:t>
      </w:r>
    </w:p>
    <w:p>
      <w:pPr>
        <w:pStyle w:val="TextBody"/>
        <w:bidi w:val="0"/>
        <w:spacing w:before="240" w:after="0"/>
        <w:ind w:left="119" w:right="119" w:firstLine="720"/>
        <w:jc w:val="both"/>
        <w:rPr/>
      </w:pPr>
      <w:r>
        <w:rPr/>
        <w:t>​</w:t>
      </w:r>
    </w:p>
    <w:p>
      <w:pPr>
        <w:pStyle w:val="TextBody"/>
        <w:bidi w:val="0"/>
        <w:spacing w:before="240" w:after="0"/>
        <w:ind w:left="119" w:right="119" w:firstLine="720"/>
        <w:jc w:val="both"/>
        <w:rPr/>
      </w:pPr>
      <w:r>
        <w:rPr/>
        <w:t>​</w:t>
      </w:r>
    </w:p>
    <w:p>
      <w:pPr>
        <w:pStyle w:val="TextBody"/>
        <w:bidi w:val="0"/>
        <w:spacing w:before="240" w:after="0"/>
        <w:ind w:left="119" w:right="119" w:firstLine="720"/>
        <w:jc w:val="both"/>
        <w:rPr/>
      </w:pPr>
      <w:r>
        <w:rPr/>
        <w:t>​</w:t>
      </w:r>
    </w:p>
    <w:p>
      <w:pPr>
        <w:pStyle w:val="TextBody"/>
        <w:bidi w:val="0"/>
        <w:spacing w:before="240" w:after="0"/>
        <w:ind w:left="120" w:right="117" w:firstLine="720"/>
        <w:jc w:val="both"/>
        <w:rPr>
          <w:rFonts w:ascii="Times New Roman;Times;serif" w:hAnsi="Times New Roman;Times;serif"/>
          <w:sz w:val="24"/>
        </w:rPr>
      </w:pPr>
      <w:r>
        <w:rPr>
          <w:rFonts w:ascii="Times New Roman;Times;serif" w:hAnsi="Times New Roman;Times;serif"/>
          <w:sz w:val="24"/>
        </w:rPr>
        <w:t>Compliance of a Trading Plan with the terms of Rule 10b5-1 and the execution of transactions pursuant to the Trading Plan are the sole responsibility of the person initiating the Trading Plan, and none of the Company, the Authorizing Officer, or the Company’s other employees assume any liability for any delay in reviewing and/or refusing a Trading Plan submitted</w:t>
      </w:r>
      <w:r>
        <w:rPr>
          <w:rFonts w:ascii="Times New Roman;Times;serif" w:hAnsi="Times New Roman;Times;serif"/>
          <w:spacing w:val="-14"/>
          <w:sz w:val="24"/>
        </w:rPr>
        <w:t xml:space="preserve"> </w:t>
      </w:r>
      <w:r>
        <w:rPr>
          <w:rFonts w:ascii="Times New Roman;Times;serif" w:hAnsi="Times New Roman;Times;serif"/>
          <w:sz w:val="24"/>
        </w:rPr>
        <w:t>for</w:t>
      </w:r>
      <w:r>
        <w:rPr>
          <w:rFonts w:ascii="Times New Roman;Times;serif" w:hAnsi="Times New Roman;Times;serif"/>
          <w:spacing w:val="-15"/>
          <w:sz w:val="24"/>
        </w:rPr>
        <w:t xml:space="preserve"> </w:t>
      </w:r>
      <w:r>
        <w:rPr>
          <w:rFonts w:ascii="Times New Roman;Times;serif" w:hAnsi="Times New Roman;Times;serif"/>
          <w:sz w:val="24"/>
        </w:rPr>
        <w:t>approval</w:t>
      </w:r>
      <w:r>
        <w:rPr>
          <w:rFonts w:ascii="Times New Roman;Times;serif" w:hAnsi="Times New Roman;Times;serif"/>
          <w:spacing w:val="-14"/>
          <w:sz w:val="24"/>
        </w:rPr>
        <w:t xml:space="preserve"> </w:t>
      </w:r>
      <w:r>
        <w:rPr>
          <w:rFonts w:ascii="Times New Roman;Times;serif" w:hAnsi="Times New Roman;Times;serif"/>
          <w:sz w:val="24"/>
        </w:rPr>
        <w:t>nor</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legality</w:t>
      </w:r>
      <w:r>
        <w:rPr>
          <w:rFonts w:ascii="Times New Roman;Times;serif" w:hAnsi="Times New Roman;Times;serif"/>
          <w:spacing w:val="-14"/>
          <w:sz w:val="24"/>
        </w:rPr>
        <w:t xml:space="preserve"> </w:t>
      </w:r>
      <w:r>
        <w:rPr>
          <w:rFonts w:ascii="Times New Roman;Times;serif" w:hAnsi="Times New Roman;Times;serif"/>
          <w:sz w:val="24"/>
        </w:rPr>
        <w:t>or</w:t>
      </w:r>
      <w:r>
        <w:rPr>
          <w:rFonts w:ascii="Times New Roman;Times;serif" w:hAnsi="Times New Roman;Times;serif"/>
          <w:spacing w:val="-13"/>
          <w:sz w:val="24"/>
        </w:rPr>
        <w:t xml:space="preserve"> </w:t>
      </w:r>
      <w:r>
        <w:rPr>
          <w:rFonts w:ascii="Times New Roman;Times;serif" w:hAnsi="Times New Roman;Times;serif"/>
          <w:sz w:val="24"/>
        </w:rPr>
        <w:t>consequences</w:t>
      </w:r>
      <w:r>
        <w:rPr>
          <w:rFonts w:ascii="Times New Roman;Times;serif" w:hAnsi="Times New Roman;Times;serif"/>
          <w:spacing w:val="-14"/>
          <w:sz w:val="24"/>
        </w:rPr>
        <w:t xml:space="preserve"> </w:t>
      </w:r>
      <w:r>
        <w:rPr>
          <w:rFonts w:ascii="Times New Roman;Times;serif" w:hAnsi="Times New Roman;Times;serif"/>
          <w:sz w:val="24"/>
        </w:rPr>
        <w:t>relating</w:t>
      </w:r>
      <w:r>
        <w:rPr>
          <w:rFonts w:ascii="Times New Roman;Times;serif" w:hAnsi="Times New Roman;Times;serif"/>
          <w:spacing w:val="-14"/>
          <w:sz w:val="24"/>
        </w:rPr>
        <w:t xml:space="preserve"> </w:t>
      </w:r>
      <w:r>
        <w:rPr>
          <w:rFonts w:ascii="Times New Roman;Times;serif" w:hAnsi="Times New Roman;Times;serif"/>
          <w:sz w:val="24"/>
        </w:rPr>
        <w:t>to</w:t>
      </w:r>
      <w:r>
        <w:rPr>
          <w:rFonts w:ascii="Times New Roman;Times;serif" w:hAnsi="Times New Roman;Times;serif"/>
          <w:spacing w:val="-12"/>
          <w:sz w:val="24"/>
        </w:rPr>
        <w:t xml:space="preserve"> </w:t>
      </w:r>
      <w:r>
        <w:rPr>
          <w:rFonts w:ascii="Times New Roman;Times;serif" w:hAnsi="Times New Roman;Times;serif"/>
          <w:sz w:val="24"/>
        </w:rPr>
        <w:t>a</w:t>
      </w:r>
      <w:r>
        <w:rPr>
          <w:rFonts w:ascii="Times New Roman;Times;serif" w:hAnsi="Times New Roman;Times;serif"/>
          <w:spacing w:val="-15"/>
          <w:sz w:val="24"/>
        </w:rPr>
        <w:t xml:space="preserve"> </w:t>
      </w:r>
      <w:r>
        <w:rPr>
          <w:rFonts w:ascii="Times New Roman;Times;serif" w:hAnsi="Times New Roman;Times;serif"/>
          <w:sz w:val="24"/>
        </w:rPr>
        <w:t>person</w:t>
      </w:r>
      <w:r>
        <w:rPr>
          <w:rFonts w:ascii="Times New Roman;Times;serif" w:hAnsi="Times New Roman;Times;serif"/>
          <w:spacing w:val="-12"/>
          <w:sz w:val="24"/>
        </w:rPr>
        <w:t xml:space="preserve"> </w:t>
      </w:r>
      <w:r>
        <w:rPr>
          <w:rFonts w:ascii="Times New Roman;Times;serif" w:hAnsi="Times New Roman;Times;serif"/>
          <w:sz w:val="24"/>
        </w:rPr>
        <w:t>entering</w:t>
      </w:r>
      <w:r>
        <w:rPr>
          <w:rFonts w:ascii="Times New Roman;Times;serif" w:hAnsi="Times New Roman;Times;serif"/>
          <w:spacing w:val="-14"/>
          <w:sz w:val="24"/>
        </w:rPr>
        <w:t xml:space="preserve"> </w:t>
      </w:r>
      <w:r>
        <w:rPr>
          <w:rFonts w:ascii="Times New Roman;Times;serif" w:hAnsi="Times New Roman;Times;serif"/>
          <w:sz w:val="24"/>
        </w:rPr>
        <w:t>into</w:t>
      </w:r>
      <w:r>
        <w:rPr>
          <w:rFonts w:ascii="Times New Roman;Times;serif" w:hAnsi="Times New Roman;Times;serif"/>
          <w:spacing w:val="-14"/>
          <w:sz w:val="24"/>
        </w:rPr>
        <w:t xml:space="preserve"> </w:t>
      </w:r>
      <w:r>
        <w:rPr>
          <w:rFonts w:ascii="Times New Roman;Times;serif" w:hAnsi="Times New Roman;Times;serif"/>
          <w:sz w:val="24"/>
        </w:rPr>
        <w:t>or</w:t>
      </w:r>
      <w:r>
        <w:rPr>
          <w:rFonts w:ascii="Times New Roman;Times;serif" w:hAnsi="Times New Roman;Times;serif"/>
          <w:spacing w:val="-13"/>
          <w:sz w:val="24"/>
        </w:rPr>
        <w:t xml:space="preserve"> </w:t>
      </w:r>
      <w:r>
        <w:rPr>
          <w:rFonts w:ascii="Times New Roman;Times;serif" w:hAnsi="Times New Roman;Times;serif"/>
          <w:sz w:val="24"/>
        </w:rPr>
        <w:t>trading under a Trading Plan.</w:t>
      </w:r>
    </w:p>
    <w:p>
      <w:pPr>
        <w:pStyle w:val="TextBody"/>
        <w:bidi w:val="0"/>
        <w:spacing w:before="240" w:after="0"/>
        <w:ind w:left="119" w:right="115" w:firstLine="720"/>
        <w:jc w:val="both"/>
        <w:rPr>
          <w:rFonts w:ascii="Times New Roman;Times;serif" w:hAnsi="Times New Roman;Times;serif"/>
          <w:sz w:val="24"/>
        </w:rPr>
      </w:pPr>
      <w:r>
        <w:rPr>
          <w:rFonts w:ascii="Times New Roman;Times;serif" w:hAnsi="Times New Roman;Times;serif"/>
          <w:sz w:val="24"/>
        </w:rPr>
        <w:t>Trading</w:t>
      </w:r>
      <w:r>
        <w:rPr>
          <w:rFonts w:ascii="Times New Roman;Times;serif" w:hAnsi="Times New Roman;Times;serif"/>
          <w:spacing w:val="-6"/>
          <w:sz w:val="24"/>
        </w:rPr>
        <w:t xml:space="preserve"> </w:t>
      </w:r>
      <w:r>
        <w:rPr>
          <w:rFonts w:ascii="Times New Roman;Times;serif" w:hAnsi="Times New Roman;Times;serif"/>
          <w:sz w:val="24"/>
        </w:rPr>
        <w:t>Plans</w:t>
      </w:r>
      <w:r>
        <w:rPr>
          <w:rFonts w:ascii="Times New Roman;Times;serif" w:hAnsi="Times New Roman;Times;serif"/>
          <w:spacing w:val="-6"/>
          <w:sz w:val="24"/>
        </w:rPr>
        <w:t xml:space="preserve"> </w:t>
      </w:r>
      <w:r>
        <w:rPr>
          <w:rFonts w:ascii="Times New Roman;Times;serif" w:hAnsi="Times New Roman;Times;serif"/>
          <w:sz w:val="24"/>
        </w:rPr>
        <w:t>do</w:t>
      </w:r>
      <w:r>
        <w:rPr>
          <w:rFonts w:ascii="Times New Roman;Times;serif" w:hAnsi="Times New Roman;Times;serif"/>
          <w:spacing w:val="-6"/>
          <w:sz w:val="24"/>
        </w:rPr>
        <w:t xml:space="preserve"> </w:t>
      </w:r>
      <w:r>
        <w:rPr>
          <w:rFonts w:ascii="Times New Roman;Times;serif" w:hAnsi="Times New Roman;Times;serif"/>
          <w:sz w:val="24"/>
        </w:rPr>
        <w:t>not</w:t>
      </w:r>
      <w:r>
        <w:rPr>
          <w:rFonts w:ascii="Times New Roman;Times;serif" w:hAnsi="Times New Roman;Times;serif"/>
          <w:spacing w:val="-8"/>
          <w:sz w:val="24"/>
        </w:rPr>
        <w:t xml:space="preserve"> </w:t>
      </w:r>
      <w:r>
        <w:rPr>
          <w:rFonts w:ascii="Times New Roman;Times;serif" w:hAnsi="Times New Roman;Times;serif"/>
          <w:sz w:val="24"/>
        </w:rPr>
        <w:t>exempt</w:t>
      </w:r>
      <w:r>
        <w:rPr>
          <w:rFonts w:ascii="Times New Roman;Times;serif" w:hAnsi="Times New Roman;Times;serif"/>
          <w:spacing w:val="-5"/>
          <w:sz w:val="24"/>
        </w:rPr>
        <w:t xml:space="preserve"> </w:t>
      </w:r>
      <w:r>
        <w:rPr>
          <w:rFonts w:ascii="Times New Roman;Times;serif" w:hAnsi="Times New Roman;Times;serif"/>
          <w:sz w:val="24"/>
        </w:rPr>
        <w:t>you</w:t>
      </w:r>
      <w:r>
        <w:rPr>
          <w:rFonts w:ascii="Times New Roman;Times;serif" w:hAnsi="Times New Roman;Times;serif"/>
          <w:spacing w:val="-6"/>
          <w:sz w:val="24"/>
        </w:rPr>
        <w:t xml:space="preserve"> </w:t>
      </w:r>
      <w:r>
        <w:rPr>
          <w:rFonts w:ascii="Times New Roman;Times;serif" w:hAnsi="Times New Roman;Times;serif"/>
          <w:sz w:val="24"/>
        </w:rPr>
        <w:t>from</w:t>
      </w:r>
      <w:r>
        <w:rPr>
          <w:rFonts w:ascii="Times New Roman;Times;serif" w:hAnsi="Times New Roman;Times;serif"/>
          <w:spacing w:val="-5"/>
          <w:sz w:val="24"/>
        </w:rPr>
        <w:t xml:space="preserve"> </w:t>
      </w:r>
      <w:r>
        <w:rPr>
          <w:rFonts w:ascii="Times New Roman;Times;serif" w:hAnsi="Times New Roman;Times;serif"/>
          <w:sz w:val="24"/>
        </w:rPr>
        <w:t>complying</w:t>
      </w:r>
      <w:r>
        <w:rPr>
          <w:rFonts w:ascii="Times New Roman;Times;serif" w:hAnsi="Times New Roman;Times;serif"/>
          <w:spacing w:val="-8"/>
          <w:sz w:val="24"/>
        </w:rPr>
        <w:t xml:space="preserve"> </w:t>
      </w:r>
      <w:r>
        <w:rPr>
          <w:rFonts w:ascii="Times New Roman;Times;serif" w:hAnsi="Times New Roman;Times;serif"/>
          <w:sz w:val="24"/>
        </w:rPr>
        <w:t>with</w:t>
      </w:r>
      <w:r>
        <w:rPr>
          <w:rFonts w:ascii="Times New Roman;Times;serif" w:hAnsi="Times New Roman;Times;serif"/>
          <w:spacing w:val="-6"/>
          <w:sz w:val="24"/>
        </w:rPr>
        <w:t xml:space="preserve"> </w:t>
      </w:r>
      <w:r>
        <w:rPr>
          <w:rFonts w:ascii="Times New Roman;Times;serif" w:hAnsi="Times New Roman;Times;serif"/>
          <w:sz w:val="24"/>
        </w:rPr>
        <w:t>Section</w:t>
      </w:r>
      <w:r>
        <w:rPr>
          <w:rFonts w:ascii="Times New Roman;Times;serif" w:hAnsi="Times New Roman;Times;serif"/>
          <w:spacing w:val="-6"/>
          <w:sz w:val="24"/>
        </w:rPr>
        <w:t xml:space="preserve"> </w:t>
      </w:r>
      <w:r>
        <w:rPr>
          <w:rFonts w:ascii="Times New Roman;Times;serif" w:hAnsi="Times New Roman;Times;serif"/>
          <w:sz w:val="24"/>
        </w:rPr>
        <w:t>16</w:t>
      </w:r>
      <w:r>
        <w:rPr>
          <w:rFonts w:ascii="Times New Roman;Times;serif" w:hAnsi="Times New Roman;Times;serif"/>
          <w:spacing w:val="-8"/>
          <w:sz w:val="24"/>
        </w:rPr>
        <w:t xml:space="preserve"> </w:t>
      </w:r>
      <w:r>
        <w:rPr>
          <w:rFonts w:ascii="Times New Roman;Times;serif" w:hAnsi="Times New Roman;Times;serif"/>
          <w:sz w:val="24"/>
        </w:rPr>
        <w:t>short-swing</w:t>
      </w:r>
      <w:r>
        <w:rPr>
          <w:rFonts w:ascii="Times New Roman;Times;serif" w:hAnsi="Times New Roman;Times;serif"/>
          <w:spacing w:val="-6"/>
          <w:sz w:val="24"/>
        </w:rPr>
        <w:t xml:space="preserve"> </w:t>
      </w:r>
      <w:r>
        <w:rPr>
          <w:rFonts w:ascii="Times New Roman;Times;serif" w:hAnsi="Times New Roman;Times;serif"/>
          <w:sz w:val="24"/>
        </w:rPr>
        <w:t>profit</w:t>
      </w:r>
      <w:r>
        <w:rPr>
          <w:rFonts w:ascii="Times New Roman;Times;serif" w:hAnsi="Times New Roman;Times;serif"/>
          <w:spacing w:val="-5"/>
          <w:sz w:val="24"/>
        </w:rPr>
        <w:t xml:space="preserve"> </w:t>
      </w:r>
      <w:r>
        <w:rPr>
          <w:rFonts w:ascii="Times New Roman;Times;serif" w:hAnsi="Times New Roman;Times;serif"/>
          <w:sz w:val="24"/>
        </w:rPr>
        <w:t>rules or liability.</w:t>
      </w:r>
    </w:p>
    <w:p>
      <w:pPr>
        <w:pStyle w:val="TextBody"/>
        <w:bidi w:val="0"/>
        <w:spacing w:before="240" w:after="0"/>
        <w:ind w:left="119" w:right="117" w:firstLine="720"/>
        <w:jc w:val="both"/>
        <w:rPr>
          <w:rFonts w:ascii="Times New Roman;Times;serif" w:hAnsi="Times New Roman;Times;serif"/>
          <w:sz w:val="24"/>
        </w:rPr>
      </w:pPr>
      <w:r>
        <w:rPr>
          <w:rFonts w:ascii="Times New Roman;Times;serif" w:hAnsi="Times New Roman;Times;serif"/>
          <w:sz w:val="24"/>
        </w:rPr>
        <w:t>During an open trading window, trades differing from Trading Plan instructions that are already in place are allowed as long as the Trading Plan continues to be followed.</w:t>
      </w:r>
    </w:p>
    <w:p>
      <w:pPr>
        <w:pStyle w:val="TextBody"/>
        <w:bidi w:val="0"/>
        <w:spacing w:before="240" w:after="0"/>
        <w:ind w:left="0" w:right="117" w:hanging="0"/>
        <w:jc w:val="both"/>
        <w:rPr>
          <w:rFonts w:ascii="Times New Roman;Times;serif" w:hAnsi="Times New Roman;Times;serif"/>
          <w:b/>
          <w:sz w:val="24"/>
        </w:rPr>
      </w:pPr>
      <w:r>
        <w:rPr>
          <w:rFonts w:ascii="Times New Roman;Times;serif" w:hAnsi="Times New Roman;Times;serif"/>
          <w:b/>
          <w:sz w:val="24"/>
        </w:rPr>
        <w:t>Policy Administration</w:t>
      </w:r>
    </w:p>
    <w:p>
      <w:pPr>
        <w:pStyle w:val="TextBody"/>
        <w:bidi w:val="0"/>
        <w:spacing w:before="240" w:after="0"/>
        <w:ind w:left="120" w:right="0" w:firstLine="720"/>
        <w:jc w:val="both"/>
        <w:rPr>
          <w:rFonts w:ascii="Times New Roman;Times;serif" w:hAnsi="Times New Roman;Times;serif"/>
          <w:sz w:val="24"/>
        </w:rPr>
      </w:pPr>
      <w:r>
        <w:rPr>
          <w:rFonts w:ascii="Times New Roman;Times;serif" w:hAnsi="Times New Roman;Times;serif"/>
          <w:sz w:val="24"/>
        </w:rPr>
        <w:t xml:space="preserve">The Compliance Officer has authority to interpret, amend and implement this Policy. This authority includes interpreting or waiving the terms of this Policy, to the extent consistent with its general purpose and applicable securities laws. The Chief Financial Officer will administer this Policy as it applies to any trading activity by the Compliance Officer. </w:t>
      </w:r>
    </w:p>
    <w:p>
      <w:pPr>
        <w:pStyle w:val="TextBody"/>
        <w:bidi w:val="0"/>
        <w:spacing w:before="240" w:after="0"/>
        <w:ind w:left="0" w:right="0" w:hanging="0"/>
        <w:jc w:val="left"/>
        <w:rPr>
          <w:rFonts w:ascii="Times New Roman;Times;serif" w:hAnsi="Times New Roman;Times;serif"/>
          <w:sz w:val="22"/>
        </w:rPr>
      </w:pPr>
      <w:r>
        <w:rPr>
          <w:rFonts w:ascii="Times New Roman;Times;serif" w:hAnsi="Times New Roman;Times;serif"/>
          <w:b/>
          <w:sz w:val="24"/>
        </w:rPr>
        <w:t>Post-Termination</w:t>
      </w:r>
      <w:r>
        <w:rPr>
          <w:rFonts w:ascii="Times New Roman;Times;serif" w:hAnsi="Times New Roman;Times;serif"/>
          <w:spacing w:val="-5"/>
          <w:sz w:val="22"/>
        </w:rPr>
        <w:t xml:space="preserve"> </w:t>
      </w:r>
      <w:r>
        <w:rPr>
          <w:rFonts w:ascii="Times New Roman;Times;serif" w:hAnsi="Times New Roman;Times;serif"/>
          <w:b/>
          <w:spacing w:val="-2"/>
          <w:sz w:val="24"/>
        </w:rPr>
        <w:t>Transactions</w:t>
      </w:r>
    </w:p>
    <w:p>
      <w:pPr>
        <w:pStyle w:val="TextBody"/>
        <w:bidi w:val="0"/>
        <w:spacing w:before="240" w:after="0"/>
        <w:ind w:left="120" w:right="117" w:firstLine="720"/>
        <w:jc w:val="both"/>
        <w:rPr>
          <w:rFonts w:ascii="Times New Roman;Times;serif" w:hAnsi="Times New Roman;Times;serif"/>
          <w:sz w:val="24"/>
        </w:rPr>
      </w:pPr>
      <w:r>
        <w:rPr>
          <w:rFonts w:ascii="Times New Roman;Times;serif" w:hAnsi="Times New Roman;Times;serif"/>
          <w:sz w:val="24"/>
        </w:rPr>
        <w:t>With the exception of the preclearance requirement, this Policy continues to apply to transactions</w:t>
      </w:r>
      <w:r>
        <w:rPr>
          <w:rFonts w:ascii="Times New Roman;Times;serif" w:hAnsi="Times New Roman;Times;serif"/>
          <w:spacing w:val="-6"/>
          <w:sz w:val="24"/>
        </w:rPr>
        <w:t xml:space="preserve"> </w:t>
      </w:r>
      <w:r>
        <w:rPr>
          <w:rFonts w:ascii="Times New Roman;Times;serif" w:hAnsi="Times New Roman;Times;serif"/>
          <w:sz w:val="24"/>
        </w:rPr>
        <w:t>in</w:t>
      </w:r>
      <w:r>
        <w:rPr>
          <w:rFonts w:ascii="Times New Roman;Times;serif" w:hAnsi="Times New Roman;Times;serif"/>
          <w:spacing w:val="-6"/>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Company’s</w:t>
      </w:r>
      <w:r>
        <w:rPr>
          <w:rFonts w:ascii="Times New Roman;Times;serif" w:hAnsi="Times New Roman;Times;serif"/>
          <w:spacing w:val="-6"/>
          <w:sz w:val="24"/>
        </w:rPr>
        <w:t xml:space="preserve"> </w:t>
      </w:r>
      <w:r>
        <w:rPr>
          <w:rFonts w:ascii="Times New Roman;Times;serif" w:hAnsi="Times New Roman;Times;serif"/>
          <w:sz w:val="24"/>
        </w:rPr>
        <w:t>securities</w:t>
      </w:r>
      <w:r>
        <w:rPr>
          <w:rFonts w:ascii="Times New Roman;Times;serif" w:hAnsi="Times New Roman;Times;serif"/>
          <w:spacing w:val="-6"/>
          <w:sz w:val="24"/>
        </w:rPr>
        <w:t xml:space="preserve"> </w:t>
      </w:r>
      <w:r>
        <w:rPr>
          <w:rFonts w:ascii="Times New Roman;Times;serif" w:hAnsi="Times New Roman;Times;serif"/>
          <w:sz w:val="24"/>
        </w:rPr>
        <w:t>even</w:t>
      </w:r>
      <w:r>
        <w:rPr>
          <w:rFonts w:ascii="Times New Roman;Times;serif" w:hAnsi="Times New Roman;Times;serif"/>
          <w:spacing w:val="-6"/>
          <w:sz w:val="24"/>
        </w:rPr>
        <w:t xml:space="preserve"> </w:t>
      </w:r>
      <w:r>
        <w:rPr>
          <w:rFonts w:ascii="Times New Roman;Times;serif" w:hAnsi="Times New Roman;Times;serif"/>
          <w:sz w:val="24"/>
        </w:rPr>
        <w:t>after</w:t>
      </w:r>
      <w:r>
        <w:rPr>
          <w:rFonts w:ascii="Times New Roman;Times;serif" w:hAnsi="Times New Roman;Times;serif"/>
          <w:spacing w:val="-7"/>
          <w:sz w:val="24"/>
        </w:rPr>
        <w:t xml:space="preserve"> </w:t>
      </w:r>
      <w:r>
        <w:rPr>
          <w:rFonts w:ascii="Times New Roman;Times;serif" w:hAnsi="Times New Roman;Times;serif"/>
          <w:sz w:val="24"/>
        </w:rPr>
        <w:t>termination</w:t>
      </w:r>
      <w:r>
        <w:rPr>
          <w:rFonts w:ascii="Times New Roman;Times;serif" w:hAnsi="Times New Roman;Times;serif"/>
          <w:spacing w:val="-6"/>
          <w:sz w:val="24"/>
        </w:rPr>
        <w:t xml:space="preserve"> </w:t>
      </w:r>
      <w:r>
        <w:rPr>
          <w:rFonts w:ascii="Times New Roman;Times;serif" w:hAnsi="Times New Roman;Times;serif"/>
          <w:sz w:val="24"/>
        </w:rPr>
        <w:t>of</w:t>
      </w:r>
      <w:r>
        <w:rPr>
          <w:rFonts w:ascii="Times New Roman;Times;serif" w:hAnsi="Times New Roman;Times;serif"/>
          <w:spacing w:val="-7"/>
          <w:sz w:val="24"/>
        </w:rPr>
        <w:t xml:space="preserve"> </w:t>
      </w:r>
      <w:r>
        <w:rPr>
          <w:rFonts w:ascii="Times New Roman;Times;serif" w:hAnsi="Times New Roman;Times;serif"/>
          <w:sz w:val="24"/>
        </w:rPr>
        <w:t>service</w:t>
      </w:r>
      <w:r>
        <w:rPr>
          <w:rFonts w:ascii="Times New Roman;Times;serif" w:hAnsi="Times New Roman;Times;serif"/>
          <w:spacing w:val="-7"/>
          <w:sz w:val="24"/>
        </w:rPr>
        <w:t xml:space="preserve"> </w:t>
      </w:r>
      <w:r>
        <w:rPr>
          <w:rFonts w:ascii="Times New Roman;Times;serif" w:hAnsi="Times New Roman;Times;serif"/>
          <w:sz w:val="24"/>
        </w:rPr>
        <w:t>to</w:t>
      </w:r>
      <w:r>
        <w:rPr>
          <w:rFonts w:ascii="Times New Roman;Times;serif" w:hAnsi="Times New Roman;Times;serif"/>
          <w:spacing w:val="-6"/>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Company.</w:t>
      </w:r>
      <w:r>
        <w:rPr>
          <w:rFonts w:ascii="Times New Roman;Times;serif" w:hAnsi="Times New Roman;Times;serif"/>
          <w:spacing w:val="40"/>
          <w:sz w:val="24"/>
        </w:rPr>
        <w:t xml:space="preserve"> </w:t>
      </w:r>
      <w:r>
        <w:rPr>
          <w:rFonts w:ascii="Times New Roman;Times;serif" w:hAnsi="Times New Roman;Times;serif"/>
          <w:sz w:val="24"/>
        </w:rPr>
        <w:t>If</w:t>
      </w:r>
      <w:r>
        <w:rPr>
          <w:rFonts w:ascii="Times New Roman;Times;serif" w:hAnsi="Times New Roman;Times;serif"/>
          <w:spacing w:val="-7"/>
          <w:sz w:val="24"/>
        </w:rPr>
        <w:t xml:space="preserve"> </w:t>
      </w:r>
      <w:r>
        <w:rPr>
          <w:rFonts w:ascii="Times New Roman;Times;serif" w:hAnsi="Times New Roman;Times;serif"/>
          <w:sz w:val="24"/>
        </w:rPr>
        <w:t>you are in possession of material nonpublic information when your service terminates, you may not trade</w:t>
      </w:r>
      <w:r>
        <w:rPr>
          <w:rFonts w:ascii="Times New Roman;Times;serif" w:hAnsi="Times New Roman;Times;serif"/>
          <w:spacing w:val="-16"/>
          <w:sz w:val="24"/>
        </w:rPr>
        <w:t xml:space="preserve"> </w:t>
      </w:r>
      <w:r>
        <w:rPr>
          <w:rFonts w:ascii="Times New Roman;Times;serif" w:hAnsi="Times New Roman;Times;serif"/>
          <w:sz w:val="24"/>
        </w:rPr>
        <w:t>in</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z w:val="24"/>
        </w:rPr>
        <w:t>Company’s</w:t>
      </w:r>
      <w:r>
        <w:rPr>
          <w:rFonts w:ascii="Times New Roman;Times;serif" w:hAnsi="Times New Roman;Times;serif"/>
          <w:spacing w:val="-13"/>
          <w:sz w:val="24"/>
        </w:rPr>
        <w:t xml:space="preserve"> </w:t>
      </w:r>
      <w:r>
        <w:rPr>
          <w:rFonts w:ascii="Times New Roman;Times;serif" w:hAnsi="Times New Roman;Times;serif"/>
          <w:sz w:val="24"/>
        </w:rPr>
        <w:t>securities</w:t>
      </w:r>
      <w:r>
        <w:rPr>
          <w:rFonts w:ascii="Times New Roman;Times;serif" w:hAnsi="Times New Roman;Times;serif"/>
          <w:spacing w:val="-13"/>
          <w:sz w:val="24"/>
        </w:rPr>
        <w:t xml:space="preserve"> </w:t>
      </w:r>
      <w:r>
        <w:rPr>
          <w:rFonts w:ascii="Times New Roman;Times;serif" w:hAnsi="Times New Roman;Times;serif"/>
          <w:sz w:val="24"/>
        </w:rPr>
        <w:t>until</w:t>
      </w:r>
      <w:r>
        <w:rPr>
          <w:rFonts w:ascii="Times New Roman;Times;serif" w:hAnsi="Times New Roman;Times;serif"/>
          <w:spacing w:val="-12"/>
          <w:sz w:val="24"/>
        </w:rPr>
        <w:t xml:space="preserve"> </w:t>
      </w:r>
      <w:r>
        <w:rPr>
          <w:rFonts w:ascii="Times New Roman;Times;serif" w:hAnsi="Times New Roman;Times;serif"/>
          <w:sz w:val="24"/>
        </w:rPr>
        <w:t>that</w:t>
      </w:r>
      <w:r>
        <w:rPr>
          <w:rFonts w:ascii="Times New Roman;Times;serif" w:hAnsi="Times New Roman;Times;serif"/>
          <w:spacing w:val="-13"/>
          <w:sz w:val="24"/>
        </w:rPr>
        <w:t xml:space="preserve"> </w:t>
      </w:r>
      <w:r>
        <w:rPr>
          <w:rFonts w:ascii="Times New Roman;Times;serif" w:hAnsi="Times New Roman;Times;serif"/>
          <w:sz w:val="24"/>
        </w:rPr>
        <w:t>information</w:t>
      </w:r>
      <w:r>
        <w:rPr>
          <w:rFonts w:ascii="Times New Roman;Times;serif" w:hAnsi="Times New Roman;Times;serif"/>
          <w:spacing w:val="-13"/>
          <w:sz w:val="24"/>
        </w:rPr>
        <w:t xml:space="preserve"> </w:t>
      </w:r>
      <w:r>
        <w:rPr>
          <w:rFonts w:ascii="Times New Roman;Times;serif" w:hAnsi="Times New Roman;Times;serif"/>
          <w:sz w:val="24"/>
        </w:rPr>
        <w:t>has</w:t>
      </w:r>
      <w:r>
        <w:rPr>
          <w:rFonts w:ascii="Times New Roman;Times;serif" w:hAnsi="Times New Roman;Times;serif"/>
          <w:spacing w:val="-12"/>
          <w:sz w:val="24"/>
        </w:rPr>
        <w:t xml:space="preserve"> </w:t>
      </w:r>
      <w:r>
        <w:rPr>
          <w:rFonts w:ascii="Times New Roman;Times;serif" w:hAnsi="Times New Roman;Times;serif"/>
          <w:sz w:val="24"/>
        </w:rPr>
        <w:t>become</w:t>
      </w:r>
      <w:r>
        <w:rPr>
          <w:rFonts w:ascii="Times New Roman;Times;serif" w:hAnsi="Times New Roman;Times;serif"/>
          <w:spacing w:val="-14"/>
          <w:sz w:val="24"/>
        </w:rPr>
        <w:t xml:space="preserve"> </w:t>
      </w:r>
      <w:r>
        <w:rPr>
          <w:rFonts w:ascii="Times New Roman;Times;serif" w:hAnsi="Times New Roman;Times;serif"/>
          <w:sz w:val="24"/>
        </w:rPr>
        <w:t>public</w:t>
      </w:r>
      <w:r>
        <w:rPr>
          <w:rFonts w:ascii="Times New Roman;Times;serif" w:hAnsi="Times New Roman;Times;serif"/>
          <w:spacing w:val="-12"/>
          <w:sz w:val="24"/>
        </w:rPr>
        <w:t xml:space="preserve"> </w:t>
      </w:r>
      <w:r>
        <w:rPr>
          <w:rFonts w:ascii="Times New Roman;Times;serif" w:hAnsi="Times New Roman;Times;serif"/>
          <w:sz w:val="24"/>
        </w:rPr>
        <w:t>or</w:t>
      </w:r>
      <w:r>
        <w:rPr>
          <w:rFonts w:ascii="Times New Roman;Times;serif" w:hAnsi="Times New Roman;Times;serif"/>
          <w:spacing w:val="-13"/>
          <w:sz w:val="24"/>
        </w:rPr>
        <w:t xml:space="preserve"> </w:t>
      </w:r>
      <w:r>
        <w:rPr>
          <w:rFonts w:ascii="Times New Roman;Times;serif" w:hAnsi="Times New Roman;Times;serif"/>
          <w:sz w:val="24"/>
        </w:rPr>
        <w:t>is</w:t>
      </w:r>
      <w:r>
        <w:rPr>
          <w:rFonts w:ascii="Times New Roman;Times;serif" w:hAnsi="Times New Roman;Times;serif"/>
          <w:spacing w:val="-13"/>
          <w:sz w:val="24"/>
        </w:rPr>
        <w:t xml:space="preserve"> </w:t>
      </w:r>
      <w:r>
        <w:rPr>
          <w:rFonts w:ascii="Times New Roman;Times;serif" w:hAnsi="Times New Roman;Times;serif"/>
          <w:sz w:val="24"/>
        </w:rPr>
        <w:t>no</w:t>
      </w:r>
      <w:r>
        <w:rPr>
          <w:rFonts w:ascii="Times New Roman;Times;serif" w:hAnsi="Times New Roman;Times;serif"/>
          <w:spacing w:val="-13"/>
          <w:sz w:val="24"/>
        </w:rPr>
        <w:t xml:space="preserve"> </w:t>
      </w:r>
      <w:r>
        <w:rPr>
          <w:rFonts w:ascii="Times New Roman;Times;serif" w:hAnsi="Times New Roman;Times;serif"/>
          <w:sz w:val="24"/>
        </w:rPr>
        <w:t>longer</w:t>
      </w:r>
      <w:r>
        <w:rPr>
          <w:rFonts w:ascii="Times New Roman;Times;serif" w:hAnsi="Times New Roman;Times;serif"/>
          <w:spacing w:val="-11"/>
          <w:sz w:val="24"/>
        </w:rPr>
        <w:t xml:space="preserve"> </w:t>
      </w:r>
      <w:r>
        <w:rPr>
          <w:rFonts w:ascii="Times New Roman;Times;serif" w:hAnsi="Times New Roman;Times;serif"/>
          <w:spacing w:val="-2"/>
          <w:sz w:val="24"/>
        </w:rPr>
        <w:t>material.</w:t>
      </w:r>
    </w:p>
    <w:p>
      <w:pPr>
        <w:pStyle w:val="TextBody"/>
        <w:bidi w:val="0"/>
        <w:spacing w:before="240" w:after="240"/>
        <w:ind w:left="0" w:right="0" w:hanging="0"/>
        <w:jc w:val="left"/>
        <w:rPr>
          <w:rFonts w:ascii="Times New Roman;Times;serif" w:hAnsi="Times New Roman;Times;serif"/>
          <w:b/>
          <w:sz w:val="24"/>
        </w:rPr>
      </w:pPr>
      <w:bookmarkStart w:id="2439" w:name="_Toc184126917"/>
      <w:bookmarkEnd w:id="2439"/>
      <w:r>
        <w:rPr>
          <w:rFonts w:ascii="Times New Roman;Times;serif" w:hAnsi="Times New Roman;Times;serif"/>
          <w:b/>
          <w:sz w:val="24"/>
        </w:rPr>
        <w:t>Execution</w:t>
      </w:r>
      <w:r>
        <w:rPr>
          <w:rFonts w:ascii="Times New Roman;Times;serif" w:hAnsi="Times New Roman;Times;serif"/>
          <w:b/>
          <w:spacing w:val="-5"/>
          <w:sz w:val="24"/>
        </w:rPr>
        <w:t xml:space="preserve"> </w:t>
      </w:r>
      <w:r>
        <w:rPr>
          <w:rFonts w:ascii="Times New Roman;Times;serif" w:hAnsi="Times New Roman;Times;serif"/>
          <w:b/>
          <w:sz w:val="24"/>
        </w:rPr>
        <w:t>and</w:t>
      </w:r>
      <w:r>
        <w:rPr>
          <w:rFonts w:ascii="Times New Roman;Times;serif" w:hAnsi="Times New Roman;Times;serif"/>
          <w:b/>
          <w:spacing w:val="-2"/>
          <w:sz w:val="24"/>
        </w:rPr>
        <w:t xml:space="preserve"> </w:t>
      </w:r>
      <w:r>
        <w:rPr>
          <w:rFonts w:ascii="Times New Roman;Times;serif" w:hAnsi="Times New Roman;Times;serif"/>
          <w:b/>
          <w:sz w:val="24"/>
        </w:rPr>
        <w:t>Return</w:t>
      </w:r>
      <w:r>
        <w:rPr>
          <w:rFonts w:ascii="Times New Roman;Times;serif" w:hAnsi="Times New Roman;Times;serif"/>
          <w:b/>
          <w:spacing w:val="-2"/>
          <w:sz w:val="24"/>
        </w:rPr>
        <w:t xml:space="preserve"> </w:t>
      </w:r>
      <w:r>
        <w:rPr>
          <w:rFonts w:ascii="Times New Roman;Times;serif" w:hAnsi="Times New Roman;Times;serif"/>
          <w:b/>
          <w:sz w:val="24"/>
        </w:rPr>
        <w:t>of</w:t>
      </w:r>
      <w:r>
        <w:rPr>
          <w:rFonts w:ascii="Times New Roman;Times;serif" w:hAnsi="Times New Roman;Times;serif"/>
          <w:b/>
          <w:spacing w:val="-3"/>
          <w:sz w:val="24"/>
        </w:rPr>
        <w:t xml:space="preserve"> </w:t>
      </w:r>
      <w:r>
        <w:rPr>
          <w:rFonts w:ascii="Times New Roman;Times;serif" w:hAnsi="Times New Roman;Times;serif"/>
          <w:b/>
          <w:sz w:val="24"/>
        </w:rPr>
        <w:t>Certification</w:t>
      </w:r>
      <w:r>
        <w:rPr>
          <w:rFonts w:ascii="Times New Roman;Times;serif" w:hAnsi="Times New Roman;Times;serif"/>
          <w:b/>
          <w:spacing w:val="-2"/>
          <w:sz w:val="24"/>
        </w:rPr>
        <w:t xml:space="preserve"> </w:t>
      </w:r>
      <w:r>
        <w:rPr>
          <w:rFonts w:ascii="Times New Roman;Times;serif" w:hAnsi="Times New Roman;Times;serif"/>
          <w:b/>
          <w:sz w:val="24"/>
        </w:rPr>
        <w:t>of</w:t>
      </w:r>
      <w:r>
        <w:rPr>
          <w:rFonts w:ascii="Times New Roman;Times;serif" w:hAnsi="Times New Roman;Times;serif"/>
          <w:b/>
          <w:spacing w:val="-2"/>
          <w:sz w:val="24"/>
        </w:rPr>
        <w:t xml:space="preserve"> Compliance</w:t>
      </w:r>
    </w:p>
    <w:p>
      <w:pPr>
        <w:pStyle w:val="TextBody"/>
        <w:bidi w:val="0"/>
        <w:spacing w:before="240" w:after="0"/>
        <w:ind w:left="0" w:right="115" w:firstLine="720"/>
        <w:jc w:val="both"/>
        <w:rPr>
          <w:rFonts w:ascii="Times New Roman;Times;serif" w:hAnsi="Times New Roman;Times;serif"/>
          <w:sz w:val="24"/>
        </w:rPr>
      </w:pPr>
      <w:r>
        <w:rPr>
          <w:rFonts w:ascii="Times New Roman;Times;serif" w:hAnsi="Times New Roman;Times;serif"/>
          <w:sz w:val="24"/>
        </w:rPr>
        <w:t>After reading this Policy, all officers, directors, and employees should execute and return to the Company’s General Counsel the Certification of Compliance form attached hereto as “Attachment A” and may be asked periodically to certify their compliance with the terms and provisions of this Policy.  </w:t>
      </w:r>
    </w:p>
    <w:p>
      <w:pPr>
        <w:pStyle w:val="TextBody"/>
        <w:bidi w:val="0"/>
        <w:spacing w:before="240" w:after="0"/>
        <w:ind w:left="0" w:right="115" w:hanging="0"/>
        <w:jc w:val="both"/>
        <w:rPr/>
      </w:pPr>
      <w:r>
        <w:rPr/>
        <w:t>​</w:t>
      </w:r>
    </w:p>
    <w:p>
      <w:pPr>
        <w:pStyle w:val="TextBody"/>
        <w:bidi w:val="0"/>
        <w:spacing w:before="240" w:after="0"/>
        <w:ind w:left="0" w:right="115" w:hanging="0"/>
        <w:jc w:val="both"/>
        <w:rPr/>
      </w:pPr>
      <w:r>
        <w:rPr/>
        <w:t>​</w:t>
      </w:r>
    </w:p>
    <w:p>
      <w:pPr>
        <w:pStyle w:val="TextBody"/>
        <w:bidi w:val="0"/>
        <w:spacing w:before="240" w:after="0"/>
        <w:ind w:left="0" w:right="115" w:hanging="0"/>
        <w:jc w:val="both"/>
        <w:rPr>
          <w:rFonts w:ascii="Times New Roman;Times;serif" w:hAnsi="Times New Roman;Times;serif"/>
          <w:b/>
          <w:i/>
          <w:sz w:val="16"/>
        </w:rPr>
      </w:pPr>
      <w:r>
        <w:rPr>
          <w:rFonts w:ascii="Times New Roman;Times;serif" w:hAnsi="Times New Roman;Times;serif"/>
          <w:b/>
          <w:i/>
          <w:sz w:val="16"/>
        </w:rPr>
        <w:t>Approved by the Board of Directors on December 11, 2024</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9" w:after="0"/>
        <w:ind w:left="0" w:right="115" w:hanging="0"/>
        <w:jc w:val="right"/>
        <w:rPr>
          <w:rFonts w:ascii="Times New Roman;Times;serif" w:hAnsi="Times New Roman;Times;serif"/>
          <w:sz w:val="24"/>
        </w:rPr>
      </w:pPr>
      <w:r>
        <w:rPr>
          <w:rFonts w:ascii="Times New Roman;Times;serif" w:hAnsi="Times New Roman;Times;serif"/>
          <w:sz w:val="24"/>
          <w:u w:val="single"/>
        </w:rPr>
        <w:t>Attachment</w:t>
      </w:r>
      <w:r>
        <w:rPr>
          <w:rFonts w:ascii="Times New Roman;Times;serif" w:hAnsi="Times New Roman;Times;serif"/>
          <w:spacing w:val="-1"/>
          <w:sz w:val="24"/>
          <w:u w:val="single"/>
        </w:rPr>
        <w:t xml:space="preserve"> </w:t>
      </w:r>
      <w:r>
        <w:rPr>
          <w:rFonts w:ascii="Times New Roman;Times;serif" w:hAnsi="Times New Roman;Times;serif"/>
          <w:spacing w:val="-10"/>
          <w:sz w:val="24"/>
          <w:u w:val="single"/>
        </w:rPr>
        <w:t>A</w:t>
      </w:r>
    </w:p>
    <w:p>
      <w:pPr>
        <w:pStyle w:val="TextBody"/>
        <w:bidi w:val="0"/>
        <w:spacing w:before="240" w:after="283"/>
        <w:ind w:left="0" w:right="0" w:hanging="0"/>
        <w:jc w:val="left"/>
        <w:rPr/>
      </w:pPr>
      <w:r>
        <w:rPr/>
        <w:t>​</w:t>
      </w:r>
    </w:p>
    <w:p>
      <w:pPr>
        <w:pStyle w:val="TextBody"/>
        <w:bidi w:val="0"/>
        <w:spacing w:before="0" w:after="0"/>
        <w:ind w:left="2585" w:right="2585" w:hanging="0"/>
        <w:jc w:val="center"/>
        <w:rPr>
          <w:rFonts w:ascii="Times New Roman;Times;serif" w:hAnsi="Times New Roman;Times;serif"/>
          <w:b/>
          <w:sz w:val="24"/>
        </w:rPr>
      </w:pPr>
      <w:bookmarkStart w:id="2440" w:name="_Toc184126918"/>
      <w:bookmarkEnd w:id="2440"/>
      <w:r>
        <w:rPr>
          <w:rFonts w:ascii="Times New Roman;Times;serif" w:hAnsi="Times New Roman;Times;serif"/>
          <w:b/>
          <w:spacing w:val="-2"/>
          <w:sz w:val="24"/>
        </w:rPr>
        <w:t>Certification</w:t>
      </w:r>
      <w:r>
        <w:rPr>
          <w:rFonts w:ascii="Times New Roman;Times;serif" w:hAnsi="Times New Roman;Times;serif"/>
          <w:b/>
          <w:spacing w:val="-13"/>
          <w:sz w:val="24"/>
        </w:rPr>
        <w:t xml:space="preserve"> </w:t>
      </w:r>
      <w:r>
        <w:rPr>
          <w:rFonts w:ascii="Times New Roman;Times;serif" w:hAnsi="Times New Roman;Times;serif"/>
          <w:b/>
          <w:spacing w:val="-2"/>
          <w:sz w:val="24"/>
        </w:rPr>
        <w:t>of</w:t>
      </w:r>
      <w:r>
        <w:rPr>
          <w:rFonts w:ascii="Times New Roman;Times;serif" w:hAnsi="Times New Roman;Times;serif"/>
          <w:b/>
          <w:spacing w:val="-13"/>
          <w:sz w:val="24"/>
        </w:rPr>
        <w:t xml:space="preserve"> </w:t>
      </w:r>
      <w:r>
        <w:rPr>
          <w:rFonts w:ascii="Times New Roman;Times;serif" w:hAnsi="Times New Roman;Times;serif"/>
          <w:b/>
          <w:spacing w:val="-2"/>
          <w:sz w:val="24"/>
        </w:rPr>
        <w:t>Compliance</w:t>
      </w:r>
    </w:p>
    <w:p>
      <w:pPr>
        <w:pStyle w:val="TextBody"/>
        <w:bidi w:val="0"/>
        <w:spacing w:before="240" w:after="283"/>
        <w:ind w:left="0" w:right="0" w:hanging="0"/>
        <w:jc w:val="left"/>
        <w:rPr/>
      </w:pPr>
      <w:r>
        <w:rPr/>
        <w:t>​</w:t>
      </w:r>
    </w:p>
    <w:p>
      <w:pPr>
        <w:pStyle w:val="TextBody"/>
        <w:bidi w:val="0"/>
        <w:spacing w:before="240" w:after="283"/>
        <w:ind w:left="0" w:right="0" w:hanging="0"/>
        <w:jc w:val="left"/>
        <w:rPr/>
      </w:pPr>
      <w:r>
        <w:rPr/>
        <w:t>​</w:t>
      </w:r>
    </w:p>
    <w:p>
      <w:pPr>
        <w:pStyle w:val="TextBody"/>
        <w:bidi w:val="0"/>
        <w:spacing w:before="0" w:after="0"/>
        <w:ind w:left="119" w:right="0" w:hanging="0"/>
        <w:jc w:val="left"/>
        <w:rPr>
          <w:rFonts w:ascii="Times New Roman;Times;serif" w:hAnsi="Times New Roman;Times;serif"/>
          <w:sz w:val="22"/>
        </w:rPr>
      </w:pPr>
      <w:r>
        <w:rPr>
          <w:rFonts w:ascii="Times New Roman;Times;serif" w:hAnsi="Times New Roman;Times;serif"/>
          <w:sz w:val="24"/>
        </w:rPr>
        <w:t>Return</w:t>
      </w:r>
      <w:r>
        <w:rPr>
          <w:rFonts w:ascii="Times New Roman;Times;serif" w:hAnsi="Times New Roman;Times;serif"/>
          <w:spacing w:val="-3"/>
          <w:sz w:val="22"/>
        </w:rPr>
        <w:t xml:space="preserve"> </w:t>
      </w:r>
      <w:r>
        <w:rPr>
          <w:rFonts w:ascii="Times New Roman;Times;serif" w:hAnsi="Times New Roman;Times;serif"/>
          <w:sz w:val="24"/>
        </w:rPr>
        <w:t>by</w:t>
      </w:r>
      <w:r>
        <w:rPr>
          <w:rFonts w:ascii="Times New Roman;Times;serif" w:hAnsi="Times New Roman;Times;serif"/>
          <w:spacing w:val="-1"/>
          <w:sz w:val="22"/>
        </w:rPr>
        <w:t xml:space="preserve"> </w:t>
      </w:r>
      <w:r>
        <w:rPr>
          <w:rFonts w:ascii="Times New Roman;Times;serif" w:hAnsi="Times New Roman;Times;serif"/>
          <w:spacing w:val="-10"/>
          <w:sz w:val="24"/>
        </w:rPr>
        <w:t>[</w:t>
      </w:r>
      <w:r>
        <w:rPr>
          <w:rFonts w:ascii="Times New Roman;Times;serif" w:hAnsi="Times New Roman;Times;serif"/>
          <w:spacing w:val="-10"/>
          <w:sz w:val="22"/>
          <w:u w:val="single"/>
        </w:rPr>
        <w:t>                        </w:t>
      </w:r>
      <w:r>
        <w:rPr>
          <w:rFonts w:ascii="Times New Roman;Times;serif" w:hAnsi="Times New Roman;Times;serif"/>
          <w:sz w:val="24"/>
        </w:rPr>
        <w:t>]</w:t>
      </w:r>
      <w:r>
        <w:rPr>
          <w:rFonts w:ascii="Times New Roman;Times;serif" w:hAnsi="Times New Roman;Times;serif"/>
          <w:spacing w:val="-2"/>
          <w:sz w:val="22"/>
        </w:rPr>
        <w:t xml:space="preserve"> </w:t>
      </w:r>
      <w:r>
        <w:rPr>
          <w:rFonts w:ascii="Times New Roman;Times;serif" w:hAnsi="Times New Roman;Times;serif"/>
          <w:sz w:val="24"/>
        </w:rPr>
        <w:t>[</w:t>
      </w:r>
      <w:r>
        <w:rPr>
          <w:rFonts w:ascii="Times New Roman;Times;serif" w:hAnsi="Times New Roman;Times;serif"/>
          <w:i/>
          <w:sz w:val="24"/>
        </w:rPr>
        <w:t xml:space="preserve">insert return </w:t>
      </w:r>
      <w:r>
        <w:rPr>
          <w:rFonts w:ascii="Times New Roman;Times;serif" w:hAnsi="Times New Roman;Times;serif"/>
          <w:i/>
          <w:spacing w:val="-2"/>
          <w:sz w:val="24"/>
        </w:rPr>
        <w:t>deadline</w:t>
      </w:r>
      <w:r>
        <w:rPr>
          <w:rFonts w:ascii="Times New Roman;Times;serif" w:hAnsi="Times New Roman;Times;serif"/>
          <w:spacing w:val="-2"/>
          <w:sz w:val="24"/>
        </w:rPr>
        <w:t>]</w:t>
      </w:r>
    </w:p>
    <w:p>
      <w:pPr>
        <w:pStyle w:val="TextBody"/>
        <w:bidi w:val="0"/>
        <w:spacing w:before="240" w:after="283"/>
        <w:ind w:left="0" w:right="0" w:hanging="0"/>
        <w:jc w:val="left"/>
        <w:rPr/>
      </w:pPr>
      <w:r>
        <w:rPr/>
        <w:t>​</w:t>
      </w:r>
    </w:p>
    <w:p>
      <w:pPr>
        <w:pStyle w:val="TextBody"/>
        <w:bidi w:val="0"/>
        <w:spacing w:before="240" w:after="283"/>
        <w:ind w:left="0" w:right="0" w:hanging="0"/>
        <w:jc w:val="left"/>
        <w:rPr/>
      </w:pPr>
      <w:r>
        <w:rPr/>
        <w:t>​</w:t>
      </w:r>
    </w:p>
    <w:p>
      <w:pPr>
        <w:pStyle w:val="TextBody"/>
        <w:bidi w:val="0"/>
        <w:spacing w:lineRule="auto" w:line="408" w:before="0" w:after="0"/>
        <w:ind w:left="119" w:right="5518" w:hanging="0"/>
        <w:jc w:val="left"/>
        <w:rPr>
          <w:rFonts w:ascii="Times New Roman;Times;serif" w:hAnsi="Times New Roman;Times;serif"/>
          <w:sz w:val="24"/>
        </w:rPr>
      </w:pPr>
      <w:r>
        <w:rPr>
          <w:rFonts w:ascii="Times New Roman;Times;serif" w:hAnsi="Times New Roman;Times;serif"/>
          <w:b w:val="false"/>
          <w:i w:val="false"/>
          <w:caps w:val="false"/>
          <w:smallCaps w:val="false"/>
          <w:spacing w:val="-4"/>
          <w:sz w:val="24"/>
        </w:rPr>
        <w:t>To:</w:t>
      </w:r>
      <w:r>
        <w:rPr>
          <w:rFonts w:ascii="Times New Roman;Times;serif" w:hAnsi="Times New Roman;Times;serif"/>
          <w:sz w:val="24"/>
        </w:rPr>
        <w:t>Bryan</w:t>
      </w:r>
      <w:r>
        <w:rPr>
          <w:rFonts w:ascii="Times New Roman;Times;serif" w:hAnsi="Times New Roman;Times;serif"/>
          <w:spacing w:val="-13"/>
          <w:sz w:val="24"/>
        </w:rPr>
        <w:t xml:space="preserve"> </w:t>
      </w:r>
      <w:r>
        <w:rPr>
          <w:rFonts w:ascii="Times New Roman;Times;serif" w:hAnsi="Times New Roman;Times;serif"/>
          <w:sz w:val="24"/>
        </w:rPr>
        <w:t>Rowland,</w:t>
      </w:r>
      <w:r>
        <w:rPr>
          <w:rFonts w:ascii="Times New Roman;Times;serif" w:hAnsi="Times New Roman;Times;serif"/>
          <w:spacing w:val="-13"/>
          <w:sz w:val="24"/>
        </w:rPr>
        <w:t xml:space="preserve"> </w:t>
      </w:r>
      <w:r>
        <w:rPr>
          <w:rFonts w:ascii="Times New Roman;Times;serif" w:hAnsi="Times New Roman;Times;serif"/>
          <w:sz w:val="24"/>
        </w:rPr>
        <w:t>General</w:t>
      </w:r>
      <w:r>
        <w:rPr>
          <w:rFonts w:ascii="Times New Roman;Times;serif" w:hAnsi="Times New Roman;Times;serif"/>
          <w:spacing w:val="-12"/>
          <w:sz w:val="24"/>
        </w:rPr>
        <w:t xml:space="preserve"> </w:t>
      </w:r>
      <w:r>
        <w:rPr>
          <w:rFonts w:ascii="Times New Roman;Times;serif" w:hAnsi="Times New Roman;Times;serif"/>
          <w:sz w:val="24"/>
        </w:rPr>
        <w:t>Counsel From:</w:t>
      </w:r>
      <w:r>
        <w:rPr>
          <w:rFonts w:ascii="Times New Roman;Times;serif" w:hAnsi="Times New Roman;Times;serif"/>
          <w:spacing w:val="74"/>
          <w:sz w:val="24"/>
        </w:rPr>
        <w:t xml:space="preserve"> </w:t>
      </w:r>
      <w:r>
        <w:rPr>
          <w:rFonts w:ascii="Times New Roman;Times;serif" w:hAnsi="Times New Roman;Times;serif"/>
          <w:spacing w:val="-10"/>
          <w:sz w:val="24"/>
          <w:u w:val="single"/>
        </w:rPr>
        <w:t>                                                      </w:t>
      </w:r>
    </w:p>
    <w:p>
      <w:pPr>
        <w:pStyle w:val="TextBody"/>
        <w:bidi w:val="0"/>
        <w:spacing w:before="3" w:after="0"/>
        <w:ind w:left="119" w:right="0" w:hanging="0"/>
        <w:jc w:val="left"/>
        <w:rPr>
          <w:rFonts w:ascii="Times New Roman;Times;serif" w:hAnsi="Times New Roman;Times;serif"/>
          <w:sz w:val="24"/>
        </w:rPr>
      </w:pPr>
      <w:r>
        <w:rPr>
          <w:rFonts w:ascii="Times New Roman;Times;serif" w:hAnsi="Times New Roman;Times;serif"/>
          <w:b w:val="false"/>
          <w:i w:val="false"/>
          <w:caps w:val="false"/>
          <w:smallCaps w:val="false"/>
          <w:spacing w:val="-5"/>
          <w:sz w:val="24"/>
        </w:rPr>
        <w:t>Re:</w:t>
      </w:r>
      <w:r>
        <w:rPr>
          <w:rFonts w:ascii="Times New Roman;Times;serif" w:hAnsi="Times New Roman;Times;serif"/>
          <w:sz w:val="24"/>
        </w:rPr>
        <w:t>Insider</w:t>
      </w:r>
      <w:r>
        <w:rPr>
          <w:rFonts w:ascii="Times New Roman;Times;serif" w:hAnsi="Times New Roman;Times;serif"/>
          <w:spacing w:val="-3"/>
          <w:sz w:val="24"/>
        </w:rPr>
        <w:t xml:space="preserve"> </w:t>
      </w:r>
      <w:r>
        <w:rPr>
          <w:rFonts w:ascii="Times New Roman;Times;serif" w:hAnsi="Times New Roman;Times;serif"/>
          <w:sz w:val="24"/>
        </w:rPr>
        <w:t>Trading</w:t>
      </w:r>
      <w:r>
        <w:rPr>
          <w:rFonts w:ascii="Times New Roman;Times;serif" w:hAnsi="Times New Roman;Times;serif"/>
          <w:spacing w:val="-1"/>
          <w:sz w:val="24"/>
        </w:rPr>
        <w:t xml:space="preserve"> </w:t>
      </w:r>
      <w:r>
        <w:rPr>
          <w:rFonts w:ascii="Times New Roman;Times;serif" w:hAnsi="Times New Roman;Times;serif"/>
          <w:sz w:val="24"/>
        </w:rPr>
        <w:t>Compliance</w:t>
      </w:r>
      <w:r>
        <w:rPr>
          <w:rFonts w:ascii="Times New Roman;Times;serif" w:hAnsi="Times New Roman;Times;serif"/>
          <w:spacing w:val="-3"/>
          <w:sz w:val="24"/>
        </w:rPr>
        <w:t xml:space="preserve"> </w:t>
      </w:r>
      <w:r>
        <w:rPr>
          <w:rFonts w:ascii="Times New Roman;Times;serif" w:hAnsi="Times New Roman;Times;serif"/>
          <w:sz w:val="24"/>
        </w:rPr>
        <w:t>Policy</w:t>
      </w:r>
      <w:r>
        <w:rPr>
          <w:rFonts w:ascii="Times New Roman;Times;serif" w:hAnsi="Times New Roman;Times;serif"/>
          <w:spacing w:val="-1"/>
          <w:sz w:val="24"/>
        </w:rPr>
        <w:t xml:space="preserve"> </w:t>
      </w:r>
      <w:r>
        <w:rPr>
          <w:rFonts w:ascii="Times New Roman;Times;serif" w:hAnsi="Times New Roman;Times;serif"/>
          <w:sz w:val="24"/>
        </w:rPr>
        <w:t>of</w:t>
      </w:r>
      <w:r>
        <w:rPr>
          <w:rFonts w:ascii="Times New Roman;Times;serif" w:hAnsi="Times New Roman;Times;serif"/>
          <w:spacing w:val="-3"/>
          <w:sz w:val="24"/>
        </w:rPr>
        <w:t xml:space="preserve"> </w:t>
      </w:r>
      <w:r>
        <w:rPr>
          <w:rFonts w:ascii="Times New Roman;Times;serif" w:hAnsi="Times New Roman;Times;serif"/>
          <w:sz w:val="24"/>
        </w:rPr>
        <w:t>Vertex,</w:t>
      </w:r>
      <w:r>
        <w:rPr>
          <w:rFonts w:ascii="Times New Roman;Times;serif" w:hAnsi="Times New Roman;Times;serif"/>
          <w:spacing w:val="1"/>
          <w:sz w:val="24"/>
        </w:rPr>
        <w:t xml:space="preserve"> </w:t>
      </w:r>
      <w:r>
        <w:rPr>
          <w:rFonts w:ascii="Times New Roman;Times;serif" w:hAnsi="Times New Roman;Times;serif"/>
          <w:spacing w:val="-4"/>
          <w:sz w:val="24"/>
        </w:rPr>
        <w:t>Inc.</w:t>
      </w:r>
    </w:p>
    <w:p>
      <w:pPr>
        <w:pStyle w:val="TextBody"/>
        <w:bidi w:val="0"/>
        <w:spacing w:before="240" w:after="283"/>
        <w:ind w:left="0" w:right="0" w:hanging="0"/>
        <w:jc w:val="left"/>
        <w:rPr/>
      </w:pPr>
      <w:r>
        <w:rPr/>
        <w:t>​</w:t>
      </w:r>
    </w:p>
    <w:p>
      <w:pPr>
        <w:pStyle w:val="TextBody"/>
        <w:bidi w:val="0"/>
        <w:spacing w:before="240" w:after="283"/>
        <w:ind w:left="0" w:right="0" w:hanging="0"/>
        <w:jc w:val="left"/>
        <w:rPr/>
      </w:pPr>
      <w:r>
        <w:rPr/>
        <w:t>​</w:t>
      </w:r>
    </w:p>
    <w:p>
      <w:pPr>
        <w:pStyle w:val="TextBody"/>
        <w:bidi w:val="0"/>
        <w:spacing w:before="0" w:after="0"/>
        <w:ind w:left="119" w:right="119" w:firstLine="720"/>
        <w:jc w:val="both"/>
        <w:rPr>
          <w:rFonts w:ascii="Times New Roman;Times;serif" w:hAnsi="Times New Roman;Times;serif"/>
          <w:sz w:val="24"/>
        </w:rPr>
      </w:pPr>
      <w:r>
        <w:rPr>
          <w:rFonts w:ascii="Times New Roman;Times;serif" w:hAnsi="Times New Roman;Times;serif"/>
          <w:sz w:val="24"/>
        </w:rPr>
        <w:t>I have received, reviewed, and understand the above-referenced Insider Trading Compliance</w:t>
      </w:r>
      <w:r>
        <w:rPr>
          <w:rFonts w:ascii="Times New Roman;Times;serif" w:hAnsi="Times New Roman;Times;serif"/>
          <w:spacing w:val="-4"/>
          <w:sz w:val="24"/>
        </w:rPr>
        <w:t xml:space="preserve"> </w:t>
      </w:r>
      <w:r>
        <w:rPr>
          <w:rFonts w:ascii="Times New Roman;Times;serif" w:hAnsi="Times New Roman;Times;serif"/>
          <w:sz w:val="24"/>
        </w:rPr>
        <w:t>Policy</w:t>
      </w:r>
      <w:r>
        <w:rPr>
          <w:rFonts w:ascii="Times New Roman;Times;serif" w:hAnsi="Times New Roman;Times;serif"/>
          <w:spacing w:val="-3"/>
          <w:sz w:val="24"/>
        </w:rPr>
        <w:t xml:space="preserve"> </w:t>
      </w:r>
      <w:r>
        <w:rPr>
          <w:rFonts w:ascii="Times New Roman;Times;serif" w:hAnsi="Times New Roman;Times;serif"/>
          <w:sz w:val="24"/>
        </w:rPr>
        <w:t>and</w:t>
      </w:r>
      <w:r>
        <w:rPr>
          <w:rFonts w:ascii="Times New Roman;Times;serif" w:hAnsi="Times New Roman;Times;serif"/>
          <w:spacing w:val="-1"/>
          <w:sz w:val="24"/>
        </w:rPr>
        <w:t xml:space="preserve"> </w:t>
      </w:r>
      <w:r>
        <w:rPr>
          <w:rFonts w:ascii="Times New Roman;Times;serif" w:hAnsi="Times New Roman;Times;serif"/>
          <w:sz w:val="24"/>
        </w:rPr>
        <w:t>undertake,</w:t>
      </w:r>
      <w:r>
        <w:rPr>
          <w:rFonts w:ascii="Times New Roman;Times;serif" w:hAnsi="Times New Roman;Times;serif"/>
          <w:spacing w:val="-1"/>
          <w:sz w:val="24"/>
        </w:rPr>
        <w:t xml:space="preserve"> </w:t>
      </w:r>
      <w:r>
        <w:rPr>
          <w:rFonts w:ascii="Times New Roman;Times;serif" w:hAnsi="Times New Roman;Times;serif"/>
          <w:sz w:val="24"/>
        </w:rPr>
        <w:t>as</w:t>
      </w:r>
      <w:r>
        <w:rPr>
          <w:rFonts w:ascii="Times New Roman;Times;serif" w:hAnsi="Times New Roman;Times;serif"/>
          <w:spacing w:val="-1"/>
          <w:sz w:val="24"/>
        </w:rPr>
        <w:t xml:space="preserve"> </w:t>
      </w:r>
      <w:r>
        <w:rPr>
          <w:rFonts w:ascii="Times New Roman;Times;serif" w:hAnsi="Times New Roman;Times;serif"/>
          <w:sz w:val="24"/>
        </w:rPr>
        <w:t>a</w:t>
      </w:r>
      <w:r>
        <w:rPr>
          <w:rFonts w:ascii="Times New Roman;Times;serif" w:hAnsi="Times New Roman;Times;serif"/>
          <w:spacing w:val="-2"/>
          <w:sz w:val="24"/>
        </w:rPr>
        <w:t xml:space="preserve"> </w:t>
      </w:r>
      <w:r>
        <w:rPr>
          <w:rFonts w:ascii="Times New Roman;Times;serif" w:hAnsi="Times New Roman;Times;serif"/>
          <w:sz w:val="24"/>
        </w:rPr>
        <w:t>condition</w:t>
      </w:r>
      <w:r>
        <w:rPr>
          <w:rFonts w:ascii="Times New Roman;Times;serif" w:hAnsi="Times New Roman;Times;serif"/>
          <w:spacing w:val="-3"/>
          <w:sz w:val="24"/>
        </w:rPr>
        <w:t xml:space="preserve"> </w:t>
      </w:r>
      <w:r>
        <w:rPr>
          <w:rFonts w:ascii="Times New Roman;Times;serif" w:hAnsi="Times New Roman;Times;serif"/>
          <w:sz w:val="24"/>
        </w:rPr>
        <w:t>to</w:t>
      </w:r>
      <w:r>
        <w:rPr>
          <w:rFonts w:ascii="Times New Roman;Times;serif" w:hAnsi="Times New Roman;Times;serif"/>
          <w:spacing w:val="-3"/>
          <w:sz w:val="24"/>
        </w:rPr>
        <w:t xml:space="preserve"> </w:t>
      </w:r>
      <w:r>
        <w:rPr>
          <w:rFonts w:ascii="Times New Roman;Times;serif" w:hAnsi="Times New Roman;Times;serif"/>
          <w:sz w:val="24"/>
        </w:rPr>
        <w:t>my</w:t>
      </w:r>
      <w:r>
        <w:rPr>
          <w:rFonts w:ascii="Times New Roman;Times;serif" w:hAnsi="Times New Roman;Times;serif"/>
          <w:spacing w:val="-3"/>
          <w:sz w:val="24"/>
        </w:rPr>
        <w:t xml:space="preserve"> </w:t>
      </w:r>
      <w:r>
        <w:rPr>
          <w:rFonts w:ascii="Times New Roman;Times;serif" w:hAnsi="Times New Roman;Times;serif"/>
          <w:sz w:val="24"/>
        </w:rPr>
        <w:t>present</w:t>
      </w:r>
      <w:r>
        <w:rPr>
          <w:rFonts w:ascii="Times New Roman;Times;serif" w:hAnsi="Times New Roman;Times;serif"/>
          <w:spacing w:val="-3"/>
          <w:sz w:val="24"/>
        </w:rPr>
        <w:t xml:space="preserve"> </w:t>
      </w:r>
      <w:r>
        <w:rPr>
          <w:rFonts w:ascii="Times New Roman;Times;serif" w:hAnsi="Times New Roman;Times;serif"/>
          <w:sz w:val="24"/>
        </w:rPr>
        <w:t>and</w:t>
      </w:r>
      <w:r>
        <w:rPr>
          <w:rFonts w:ascii="Times New Roman;Times;serif" w:hAnsi="Times New Roman;Times;serif"/>
          <w:spacing w:val="-1"/>
          <w:sz w:val="24"/>
        </w:rPr>
        <w:t xml:space="preserve"> </w:t>
      </w:r>
      <w:r>
        <w:rPr>
          <w:rFonts w:ascii="Times New Roman;Times;serif" w:hAnsi="Times New Roman;Times;serif"/>
          <w:sz w:val="24"/>
        </w:rPr>
        <w:t>continued</w:t>
      </w:r>
      <w:r>
        <w:rPr>
          <w:rFonts w:ascii="Times New Roman;Times;serif" w:hAnsi="Times New Roman;Times;serif"/>
          <w:spacing w:val="-3"/>
          <w:sz w:val="24"/>
        </w:rPr>
        <w:t xml:space="preserve"> </w:t>
      </w:r>
      <w:r>
        <w:rPr>
          <w:rFonts w:ascii="Times New Roman;Times;serif" w:hAnsi="Times New Roman;Times;serif"/>
          <w:sz w:val="24"/>
        </w:rPr>
        <w:t>employment</w:t>
      </w:r>
      <w:r>
        <w:rPr>
          <w:rFonts w:ascii="Times New Roman;Times;serif" w:hAnsi="Times New Roman;Times;serif"/>
          <w:spacing w:val="-1"/>
          <w:sz w:val="24"/>
        </w:rPr>
        <w:t xml:space="preserve"> </w:t>
      </w:r>
      <w:r>
        <w:rPr>
          <w:rFonts w:ascii="Times New Roman;Times;serif" w:hAnsi="Times New Roman;Times;serif"/>
          <w:sz w:val="24"/>
        </w:rPr>
        <w:t>(or,</w:t>
      </w:r>
      <w:r>
        <w:rPr>
          <w:rFonts w:ascii="Times New Roman;Times;serif" w:hAnsi="Times New Roman;Times;serif"/>
          <w:spacing w:val="-3"/>
          <w:sz w:val="24"/>
        </w:rPr>
        <w:t xml:space="preserve"> </w:t>
      </w:r>
      <w:r>
        <w:rPr>
          <w:rFonts w:ascii="Times New Roman;Times;serif" w:hAnsi="Times New Roman;Times;serif"/>
          <w:sz w:val="24"/>
        </w:rPr>
        <w:t>if I am not an employee, affiliation with) Vertex, Inc., to comply fully with the policies and procedures contained therein.</w:t>
      </w:r>
    </w:p>
    <w:p>
      <w:pPr>
        <w:pStyle w:val="TextBody"/>
        <w:bidi w:val="0"/>
        <w:spacing w:before="240" w:after="0"/>
        <w:ind w:left="119" w:right="118" w:firstLine="720"/>
        <w:jc w:val="both"/>
        <w:rPr>
          <w:rFonts w:ascii="Times New Roman;Times;serif" w:hAnsi="Times New Roman;Times;serif"/>
          <w:sz w:val="24"/>
        </w:rPr>
      </w:pPr>
      <w:r>
        <w:rPr>
          <w:rFonts w:ascii="Times New Roman;Times;serif" w:hAnsi="Times New Roman;Times;serif"/>
          <w:sz w:val="24"/>
        </w:rPr>
        <w:t>I hereby certify, to the best of my knowledge, that during the calendar year ending December 31, 20[</w:t>
      </w:r>
      <w:r>
        <w:rPr>
          <w:rFonts w:ascii="Times New Roman;Times;serif" w:hAnsi="Times New Roman;Times;serif"/>
          <w:spacing w:val="80"/>
          <w:sz w:val="24"/>
          <w:u w:val="single"/>
        </w:rPr>
        <w:t xml:space="preserve"> </w:t>
      </w:r>
      <w:r>
        <w:rPr>
          <w:rFonts w:ascii="Times New Roman;Times;serif" w:hAnsi="Times New Roman;Times;serif"/>
          <w:sz w:val="24"/>
        </w:rPr>
        <w:t>], I have complied fully with all policies and procedures set forth in the above-referenced Insider Trading Compliance Policy.</w:t>
      </w:r>
    </w:p>
    <w:p>
      <w:pPr>
        <w:pStyle w:val="TextBody"/>
        <w:bidi w:val="0"/>
        <w:spacing w:before="240" w:after="283"/>
        <w:ind w:left="0" w:right="0" w:hanging="0"/>
        <w:jc w:val="left"/>
        <w:rPr/>
      </w:pPr>
      <w:r>
        <w:rPr/>
        <w:t>​</w:t>
      </w:r>
    </w:p>
    <w:tbl>
      <w:tblPr>
        <w:tblW w:w="1715" w:type="dxa"/>
        <w:jc w:val="left"/>
        <w:tblInd w:w="0" w:type="dxa"/>
        <w:tblLayout w:type="fixed"/>
        <w:tblCellMar>
          <w:top w:w="0" w:type="dxa"/>
          <w:left w:w="0" w:type="dxa"/>
          <w:bottom w:w="0" w:type="dxa"/>
          <w:right w:w="0" w:type="dxa"/>
        </w:tblCellMar>
      </w:tblPr>
      <w:tblGrid>
        <w:gridCol w:w="1005"/>
        <w:gridCol w:w="109"/>
        <w:gridCol w:w="601"/>
      </w:tblGrid>
      <w:tr>
        <w:trPr/>
        <w:tc>
          <w:tcPr>
            <w:tcW w:w="10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005" w:type="dxa"/>
            <w:tcBorders>
              <w:bottom w:val="single" w:sz="2" w:space="0" w:color="000000"/>
            </w:tcBorders>
            <w:tcMar>
              <w:bottom w:w="28" w:type="dxa"/>
            </w:tcMar>
            <w:vAlign w:val="center"/>
          </w:tcPr>
          <w:p>
            <w:pPr>
              <w:pStyle w:val="TableContents"/>
              <w:bidi w:val="0"/>
              <w:spacing w:before="240" w:after="283"/>
              <w:ind w:left="0" w:right="0" w:hanging="0"/>
              <w:jc w:val="left"/>
              <w:rPr/>
            </w:pPr>
            <w:r>
              <w:rPr/>
              <w:t>​</w:t>
            </w:r>
          </w:p>
        </w:tc>
        <w:tc>
          <w:tcPr>
            <w:tcW w:w="109" w:type="dxa"/>
            <w:tcBorders/>
            <w:vAlign w:val="center"/>
          </w:tcPr>
          <w:p>
            <w:pPr>
              <w:pStyle w:val="TableContents"/>
              <w:bidi w:val="0"/>
              <w:spacing w:before="240" w:after="283"/>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240" w:after="283"/>
              <w:ind w:left="0" w:right="0" w:hanging="0"/>
              <w:jc w:val="left"/>
              <w:rPr/>
            </w:pPr>
            <w:r>
              <w:rPr/>
              <w:t>​</w:t>
            </w:r>
          </w:p>
        </w:tc>
      </w:tr>
      <w:tr>
        <w:trPr/>
        <w:tc>
          <w:tcPr>
            <w:tcW w:w="10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pacing w:val="-2"/>
                <w:sz w:val="24"/>
              </w:rPr>
            </w:pPr>
            <w:r>
              <w:rPr>
                <w:rFonts w:ascii="Times New Roman;Times;serif" w:hAnsi="Times New Roman;Times;serif"/>
                <w:spacing w:val="-2"/>
                <w:sz w:val="24"/>
              </w:rPr>
              <w:t>Signature</w:t>
            </w:r>
          </w:p>
        </w:tc>
        <w:tc>
          <w:tcPr>
            <w:tcW w:w="109" w:type="dxa"/>
            <w:tcBorders/>
            <w:vAlign w:val="center"/>
          </w:tcPr>
          <w:p>
            <w:pPr>
              <w:pStyle w:val="TableContents"/>
              <w:bidi w:val="0"/>
              <w:spacing w:before="240" w:after="283"/>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r>
      <w:tr>
        <w:trPr/>
        <w:tc>
          <w:tcPr>
            <w:tcW w:w="1005" w:type="dxa"/>
            <w:tcBorders/>
            <w:vAlign w:val="center"/>
          </w:tcPr>
          <w:p>
            <w:pPr>
              <w:pStyle w:val="TableContents"/>
              <w:bidi w:val="0"/>
              <w:spacing w:before="240" w:after="283"/>
              <w:ind w:left="0" w:right="0" w:hanging="0"/>
              <w:jc w:val="left"/>
              <w:rPr/>
            </w:pPr>
            <w:r>
              <w:rPr/>
              <w:t>​</w:t>
            </w:r>
          </w:p>
        </w:tc>
        <w:tc>
          <w:tcPr>
            <w:tcW w:w="109" w:type="dxa"/>
            <w:tcBorders/>
            <w:vAlign w:val="center"/>
          </w:tcPr>
          <w:p>
            <w:pPr>
              <w:pStyle w:val="TableContents"/>
              <w:bidi w:val="0"/>
              <w:spacing w:before="240" w:after="283"/>
              <w:ind w:left="0" w:right="0" w:hanging="0"/>
              <w:jc w:val="left"/>
              <w:rPr/>
            </w:pPr>
            <w:r>
              <w:rPr/>
              <w:t>​</w:t>
            </w:r>
          </w:p>
        </w:tc>
        <w:tc>
          <w:tcPr>
            <w:tcW w:w="601" w:type="dxa"/>
            <w:tcBorders/>
            <w:vAlign w:val="center"/>
          </w:tcPr>
          <w:p>
            <w:pPr>
              <w:pStyle w:val="TableContents"/>
              <w:bidi w:val="0"/>
              <w:spacing w:before="240" w:after="283"/>
              <w:ind w:left="0" w:right="0" w:hanging="0"/>
              <w:jc w:val="left"/>
              <w:rPr/>
            </w:pPr>
            <w:r>
              <w:rPr/>
              <w:t>​</w:t>
            </w:r>
          </w:p>
        </w:tc>
      </w:tr>
      <w:tr>
        <w:trPr/>
        <w:tc>
          <w:tcPr>
            <w:tcW w:w="1005" w:type="dxa"/>
            <w:tcBorders>
              <w:bottom w:val="single" w:sz="2" w:space="0" w:color="000000"/>
            </w:tcBorders>
            <w:tcMar>
              <w:bottom w:w="28" w:type="dxa"/>
            </w:tcMar>
            <w:vAlign w:val="center"/>
          </w:tcPr>
          <w:p>
            <w:pPr>
              <w:pStyle w:val="TableContents"/>
              <w:bidi w:val="0"/>
              <w:spacing w:before="240" w:after="283"/>
              <w:ind w:left="0" w:right="0" w:hanging="0"/>
              <w:jc w:val="left"/>
              <w:rPr/>
            </w:pPr>
            <w:r>
              <w:rPr/>
              <w:t>​</w:t>
            </w:r>
          </w:p>
        </w:tc>
        <w:tc>
          <w:tcPr>
            <w:tcW w:w="109" w:type="dxa"/>
            <w:tcBorders/>
            <w:vAlign w:val="center"/>
          </w:tcPr>
          <w:p>
            <w:pPr>
              <w:pStyle w:val="TableContents"/>
              <w:bidi w:val="0"/>
              <w:spacing w:before="240" w:after="283"/>
              <w:ind w:left="0" w:right="0" w:hanging="0"/>
              <w:jc w:val="left"/>
              <w:rPr/>
            </w:pPr>
            <w:r>
              <w:rPr/>
              <w:t>​</w:t>
            </w:r>
          </w:p>
        </w:tc>
        <w:tc>
          <w:tcPr>
            <w:tcW w:w="601" w:type="dxa"/>
            <w:tcBorders/>
            <w:vAlign w:val="center"/>
          </w:tcPr>
          <w:p>
            <w:pPr>
              <w:pStyle w:val="TableContents"/>
              <w:bidi w:val="0"/>
              <w:spacing w:before="240" w:after="283"/>
              <w:ind w:left="0" w:right="0" w:hanging="0"/>
              <w:jc w:val="left"/>
              <w:rPr/>
            </w:pPr>
            <w:r>
              <w:rPr/>
              <w:t>​</w:t>
            </w:r>
          </w:p>
        </w:tc>
      </w:tr>
      <w:tr>
        <w:trPr/>
        <w:tc>
          <w:tcPr>
            <w:tcW w:w="10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09" w:type="dxa"/>
            <w:tcBorders/>
            <w:vAlign w:val="center"/>
          </w:tcPr>
          <w:p>
            <w:pPr>
              <w:pStyle w:val="TableContents"/>
              <w:bidi w:val="0"/>
              <w:spacing w:before="240" w:after="283"/>
              <w:ind w:left="0" w:right="0" w:hanging="0"/>
              <w:jc w:val="left"/>
              <w:rPr/>
            </w:pPr>
            <w:r>
              <w:rPr/>
              <w:t>​</w:t>
            </w:r>
          </w:p>
        </w:tc>
        <w:tc>
          <w:tcPr>
            <w:tcW w:w="601" w:type="dxa"/>
            <w:tcBorders/>
            <w:vAlign w:val="center"/>
          </w:tcPr>
          <w:p>
            <w:pPr>
              <w:pStyle w:val="TableContents"/>
              <w:bidi w:val="0"/>
              <w:spacing w:before="240" w:after="283"/>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before="0" w:after="0"/>
        <w:ind w:left="0" w:right="0" w:hanging="0"/>
        <w:jc w:val="right"/>
        <w:rPr>
          <w:rFonts w:ascii="Times New Roman;Times;serif" w:hAnsi="Times New Roman;Times;serif"/>
          <w:b/>
          <w:sz w:val="20"/>
        </w:rPr>
      </w:pPr>
      <w:bookmarkStart w:id="2441" w:name="verx-20241231xex23d1.htm"/>
      <w:bookmarkStart w:id="2442" w:name="ksverx20241231xex23d1"/>
      <w:bookmarkEnd w:id="2441"/>
      <w:bookmarkEnd w:id="2442"/>
      <w:r>
        <w:rPr>
          <w:rFonts w:ascii="Times New Roman;Times;serif" w:hAnsi="Times New Roman;Times;serif"/>
          <w:b/>
          <w:sz w:val="20"/>
        </w:rPr>
        <w:t>Exhibit 23.1</w:t>
      </w:r>
      <w:r>
        <w:br w:type="page"/>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shd w:fill="FFFFFF" w:val="clear"/>
        <w:bidi w:val="0"/>
        <w:spacing w:before="100" w:after="10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Registration Statement No. 333-266168 on Form S-3 and Registration Statement Nos. 333-263726 and 333-240143 on Form S-8 of Vertex, Inc. of our report dated February 27, 2025 relating to the consolidated financial statements of Vertex, Inc., and our report dated the same date relative to the effectiveness of internal control over financial reporting, appearing in this Annual Report on Form 10-K.</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shd w:fill="FFFFFF" w:val="clear"/>
        <w:bidi w:val="0"/>
        <w:spacing w:before="100" w:after="100"/>
        <w:ind w:left="0" w:right="0" w:hanging="0"/>
        <w:jc w:val="center"/>
        <w:rPr/>
      </w:pPr>
      <w:r>
        <w:rPr/>
        <w:t>​</w:t>
      </w:r>
    </w:p>
    <w:p>
      <w:pPr>
        <w:pStyle w:val="TextBody"/>
        <w:shd w:fill="FFFFFF" w:val="clear"/>
        <w:bidi w:val="0"/>
        <w:spacing w:before="0" w:after="0"/>
        <w:ind w:left="0" w:right="0" w:hanging="0"/>
        <w:jc w:val="left"/>
        <w:rPr/>
      </w:pPr>
      <w:r>
        <w:rPr/>
        <w:t> </w:t>
      </w:r>
    </w:p>
    <w:tbl>
      <w:tblPr>
        <w:tblW w:w="1467" w:type="dxa"/>
        <w:jc w:val="left"/>
        <w:tblInd w:w="0" w:type="dxa"/>
        <w:shd w:fill="FFFFFF" w:val="clear"/>
        <w:tblLayout w:type="fixed"/>
        <w:tblCellMar>
          <w:top w:w="0" w:type="dxa"/>
          <w:left w:w="0" w:type="dxa"/>
          <w:bottom w:w="0" w:type="dxa"/>
          <w:right w:w="0" w:type="dxa"/>
        </w:tblCellMar>
      </w:tblPr>
      <w:tblGrid>
        <w:gridCol w:w="161"/>
        <w:gridCol w:w="1306"/>
      </w:tblGrid>
      <w:tr>
        <w:trPr/>
        <w:tc>
          <w:tcPr>
            <w:tcW w:w="16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30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13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Crowe LLP</w:t>
            </w:r>
          </w:p>
        </w:tc>
      </w:tr>
      <w:tr>
        <w:trPr/>
        <w:tc>
          <w:tcPr>
            <w:tcW w:w="161" w:type="dxa"/>
            <w:tcBorders/>
            <w:shd w:fill="FFFFFF" w:val="clear"/>
            <w:vAlign w:val="center"/>
          </w:tcPr>
          <w:p>
            <w:pPr>
              <w:pStyle w:val="TableContents"/>
              <w:bidi w:val="0"/>
              <w:spacing w:before="0" w:after="0"/>
              <w:ind w:left="0" w:right="0" w:hanging="0"/>
              <w:jc w:val="left"/>
              <w:rPr/>
            </w:pPr>
            <w:r>
              <w:rPr/>
              <w:t> </w:t>
            </w:r>
          </w:p>
        </w:tc>
        <w:tc>
          <w:tcPr>
            <w:tcW w:w="13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Crowe LLP</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Oakbrook Terrace, Illinois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bookmarkStart w:id="2443" w:name="verx-20241231xex24d1.htm"/>
      <w:bookmarkStart w:id="2444" w:name="ksverx20241231xex24d1"/>
      <w:bookmarkEnd w:id="2443"/>
      <w:bookmarkEnd w:id="2444"/>
      <w:r>
        <w:rPr>
          <w:rFonts w:ascii="Calibri;Helvetica;sans-serif" w:hAnsi="Calibri;Helvetica;sans-serif"/>
          <w:sz w:val="22"/>
          <w:shd w:fill="FFFFFF" w:val="clear"/>
        </w:rPr>
        <w:tab/>
      </w:r>
      <w:r>
        <w:rPr>
          <w:rFonts w:ascii="Times New Roman;Times;serif" w:hAnsi="Times New Roman;Times;serif"/>
          <w:b w:val="false"/>
          <w:i w:val="false"/>
          <w:caps w:val="false"/>
          <w:smallCaps w:val="false"/>
          <w:sz w:val="22"/>
          <w:shd w:fill="FFFFFF" w:val="clear"/>
        </w:rPr>
        <w:t>Exhibit 24.1</w:t>
      </w:r>
      <w:r>
        <mc:AlternateContent>
          <mc:Choice Requires="wps">
            <w:drawing>
              <wp:anchor behindDoc="0" distT="0" distB="0" distL="0" distR="0" simplePos="0" locked="0" layoutInCell="1" allowOverlap="1" relativeHeight="864">
                <wp:simplePos x="0" y="0"/>
                <wp:positionH relativeFrom="page">
                  <wp:posOffset>0</wp:posOffset>
                </wp:positionH>
                <wp:positionV relativeFrom="line">
                  <wp:posOffset>635</wp:posOffset>
                </wp:positionV>
                <wp:extent cx="6480175" cy="175260"/>
                <wp:effectExtent l="0" t="0" r="0" b="0"/>
                <wp:wrapNone/>
                <wp:docPr id="863" name="Frame8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POWER OF ATTORNEY</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both"/>
        <w:rPr>
          <w:rFonts w:ascii="Calibri;Helvetica;sans-serif" w:hAnsi="Calibri;Helvetica;sans-serif"/>
          <w:sz w:val="22"/>
        </w:rPr>
      </w:pPr>
      <w:r>
        <w:rPr>
          <w:rFonts w:ascii="Times New Roman;Times;serif" w:hAnsi="Times New Roman;Times;serif"/>
          <w:sz w:val="22"/>
        </w:rPr>
        <w:t xml:space="preserve">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2024, and any and all amendments thereto, and </w:t>
      </w:r>
      <w:bookmarkStart w:id="2445" w:name="_Hlk138673199"/>
      <w:bookmarkEnd w:id="2445"/>
      <w:r>
        <w:rPr>
          <w:rFonts w:ascii="Times New Roman;Times;serif" w:hAnsi="Times New Roman;Times;serif"/>
          <w:sz w:val="22"/>
        </w:rPr>
        <w:t>to do all such other acts and execute all such other instruments which said attorney may deem necessary or desirable in connection therewith.</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I have executed this Limited Power of Attorney effective as of February 11, 2025.</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pPr>
      <w:r>
        <w:rPr/>
        <w:t>​</w:t>
      </w:r>
    </w:p>
    <w:tbl>
      <w:tblPr>
        <w:tblW w:w="2315" w:type="dxa"/>
        <w:jc w:val="left"/>
        <w:tblInd w:w="0" w:type="dxa"/>
        <w:tblLayout w:type="fixed"/>
        <w:tblCellMar>
          <w:top w:w="0" w:type="dxa"/>
          <w:left w:w="0" w:type="dxa"/>
          <w:bottom w:w="0" w:type="dxa"/>
          <w:right w:w="0" w:type="dxa"/>
        </w:tblCellMar>
      </w:tblPr>
      <w:tblGrid>
        <w:gridCol w:w="124"/>
        <w:gridCol w:w="2191"/>
      </w:tblGrid>
      <w:tr>
        <w:trPr/>
        <w:tc>
          <w:tcPr>
            <w:tcW w:w="124" w:type="dxa"/>
            <w:tcBorders/>
            <w:vAlign w:val="center"/>
          </w:tcPr>
          <w:p>
            <w:pPr>
              <w:pStyle w:val="TableContents"/>
              <w:bidi w:val="0"/>
              <w:spacing w:lineRule="auto" w:line="285" w:before="0" w:after="0"/>
              <w:ind w:left="0" w:right="0" w:hanging="0"/>
              <w:jc w:val="left"/>
              <w:rPr/>
            </w:pPr>
            <w:r>
              <w:rPr/>
              <w:t>​</w:t>
            </w:r>
          </w:p>
        </w:tc>
        <w:tc>
          <w:tcPr>
            <w:tcW w:w="219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19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 ERIC ANDERSEN</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191"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Eric Andersen</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191"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both"/>
        <w:rPr/>
      </w:pPr>
      <w:r>
        <w:rPr/>
        <w:t>​</w:t>
      </w:r>
    </w:p>
    <w:p>
      <w:pPr>
        <w:pStyle w:val="TextBody"/>
        <w:bidi w:val="0"/>
        <w:spacing w:lineRule="auto" w:line="307" w:before="0" w:after="160"/>
        <w:ind w:left="5760" w:right="0" w:firstLine="72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sz w:val="22"/>
        </w:rPr>
        <w:t>​</w:t>
      </w:r>
      <w:r>
        <mc:AlternateContent>
          <mc:Choice Requires="wps">
            <w:drawing>
              <wp:anchor behindDoc="0" distT="0" distB="0" distL="0" distR="0" simplePos="0" locked="0" layoutInCell="1" allowOverlap="1" relativeHeight="865">
                <wp:simplePos x="0" y="0"/>
                <wp:positionH relativeFrom="page">
                  <wp:posOffset>0</wp:posOffset>
                </wp:positionH>
                <wp:positionV relativeFrom="line">
                  <wp:posOffset>635</wp:posOffset>
                </wp:positionV>
                <wp:extent cx="6480175" cy="175260"/>
                <wp:effectExtent l="0" t="0" r="0" b="0"/>
                <wp:wrapNone/>
                <wp:docPr id="864" name="Frame8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POWER OF ATTORNEY</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2024, and any and all amendments thereto, and to do all such other acts and execute all such other instruments which said attorney may deem necessary or desirable in connection therewith.</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I have executed this Limited Power of Attorney effective as of February 11, 2025.</w:t>
      </w:r>
    </w:p>
    <w:p>
      <w:pPr>
        <w:pStyle w:val="TextBody"/>
        <w:bidi w:val="0"/>
        <w:spacing w:lineRule="auto" w:line="307" w:before="0" w:after="160"/>
        <w:ind w:left="0" w:right="0" w:hanging="0"/>
        <w:jc w:val="both"/>
        <w:rPr/>
      </w:pPr>
      <w:r>
        <w:rPr/>
        <w:t>​</w:t>
      </w:r>
    </w:p>
    <w:tbl>
      <w:tblPr>
        <w:tblW w:w="2480" w:type="dxa"/>
        <w:jc w:val="left"/>
        <w:tblInd w:w="0" w:type="dxa"/>
        <w:tblLayout w:type="fixed"/>
        <w:tblCellMar>
          <w:top w:w="0" w:type="dxa"/>
          <w:left w:w="0" w:type="dxa"/>
          <w:bottom w:w="0" w:type="dxa"/>
          <w:right w:w="0" w:type="dxa"/>
        </w:tblCellMar>
      </w:tblPr>
      <w:tblGrid>
        <w:gridCol w:w="124"/>
        <w:gridCol w:w="2356"/>
      </w:tblGrid>
      <w:tr>
        <w:trPr/>
        <w:tc>
          <w:tcPr>
            <w:tcW w:w="124" w:type="dxa"/>
            <w:tcBorders/>
            <w:vAlign w:val="center"/>
          </w:tcPr>
          <w:p>
            <w:pPr>
              <w:pStyle w:val="TableContents"/>
              <w:bidi w:val="0"/>
              <w:spacing w:lineRule="auto" w:line="285" w:before="0" w:after="0"/>
              <w:ind w:left="0" w:right="0" w:hanging="0"/>
              <w:jc w:val="left"/>
              <w:rPr/>
            </w:pPr>
            <w:r>
              <w:rPr/>
              <w:t>​</w:t>
            </w:r>
          </w:p>
        </w:tc>
        <w:tc>
          <w:tcPr>
            <w:tcW w:w="235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35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 PHILIP SAUNDERS</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356"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Philip Saunders</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35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bl>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sz w:val="22"/>
        </w:rPr>
        <w:t>​</w:t>
      </w:r>
      <w:r>
        <mc:AlternateContent>
          <mc:Choice Requires="wps">
            <w:drawing>
              <wp:anchor behindDoc="0" distT="0" distB="0" distL="0" distR="0" simplePos="0" locked="0" layoutInCell="1" allowOverlap="1" relativeHeight="866">
                <wp:simplePos x="0" y="0"/>
                <wp:positionH relativeFrom="page">
                  <wp:posOffset>0</wp:posOffset>
                </wp:positionH>
                <wp:positionV relativeFrom="line">
                  <wp:posOffset>635</wp:posOffset>
                </wp:positionV>
                <wp:extent cx="6480175" cy="175260"/>
                <wp:effectExtent l="0" t="0" r="0" b="0"/>
                <wp:wrapNone/>
                <wp:docPr id="865" name="Frame8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POWER OF ATTORNEY</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2024, and any and all amendments thereto, and to do all such other acts and execute all such other instruments which said attorney may deem necessary or desirable in connection therewith.</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I have executed this Limited Power of Attorney effective as of February 11, 2025.</w:t>
      </w:r>
    </w:p>
    <w:p>
      <w:pPr>
        <w:pStyle w:val="TextBody"/>
        <w:bidi w:val="0"/>
        <w:spacing w:lineRule="auto" w:line="307" w:before="0" w:after="160"/>
        <w:ind w:left="0" w:right="0" w:hanging="0"/>
        <w:jc w:val="both"/>
        <w:rPr/>
      </w:pPr>
      <w:r>
        <w:rPr/>
        <w:t>​</w:t>
      </w:r>
    </w:p>
    <w:tbl>
      <w:tblPr>
        <w:tblW w:w="2645" w:type="dxa"/>
        <w:jc w:val="left"/>
        <w:tblInd w:w="0" w:type="dxa"/>
        <w:tblLayout w:type="fixed"/>
        <w:tblCellMar>
          <w:top w:w="0" w:type="dxa"/>
          <w:left w:w="0" w:type="dxa"/>
          <w:bottom w:w="0" w:type="dxa"/>
          <w:right w:w="0" w:type="dxa"/>
        </w:tblCellMar>
      </w:tblPr>
      <w:tblGrid>
        <w:gridCol w:w="124"/>
        <w:gridCol w:w="2521"/>
      </w:tblGrid>
      <w:tr>
        <w:trPr/>
        <w:tc>
          <w:tcPr>
            <w:tcW w:w="124"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 J. RICHARD STAMM</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521"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J. Richard Stamm</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521"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bl>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sz w:val="22"/>
        </w:rPr>
        <w:t>​</w:t>
      </w:r>
      <w:r>
        <mc:AlternateContent>
          <mc:Choice Requires="wps">
            <w:drawing>
              <wp:anchor behindDoc="0" distT="0" distB="0" distL="0" distR="0" simplePos="0" locked="0" layoutInCell="1" allowOverlap="1" relativeHeight="867">
                <wp:simplePos x="0" y="0"/>
                <wp:positionH relativeFrom="page">
                  <wp:posOffset>0</wp:posOffset>
                </wp:positionH>
                <wp:positionV relativeFrom="line">
                  <wp:posOffset>635</wp:posOffset>
                </wp:positionV>
                <wp:extent cx="6480175" cy="175260"/>
                <wp:effectExtent l="0" t="0" r="0" b="0"/>
                <wp:wrapNone/>
                <wp:docPr id="866" name="Frame8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POWER OF ATTORNEY</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2024, and any and all amendments thereto, and to do all such other acts and execute all such other instruments which said attorney may deem necessary or desirable in connection therewith.</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I have executed this Limited Power of Attorney effective as of February 11, 2025.</w:t>
      </w:r>
    </w:p>
    <w:p>
      <w:pPr>
        <w:pStyle w:val="TextBody"/>
        <w:bidi w:val="0"/>
        <w:spacing w:lineRule="auto" w:line="307" w:before="0" w:after="160"/>
        <w:ind w:left="0" w:right="0" w:hanging="0"/>
        <w:jc w:val="both"/>
        <w:rPr/>
      </w:pPr>
      <w:r>
        <w:rPr/>
        <w:t>​</w:t>
      </w:r>
    </w:p>
    <w:tbl>
      <w:tblPr>
        <w:tblW w:w="4085" w:type="dxa"/>
        <w:jc w:val="left"/>
        <w:tblInd w:w="0" w:type="dxa"/>
        <w:tblLayout w:type="fixed"/>
        <w:tblCellMar>
          <w:top w:w="0" w:type="dxa"/>
          <w:left w:w="0" w:type="dxa"/>
          <w:bottom w:w="0" w:type="dxa"/>
          <w:right w:w="0" w:type="dxa"/>
        </w:tblCellMar>
      </w:tblPr>
      <w:tblGrid>
        <w:gridCol w:w="124"/>
        <w:gridCol w:w="3961"/>
      </w:tblGrid>
      <w:tr>
        <w:trPr/>
        <w:tc>
          <w:tcPr>
            <w:tcW w:w="124"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/s/ AMANDA WESTPHAL RADCLIFFE</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3961"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Amanda Westphal Radcliffe</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3961"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bl>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sz w:val="22"/>
        </w:rPr>
        <w:t>​</w:t>
      </w:r>
      <w:r>
        <mc:AlternateContent>
          <mc:Choice Requires="wps">
            <w:drawing>
              <wp:anchor behindDoc="0" distT="0" distB="0" distL="0" distR="0" simplePos="0" locked="0" layoutInCell="1" allowOverlap="1" relativeHeight="868">
                <wp:simplePos x="0" y="0"/>
                <wp:positionH relativeFrom="page">
                  <wp:posOffset>0</wp:posOffset>
                </wp:positionH>
                <wp:positionV relativeFrom="line">
                  <wp:posOffset>635</wp:posOffset>
                </wp:positionV>
                <wp:extent cx="6480175" cy="175260"/>
                <wp:effectExtent l="0" t="0" r="0" b="0"/>
                <wp:wrapNone/>
                <wp:docPr id="867" name="Frame8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POWER OF ATTORNEY</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2024, and any and all amendments thereto, and to do all such other acts and execute all such other instruments which said attorney may deem necessary or desirable in connection therewith.</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I have executed this Limited Power of Attorney effective as of February 11, 2025.</w:t>
      </w:r>
    </w:p>
    <w:p>
      <w:pPr>
        <w:pStyle w:val="TextBody"/>
        <w:bidi w:val="0"/>
        <w:spacing w:lineRule="auto" w:line="307" w:before="0" w:after="160"/>
        <w:ind w:left="0" w:right="0" w:hanging="0"/>
        <w:jc w:val="both"/>
        <w:rPr/>
      </w:pPr>
      <w:r>
        <w:rPr/>
        <w:t>​</w:t>
      </w:r>
    </w:p>
    <w:tbl>
      <w:tblPr>
        <w:tblW w:w="4130" w:type="dxa"/>
        <w:jc w:val="left"/>
        <w:tblInd w:w="0" w:type="dxa"/>
        <w:tblLayout w:type="fixed"/>
        <w:tblCellMar>
          <w:top w:w="0" w:type="dxa"/>
          <w:left w:w="0" w:type="dxa"/>
          <w:bottom w:w="0" w:type="dxa"/>
          <w:right w:w="0" w:type="dxa"/>
        </w:tblCellMar>
      </w:tblPr>
      <w:tblGrid>
        <w:gridCol w:w="124"/>
        <w:gridCol w:w="4006"/>
      </w:tblGrid>
      <w:tr>
        <w:trPr/>
        <w:tc>
          <w:tcPr>
            <w:tcW w:w="124" w:type="dxa"/>
            <w:tcBorders/>
            <w:vAlign w:val="center"/>
          </w:tcPr>
          <w:p>
            <w:pPr>
              <w:pStyle w:val="TableContents"/>
              <w:bidi w:val="0"/>
              <w:spacing w:lineRule="auto" w:line="285" w:before="0" w:after="0"/>
              <w:ind w:left="0" w:right="0" w:hanging="0"/>
              <w:jc w:val="left"/>
              <w:rPr/>
            </w:pPr>
            <w:r>
              <w:rPr/>
              <w:t>​</w:t>
            </w:r>
          </w:p>
        </w:tc>
        <w:tc>
          <w:tcPr>
            <w:tcW w:w="400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/s/ STEFANIE WESTPHAL THOMPSON</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Stefanie Westphal Thompson</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400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bl>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sz w:val="22"/>
        </w:rPr>
        <w:t>​</w:t>
      </w:r>
      <w:r>
        <mc:AlternateContent>
          <mc:Choice Requires="wps">
            <w:drawing>
              <wp:anchor behindDoc="0" distT="0" distB="0" distL="0" distR="0" simplePos="0" locked="0" layoutInCell="1" allowOverlap="1" relativeHeight="869">
                <wp:simplePos x="0" y="0"/>
                <wp:positionH relativeFrom="page">
                  <wp:posOffset>0</wp:posOffset>
                </wp:positionH>
                <wp:positionV relativeFrom="line">
                  <wp:posOffset>635</wp:posOffset>
                </wp:positionV>
                <wp:extent cx="6480175" cy="175260"/>
                <wp:effectExtent l="0" t="0" r="0" b="0"/>
                <wp:wrapNone/>
                <wp:docPr id="868" name="Frame8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POWER OF ATTORNEY</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resubstitions, with full power to act without the other and on behalf of and as attorney for me, for the purpose of executing and filing with the Securities and Exchange Commission the Company’s Annual Report on Form 10-K for the year ended December 31, 2024, and any and all amendments thereto, and to do all such other acts and execute all such other instruments which said attorney may deem necessary or desirable in connection therewith.</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I have executed this Limited Power of Attorney effective as of February 11, 2025.</w:t>
      </w:r>
    </w:p>
    <w:p>
      <w:pPr>
        <w:pStyle w:val="TextBody"/>
        <w:bidi w:val="0"/>
        <w:spacing w:lineRule="auto" w:line="307" w:before="0" w:after="160"/>
        <w:ind w:left="0" w:right="0" w:hanging="0"/>
        <w:jc w:val="both"/>
        <w:rPr/>
      </w:pPr>
      <w:r>
        <w:rPr/>
        <w:t>​</w:t>
      </w:r>
    </w:p>
    <w:tbl>
      <w:tblPr>
        <w:tblW w:w="2630" w:type="dxa"/>
        <w:jc w:val="left"/>
        <w:tblInd w:w="0" w:type="dxa"/>
        <w:tblLayout w:type="fixed"/>
        <w:tblCellMar>
          <w:top w:w="0" w:type="dxa"/>
          <w:left w:w="0" w:type="dxa"/>
          <w:bottom w:w="0" w:type="dxa"/>
          <w:right w:w="0" w:type="dxa"/>
        </w:tblCellMar>
      </w:tblPr>
      <w:tblGrid>
        <w:gridCol w:w="124"/>
        <w:gridCol w:w="2506"/>
      </w:tblGrid>
      <w:tr>
        <w:trPr/>
        <w:tc>
          <w:tcPr>
            <w:tcW w:w="124" w:type="dxa"/>
            <w:tcBorders/>
            <w:vAlign w:val="center"/>
          </w:tcPr>
          <w:p>
            <w:pPr>
              <w:pStyle w:val="TableContents"/>
              <w:bidi w:val="0"/>
              <w:spacing w:lineRule="auto" w:line="285" w:before="0" w:after="0"/>
              <w:ind w:left="0" w:right="0" w:hanging="0"/>
              <w:jc w:val="left"/>
              <w:rPr/>
            </w:pPr>
            <w:r>
              <w:rPr/>
              <w:t>​</w:t>
            </w:r>
          </w:p>
        </w:tc>
        <w:tc>
          <w:tcPr>
            <w:tcW w:w="250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5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/s/ BRADLEY GAYTON</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506"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Bradley Gayton</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2506" w:type="dxa"/>
            <w:tcBorders/>
            <w:vAlign w:val="center"/>
          </w:tcPr>
          <w:p>
            <w:pPr>
              <w:pStyle w:val="TableContents"/>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46" w:name="verx-20241231xex31d1.htm"/>
      <w:bookmarkStart w:id="2447" w:name="ksverx20241231xex31d1"/>
      <w:bookmarkEnd w:id="2446"/>
      <w:bookmarkEnd w:id="2447"/>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DeStefano, certify that:</w:t>
      </w:r>
    </w:p>
    <w:p>
      <w:pPr>
        <w:pStyle w:val="TextBody"/>
        <w:bidi w:val="0"/>
        <w:spacing w:before="0" w:after="0"/>
        <w:ind w:left="0" w:right="0" w:hanging="0"/>
        <w:jc w:val="left"/>
        <w:rPr/>
      </w:pPr>
      <w:r>
        <w:rPr/>
        <w:t>​</w:t>
      </w:r>
    </w:p>
    <w:tbl>
      <w:tblPr>
        <w:tblW w:w="5493" w:type="dxa"/>
        <w:jc w:val="left"/>
        <w:tblInd w:w="0" w:type="dxa"/>
        <w:tblLayout w:type="fixed"/>
        <w:tblCellMar>
          <w:top w:w="0" w:type="dxa"/>
          <w:left w:w="0" w:type="dxa"/>
          <w:bottom w:w="0" w:type="dxa"/>
          <w:right w:w="0" w:type="dxa"/>
        </w:tblCellMar>
      </w:tblPr>
      <w:tblGrid>
        <w:gridCol w:w="23"/>
        <w:gridCol w:w="170"/>
        <w:gridCol w:w="5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16" w:type="dxa"/>
        <w:jc w:val="left"/>
        <w:tblInd w:w="0" w:type="dxa"/>
        <w:tblLayout w:type="fixed"/>
        <w:tblCellMar>
          <w:top w:w="0" w:type="dxa"/>
          <w:left w:w="0" w:type="dxa"/>
          <w:bottom w:w="0" w:type="dxa"/>
          <w:right w:w="0" w:type="dxa"/>
        </w:tblCellMar>
      </w:tblPr>
      <w:tblGrid>
        <w:gridCol w:w="2086"/>
        <w:gridCol w:w="453"/>
        <w:gridCol w:w="1977"/>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77"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208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208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48" w:name="verx-20241231xex31d2.htm"/>
      <w:bookmarkStart w:id="2449" w:name="ksverx20241231xex31d2"/>
      <w:bookmarkEnd w:id="2448"/>
      <w:bookmarkEnd w:id="2449"/>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Schwab, certify that:</w:t>
      </w:r>
    </w:p>
    <w:p>
      <w:pPr>
        <w:pStyle w:val="TextBody"/>
        <w:bidi w:val="0"/>
        <w:spacing w:before="0" w:after="0"/>
        <w:ind w:left="0" w:right="0" w:hanging="0"/>
        <w:jc w:val="left"/>
        <w:rPr/>
      </w:pPr>
      <w:r>
        <w:rPr/>
        <w:t>​</w:t>
      </w:r>
    </w:p>
    <w:tbl>
      <w:tblPr>
        <w:tblW w:w="5493" w:type="dxa"/>
        <w:jc w:val="left"/>
        <w:tblInd w:w="0" w:type="dxa"/>
        <w:tblLayout w:type="fixed"/>
        <w:tblCellMar>
          <w:top w:w="0" w:type="dxa"/>
          <w:left w:w="0" w:type="dxa"/>
          <w:bottom w:w="0" w:type="dxa"/>
          <w:right w:w="0" w:type="dxa"/>
        </w:tblCellMar>
      </w:tblPr>
      <w:tblGrid>
        <w:gridCol w:w="23"/>
        <w:gridCol w:w="170"/>
        <w:gridCol w:w="5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01" w:type="dxa"/>
        <w:jc w:val="center"/>
        <w:tblInd w:w="0" w:type="dxa"/>
        <w:tblLayout w:type="fixed"/>
        <w:tblCellMar>
          <w:top w:w="0" w:type="dxa"/>
          <w:left w:w="0" w:type="dxa"/>
          <w:bottom w:w="0" w:type="dxa"/>
          <w:right w:w="0" w:type="dxa"/>
        </w:tblCellMar>
      </w:tblPr>
      <w:tblGrid>
        <w:gridCol w:w="2086"/>
        <w:gridCol w:w="526"/>
        <w:gridCol w:w="1889"/>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324610" cy="29210"/>
                      <wp:effectExtent l="0" t="0" r="0" b="0"/>
                      <wp:wrapNone/>
                      <wp:docPr id="869" name="Frame868"/>
                      <a:graphic xmlns:a="http://schemas.openxmlformats.org/drawingml/2006/main">
                        <a:graphicData uri="http://schemas.microsoft.com/office/word/2010/wordprocessingShape">
                          <wps:wsp>
                            <wps:cNvSpPr txBox="1"/>
                            <wps:spPr>
                              <a:xfrm>
                                <a:off x="0" y="0"/>
                                <a:ext cx="1324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334010" cy="29210"/>
                      <wp:effectExtent l="0" t="0" r="0" b="0"/>
                      <wp:wrapNone/>
                      <wp:docPr id="870" name="Frame869"/>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1199515" cy="29210"/>
                      <wp:effectExtent l="0" t="0" r="0" b="0"/>
                      <wp:wrapNone/>
                      <wp:docPr id="871" name="Frame870"/>
                      <a:graphic xmlns:a="http://schemas.openxmlformats.org/drawingml/2006/main">
                        <a:graphicData uri="http://schemas.microsoft.com/office/word/2010/wordprocessingShape">
                          <wps:wsp>
                            <wps:cNvSpPr txBox="1"/>
                            <wps:spPr>
                              <a:xfrm>
                                <a:off x="0" y="0"/>
                                <a:ext cx="1199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208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208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0" w:name="verx-20241231xex32d1.htm"/>
      <w:bookmarkStart w:id="2451" w:name="ksverx20241231xex32d1"/>
      <w:bookmarkEnd w:id="2450"/>
      <w:bookmarkEnd w:id="2451"/>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on Form 10-K of Vertex, Inc. (the “Company”) for the period ended December 31, 2024,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516" w:type="dxa"/>
        <w:jc w:val="center"/>
        <w:tblInd w:w="0" w:type="dxa"/>
        <w:tblLayout w:type="fixed"/>
        <w:tblCellMar>
          <w:top w:w="0" w:type="dxa"/>
          <w:left w:w="0" w:type="dxa"/>
          <w:bottom w:w="0" w:type="dxa"/>
          <w:right w:w="0" w:type="dxa"/>
        </w:tblCellMar>
      </w:tblPr>
      <w:tblGrid>
        <w:gridCol w:w="2086"/>
        <w:gridCol w:w="531"/>
        <w:gridCol w:w="1899"/>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1324610" cy="29210"/>
                      <wp:effectExtent l="0" t="0" r="0" b="0"/>
                      <wp:wrapNone/>
                      <wp:docPr id="872" name="Frame871"/>
                      <a:graphic xmlns:a="http://schemas.openxmlformats.org/drawingml/2006/main">
                        <a:graphicData uri="http://schemas.microsoft.com/office/word/2010/wordprocessingShape">
                          <wps:wsp>
                            <wps:cNvSpPr txBox="1"/>
                            <wps:spPr>
                              <a:xfrm>
                                <a:off x="0" y="0"/>
                                <a:ext cx="1324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337185" cy="29210"/>
                      <wp:effectExtent l="0" t="0" r="0" b="0"/>
                      <wp:wrapNone/>
                      <wp:docPr id="873" name="Frame872"/>
                      <a:graphic xmlns:a="http://schemas.openxmlformats.org/drawingml/2006/main">
                        <a:graphicData uri="http://schemas.microsoft.com/office/word/2010/wordprocessingShape">
                          <wps:wsp>
                            <wps:cNvSpPr txBox="1"/>
                            <wps:spPr>
                              <a:xfrm>
                                <a:off x="0" y="0"/>
                                <a:ext cx="337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1206500" cy="29210"/>
                      <wp:effectExtent l="0" t="0" r="0" b="0"/>
                      <wp:wrapNone/>
                      <wp:docPr id="874" name="Frame873"/>
                      <a:graphic xmlns:a="http://schemas.openxmlformats.org/drawingml/2006/main">
                        <a:graphicData uri="http://schemas.microsoft.com/office/word/2010/wordprocessingShape">
                          <wps:wsp>
                            <wps:cNvSpPr txBox="1"/>
                            <wps:spPr>
                              <a:xfrm>
                                <a:off x="0" y="0"/>
                                <a:ext cx="12065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189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208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208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2" w:name="verx-20241231xex32d2.htm"/>
      <w:bookmarkStart w:id="2453" w:name="ksverx20241231xex32d2"/>
      <w:bookmarkEnd w:id="2452"/>
      <w:bookmarkEnd w:id="2453"/>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on Form 10-K of Vertex, Inc. (the “Company”) for the period ended December 31, 2024,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501" w:type="dxa"/>
        <w:jc w:val="left"/>
        <w:tblInd w:w="0" w:type="dxa"/>
        <w:tblLayout w:type="fixed"/>
        <w:tblCellMar>
          <w:top w:w="0" w:type="dxa"/>
          <w:left w:w="0" w:type="dxa"/>
          <w:bottom w:w="0" w:type="dxa"/>
          <w:right w:w="0" w:type="dxa"/>
        </w:tblCellMar>
      </w:tblPr>
      <w:tblGrid>
        <w:gridCol w:w="2086"/>
        <w:gridCol w:w="526"/>
        <w:gridCol w:w="1889"/>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1324610" cy="160655"/>
                      <wp:effectExtent l="0" t="0" r="0" b="0"/>
                      <wp:wrapNone/>
                      <wp:docPr id="875" name="Frame874"/>
                      <a:graphic xmlns:a="http://schemas.openxmlformats.org/drawingml/2006/main">
                        <a:graphicData uri="http://schemas.microsoft.com/office/word/2010/wordprocessingShape">
                          <wps:wsp>
                            <wps:cNvSpPr txBox="1"/>
                            <wps:spPr>
                              <a:xfrm>
                                <a:off x="0" y="0"/>
                                <a:ext cx="1324610" cy="16065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334010" cy="29210"/>
                      <wp:effectExtent l="0" t="0" r="0" b="0"/>
                      <wp:wrapNone/>
                      <wp:docPr id="876" name="Frame875"/>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1199515" cy="29210"/>
                      <wp:effectExtent l="0" t="0" r="0" b="0"/>
                      <wp:wrapNone/>
                      <wp:docPr id="877" name="Frame876"/>
                      <a:graphic xmlns:a="http://schemas.openxmlformats.org/drawingml/2006/main">
                        <a:graphicData uri="http://schemas.microsoft.com/office/word/2010/wordprocessingShape">
                          <wps:wsp>
                            <wps:cNvSpPr txBox="1"/>
                            <wps:spPr>
                              <a:xfrm>
                                <a:off x="0" y="0"/>
                                <a:ext cx="1199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208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208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Arial">
    <w:altName w:val="Helvetica"/>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837/000104746920004230/a2242119zex-3_1.htm" TargetMode="External"/><Relationship Id="rId4" Type="http://schemas.openxmlformats.org/officeDocument/2006/relationships/hyperlink" Target="https://www.sec.gov/Archives/edgar/data/1806837/000104746920004230/a2242119zex-4_1.htm" TargetMode="External"/><Relationship Id="rId5" Type="http://schemas.openxmlformats.org/officeDocument/2006/relationships/hyperlink" Target="https://www.sec.gov/Archives/edgar/data/1806837/000104746920004230/a2242119zex-4_2.htm" TargetMode="External"/><Relationship Id="rId6" Type="http://schemas.openxmlformats.org/officeDocument/2006/relationships/hyperlink" Target="https://www.sec.gov/Archives/edgar/data/1806837/000155837021003017/verx-20201231ex4331f7a25.htm" TargetMode="External"/><Relationship Id="rId7" Type="http://schemas.openxmlformats.org/officeDocument/2006/relationships/hyperlink" Target="https://www.sec.gov/Archives/edgar/data/1806837/000155837024005939/verx-20240423xex4d1.htm" TargetMode="External"/><Relationship Id="rId8" Type="http://schemas.openxmlformats.org/officeDocument/2006/relationships/hyperlink" Target="https://www.sec.gov/Archives/edgar/data/1806837/000155837022003101/verx-20220309xex10d1.htm" TargetMode="External"/><Relationship Id="rId9" Type="http://schemas.openxmlformats.org/officeDocument/2006/relationships/hyperlink" Target="https://www.sec.gov/Archives/edgar/data/1806837/000104746920004155/a2242082zex-10_3.htm" TargetMode="External"/><Relationship Id="rId10" Type="http://schemas.openxmlformats.org/officeDocument/2006/relationships/hyperlink" Target="https://www.sec.gov/Archives/edgar/data/1806837/000104746920003952/a2241987zex-10_4.htm" TargetMode="External"/><Relationship Id="rId11" Type="http://schemas.openxmlformats.org/officeDocument/2006/relationships/hyperlink" Target="https://www.sec.gov/Archives/edgar/data/1806837/000104746920004155/a2242082zex-10_5.htm" TargetMode="External"/><Relationship Id="rId12" Type="http://schemas.openxmlformats.org/officeDocument/2006/relationships/hyperlink" Target="https://www.sec.gov/Archives/edgar/data/1806837/000104746920004155/a2242082zex-10_5.htm" TargetMode="External"/><Relationship Id="rId13" Type="http://schemas.openxmlformats.org/officeDocument/2006/relationships/hyperlink" Target="https://www.sec.gov/Archives/edgar/data/1806837/000104746920004155/a2242082zex-10_5.htm" TargetMode="External"/><Relationship Id="rId14" Type="http://schemas.openxmlformats.org/officeDocument/2006/relationships/hyperlink" Target="https://www.sec.gov/Archives/edgar/data/1806837/000104746920004155/a2242082zex-10_6.htm" TargetMode="External"/><Relationship Id="rId15" Type="http://schemas.openxmlformats.org/officeDocument/2006/relationships/hyperlink" Target="https://www.sec.gov/Archives/edgar/data/1806837/000104746920004155/a2242082zex-10_7.htm" TargetMode="External"/><Relationship Id="rId16" Type="http://schemas.openxmlformats.org/officeDocument/2006/relationships/hyperlink" Target="https://www.sec.gov/Archives/edgar/data/1806837/000104746920004155/a2242082zex-10_7.htm" TargetMode="External"/><Relationship Id="rId17" Type="http://schemas.openxmlformats.org/officeDocument/2006/relationships/hyperlink" Target="https://www.sec.gov/Archives/edgar/data/1806837/000104746920004155/a2242082zex-10_7.htm" TargetMode="External"/><Relationship Id="rId18" Type="http://schemas.openxmlformats.org/officeDocument/2006/relationships/hyperlink" Target="https://www.sec.gov/Archives/edgar/data/1806837/000104746920004155/a2242082zex-10_8.htm" TargetMode="External"/><Relationship Id="rId19" Type="http://schemas.openxmlformats.org/officeDocument/2006/relationships/hyperlink" Target="https://www.sec.gov/Archives/edgar/data/1806837/000104746920004155/a2242082zex-10_8.htm" TargetMode="External"/><Relationship Id="rId20" Type="http://schemas.openxmlformats.org/officeDocument/2006/relationships/hyperlink" Target="https://www.sec.gov/Archives/edgar/data/1806837/000104746920004155/a2242082zex-10_8.htm" TargetMode="External"/><Relationship Id="rId21" Type="http://schemas.openxmlformats.org/officeDocument/2006/relationships/hyperlink" Target="https://www.sec.gov/Archives/edgar/data/1806837/000104746920004155/a2242082zex-10_9.htm" TargetMode="External"/><Relationship Id="rId22" Type="http://schemas.openxmlformats.org/officeDocument/2006/relationships/hyperlink" Target="https://www.sec.gov/Archives/edgar/data/1806837/000104746920004155/a2242082zex-10_10.htm" TargetMode="External"/><Relationship Id="rId23" Type="http://schemas.openxmlformats.org/officeDocument/2006/relationships/hyperlink" Target="https://www.sec.gov/Archives/edgar/data/1806837/000104746920004155/a2242082zex-10_11.htm" TargetMode="External"/><Relationship Id="rId24" Type="http://schemas.openxmlformats.org/officeDocument/2006/relationships/hyperlink" Target="https://www.sec.gov/Archives/edgar/data/1806837/000104746920004155/a2242082zex-10_12.htm" TargetMode="External"/><Relationship Id="rId25" Type="http://schemas.openxmlformats.org/officeDocument/2006/relationships/hyperlink" Target="https://www.sec.gov/Archives/edgar/data/1806837/000104746920004155/a2242082zex-10_13.htm" TargetMode="External"/><Relationship Id="rId26" Type="http://schemas.openxmlformats.org/officeDocument/2006/relationships/hyperlink" Target="https://www.sec.gov/Archives/edgar/data/1806837/000104746920004155/a2242082zex-10_14.htm" TargetMode="External"/><Relationship Id="rId27" Type="http://schemas.openxmlformats.org/officeDocument/2006/relationships/hyperlink" Target="https://www.sec.gov/Archives/edgar/data/1806837/000104746920004155/a2242082zex-10_15.htm" TargetMode="External"/><Relationship Id="rId28" Type="http://schemas.openxmlformats.org/officeDocument/2006/relationships/hyperlink" Target="https://www.sec.gov/Archives/edgar/data/1806837/000104746920004155/a2242082zex-10_16.htm" TargetMode="External"/><Relationship Id="rId29" Type="http://schemas.openxmlformats.org/officeDocument/2006/relationships/hyperlink" Target="https://www.sec.gov/Archives/edgar/data/1806837/000104746920004155/a2242082zex-10_17.htm" TargetMode="External"/><Relationship Id="rId30" Type="http://schemas.openxmlformats.org/officeDocument/2006/relationships/hyperlink" Target="https://www.sec.gov/Archives/edgar/data/1806837/000104746920004155/a2242082zex-10_18.htm" TargetMode="External"/><Relationship Id="rId31" Type="http://schemas.openxmlformats.org/officeDocument/2006/relationships/hyperlink" Target="https://www.sec.gov/Archives/edgar/data/1806837/000104746920004155/a2242082zex-10_19.htm" TargetMode="External"/><Relationship Id="rId32" Type="http://schemas.openxmlformats.org/officeDocument/2006/relationships/hyperlink" Target="https://www.sec.gov/Archives/edgar/data/1806837/000155837024005432/verx-20240419xex10d1.htm" TargetMode="External"/><Relationship Id="rId33" Type="http://schemas.openxmlformats.org/officeDocument/2006/relationships/hyperlink" Target="https://www.sec.gov/Archives/edgar/data/1806837/000155837024005939/verx-20240423xex10d1.htm" TargetMode="External"/><Relationship Id="rId34" Type="http://schemas.openxmlformats.org/officeDocument/2006/relationships/hyperlink" Target="https://www.sec.gov/Archives/edgar/data/1806837/000110465924115872/tm2427468d1_ex10-1.htm" TargetMode="External"/><Relationship Id="rId35" Type="http://schemas.openxmlformats.org/officeDocument/2006/relationships/hyperlink" Target="https://www.sec.gov/Archives/edgar/data/1806837/000104746920004155/a2242082zex-21_1.htm" TargetMode="External"/><Relationship Id="rId36" Type="http://schemas.openxmlformats.org/officeDocument/2006/relationships/hyperlink" Target="https://www.sec.gov/Archives/edgar/data/1806837/000155837024002192/verx-20231231xex97d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83578</Words>
  <Characters>463773</Characters>
  <CharactersWithSpaces>550829</CharactersWithSpaces>
  <Paragraphs>14929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