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92026_081048.xml.htm"/>
      <w:bookmarkStart w:id="1" w:name="ksform410092026_0810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Saha Debanjan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2301 RENAISSANCE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 OF PRUSSIA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Vertex, Inc.</w:t>
              </w:r>
            </w:hyperlink>
            <w:r>
              <w:rPr/>
              <w:t xml:space="preserve"> [ </w:t>
            </w:r>
            <w:r>
              <w:rPr>
                <w:rFonts w:ascii="Times;serif" w:hAnsi="Times;serif"/>
                <w:color w:val="0000FF"/>
                <w:sz w:val="24"/>
                <w:shd w:fill="FFFFFF" w:val="clear"/>
              </w:rPr>
              <w:t>VERX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11,199</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11,199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that will vest on the earlier to occur of (i) the day immediately prior to the date of the next annual meeting of the Company's stockholders and (ii) October 7,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Coleman,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6092" TargetMode="External"/><Relationship Id="rId5" Type="http://schemas.openxmlformats.org/officeDocument/2006/relationships/hyperlink" Target="http://www.sec.gov/cgi-bin/browse-edgar?action=getcompany&amp;CIK=00018068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3237</Characters>
  <CharactersWithSpaces>3772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